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D09EF" w14:textId="77777777" w:rsidR="00932291" w:rsidRDefault="00932291" w:rsidP="00932291">
      <w:pPr>
        <w:shd w:val="clear" w:color="auto" w:fill="FFFFFF"/>
        <w:spacing w:before="100" w:beforeAutospacing="1" w:after="100" w:afterAutospacing="1" w:line="240" w:lineRule="auto"/>
        <w:rPr>
          <w:rFonts w:ascii="Open Sans" w:eastAsia="Times New Roman" w:hAnsi="Open Sans" w:cs="Open Sans"/>
          <w:color w:val="151619"/>
          <w:sz w:val="25"/>
          <w:szCs w:val="25"/>
        </w:rPr>
      </w:pPr>
    </w:p>
    <w:p w14:paraId="7033C23C" w14:textId="40230633" w:rsidR="00932291" w:rsidRDefault="00932291" w:rsidP="00932291">
      <w:pPr>
        <w:shd w:val="clear" w:color="auto" w:fill="FFFFFF"/>
        <w:spacing w:before="100" w:beforeAutospacing="1" w:after="100" w:afterAutospacing="1" w:line="240" w:lineRule="auto"/>
        <w:rPr>
          <w:rFonts w:ascii="Open Sans" w:eastAsia="Times New Roman" w:hAnsi="Open Sans" w:cs="Open Sans"/>
          <w:color w:val="151619"/>
          <w:sz w:val="25"/>
          <w:szCs w:val="25"/>
        </w:rPr>
      </w:pPr>
      <w:r w:rsidRPr="00932291">
        <w:rPr>
          <w:rFonts w:ascii="Open Sans" w:eastAsia="Times New Roman" w:hAnsi="Open Sans" w:cs="Open Sans"/>
          <w:color w:val="151619"/>
          <w:sz w:val="25"/>
          <w:szCs w:val="25"/>
        </w:rPr>
        <w:t>https://community.pega.com/knowledgebase/articles/unique-id-generation-configuration</w:t>
      </w:r>
      <w:bookmarkStart w:id="0" w:name="_GoBack"/>
      <w:bookmarkEnd w:id="0"/>
    </w:p>
    <w:p w14:paraId="4FB933F7" w14:textId="29530000" w:rsidR="00932291" w:rsidRPr="00932291" w:rsidRDefault="00932291" w:rsidP="00932291">
      <w:pPr>
        <w:shd w:val="clear" w:color="auto" w:fill="FFFFFF"/>
        <w:spacing w:before="100" w:beforeAutospacing="1" w:after="100" w:afterAutospacing="1" w:line="240" w:lineRule="auto"/>
        <w:rPr>
          <w:rFonts w:ascii="Open Sans" w:eastAsia="Times New Roman" w:hAnsi="Open Sans" w:cs="Open Sans"/>
          <w:color w:val="151619"/>
          <w:sz w:val="25"/>
          <w:szCs w:val="25"/>
        </w:rPr>
      </w:pPr>
      <w:r w:rsidRPr="00932291">
        <w:rPr>
          <w:rFonts w:ascii="Open Sans" w:eastAsia="Times New Roman" w:hAnsi="Open Sans" w:cs="Open Sans"/>
          <w:color w:val="151619"/>
          <w:sz w:val="25"/>
          <w:szCs w:val="25"/>
        </w:rPr>
        <w:t>By default, unique IDs for class instances (such as cases) are generated by using stored procedures and are maintained in the database. You can change unique ID generation to in-memory ID generation, which is based on cluster technology, to improve performance. In-memory ID generation is useful when unique ID generation is a bottleneck for large-scale case creation. You can configure the method to use for generating IDs by using both Dynamic System Settings and the prconfig.xml file. In addition, in the prconfig.xml file, you can configure the persistence threshold and whether to retry ID generation if it fails because of a database error. If you were previously using a customized ID generator with a Postgres database, you also can configure it in the prconfig.xml file.</w:t>
      </w:r>
    </w:p>
    <w:tbl>
      <w:tblPr>
        <w:tblW w:w="21443" w:type="dxa"/>
        <w:tblInd w:w="-4050" w:type="dxa"/>
        <w:shd w:val="clear" w:color="auto" w:fill="FFFFFF"/>
        <w:tblCellMar>
          <w:left w:w="0" w:type="dxa"/>
          <w:right w:w="0" w:type="dxa"/>
        </w:tblCellMar>
        <w:tblLook w:val="04A0" w:firstRow="1" w:lastRow="0" w:firstColumn="1" w:lastColumn="0" w:noHBand="0" w:noVBand="1"/>
      </w:tblPr>
      <w:tblGrid>
        <w:gridCol w:w="12092"/>
        <w:gridCol w:w="3608"/>
        <w:gridCol w:w="5743"/>
      </w:tblGrid>
      <w:tr w:rsidR="00932291" w:rsidRPr="00932291" w14:paraId="5B393B35" w14:textId="77777777" w:rsidTr="00932291">
        <w:trPr>
          <w:tblHeader/>
        </w:trPr>
        <w:tc>
          <w:tcPr>
            <w:tcW w:w="12092" w:type="dxa"/>
            <w:shd w:val="clear" w:color="auto" w:fill="FFFFFF"/>
            <w:vAlign w:val="center"/>
            <w:hideMark/>
          </w:tcPr>
          <w:p w14:paraId="0F0B73A2" w14:textId="77777777" w:rsidR="00932291" w:rsidRPr="00932291" w:rsidRDefault="00932291" w:rsidP="00932291">
            <w:pPr>
              <w:spacing w:after="0" w:line="240" w:lineRule="auto"/>
              <w:jc w:val="center"/>
              <w:rPr>
                <w:rFonts w:ascii="Open Sans" w:eastAsia="Times New Roman" w:hAnsi="Open Sans" w:cs="Open Sans"/>
                <w:b/>
                <w:bCs/>
                <w:color w:val="151619"/>
                <w:sz w:val="25"/>
                <w:szCs w:val="25"/>
              </w:rPr>
            </w:pPr>
            <w:r w:rsidRPr="00932291">
              <w:rPr>
                <w:rFonts w:ascii="Open Sans" w:eastAsia="Times New Roman" w:hAnsi="Open Sans" w:cs="Open Sans"/>
                <w:b/>
                <w:bCs/>
                <w:color w:val="151619"/>
                <w:sz w:val="25"/>
                <w:szCs w:val="25"/>
              </w:rPr>
              <w:t>prconfig.xml file setting</w:t>
            </w:r>
          </w:p>
        </w:tc>
        <w:tc>
          <w:tcPr>
            <w:tcW w:w="0" w:type="auto"/>
            <w:shd w:val="clear" w:color="auto" w:fill="FFFFFF"/>
            <w:vAlign w:val="center"/>
            <w:hideMark/>
          </w:tcPr>
          <w:p w14:paraId="455FCCB7" w14:textId="77777777" w:rsidR="00932291" w:rsidRPr="00932291" w:rsidRDefault="00932291" w:rsidP="00932291">
            <w:pPr>
              <w:spacing w:after="0" w:line="240" w:lineRule="auto"/>
              <w:jc w:val="center"/>
              <w:rPr>
                <w:rFonts w:ascii="Open Sans" w:eastAsia="Times New Roman" w:hAnsi="Open Sans" w:cs="Open Sans"/>
                <w:b/>
                <w:bCs/>
                <w:color w:val="151619"/>
                <w:sz w:val="25"/>
                <w:szCs w:val="25"/>
              </w:rPr>
            </w:pPr>
            <w:r w:rsidRPr="00932291">
              <w:rPr>
                <w:rFonts w:ascii="Open Sans" w:eastAsia="Times New Roman" w:hAnsi="Open Sans" w:cs="Open Sans"/>
                <w:b/>
                <w:bCs/>
                <w:color w:val="151619"/>
                <w:sz w:val="25"/>
                <w:szCs w:val="25"/>
              </w:rPr>
              <w:t>Dynamic System Setting</w:t>
            </w:r>
          </w:p>
        </w:tc>
        <w:tc>
          <w:tcPr>
            <w:tcW w:w="0" w:type="auto"/>
            <w:shd w:val="clear" w:color="auto" w:fill="FFFFFF"/>
            <w:vAlign w:val="center"/>
            <w:hideMark/>
          </w:tcPr>
          <w:p w14:paraId="073D7189" w14:textId="77777777" w:rsidR="00932291" w:rsidRPr="00932291" w:rsidRDefault="00932291" w:rsidP="00932291">
            <w:pPr>
              <w:spacing w:after="0" w:line="240" w:lineRule="auto"/>
              <w:jc w:val="center"/>
              <w:rPr>
                <w:rFonts w:ascii="Open Sans" w:eastAsia="Times New Roman" w:hAnsi="Open Sans" w:cs="Open Sans"/>
                <w:b/>
                <w:bCs/>
                <w:color w:val="151619"/>
                <w:sz w:val="25"/>
                <w:szCs w:val="25"/>
              </w:rPr>
            </w:pPr>
            <w:r w:rsidRPr="00932291">
              <w:rPr>
                <w:rFonts w:ascii="Open Sans" w:eastAsia="Times New Roman" w:hAnsi="Open Sans" w:cs="Open Sans"/>
                <w:b/>
                <w:bCs/>
                <w:color w:val="151619"/>
                <w:sz w:val="25"/>
                <w:szCs w:val="25"/>
              </w:rPr>
              <w:t>Description</w:t>
            </w:r>
          </w:p>
        </w:tc>
      </w:tr>
      <w:tr w:rsidR="00932291" w:rsidRPr="00932291" w14:paraId="34374114" w14:textId="77777777" w:rsidTr="00932291">
        <w:tc>
          <w:tcPr>
            <w:tcW w:w="12092" w:type="dxa"/>
            <w:shd w:val="clear" w:color="auto" w:fill="FFFFFF"/>
            <w:vAlign w:val="center"/>
            <w:hideMark/>
          </w:tcPr>
          <w:p w14:paraId="3DA14110" w14:textId="77777777" w:rsidR="00932291" w:rsidRPr="00932291" w:rsidRDefault="00932291" w:rsidP="00932291">
            <w:pPr>
              <w:spacing w:after="0" w:line="240" w:lineRule="auto"/>
              <w:rPr>
                <w:rFonts w:ascii="Open Sans" w:eastAsia="Times New Roman" w:hAnsi="Open Sans" w:cs="Open Sans"/>
                <w:color w:val="151619"/>
                <w:sz w:val="25"/>
                <w:szCs w:val="25"/>
              </w:rPr>
            </w:pPr>
            <w:r w:rsidRPr="00932291">
              <w:rPr>
                <w:rFonts w:ascii="Courier New" w:eastAsia="Times New Roman" w:hAnsi="Courier New" w:cs="Courier New"/>
                <w:b/>
                <w:bCs/>
                <w:color w:val="339933"/>
                <w:sz w:val="20"/>
                <w:szCs w:val="20"/>
                <w:bdr w:val="none" w:sz="0" w:space="0" w:color="auto" w:frame="1"/>
              </w:rPr>
              <w:t>&lt;</w:t>
            </w:r>
            <w:r w:rsidRPr="00932291">
              <w:rPr>
                <w:rFonts w:ascii="Courier New" w:eastAsia="Times New Roman" w:hAnsi="Courier New" w:cs="Courier New"/>
                <w:b/>
                <w:bCs/>
                <w:color w:val="151619"/>
                <w:sz w:val="20"/>
                <w:szCs w:val="20"/>
                <w:bdr w:val="none" w:sz="0" w:space="0" w:color="auto" w:frame="1"/>
              </w:rPr>
              <w:t>env name</w:t>
            </w:r>
            <w:r w:rsidRPr="00932291">
              <w:rPr>
                <w:rFonts w:ascii="Courier New" w:eastAsia="Times New Roman" w:hAnsi="Courier New" w:cs="Courier New"/>
                <w:b/>
                <w:bCs/>
                <w:color w:val="339933"/>
                <w:sz w:val="20"/>
                <w:szCs w:val="20"/>
                <w:bdr w:val="none" w:sz="0" w:space="0" w:color="auto" w:frame="1"/>
              </w:rPr>
              <w:t>=</w:t>
            </w:r>
            <w:r w:rsidRPr="00932291">
              <w:rPr>
                <w:rFonts w:ascii="Courier New" w:eastAsia="Times New Roman" w:hAnsi="Courier New" w:cs="Courier New"/>
                <w:b/>
                <w:bCs/>
                <w:color w:val="0000FF"/>
                <w:sz w:val="20"/>
                <w:szCs w:val="20"/>
                <w:bdr w:val="none" w:sz="0" w:space="0" w:color="auto" w:frame="1"/>
              </w:rPr>
              <w:t>"</w:t>
            </w:r>
            <w:proofErr w:type="spellStart"/>
            <w:r w:rsidRPr="00932291">
              <w:rPr>
                <w:rFonts w:ascii="Courier New" w:eastAsia="Times New Roman" w:hAnsi="Courier New" w:cs="Courier New"/>
                <w:b/>
                <w:bCs/>
                <w:color w:val="0000FF"/>
                <w:sz w:val="20"/>
                <w:szCs w:val="20"/>
                <w:bdr w:val="none" w:sz="0" w:space="0" w:color="auto" w:frame="1"/>
              </w:rPr>
              <w:t>pega</w:t>
            </w:r>
            <w:proofErr w:type="spellEnd"/>
            <w:r w:rsidRPr="00932291">
              <w:rPr>
                <w:rFonts w:ascii="Courier New" w:eastAsia="Times New Roman" w:hAnsi="Courier New" w:cs="Courier New"/>
                <w:b/>
                <w:bCs/>
                <w:color w:val="0000FF"/>
                <w:sz w:val="20"/>
                <w:szCs w:val="20"/>
                <w:bdr w:val="none" w:sz="0" w:space="0" w:color="auto" w:frame="1"/>
              </w:rPr>
              <w:t>/</w:t>
            </w:r>
            <w:proofErr w:type="spellStart"/>
            <w:r w:rsidRPr="00932291">
              <w:rPr>
                <w:rFonts w:ascii="Courier New" w:eastAsia="Times New Roman" w:hAnsi="Courier New" w:cs="Courier New"/>
                <w:b/>
                <w:bCs/>
                <w:color w:val="0000FF"/>
                <w:sz w:val="20"/>
                <w:szCs w:val="20"/>
                <w:bdr w:val="none" w:sz="0" w:space="0" w:color="auto" w:frame="1"/>
              </w:rPr>
              <w:t>sequenceid</w:t>
            </w:r>
            <w:proofErr w:type="spellEnd"/>
            <w:r w:rsidRPr="00932291">
              <w:rPr>
                <w:rFonts w:ascii="Courier New" w:eastAsia="Times New Roman" w:hAnsi="Courier New" w:cs="Courier New"/>
                <w:b/>
                <w:bCs/>
                <w:color w:val="0000FF"/>
                <w:sz w:val="20"/>
                <w:szCs w:val="20"/>
                <w:bdr w:val="none" w:sz="0" w:space="0" w:color="auto" w:frame="1"/>
              </w:rPr>
              <w:t>/</w:t>
            </w:r>
            <w:proofErr w:type="spellStart"/>
            <w:r w:rsidRPr="00932291">
              <w:rPr>
                <w:rFonts w:ascii="Courier New" w:eastAsia="Times New Roman" w:hAnsi="Courier New" w:cs="Courier New"/>
                <w:b/>
                <w:bCs/>
                <w:color w:val="0000FF"/>
                <w:sz w:val="20"/>
                <w:szCs w:val="20"/>
                <w:bdr w:val="none" w:sz="0" w:space="0" w:color="auto" w:frame="1"/>
              </w:rPr>
              <w:t>useOldOOTBIDGenerator</w:t>
            </w:r>
            <w:proofErr w:type="spellEnd"/>
            <w:r w:rsidRPr="00932291">
              <w:rPr>
                <w:rFonts w:ascii="Courier New" w:eastAsia="Times New Roman" w:hAnsi="Courier New" w:cs="Courier New"/>
                <w:b/>
                <w:bCs/>
                <w:color w:val="0000FF"/>
                <w:sz w:val="20"/>
                <w:szCs w:val="20"/>
                <w:bdr w:val="none" w:sz="0" w:space="0" w:color="auto" w:frame="1"/>
              </w:rPr>
              <w:t>"</w:t>
            </w:r>
            <w:r w:rsidRPr="00932291">
              <w:rPr>
                <w:rFonts w:ascii="Courier New" w:eastAsia="Times New Roman" w:hAnsi="Courier New" w:cs="Courier New"/>
                <w:b/>
                <w:bCs/>
                <w:color w:val="151619"/>
                <w:sz w:val="20"/>
                <w:szCs w:val="20"/>
                <w:bdr w:val="none" w:sz="0" w:space="0" w:color="auto" w:frame="1"/>
              </w:rPr>
              <w:t> value</w:t>
            </w:r>
            <w:r w:rsidRPr="00932291">
              <w:rPr>
                <w:rFonts w:ascii="Courier New" w:eastAsia="Times New Roman" w:hAnsi="Courier New" w:cs="Courier New"/>
                <w:b/>
                <w:bCs/>
                <w:color w:val="339933"/>
                <w:sz w:val="20"/>
                <w:szCs w:val="20"/>
                <w:bdr w:val="none" w:sz="0" w:space="0" w:color="auto" w:frame="1"/>
              </w:rPr>
              <w:t>=</w:t>
            </w:r>
            <w:r w:rsidRPr="00932291">
              <w:rPr>
                <w:rFonts w:ascii="Courier New" w:eastAsia="Times New Roman" w:hAnsi="Courier New" w:cs="Courier New"/>
                <w:b/>
                <w:bCs/>
                <w:color w:val="0000FF"/>
                <w:sz w:val="20"/>
                <w:szCs w:val="20"/>
                <w:bdr w:val="none" w:sz="0" w:space="0" w:color="auto" w:frame="1"/>
              </w:rPr>
              <w:t>"true"</w:t>
            </w:r>
            <w:r w:rsidRPr="00932291">
              <w:rPr>
                <w:rFonts w:ascii="Courier New" w:eastAsia="Times New Roman" w:hAnsi="Courier New" w:cs="Courier New"/>
                <w:b/>
                <w:bCs/>
                <w:color w:val="339933"/>
                <w:sz w:val="20"/>
                <w:szCs w:val="20"/>
                <w:bdr w:val="none" w:sz="0" w:space="0" w:color="auto" w:frame="1"/>
              </w:rPr>
              <w:t>/&gt;</w:t>
            </w:r>
          </w:p>
        </w:tc>
        <w:tc>
          <w:tcPr>
            <w:tcW w:w="0" w:type="auto"/>
            <w:shd w:val="clear" w:color="auto" w:fill="FFFFFF"/>
            <w:vAlign w:val="center"/>
            <w:hideMark/>
          </w:tcPr>
          <w:p w14:paraId="6E49D05C" w14:textId="77777777" w:rsidR="00932291" w:rsidRPr="00932291" w:rsidRDefault="00932291" w:rsidP="00932291">
            <w:pPr>
              <w:spacing w:after="0" w:line="240" w:lineRule="auto"/>
              <w:rPr>
                <w:rFonts w:ascii="Open Sans" w:eastAsia="Times New Roman" w:hAnsi="Open Sans" w:cs="Open Sans"/>
                <w:color w:val="151619"/>
                <w:sz w:val="25"/>
                <w:szCs w:val="25"/>
              </w:rPr>
            </w:pPr>
            <w:r w:rsidRPr="00932291">
              <w:rPr>
                <w:rFonts w:ascii="Open Sans" w:eastAsia="Times New Roman" w:hAnsi="Open Sans" w:cs="Open Sans"/>
                <w:b/>
                <w:bCs/>
                <w:color w:val="151619"/>
                <w:sz w:val="25"/>
                <w:szCs w:val="25"/>
              </w:rPr>
              <w:t>Setting Purpose</w:t>
            </w:r>
            <w:r w:rsidRPr="00932291">
              <w:rPr>
                <w:rFonts w:ascii="Open Sans" w:eastAsia="Times New Roman" w:hAnsi="Open Sans" w:cs="Open Sans"/>
                <w:color w:val="151619"/>
                <w:sz w:val="25"/>
                <w:szCs w:val="25"/>
              </w:rPr>
              <w:t> –</w:t>
            </w:r>
            <w:r w:rsidRPr="00932291">
              <w:rPr>
                <w:rFonts w:ascii="Open Sans" w:eastAsia="Times New Roman" w:hAnsi="Open Sans" w:cs="Open Sans"/>
                <w:color w:val="151619"/>
                <w:sz w:val="25"/>
                <w:szCs w:val="25"/>
              </w:rPr>
              <w:br/>
            </w:r>
            <w:proofErr w:type="spellStart"/>
            <w:r w:rsidRPr="00932291">
              <w:rPr>
                <w:rFonts w:ascii="Open Sans" w:eastAsia="Times New Roman" w:hAnsi="Open Sans" w:cs="Open Sans"/>
                <w:color w:val="151619"/>
                <w:sz w:val="25"/>
                <w:szCs w:val="25"/>
              </w:rPr>
              <w:t>prconfig</w:t>
            </w:r>
            <w:proofErr w:type="spellEnd"/>
            <w:r w:rsidRPr="00932291">
              <w:rPr>
                <w:rFonts w:ascii="Open Sans" w:eastAsia="Times New Roman" w:hAnsi="Open Sans" w:cs="Open Sans"/>
                <w:color w:val="151619"/>
                <w:sz w:val="25"/>
                <w:szCs w:val="25"/>
              </w:rPr>
              <w:t>/</w:t>
            </w:r>
            <w:proofErr w:type="spellStart"/>
            <w:r w:rsidRPr="00932291">
              <w:rPr>
                <w:rFonts w:ascii="Open Sans" w:eastAsia="Times New Roman" w:hAnsi="Open Sans" w:cs="Open Sans"/>
                <w:color w:val="151619"/>
                <w:sz w:val="25"/>
                <w:szCs w:val="25"/>
              </w:rPr>
              <w:t>pega</w:t>
            </w:r>
            <w:proofErr w:type="spellEnd"/>
            <w:r w:rsidRPr="00932291">
              <w:rPr>
                <w:rFonts w:ascii="Open Sans" w:eastAsia="Times New Roman" w:hAnsi="Open Sans" w:cs="Open Sans"/>
                <w:color w:val="151619"/>
                <w:sz w:val="25"/>
                <w:szCs w:val="25"/>
              </w:rPr>
              <w:t>/</w:t>
            </w:r>
            <w:proofErr w:type="spellStart"/>
            <w:r w:rsidRPr="00932291">
              <w:rPr>
                <w:rFonts w:ascii="Open Sans" w:eastAsia="Times New Roman" w:hAnsi="Open Sans" w:cs="Open Sans"/>
                <w:color w:val="151619"/>
                <w:sz w:val="25"/>
                <w:szCs w:val="25"/>
              </w:rPr>
              <w:t>sequenceid</w:t>
            </w:r>
            <w:proofErr w:type="spellEnd"/>
            <w:r w:rsidRPr="00932291">
              <w:rPr>
                <w:rFonts w:ascii="Open Sans" w:eastAsia="Times New Roman" w:hAnsi="Open Sans" w:cs="Open Sans"/>
                <w:color w:val="151619"/>
                <w:sz w:val="25"/>
                <w:szCs w:val="25"/>
              </w:rPr>
              <w:t>/</w:t>
            </w:r>
            <w:r w:rsidRPr="00932291">
              <w:rPr>
                <w:rFonts w:ascii="Open Sans" w:eastAsia="Times New Roman" w:hAnsi="Open Sans" w:cs="Open Sans"/>
                <w:color w:val="151619"/>
                <w:sz w:val="25"/>
                <w:szCs w:val="25"/>
              </w:rPr>
              <w:br/>
            </w:r>
            <w:proofErr w:type="spellStart"/>
            <w:r w:rsidRPr="00932291">
              <w:rPr>
                <w:rFonts w:ascii="Open Sans" w:eastAsia="Times New Roman" w:hAnsi="Open Sans" w:cs="Open Sans"/>
                <w:color w:val="151619"/>
                <w:sz w:val="25"/>
                <w:szCs w:val="25"/>
              </w:rPr>
              <w:t>useoldootbidgenerator</w:t>
            </w:r>
            <w:proofErr w:type="spellEnd"/>
            <w:r w:rsidRPr="00932291">
              <w:rPr>
                <w:rFonts w:ascii="Open Sans" w:eastAsia="Times New Roman" w:hAnsi="Open Sans" w:cs="Open Sans"/>
                <w:color w:val="151619"/>
                <w:sz w:val="25"/>
                <w:szCs w:val="25"/>
              </w:rPr>
              <w:t>/default</w:t>
            </w:r>
            <w:r w:rsidRPr="00932291">
              <w:rPr>
                <w:rFonts w:ascii="Open Sans" w:eastAsia="Times New Roman" w:hAnsi="Open Sans" w:cs="Open Sans"/>
                <w:color w:val="151619"/>
                <w:sz w:val="25"/>
                <w:szCs w:val="25"/>
              </w:rPr>
              <w:br/>
            </w:r>
            <w:r w:rsidRPr="00932291">
              <w:rPr>
                <w:rFonts w:ascii="Open Sans" w:eastAsia="Times New Roman" w:hAnsi="Open Sans" w:cs="Open Sans"/>
                <w:b/>
                <w:bCs/>
                <w:color w:val="151619"/>
                <w:sz w:val="25"/>
                <w:szCs w:val="25"/>
              </w:rPr>
              <w:t>Owning Ruleset</w:t>
            </w:r>
            <w:r w:rsidRPr="00932291">
              <w:rPr>
                <w:rFonts w:ascii="Open Sans" w:eastAsia="Times New Roman" w:hAnsi="Open Sans" w:cs="Open Sans"/>
                <w:color w:val="151619"/>
                <w:sz w:val="25"/>
                <w:szCs w:val="25"/>
              </w:rPr>
              <w:t> – </w:t>
            </w:r>
            <w:proofErr w:type="spellStart"/>
            <w:r w:rsidRPr="00932291">
              <w:rPr>
                <w:rFonts w:ascii="Open Sans" w:eastAsia="Times New Roman" w:hAnsi="Open Sans" w:cs="Open Sans"/>
                <w:color w:val="151619"/>
                <w:sz w:val="25"/>
                <w:szCs w:val="25"/>
              </w:rPr>
              <w:t>Pega</w:t>
            </w:r>
            <w:proofErr w:type="spellEnd"/>
            <w:r w:rsidRPr="00932291">
              <w:rPr>
                <w:rFonts w:ascii="Open Sans" w:eastAsia="Times New Roman" w:hAnsi="Open Sans" w:cs="Open Sans"/>
                <w:color w:val="151619"/>
                <w:sz w:val="25"/>
                <w:szCs w:val="25"/>
              </w:rPr>
              <w:t>-Engine</w:t>
            </w:r>
          </w:p>
        </w:tc>
        <w:tc>
          <w:tcPr>
            <w:tcW w:w="0" w:type="auto"/>
            <w:shd w:val="clear" w:color="auto" w:fill="FFFFFF"/>
            <w:vAlign w:val="center"/>
            <w:hideMark/>
          </w:tcPr>
          <w:p w14:paraId="20CB598D" w14:textId="77777777" w:rsidR="00932291" w:rsidRPr="00932291" w:rsidRDefault="00932291" w:rsidP="00932291">
            <w:pPr>
              <w:spacing w:after="0" w:line="240" w:lineRule="auto"/>
              <w:rPr>
                <w:rFonts w:ascii="Open Sans" w:eastAsia="Times New Roman" w:hAnsi="Open Sans" w:cs="Open Sans"/>
                <w:color w:val="151619"/>
                <w:sz w:val="25"/>
                <w:szCs w:val="25"/>
              </w:rPr>
            </w:pPr>
            <w:r w:rsidRPr="00932291">
              <w:rPr>
                <w:rFonts w:ascii="Open Sans" w:eastAsia="Times New Roman" w:hAnsi="Open Sans" w:cs="Open Sans"/>
                <w:color w:val="151619"/>
                <w:sz w:val="25"/>
                <w:szCs w:val="25"/>
              </w:rPr>
              <w:t>When true, use database-based (stored procedure) ID generation. When false, use in-memory ID generation. The default is true.</w:t>
            </w:r>
          </w:p>
        </w:tc>
      </w:tr>
      <w:tr w:rsidR="00932291" w:rsidRPr="00932291" w14:paraId="5F0AD9F6" w14:textId="77777777" w:rsidTr="00932291">
        <w:tc>
          <w:tcPr>
            <w:tcW w:w="12092" w:type="dxa"/>
            <w:shd w:val="clear" w:color="auto" w:fill="FFFFFF"/>
            <w:vAlign w:val="center"/>
            <w:hideMark/>
          </w:tcPr>
          <w:p w14:paraId="46C86159" w14:textId="77777777" w:rsidR="00932291" w:rsidRPr="00932291" w:rsidRDefault="00932291" w:rsidP="00932291">
            <w:pPr>
              <w:spacing w:after="0" w:line="240" w:lineRule="auto"/>
              <w:rPr>
                <w:rFonts w:ascii="Open Sans" w:eastAsia="Times New Roman" w:hAnsi="Open Sans" w:cs="Open Sans"/>
                <w:color w:val="151619"/>
                <w:sz w:val="25"/>
                <w:szCs w:val="25"/>
              </w:rPr>
            </w:pPr>
            <w:r w:rsidRPr="00932291">
              <w:rPr>
                <w:rFonts w:ascii="Courier New" w:eastAsia="Times New Roman" w:hAnsi="Courier New" w:cs="Courier New"/>
                <w:b/>
                <w:bCs/>
                <w:color w:val="339933"/>
                <w:sz w:val="20"/>
                <w:szCs w:val="20"/>
                <w:bdr w:val="none" w:sz="0" w:space="0" w:color="auto" w:frame="1"/>
              </w:rPr>
              <w:t>&lt;</w:t>
            </w:r>
            <w:r w:rsidRPr="00932291">
              <w:rPr>
                <w:rFonts w:ascii="Courier New" w:eastAsia="Times New Roman" w:hAnsi="Courier New" w:cs="Courier New"/>
                <w:b/>
                <w:bCs/>
                <w:color w:val="151619"/>
                <w:sz w:val="20"/>
                <w:szCs w:val="20"/>
                <w:bdr w:val="none" w:sz="0" w:space="0" w:color="auto" w:frame="1"/>
              </w:rPr>
              <w:t>env name</w:t>
            </w:r>
            <w:r w:rsidRPr="00932291">
              <w:rPr>
                <w:rFonts w:ascii="Courier New" w:eastAsia="Times New Roman" w:hAnsi="Courier New" w:cs="Courier New"/>
                <w:b/>
                <w:bCs/>
                <w:color w:val="339933"/>
                <w:sz w:val="20"/>
                <w:szCs w:val="20"/>
                <w:bdr w:val="none" w:sz="0" w:space="0" w:color="auto" w:frame="1"/>
              </w:rPr>
              <w:t>=</w:t>
            </w:r>
            <w:r w:rsidRPr="00932291">
              <w:rPr>
                <w:rFonts w:ascii="Courier New" w:eastAsia="Times New Roman" w:hAnsi="Courier New" w:cs="Courier New"/>
                <w:b/>
                <w:bCs/>
                <w:color w:val="0000FF"/>
                <w:sz w:val="20"/>
                <w:szCs w:val="20"/>
                <w:bdr w:val="none" w:sz="0" w:space="0" w:color="auto" w:frame="1"/>
              </w:rPr>
              <w:t>"</w:t>
            </w:r>
            <w:proofErr w:type="spellStart"/>
            <w:r w:rsidRPr="00932291">
              <w:rPr>
                <w:rFonts w:ascii="Courier New" w:eastAsia="Times New Roman" w:hAnsi="Courier New" w:cs="Courier New"/>
                <w:b/>
                <w:bCs/>
                <w:color w:val="0000FF"/>
                <w:sz w:val="20"/>
                <w:szCs w:val="20"/>
                <w:bdr w:val="none" w:sz="0" w:space="0" w:color="auto" w:frame="1"/>
              </w:rPr>
              <w:t>pega</w:t>
            </w:r>
            <w:proofErr w:type="spellEnd"/>
            <w:r w:rsidRPr="00932291">
              <w:rPr>
                <w:rFonts w:ascii="Courier New" w:eastAsia="Times New Roman" w:hAnsi="Courier New" w:cs="Courier New"/>
                <w:b/>
                <w:bCs/>
                <w:color w:val="0000FF"/>
                <w:sz w:val="20"/>
                <w:szCs w:val="20"/>
                <w:bdr w:val="none" w:sz="0" w:space="0" w:color="auto" w:frame="1"/>
              </w:rPr>
              <w:t>/</w:t>
            </w:r>
            <w:proofErr w:type="spellStart"/>
            <w:r w:rsidRPr="00932291">
              <w:rPr>
                <w:rFonts w:ascii="Courier New" w:eastAsia="Times New Roman" w:hAnsi="Courier New" w:cs="Courier New"/>
                <w:b/>
                <w:bCs/>
                <w:color w:val="0000FF"/>
                <w:sz w:val="20"/>
                <w:szCs w:val="20"/>
                <w:bdr w:val="none" w:sz="0" w:space="0" w:color="auto" w:frame="1"/>
              </w:rPr>
              <w:t>sequenceid</w:t>
            </w:r>
            <w:proofErr w:type="spellEnd"/>
            <w:r w:rsidRPr="00932291">
              <w:rPr>
                <w:rFonts w:ascii="Courier New" w:eastAsia="Times New Roman" w:hAnsi="Courier New" w:cs="Courier New"/>
                <w:b/>
                <w:bCs/>
                <w:color w:val="0000FF"/>
                <w:sz w:val="20"/>
                <w:szCs w:val="20"/>
                <w:bdr w:val="none" w:sz="0" w:space="0" w:color="auto" w:frame="1"/>
              </w:rPr>
              <w:t>/update-interval"</w:t>
            </w:r>
            <w:r w:rsidRPr="00932291">
              <w:rPr>
                <w:rFonts w:ascii="Courier New" w:eastAsia="Times New Roman" w:hAnsi="Courier New" w:cs="Courier New"/>
                <w:b/>
                <w:bCs/>
                <w:color w:val="151619"/>
                <w:sz w:val="20"/>
                <w:szCs w:val="20"/>
                <w:bdr w:val="none" w:sz="0" w:space="0" w:color="auto" w:frame="1"/>
              </w:rPr>
              <w:t> value</w:t>
            </w:r>
            <w:r w:rsidRPr="00932291">
              <w:rPr>
                <w:rFonts w:ascii="Courier New" w:eastAsia="Times New Roman" w:hAnsi="Courier New" w:cs="Courier New"/>
                <w:b/>
                <w:bCs/>
                <w:color w:val="339933"/>
                <w:sz w:val="20"/>
                <w:szCs w:val="20"/>
                <w:bdr w:val="none" w:sz="0" w:space="0" w:color="auto" w:frame="1"/>
              </w:rPr>
              <w:t>=</w:t>
            </w:r>
            <w:r w:rsidRPr="00932291">
              <w:rPr>
                <w:rFonts w:ascii="Courier New" w:eastAsia="Times New Roman" w:hAnsi="Courier New" w:cs="Courier New"/>
                <w:b/>
                <w:bCs/>
                <w:color w:val="0000FF"/>
                <w:sz w:val="20"/>
                <w:szCs w:val="20"/>
                <w:bdr w:val="none" w:sz="0" w:space="0" w:color="auto" w:frame="1"/>
              </w:rPr>
              <w:t>"500"</w:t>
            </w:r>
            <w:r w:rsidRPr="00932291">
              <w:rPr>
                <w:rFonts w:ascii="Courier New" w:eastAsia="Times New Roman" w:hAnsi="Courier New" w:cs="Courier New"/>
                <w:b/>
                <w:bCs/>
                <w:color w:val="339933"/>
                <w:sz w:val="20"/>
                <w:szCs w:val="20"/>
                <w:bdr w:val="none" w:sz="0" w:space="0" w:color="auto" w:frame="1"/>
              </w:rPr>
              <w:t>/&gt;</w:t>
            </w:r>
          </w:p>
        </w:tc>
        <w:tc>
          <w:tcPr>
            <w:tcW w:w="0" w:type="auto"/>
            <w:shd w:val="clear" w:color="auto" w:fill="FFFFFF"/>
            <w:vAlign w:val="center"/>
            <w:hideMark/>
          </w:tcPr>
          <w:p w14:paraId="104B7F4F" w14:textId="77777777" w:rsidR="00932291" w:rsidRPr="00932291" w:rsidRDefault="00932291" w:rsidP="00932291">
            <w:pPr>
              <w:spacing w:after="0" w:line="240" w:lineRule="auto"/>
              <w:rPr>
                <w:rFonts w:ascii="Open Sans" w:eastAsia="Times New Roman" w:hAnsi="Open Sans" w:cs="Open Sans"/>
                <w:color w:val="151619"/>
                <w:sz w:val="25"/>
                <w:szCs w:val="25"/>
              </w:rPr>
            </w:pPr>
            <w:r w:rsidRPr="00932291">
              <w:rPr>
                <w:rFonts w:ascii="Open Sans" w:eastAsia="Times New Roman" w:hAnsi="Open Sans" w:cs="Open Sans"/>
                <w:color w:val="151619"/>
                <w:sz w:val="25"/>
                <w:szCs w:val="25"/>
              </w:rPr>
              <w:t>None</w:t>
            </w:r>
          </w:p>
        </w:tc>
        <w:tc>
          <w:tcPr>
            <w:tcW w:w="0" w:type="auto"/>
            <w:shd w:val="clear" w:color="auto" w:fill="FFFFFF"/>
            <w:vAlign w:val="center"/>
            <w:hideMark/>
          </w:tcPr>
          <w:p w14:paraId="3B5FA35C" w14:textId="77777777" w:rsidR="00932291" w:rsidRPr="00932291" w:rsidRDefault="00932291" w:rsidP="00932291">
            <w:pPr>
              <w:spacing w:after="0" w:line="240" w:lineRule="auto"/>
              <w:rPr>
                <w:rFonts w:ascii="Open Sans" w:eastAsia="Times New Roman" w:hAnsi="Open Sans" w:cs="Open Sans"/>
                <w:color w:val="151619"/>
                <w:sz w:val="25"/>
                <w:szCs w:val="25"/>
              </w:rPr>
            </w:pPr>
            <w:r w:rsidRPr="00932291">
              <w:rPr>
                <w:rFonts w:ascii="Open Sans" w:eastAsia="Times New Roman" w:hAnsi="Open Sans" w:cs="Open Sans"/>
                <w:color w:val="151619"/>
                <w:sz w:val="25"/>
                <w:szCs w:val="25"/>
              </w:rPr>
              <w:t>The amount of time after which the generated ID is persisted. The default is 500 milliseconds.</w:t>
            </w:r>
          </w:p>
        </w:tc>
      </w:tr>
      <w:tr w:rsidR="00932291" w:rsidRPr="00932291" w14:paraId="2D5E16EC" w14:textId="77777777" w:rsidTr="00932291">
        <w:tc>
          <w:tcPr>
            <w:tcW w:w="12092" w:type="dxa"/>
            <w:shd w:val="clear" w:color="auto" w:fill="FFFFFF"/>
            <w:vAlign w:val="center"/>
            <w:hideMark/>
          </w:tcPr>
          <w:p w14:paraId="3E588E88" w14:textId="77777777" w:rsidR="00932291" w:rsidRPr="00932291" w:rsidRDefault="00932291" w:rsidP="00932291">
            <w:pPr>
              <w:spacing w:after="0" w:line="240" w:lineRule="auto"/>
              <w:rPr>
                <w:rFonts w:ascii="Open Sans" w:eastAsia="Times New Roman" w:hAnsi="Open Sans" w:cs="Open Sans"/>
                <w:color w:val="151619"/>
                <w:sz w:val="25"/>
                <w:szCs w:val="25"/>
              </w:rPr>
            </w:pPr>
            <w:r w:rsidRPr="00932291">
              <w:rPr>
                <w:rFonts w:ascii="Courier New" w:eastAsia="Times New Roman" w:hAnsi="Courier New" w:cs="Courier New"/>
                <w:b/>
                <w:bCs/>
                <w:color w:val="339933"/>
                <w:sz w:val="20"/>
                <w:szCs w:val="20"/>
                <w:bdr w:val="none" w:sz="0" w:space="0" w:color="auto" w:frame="1"/>
              </w:rPr>
              <w:t>&lt;</w:t>
            </w:r>
            <w:r w:rsidRPr="00932291">
              <w:rPr>
                <w:rFonts w:ascii="Courier New" w:eastAsia="Times New Roman" w:hAnsi="Courier New" w:cs="Courier New"/>
                <w:b/>
                <w:bCs/>
                <w:color w:val="151619"/>
                <w:sz w:val="20"/>
                <w:szCs w:val="20"/>
                <w:bdr w:val="none" w:sz="0" w:space="0" w:color="auto" w:frame="1"/>
              </w:rPr>
              <w:t>env name</w:t>
            </w:r>
            <w:r w:rsidRPr="00932291">
              <w:rPr>
                <w:rFonts w:ascii="Courier New" w:eastAsia="Times New Roman" w:hAnsi="Courier New" w:cs="Courier New"/>
                <w:b/>
                <w:bCs/>
                <w:color w:val="339933"/>
                <w:sz w:val="20"/>
                <w:szCs w:val="20"/>
                <w:bdr w:val="none" w:sz="0" w:space="0" w:color="auto" w:frame="1"/>
              </w:rPr>
              <w:t>=</w:t>
            </w:r>
            <w:r w:rsidRPr="00932291">
              <w:rPr>
                <w:rFonts w:ascii="Courier New" w:eastAsia="Times New Roman" w:hAnsi="Courier New" w:cs="Courier New"/>
                <w:b/>
                <w:bCs/>
                <w:color w:val="0000FF"/>
                <w:sz w:val="20"/>
                <w:szCs w:val="20"/>
                <w:bdr w:val="none" w:sz="0" w:space="0" w:color="auto" w:frame="1"/>
              </w:rPr>
              <w:t>"</w:t>
            </w:r>
            <w:proofErr w:type="spellStart"/>
            <w:r w:rsidRPr="00932291">
              <w:rPr>
                <w:rFonts w:ascii="Courier New" w:eastAsia="Times New Roman" w:hAnsi="Courier New" w:cs="Courier New"/>
                <w:b/>
                <w:bCs/>
                <w:color w:val="0000FF"/>
                <w:sz w:val="20"/>
                <w:szCs w:val="20"/>
                <w:bdr w:val="none" w:sz="0" w:space="0" w:color="auto" w:frame="1"/>
              </w:rPr>
              <w:t>pega</w:t>
            </w:r>
            <w:proofErr w:type="spellEnd"/>
            <w:r w:rsidRPr="00932291">
              <w:rPr>
                <w:rFonts w:ascii="Courier New" w:eastAsia="Times New Roman" w:hAnsi="Courier New" w:cs="Courier New"/>
                <w:b/>
                <w:bCs/>
                <w:color w:val="0000FF"/>
                <w:sz w:val="20"/>
                <w:szCs w:val="20"/>
                <w:bdr w:val="none" w:sz="0" w:space="0" w:color="auto" w:frame="1"/>
              </w:rPr>
              <w:t>/</w:t>
            </w:r>
            <w:proofErr w:type="spellStart"/>
            <w:r w:rsidRPr="00932291">
              <w:rPr>
                <w:rFonts w:ascii="Courier New" w:eastAsia="Times New Roman" w:hAnsi="Courier New" w:cs="Courier New"/>
                <w:b/>
                <w:bCs/>
                <w:color w:val="0000FF"/>
                <w:sz w:val="20"/>
                <w:szCs w:val="20"/>
                <w:bdr w:val="none" w:sz="0" w:space="0" w:color="auto" w:frame="1"/>
              </w:rPr>
              <w:t>sequenceid</w:t>
            </w:r>
            <w:proofErr w:type="spellEnd"/>
            <w:r w:rsidRPr="00932291">
              <w:rPr>
                <w:rFonts w:ascii="Courier New" w:eastAsia="Times New Roman" w:hAnsi="Courier New" w:cs="Courier New"/>
                <w:b/>
                <w:bCs/>
                <w:color w:val="0000FF"/>
                <w:sz w:val="20"/>
                <w:szCs w:val="20"/>
                <w:bdr w:val="none" w:sz="0" w:space="0" w:color="auto" w:frame="1"/>
              </w:rPr>
              <w:t>/</w:t>
            </w:r>
            <w:proofErr w:type="spellStart"/>
            <w:r w:rsidRPr="00932291">
              <w:rPr>
                <w:rFonts w:ascii="Courier New" w:eastAsia="Times New Roman" w:hAnsi="Courier New" w:cs="Courier New"/>
                <w:b/>
                <w:bCs/>
                <w:color w:val="0000FF"/>
                <w:sz w:val="20"/>
                <w:szCs w:val="20"/>
                <w:bdr w:val="none" w:sz="0" w:space="0" w:color="auto" w:frame="1"/>
              </w:rPr>
              <w:t>shouldretry</w:t>
            </w:r>
            <w:proofErr w:type="spellEnd"/>
            <w:r w:rsidRPr="00932291">
              <w:rPr>
                <w:rFonts w:ascii="Courier New" w:eastAsia="Times New Roman" w:hAnsi="Courier New" w:cs="Courier New"/>
                <w:b/>
                <w:bCs/>
                <w:color w:val="0000FF"/>
                <w:sz w:val="20"/>
                <w:szCs w:val="20"/>
                <w:bdr w:val="none" w:sz="0" w:space="0" w:color="auto" w:frame="1"/>
              </w:rPr>
              <w:t>"</w:t>
            </w:r>
            <w:r w:rsidRPr="00932291">
              <w:rPr>
                <w:rFonts w:ascii="Courier New" w:eastAsia="Times New Roman" w:hAnsi="Courier New" w:cs="Courier New"/>
                <w:b/>
                <w:bCs/>
                <w:color w:val="151619"/>
                <w:sz w:val="20"/>
                <w:szCs w:val="20"/>
                <w:bdr w:val="none" w:sz="0" w:space="0" w:color="auto" w:frame="1"/>
              </w:rPr>
              <w:t> value</w:t>
            </w:r>
            <w:r w:rsidRPr="00932291">
              <w:rPr>
                <w:rFonts w:ascii="Courier New" w:eastAsia="Times New Roman" w:hAnsi="Courier New" w:cs="Courier New"/>
                <w:b/>
                <w:bCs/>
                <w:color w:val="339933"/>
                <w:sz w:val="20"/>
                <w:szCs w:val="20"/>
                <w:bdr w:val="none" w:sz="0" w:space="0" w:color="auto" w:frame="1"/>
              </w:rPr>
              <w:t>=</w:t>
            </w:r>
            <w:r w:rsidRPr="00932291">
              <w:rPr>
                <w:rFonts w:ascii="Courier New" w:eastAsia="Times New Roman" w:hAnsi="Courier New" w:cs="Courier New"/>
                <w:b/>
                <w:bCs/>
                <w:color w:val="0000FF"/>
                <w:sz w:val="20"/>
                <w:szCs w:val="20"/>
                <w:bdr w:val="none" w:sz="0" w:space="0" w:color="auto" w:frame="1"/>
              </w:rPr>
              <w:t>"true"</w:t>
            </w:r>
            <w:r w:rsidRPr="00932291">
              <w:rPr>
                <w:rFonts w:ascii="Courier New" w:eastAsia="Times New Roman" w:hAnsi="Courier New" w:cs="Courier New"/>
                <w:b/>
                <w:bCs/>
                <w:color w:val="339933"/>
                <w:sz w:val="20"/>
                <w:szCs w:val="20"/>
                <w:bdr w:val="none" w:sz="0" w:space="0" w:color="auto" w:frame="1"/>
              </w:rPr>
              <w:t>/&gt;</w:t>
            </w:r>
          </w:p>
        </w:tc>
        <w:tc>
          <w:tcPr>
            <w:tcW w:w="0" w:type="auto"/>
            <w:shd w:val="clear" w:color="auto" w:fill="FFFFFF"/>
            <w:vAlign w:val="center"/>
            <w:hideMark/>
          </w:tcPr>
          <w:p w14:paraId="6660BAEA" w14:textId="77777777" w:rsidR="00932291" w:rsidRPr="00932291" w:rsidRDefault="00932291" w:rsidP="00932291">
            <w:pPr>
              <w:spacing w:after="0" w:line="240" w:lineRule="auto"/>
              <w:rPr>
                <w:rFonts w:ascii="Open Sans" w:eastAsia="Times New Roman" w:hAnsi="Open Sans" w:cs="Open Sans"/>
                <w:color w:val="151619"/>
                <w:sz w:val="25"/>
                <w:szCs w:val="25"/>
              </w:rPr>
            </w:pPr>
            <w:r w:rsidRPr="00932291">
              <w:rPr>
                <w:rFonts w:ascii="Open Sans" w:eastAsia="Times New Roman" w:hAnsi="Open Sans" w:cs="Open Sans"/>
                <w:color w:val="151619"/>
                <w:sz w:val="25"/>
                <w:szCs w:val="25"/>
              </w:rPr>
              <w:t>None</w:t>
            </w:r>
          </w:p>
        </w:tc>
        <w:tc>
          <w:tcPr>
            <w:tcW w:w="0" w:type="auto"/>
            <w:shd w:val="clear" w:color="auto" w:fill="FFFFFF"/>
            <w:vAlign w:val="center"/>
            <w:hideMark/>
          </w:tcPr>
          <w:p w14:paraId="27EF9619" w14:textId="77777777" w:rsidR="00932291" w:rsidRPr="00932291" w:rsidRDefault="00932291" w:rsidP="00932291">
            <w:pPr>
              <w:spacing w:after="0" w:line="240" w:lineRule="auto"/>
              <w:rPr>
                <w:rFonts w:ascii="Open Sans" w:eastAsia="Times New Roman" w:hAnsi="Open Sans" w:cs="Open Sans"/>
                <w:color w:val="151619"/>
                <w:sz w:val="25"/>
                <w:szCs w:val="25"/>
              </w:rPr>
            </w:pPr>
            <w:r w:rsidRPr="00932291">
              <w:rPr>
                <w:rFonts w:ascii="Open Sans" w:eastAsia="Times New Roman" w:hAnsi="Open Sans" w:cs="Open Sans"/>
                <w:color w:val="151619"/>
                <w:sz w:val="25"/>
                <w:szCs w:val="25"/>
              </w:rPr>
              <w:t>Indicates whether to retry ID generation if ID generation failed because of a database update error. The default is true.</w:t>
            </w:r>
          </w:p>
        </w:tc>
      </w:tr>
      <w:tr w:rsidR="00932291" w:rsidRPr="00932291" w14:paraId="78DDF95E" w14:textId="77777777" w:rsidTr="00932291">
        <w:tc>
          <w:tcPr>
            <w:tcW w:w="12092" w:type="dxa"/>
            <w:shd w:val="clear" w:color="auto" w:fill="FFFFFF"/>
            <w:vAlign w:val="center"/>
            <w:hideMark/>
          </w:tcPr>
          <w:p w14:paraId="0DA22D69" w14:textId="77777777" w:rsidR="00932291" w:rsidRPr="00932291" w:rsidRDefault="00932291" w:rsidP="00932291">
            <w:pPr>
              <w:spacing w:after="0" w:line="240" w:lineRule="auto"/>
              <w:rPr>
                <w:rFonts w:ascii="Open Sans" w:eastAsia="Times New Roman" w:hAnsi="Open Sans" w:cs="Open Sans"/>
                <w:color w:val="151619"/>
                <w:sz w:val="25"/>
                <w:szCs w:val="25"/>
              </w:rPr>
            </w:pPr>
            <w:r w:rsidRPr="00932291">
              <w:rPr>
                <w:rFonts w:ascii="Courier New" w:eastAsia="Times New Roman" w:hAnsi="Courier New" w:cs="Courier New"/>
                <w:b/>
                <w:bCs/>
                <w:color w:val="339933"/>
                <w:sz w:val="20"/>
                <w:szCs w:val="20"/>
                <w:bdr w:val="none" w:sz="0" w:space="0" w:color="auto" w:frame="1"/>
              </w:rPr>
              <w:t>&lt;</w:t>
            </w:r>
            <w:r w:rsidRPr="00932291">
              <w:rPr>
                <w:rFonts w:ascii="Courier New" w:eastAsia="Times New Roman" w:hAnsi="Courier New" w:cs="Courier New"/>
                <w:b/>
                <w:bCs/>
                <w:color w:val="151619"/>
                <w:sz w:val="20"/>
                <w:szCs w:val="20"/>
                <w:bdr w:val="none" w:sz="0" w:space="0" w:color="auto" w:frame="1"/>
              </w:rPr>
              <w:t>env name</w:t>
            </w:r>
            <w:r w:rsidRPr="00932291">
              <w:rPr>
                <w:rFonts w:ascii="Courier New" w:eastAsia="Times New Roman" w:hAnsi="Courier New" w:cs="Courier New"/>
                <w:b/>
                <w:bCs/>
                <w:color w:val="339933"/>
                <w:sz w:val="20"/>
                <w:szCs w:val="20"/>
                <w:bdr w:val="none" w:sz="0" w:space="0" w:color="auto" w:frame="1"/>
              </w:rPr>
              <w:t>=</w:t>
            </w:r>
            <w:r w:rsidRPr="00932291">
              <w:rPr>
                <w:rFonts w:ascii="Courier New" w:eastAsia="Times New Roman" w:hAnsi="Courier New" w:cs="Courier New"/>
                <w:b/>
                <w:bCs/>
                <w:color w:val="0000FF"/>
                <w:sz w:val="20"/>
                <w:szCs w:val="20"/>
                <w:bdr w:val="none" w:sz="0" w:space="0" w:color="auto" w:frame="1"/>
              </w:rPr>
              <w:t>"database/databases/customUniqueIDproc"</w:t>
            </w:r>
            <w:r w:rsidRPr="00932291">
              <w:rPr>
                <w:rFonts w:ascii="Courier New" w:eastAsia="Times New Roman" w:hAnsi="Courier New" w:cs="Courier New"/>
                <w:b/>
                <w:bCs/>
                <w:color w:val="151619"/>
                <w:sz w:val="20"/>
                <w:szCs w:val="20"/>
                <w:bdr w:val="none" w:sz="0" w:space="0" w:color="auto" w:frame="1"/>
              </w:rPr>
              <w:t>value</w:t>
            </w:r>
            <w:r w:rsidRPr="00932291">
              <w:rPr>
                <w:rFonts w:ascii="Courier New" w:eastAsia="Times New Roman" w:hAnsi="Courier New" w:cs="Courier New"/>
                <w:b/>
                <w:bCs/>
                <w:color w:val="339933"/>
                <w:sz w:val="20"/>
                <w:szCs w:val="20"/>
                <w:bdr w:val="none" w:sz="0" w:space="0" w:color="auto" w:frame="1"/>
              </w:rPr>
              <w:t>=</w:t>
            </w:r>
            <w:r w:rsidRPr="00932291">
              <w:rPr>
                <w:rFonts w:ascii="Courier New" w:eastAsia="Times New Roman" w:hAnsi="Courier New" w:cs="Courier New"/>
                <w:b/>
                <w:bCs/>
                <w:color w:val="0000FF"/>
                <w:sz w:val="20"/>
                <w:szCs w:val="20"/>
                <w:bdr w:val="none" w:sz="0" w:space="0" w:color="auto" w:frame="1"/>
              </w:rPr>
              <w:t>"sppc_data_uniqueid_custom"</w:t>
            </w:r>
            <w:r w:rsidRPr="00932291">
              <w:rPr>
                <w:rFonts w:ascii="Courier New" w:eastAsia="Times New Roman" w:hAnsi="Courier New" w:cs="Courier New"/>
                <w:b/>
                <w:bCs/>
                <w:color w:val="339933"/>
                <w:sz w:val="20"/>
                <w:szCs w:val="20"/>
                <w:bdr w:val="none" w:sz="0" w:space="0" w:color="auto" w:frame="1"/>
              </w:rPr>
              <w:t>/&gt;</w:t>
            </w:r>
          </w:p>
        </w:tc>
        <w:tc>
          <w:tcPr>
            <w:tcW w:w="0" w:type="auto"/>
            <w:shd w:val="clear" w:color="auto" w:fill="FFFFFF"/>
            <w:vAlign w:val="center"/>
            <w:hideMark/>
          </w:tcPr>
          <w:p w14:paraId="21B4C82C" w14:textId="77777777" w:rsidR="00932291" w:rsidRPr="00932291" w:rsidRDefault="00932291" w:rsidP="00932291">
            <w:pPr>
              <w:spacing w:after="0" w:line="240" w:lineRule="auto"/>
              <w:rPr>
                <w:rFonts w:ascii="Open Sans" w:eastAsia="Times New Roman" w:hAnsi="Open Sans" w:cs="Open Sans"/>
                <w:color w:val="151619"/>
                <w:sz w:val="25"/>
                <w:szCs w:val="25"/>
              </w:rPr>
            </w:pPr>
            <w:r w:rsidRPr="00932291">
              <w:rPr>
                <w:rFonts w:ascii="Open Sans" w:eastAsia="Times New Roman" w:hAnsi="Open Sans" w:cs="Open Sans"/>
                <w:color w:val="151619"/>
                <w:sz w:val="25"/>
                <w:szCs w:val="25"/>
              </w:rPr>
              <w:t>None</w:t>
            </w:r>
          </w:p>
        </w:tc>
        <w:tc>
          <w:tcPr>
            <w:tcW w:w="0" w:type="auto"/>
            <w:shd w:val="clear" w:color="auto" w:fill="FFFFFF"/>
            <w:vAlign w:val="center"/>
            <w:hideMark/>
          </w:tcPr>
          <w:p w14:paraId="2F700E36" w14:textId="77777777" w:rsidR="00932291" w:rsidRPr="00932291" w:rsidRDefault="00932291" w:rsidP="00932291">
            <w:pPr>
              <w:spacing w:after="0" w:line="240" w:lineRule="auto"/>
              <w:rPr>
                <w:rFonts w:ascii="Open Sans" w:eastAsia="Times New Roman" w:hAnsi="Open Sans" w:cs="Open Sans"/>
                <w:color w:val="151619"/>
                <w:sz w:val="25"/>
                <w:szCs w:val="25"/>
              </w:rPr>
            </w:pPr>
            <w:r w:rsidRPr="00932291">
              <w:rPr>
                <w:rFonts w:ascii="Open Sans" w:eastAsia="Times New Roman" w:hAnsi="Open Sans" w:cs="Open Sans"/>
                <w:color w:val="151619"/>
                <w:sz w:val="25"/>
                <w:szCs w:val="25"/>
              </w:rPr>
              <w:t xml:space="preserve">For Postgres only, set the value of </w:t>
            </w:r>
            <w:proofErr w:type="spellStart"/>
            <w:r w:rsidRPr="00932291">
              <w:rPr>
                <w:rFonts w:ascii="Open Sans" w:eastAsia="Times New Roman" w:hAnsi="Open Sans" w:cs="Open Sans"/>
                <w:color w:val="151619"/>
                <w:sz w:val="25"/>
                <w:szCs w:val="25"/>
              </w:rPr>
              <w:t>sppc_data_uniqueid_custom</w:t>
            </w:r>
            <w:proofErr w:type="spellEnd"/>
            <w:r w:rsidRPr="00932291">
              <w:rPr>
                <w:rFonts w:ascii="Open Sans" w:eastAsia="Times New Roman" w:hAnsi="Open Sans" w:cs="Open Sans"/>
                <w:color w:val="151619"/>
                <w:sz w:val="25"/>
                <w:szCs w:val="25"/>
              </w:rPr>
              <w:t xml:space="preserve"> to the name of your stored procedure that generates unique IDs. In addition, set the </w:t>
            </w:r>
            <w:proofErr w:type="spellStart"/>
            <w:r w:rsidRPr="00932291">
              <w:rPr>
                <w:rFonts w:ascii="Courier New" w:eastAsia="Times New Roman" w:hAnsi="Courier New" w:cs="Courier New"/>
                <w:b/>
                <w:bCs/>
                <w:color w:val="151619"/>
                <w:sz w:val="20"/>
                <w:szCs w:val="20"/>
                <w:bdr w:val="none" w:sz="0" w:space="0" w:color="auto" w:frame="1"/>
              </w:rPr>
              <w:t>pega</w:t>
            </w:r>
            <w:proofErr w:type="spellEnd"/>
            <w:r w:rsidRPr="00932291">
              <w:rPr>
                <w:rFonts w:ascii="Courier New" w:eastAsia="Times New Roman" w:hAnsi="Courier New" w:cs="Courier New"/>
                <w:b/>
                <w:bCs/>
                <w:color w:val="339933"/>
                <w:sz w:val="20"/>
                <w:szCs w:val="20"/>
                <w:bdr w:val="none" w:sz="0" w:space="0" w:color="auto" w:frame="1"/>
              </w:rPr>
              <w:t>/</w:t>
            </w:r>
            <w:proofErr w:type="spellStart"/>
            <w:r w:rsidRPr="00932291">
              <w:rPr>
                <w:rFonts w:ascii="Courier New" w:eastAsia="Times New Roman" w:hAnsi="Courier New" w:cs="Courier New"/>
                <w:b/>
                <w:bCs/>
                <w:color w:val="151619"/>
                <w:sz w:val="20"/>
                <w:szCs w:val="20"/>
                <w:bdr w:val="none" w:sz="0" w:space="0" w:color="auto" w:frame="1"/>
              </w:rPr>
              <w:t>sequenceid</w:t>
            </w:r>
            <w:proofErr w:type="spellEnd"/>
            <w:r w:rsidRPr="00932291">
              <w:rPr>
                <w:rFonts w:ascii="Courier New" w:eastAsia="Times New Roman" w:hAnsi="Courier New" w:cs="Courier New"/>
                <w:b/>
                <w:bCs/>
                <w:color w:val="339933"/>
                <w:sz w:val="20"/>
                <w:szCs w:val="20"/>
                <w:bdr w:val="none" w:sz="0" w:space="0" w:color="auto" w:frame="1"/>
              </w:rPr>
              <w:t>/</w:t>
            </w:r>
            <w:proofErr w:type="spellStart"/>
            <w:r w:rsidRPr="00932291">
              <w:rPr>
                <w:rFonts w:ascii="Courier New" w:eastAsia="Times New Roman" w:hAnsi="Courier New" w:cs="Courier New"/>
                <w:b/>
                <w:bCs/>
                <w:color w:val="151619"/>
                <w:sz w:val="20"/>
                <w:szCs w:val="20"/>
                <w:bdr w:val="none" w:sz="0" w:space="0" w:color="auto" w:frame="1"/>
              </w:rPr>
              <w:t>useOldOOTBIDGenerator</w:t>
            </w:r>
            <w:proofErr w:type="spellEnd"/>
            <w:r w:rsidRPr="00932291">
              <w:rPr>
                <w:rFonts w:ascii="Open Sans" w:eastAsia="Times New Roman" w:hAnsi="Open Sans" w:cs="Open Sans"/>
                <w:color w:val="151619"/>
                <w:sz w:val="25"/>
                <w:szCs w:val="25"/>
              </w:rPr>
              <w:t> setting to true if you are using a custom ID generator.</w:t>
            </w:r>
            <w:r w:rsidRPr="00932291">
              <w:rPr>
                <w:rFonts w:ascii="Open Sans" w:eastAsia="Times New Roman" w:hAnsi="Open Sans" w:cs="Open Sans"/>
                <w:color w:val="151619"/>
                <w:sz w:val="25"/>
                <w:szCs w:val="25"/>
              </w:rPr>
              <w:br/>
              <w:t>On other DBMS platforms, if you are using a custom ID generator, it must already be named "</w:t>
            </w:r>
            <w:proofErr w:type="spellStart"/>
            <w:r w:rsidRPr="00932291">
              <w:rPr>
                <w:rFonts w:ascii="Open Sans" w:eastAsia="Times New Roman" w:hAnsi="Open Sans" w:cs="Open Sans"/>
                <w:color w:val="151619"/>
                <w:sz w:val="25"/>
                <w:szCs w:val="25"/>
              </w:rPr>
              <w:t>sppc_data_uniqueid</w:t>
            </w:r>
            <w:proofErr w:type="spellEnd"/>
            <w:r w:rsidRPr="00932291">
              <w:rPr>
                <w:rFonts w:ascii="Open Sans" w:eastAsia="Times New Roman" w:hAnsi="Open Sans" w:cs="Open Sans"/>
                <w:color w:val="151619"/>
                <w:sz w:val="25"/>
                <w:szCs w:val="25"/>
              </w:rPr>
              <w:t>" to override the default generator, so you do not need to use this setting.</w:t>
            </w:r>
          </w:p>
        </w:tc>
      </w:tr>
    </w:tbl>
    <w:p w14:paraId="79821BED" w14:textId="77777777" w:rsidR="00DD46D9" w:rsidRDefault="00DD46D9"/>
    <w:sectPr w:rsidR="00DD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A8"/>
    <w:rsid w:val="007646A8"/>
    <w:rsid w:val="00932291"/>
    <w:rsid w:val="00DD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0D5E"/>
  <w15:chartTrackingRefBased/>
  <w15:docId w15:val="{870DED10-582C-4DCE-8E83-4887F047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2291"/>
    <w:rPr>
      <w:rFonts w:ascii="Courier New" w:eastAsia="Times New Roman" w:hAnsi="Courier New" w:cs="Courier New"/>
      <w:sz w:val="20"/>
      <w:szCs w:val="20"/>
    </w:rPr>
  </w:style>
  <w:style w:type="character" w:customStyle="1" w:styleId="ui-control-name">
    <w:name w:val="ui-control-name"/>
    <w:basedOn w:val="DefaultParagraphFont"/>
    <w:rsid w:val="00932291"/>
  </w:style>
  <w:style w:type="character" w:customStyle="1" w:styleId="rulename">
    <w:name w:val="rulename"/>
    <w:basedOn w:val="DefaultParagraphFont"/>
    <w:rsid w:val="0093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4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Allampati, Chandrasekhar</dc:creator>
  <cp:keywords/>
  <dc:description/>
  <cp:lastModifiedBy>Allampati, Chandrasekhar</cp:lastModifiedBy>
  <cp:revision>2</cp:revision>
  <dcterms:created xsi:type="dcterms:W3CDTF">2018-08-14T13:58:00Z</dcterms:created>
  <dcterms:modified xsi:type="dcterms:W3CDTF">2018-08-14T14:01:00Z</dcterms:modified>
</cp:coreProperties>
</file>