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Monsoon</w:t>
      </w:r>
      <w:r>
        <w:t xml:space="preserve"> </w:t>
      </w:r>
      <w:r>
        <w:t xml:space="preserve">Forecasting</w:t>
      </w:r>
      <w:r>
        <w:t xml:space="preserve"> </w:t>
      </w:r>
      <w:r>
        <w:t xml:space="preserve">Methodology</w:t>
      </w:r>
      <w:r>
        <w:t xml:space="preserve"> </w:t>
      </w:r>
      <w:r>
        <w:t xml:space="preserve">of</w:t>
      </w:r>
      <w:r>
        <w:t xml:space="preserve"> </w:t>
      </w:r>
      <w:r>
        <w:t xml:space="preserve">the</w:t>
      </w:r>
      <w:r>
        <w:t xml:space="preserve"> </w:t>
      </w:r>
      <w:r>
        <w:t xml:space="preserve">India</w:t>
      </w:r>
      <w:r>
        <w:t xml:space="preserve"> </w:t>
      </w:r>
      <w:r>
        <w:t xml:space="preserve">Meteorological</w:t>
      </w:r>
      <w:r>
        <w:t xml:space="preserve"> </w:t>
      </w:r>
      <w:r>
        <w:t xml:space="preserve">Department:</w:t>
      </w:r>
      <w:r>
        <w:t xml:space="preserve"> </w:t>
      </w:r>
      <w:r>
        <w:t xml:space="preserve">Models</w:t>
      </w:r>
      <w:r>
        <w:t xml:space="preserve"> </w:t>
      </w:r>
      <w:r>
        <w:t xml:space="preserve">and</w:t>
      </w:r>
      <w:r>
        <w:t xml:space="preserve"> </w:t>
      </w:r>
      <w:r>
        <w:t xml:space="preserve">Methods</w:t>
      </w:r>
    </w:p>
    <w:p>
      <w:pPr>
        <w:pStyle w:val="Author"/>
      </w:pPr>
      <w:r>
        <w:t xml:space="preserve">Animesh</w:t>
      </w:r>
    </w:p>
    <w:p>
      <w:pPr>
        <w:pStyle w:val="Date"/>
      </w:pPr>
      <w:r>
        <w:t xml:space="preserve">28</w:t>
      </w:r>
      <w:r>
        <w:t xml:space="preserve"> </w:t>
      </w:r>
      <w:r>
        <w:t xml:space="preserve">October</w:t>
      </w:r>
      <w:r>
        <w:t xml:space="preserve"> </w:t>
      </w:r>
      <w:r>
        <w:t xml:space="preserve">2026</w:t>
      </w:r>
    </w:p>
    <w:bookmarkStart w:id="20" w:name="abstract"/>
    <w:p>
      <w:pPr>
        <w:pStyle w:val="Heading1"/>
      </w:pPr>
      <w:r>
        <w:t xml:space="preserve">Abstract</w:t>
      </w:r>
    </w:p>
    <w:p>
      <w:pPr>
        <w:pStyle w:val="FirstParagraph"/>
      </w:pPr>
      <w:r>
        <w:t xml:space="preserve">The India Meteorological Department (IMD) forecasts the southwest monsoon with a seamless system: statistical and dynamical models for the season, coupled-model ensembles for two to four weeks, and high-resolution numerical weather prediction (NWP) for days. Seasonal rainfall is issued in two stages (mid-April and end of May) as a percentage of the long period average (LPA, 87 cm for 1971–2020), with ±5% and ±4% model error. It comes from two independent systems: the Statistical Ensemble Forecasting System (SEFS) and a Multi-Model Ensemble (MME) of coupled global climate models that includes IMD’s Monsoon Mission Climate Forecast System (MMCFS). This paper describes the methodology of each component: inputs, model formulation, ensemble construction, calibration, products and verification.</w:t>
      </w:r>
    </w:p>
    <w:bookmarkEnd w:id="20"/>
    <w:bookmarkStart w:id="21" w:name="introduction"/>
    <w:p>
      <w:pPr>
        <w:pStyle w:val="Heading1"/>
      </w:pPr>
      <w:r>
        <w:t xml:space="preserve">1. Introduction</w:t>
      </w:r>
    </w:p>
    <w:p>
      <w:pPr>
        <w:pStyle w:val="FirstParagraph"/>
      </w:pPr>
      <w:r>
        <w:t xml:space="preserve">June–September (JJAS) rainfall supplies about 75% of India’s annual rain, and year-to-year swings of ±10% decide kharif output, reservoir storage and power demand. IMD has issued seasonal monsoon forecasts since 1886, when H.F. Blanford used Himalayan snow cover. Methods moved from single regression equations (16-parameter model, 1988) to the ensemble statistical system SEFS (2007), the coupled dynamical model MMCFS (operational 2017, from the Monsoon Mission launched in 2012) and, since 2021, a combined statistical–dynamical strategy with monthly and regional outlooks.</w:t>
      </w:r>
    </w:p>
    <w:p>
      <w:pPr>
        <w:pStyle w:val="BodyText"/>
      </w:pPr>
      <w:r>
        <w:t xml:space="preserve">The paper covers the forecast products and the methods that produce them, from long range to short range. Results of individual seasons are mentioned only to illustrate the method.</w:t>
      </w:r>
    </w:p>
    <w:bookmarkEnd w:id="21"/>
    <w:bookmarkStart w:id="22" w:name="forecasting-framework"/>
    <w:p>
      <w:pPr>
        <w:pStyle w:val="Heading1"/>
      </w:pPr>
      <w:r>
        <w:t xml:space="preserve">2. Forecasting framework</w:t>
      </w:r>
    </w:p>
    <w:p>
      <w:pPr>
        <w:pStyle w:val="FirstParagraph"/>
      </w:pPr>
      <w:r>
        <w:t xml:space="preserve">IMD uses a different model family at each lead time, all fed by one observation and data-assimilation backbone shared with NCMRWF, IITM Pune and INCOIS. As lead time grows, the forecast moves from deterministic detail (where and when it rains) to probabilities of the season being above or below normal.</w:t>
      </w:r>
    </w:p>
    <w:p>
      <w:pPr>
        <w:pStyle w:val="TableCaption"/>
      </w:pPr>
      <w:r>
        <w:t xml:space="preserve">Table 1. Forecast time scales, models and products.</w:t>
      </w:r>
    </w:p>
    <w:tbl>
      <w:tblPr>
        <w:tblStyle w:val="Table"/>
        <w:tblW w:type="pct" w:w="5000"/>
        <w:tblLook w:firstRow="1" w:lastRow="0" w:firstColumn="0" w:lastColumn="0" w:noHBand="0" w:noVBand="0" w:val="0020"/>
        <w:jc w:val="start"/>
        <w:tblCaption w:val="Table 1. Forecast time scales, models and products."/>
        <w:tblBorders>
          <w:top w:val="single" w:sz="4" w:color="B7C7CB"/>
          <w:left w:val="single" w:sz="4" w:color="B7C7CB"/>
          <w:bottom w:val="single" w:sz="4" w:color="B7C7CB"/>
          <w:right w:val="single" w:sz="4" w:color="B7C7CB"/>
          <w:insideH w:val="single" w:sz="4" w:color="B7C7CB"/>
          <w:insideV w:val="single" w:sz="4" w:color="B7C7CB"/>
        </w:tblBorders>
      </w:tblPr>
      <w:tblGrid>
        <w:gridCol w:w="1980"/>
        <w:gridCol w:w="1980"/>
        <w:gridCol w:w="1980"/>
        <w:gridCol w:w="1980"/>
      </w:tblGrid>
      <w:tr>
        <w:trPr>
          <w:tblHeader w:val="true"/>
        </w:trPr>
        <w:tc>
          <w:tcPr>
            <w:shd w:val="clear" w:color="auto" w:fill="0E3B43"/>
          </w:tcPr>
          <w:p>
            <w:pPr>
              <w:pStyle w:val="Compact"/>
              <w:jc w:val="left"/>
            </w:pPr>
            <w:r>
              <w:rPr>
                <w:b/>
                <w:color w:val="FFFFFF"/>
                <w:sz w:val="20"/>
              </w:rPr>
              <w:t xml:space="preserve">Time scale</w:t>
            </w:r>
          </w:p>
        </w:tc>
        <w:tc>
          <w:tcPr>
            <w:shd w:val="clear" w:color="auto" w:fill="0E3B43"/>
          </w:tcPr>
          <w:p>
            <w:pPr>
              <w:pStyle w:val="Compact"/>
              <w:jc w:val="left"/>
            </w:pPr>
            <w:r>
              <w:rPr>
                <w:b/>
                <w:color w:val="FFFFFF"/>
                <w:sz w:val="20"/>
              </w:rPr>
              <w:t xml:space="preserve">Lead time</w:t>
            </w:r>
          </w:p>
        </w:tc>
        <w:tc>
          <w:tcPr>
            <w:shd w:val="clear" w:color="auto" w:fill="0E3B43"/>
          </w:tcPr>
          <w:p>
            <w:pPr>
              <w:pStyle w:val="Compact"/>
              <w:jc w:val="left"/>
            </w:pPr>
            <w:r>
              <w:rPr>
                <w:b/>
                <w:color w:val="FFFFFF"/>
                <w:sz w:val="20"/>
              </w:rPr>
              <w:t xml:space="preserve">Main models / method</w:t>
            </w:r>
          </w:p>
        </w:tc>
        <w:tc>
          <w:tcPr>
            <w:shd w:val="clear" w:color="auto" w:fill="0E3B43"/>
          </w:tcPr>
          <w:p>
            <w:pPr>
              <w:pStyle w:val="Compact"/>
              <w:jc w:val="left"/>
            </w:pPr>
            <w:r>
              <w:rPr>
                <w:b/>
                <w:color w:val="FFFFFF"/>
                <w:sz w:val="20"/>
              </w:rPr>
              <w:t xml:space="preserve">Main products</w:t>
            </w:r>
          </w:p>
        </w:tc>
      </w:tr>
      <w:tr>
        <w:tc>
          <w:tcPr/>
          <w:p>
            <w:pPr>
              <w:pStyle w:val="Compact"/>
              <w:jc w:val="left"/>
            </w:pPr>
            <w:r>
              <w:rPr>
                <w:sz w:val="20"/>
              </w:rPr>
              <w:t xml:space="preserve">Long range</w:t>
            </w:r>
          </w:p>
        </w:tc>
        <w:tc>
          <w:tcPr/>
          <w:p>
            <w:pPr>
              <w:pStyle w:val="Compact"/>
              <w:jc w:val="left"/>
            </w:pPr>
            <w:r>
              <w:rPr>
                <w:sz w:val="20"/>
              </w:rPr>
              <w:t xml:space="preserve">Season, month</w:t>
            </w:r>
          </w:p>
        </w:tc>
        <w:tc>
          <w:tcPr/>
          <w:p>
            <w:pPr>
              <w:pStyle w:val="Compact"/>
              <w:jc w:val="left"/>
            </w:pPr>
            <w:r>
              <w:rPr>
                <w:sz w:val="20"/>
              </w:rPr>
              <w:t xml:space="preserve">SEFS (statistical); MME of coupled GCMs incl. MMCFS</w:t>
            </w:r>
          </w:p>
        </w:tc>
        <w:tc>
          <w:tcPr/>
          <w:p>
            <w:pPr>
              <w:pStyle w:val="Compact"/>
              <w:jc w:val="left"/>
            </w:pPr>
            <w:r>
              <w:rPr>
                <w:sz w:val="20"/>
              </w:rPr>
              <w:t xml:space="preserve">All-India JJAS % of LPA ± error; category probabilities; regional, monthly and spatial outlooks</w:t>
            </w:r>
          </w:p>
        </w:tc>
      </w:tr>
      <w:tr>
        <w:tc>
          <w:tcPr/>
          <w:p>
            <w:pPr>
              <w:pStyle w:val="Compact"/>
              <w:jc w:val="left"/>
            </w:pPr>
            <w:r>
              <w:rPr>
                <w:sz w:val="20"/>
              </w:rPr>
              <w:t xml:space="preserve">Onset</w:t>
            </w:r>
          </w:p>
        </w:tc>
        <w:tc>
          <w:tcPr/>
          <w:p>
            <w:pPr>
              <w:pStyle w:val="Compact"/>
              <w:jc w:val="left"/>
            </w:pPr>
            <w:r>
              <w:rPr>
                <w:sz w:val="20"/>
              </w:rPr>
              <w:t xml:space="preserve">~2 weeks ahead</w:t>
            </w:r>
          </w:p>
        </w:tc>
        <w:tc>
          <w:tcPr/>
          <w:p>
            <w:pPr>
              <w:pStyle w:val="Compact"/>
              <w:jc w:val="left"/>
            </w:pPr>
            <w:r>
              <w:rPr>
                <w:sz w:val="20"/>
              </w:rPr>
              <w:t xml:space="preserve">6-predictor statistical model</w:t>
            </w:r>
          </w:p>
        </w:tc>
        <w:tc>
          <w:tcPr/>
          <w:p>
            <w:pPr>
              <w:pStyle w:val="Compact"/>
              <w:jc w:val="left"/>
            </w:pPr>
            <w:r>
              <w:rPr>
                <w:sz w:val="20"/>
              </w:rPr>
              <w:t xml:space="preserve">Onset date over Kerala ±4 days</w:t>
            </w:r>
          </w:p>
        </w:tc>
      </w:tr>
      <w:tr>
        <w:tc>
          <w:tcPr/>
          <w:p>
            <w:pPr>
              <w:pStyle w:val="Compact"/>
              <w:jc w:val="left"/>
            </w:pPr>
            <w:r>
              <w:rPr>
                <w:sz w:val="20"/>
              </w:rPr>
              <w:t xml:space="preserve">Extended range</w:t>
            </w:r>
          </w:p>
        </w:tc>
        <w:tc>
          <w:tcPr/>
          <w:p>
            <w:pPr>
              <w:pStyle w:val="Compact"/>
              <w:jc w:val="left"/>
            </w:pPr>
            <w:r>
              <w:rPr>
                <w:sz w:val="20"/>
              </w:rPr>
              <w:t xml:space="preserve">2–4 weeks</w:t>
            </w:r>
          </w:p>
        </w:tc>
        <w:tc>
          <w:tcPr/>
          <w:p>
            <w:pPr>
              <w:pStyle w:val="Compact"/>
              <w:jc w:val="left"/>
            </w:pPr>
            <w:r>
              <w:rPr>
                <w:sz w:val="20"/>
              </w:rPr>
              <w:t xml:space="preserve">MME ERFS: CFSv2 (T382, T126) and GFSbc</w:t>
            </w:r>
          </w:p>
        </w:tc>
        <w:tc>
          <w:tcPr/>
          <w:p>
            <w:pPr>
              <w:pStyle w:val="Compact"/>
              <w:jc w:val="left"/>
            </w:pPr>
            <w:r>
              <w:rPr>
                <w:sz w:val="20"/>
              </w:rPr>
              <w:t xml:space="preserve">Weekly rainfall and temperature anomalies, active/break spells</w:t>
            </w:r>
          </w:p>
        </w:tc>
      </w:tr>
      <w:tr>
        <w:tc>
          <w:tcPr/>
          <w:p>
            <w:pPr>
              <w:pStyle w:val="Compact"/>
              <w:jc w:val="left"/>
            </w:pPr>
            <w:r>
              <w:rPr>
                <w:sz w:val="20"/>
              </w:rPr>
              <w:t xml:space="preserve">Medium range</w:t>
            </w:r>
          </w:p>
        </w:tc>
        <w:tc>
          <w:tcPr/>
          <w:p>
            <w:pPr>
              <w:pStyle w:val="Compact"/>
              <w:jc w:val="left"/>
            </w:pPr>
            <w:r>
              <w:rPr>
                <w:sz w:val="20"/>
              </w:rPr>
              <w:t xml:space="preserve">3–10 days</w:t>
            </w:r>
          </w:p>
        </w:tc>
        <w:tc>
          <w:tcPr/>
          <w:p>
            <w:pPr>
              <w:pStyle w:val="Compact"/>
              <w:jc w:val="left"/>
            </w:pPr>
            <w:r>
              <w:rPr>
                <w:sz w:val="20"/>
              </w:rPr>
              <w:t xml:space="preserve">GFS T1534, NCUM-G, BFS; GEFS and NEPS-G ensembles</w:t>
            </w:r>
          </w:p>
        </w:tc>
        <w:tc>
          <w:tcPr/>
          <w:p>
            <w:pPr>
              <w:pStyle w:val="Compact"/>
              <w:jc w:val="left"/>
            </w:pPr>
            <w:r>
              <w:rPr>
                <w:sz w:val="20"/>
              </w:rPr>
              <w:t xml:space="preserve">Daily forecasts, heavy-rain probabilities</w:t>
            </w:r>
          </w:p>
        </w:tc>
      </w:tr>
      <w:tr>
        <w:tc>
          <w:tcPr/>
          <w:p>
            <w:pPr>
              <w:pStyle w:val="Compact"/>
              <w:jc w:val="left"/>
            </w:pPr>
            <w:r>
              <w:rPr>
                <w:sz w:val="20"/>
              </w:rPr>
              <w:t xml:space="preserve">Short range</w:t>
            </w:r>
          </w:p>
        </w:tc>
        <w:tc>
          <w:tcPr/>
          <w:p>
            <w:pPr>
              <w:pStyle w:val="Compact"/>
              <w:jc w:val="left"/>
            </w:pPr>
            <w:r>
              <w:rPr>
                <w:sz w:val="20"/>
              </w:rPr>
              <w:t xml:space="preserve">1–3 days</w:t>
            </w:r>
          </w:p>
        </w:tc>
        <w:tc>
          <w:tcPr/>
          <w:p>
            <w:pPr>
              <w:pStyle w:val="Compact"/>
              <w:jc w:val="left"/>
            </w:pPr>
            <w:r>
              <w:rPr>
                <w:sz w:val="20"/>
              </w:rPr>
              <w:t xml:space="preserve">WRF, NCUM-R, HWRF, BFS, bias-corrected MME</w:t>
            </w:r>
          </w:p>
        </w:tc>
        <w:tc>
          <w:tcPr/>
          <w:p>
            <w:pPr>
              <w:pStyle w:val="Compact"/>
              <w:jc w:val="left"/>
            </w:pPr>
            <w:r>
              <w:rPr>
                <w:sz w:val="20"/>
              </w:rPr>
              <w:t xml:space="preserve">District and block forecasts, colour-coded warnings</w:t>
            </w:r>
          </w:p>
        </w:tc>
      </w:tr>
      <w:tr>
        <w:tc>
          <w:tcPr/>
          <w:p>
            <w:pPr>
              <w:pStyle w:val="Compact"/>
              <w:jc w:val="left"/>
            </w:pPr>
            <w:r>
              <w:rPr>
                <w:sz w:val="20"/>
              </w:rPr>
              <w:t xml:space="preserve">Nowcast</w:t>
            </w:r>
          </w:p>
        </w:tc>
        <w:tc>
          <w:tcPr/>
          <w:p>
            <w:pPr>
              <w:pStyle w:val="Compact"/>
              <w:jc w:val="left"/>
            </w:pPr>
            <w:r>
              <w:rPr>
                <w:sz w:val="20"/>
              </w:rPr>
              <w:t xml:space="preserve">0–3 hours</w:t>
            </w:r>
          </w:p>
        </w:tc>
        <w:tc>
          <w:tcPr/>
          <w:p>
            <w:pPr>
              <w:pStyle w:val="Compact"/>
              <w:jc w:val="left"/>
            </w:pPr>
            <w:r>
              <w:rPr>
                <w:sz w:val="20"/>
              </w:rPr>
              <w:t xml:space="preserve">Radar and satellite extrapolation</w:t>
            </w:r>
          </w:p>
        </w:tc>
        <w:tc>
          <w:tcPr/>
          <w:p>
            <w:pPr>
              <w:pStyle w:val="Compact"/>
              <w:jc w:val="left"/>
            </w:pPr>
            <w:r>
              <w:rPr>
                <w:sz w:val="20"/>
              </w:rPr>
              <w:t xml:space="preserve">Thunderstorm, lightning and heavy-rain nowcasts</w:t>
            </w:r>
          </w:p>
        </w:tc>
      </w:tr>
    </w:tbl>
    <w:p>
      <w:pPr>
        <w:pStyle w:val="BodyText"/>
      </w:pPr>
      <w:r>
        <w:t xml:space="preserve">Resolutions and ensemble sizes in later sections are approximate; they change with model upgrades.</w:t>
      </w:r>
    </w:p>
    <w:bookmarkEnd w:id="22"/>
    <w:bookmarkStart w:id="23" w:name="X442b1b7929cca171f3aa0eb9c668a8548698d7b"/>
    <w:p>
      <w:pPr>
        <w:pStyle w:val="Heading1"/>
      </w:pPr>
      <w:r>
        <w:t xml:space="preserve">3. Observations, data assimilation and computing</w:t>
      </w:r>
    </w:p>
    <w:p>
      <w:pPr>
        <w:pStyle w:val="FirstParagraph"/>
      </w:pPr>
      <w:r>
        <w:t xml:space="preserve">Every dynamical forecast starts from an analysis of the current state of the atmosphere, ocean and land. Observations are quality-controlled and blended with a short model forecast (the background) by data assimilation, which minimises a cost function weighting background and observation errors:</w:t>
      </w:r>
    </w:p>
    <w:p>
      <w:pPr>
        <w:pStyle w:val="BodyText"/>
      </w:pPr>
      <m:oMathPara>
        <m:oMathParaPr>
          <m:jc m:val="center"/>
        </m:oMathParaPr>
        <m:oMath>
          <m:r>
            <m:t>J</m:t>
          </m:r>
          <m:d>
            <m:dPr>
              <m:begChr m:val="("/>
              <m:endChr m:val=")"/>
              <m:sepChr m:val=""/>
              <m:grow/>
            </m:dPr>
            <m:e>
              <m:r>
                <m:rPr>
                  <m:sty m:val="b"/>
                </m:rPr>
                <m:t>x</m:t>
              </m:r>
            </m:e>
          </m:d>
          <m:r>
            <m:rPr>
              <m:sty m:val="p"/>
            </m:rPr>
            <m:t>=</m:t>
          </m:r>
          <m:f>
            <m:fPr>
              <m:type m:val="lin"/>
            </m:fPr>
            <m:num>
              <m:r>
                <m:t>1</m:t>
              </m:r>
            </m:num>
            <m:den>
              <m:r>
                <m:t>2</m:t>
              </m:r>
            </m:den>
          </m:f>
          <m:sSup>
            <m:e>
              <m:d>
                <m:dPr>
                  <m:begChr m:val="("/>
                  <m:endChr m:val=")"/>
                  <m:sepChr m:val=""/>
                  <m:grow/>
                </m:dPr>
                <m:e>
                  <m:r>
                    <m:rPr>
                      <m:sty m:val="b"/>
                    </m:rPr>
                    <m:t>x</m:t>
                  </m:r>
                  <m:r>
                    <m:rPr>
                      <m:sty m:val="p"/>
                    </m:rPr>
                    <m:t>−</m:t>
                  </m:r>
                  <m:sSub>
                    <m:e>
                      <m:r>
                        <m:rPr>
                          <m:sty m:val="b"/>
                        </m:rPr>
                        <m:t>x</m:t>
                      </m:r>
                    </m:e>
                    <m:sub>
                      <m:r>
                        <m:t>b</m:t>
                      </m:r>
                    </m:sub>
                  </m:sSub>
                </m:e>
              </m:d>
            </m:e>
            <m:sup>
              <m:r>
                <m:t>T</m:t>
              </m:r>
            </m:sup>
          </m:sSup>
          <m:sSup>
            <m:e>
              <m:r>
                <m:rPr>
                  <m:sty m:val="b"/>
                </m:rPr>
                <m:t>B</m:t>
              </m:r>
            </m:e>
            <m:sup>
              <m:r>
                <m:rPr>
                  <m:sty m:val="p"/>
                </m:rPr>
                <m:t>−</m:t>
              </m:r>
              <m:r>
                <m:t>1</m:t>
              </m:r>
            </m:sup>
          </m:sSup>
          <m:d>
            <m:dPr>
              <m:begChr m:val="("/>
              <m:endChr m:val=")"/>
              <m:sepChr m:val=""/>
              <m:grow/>
            </m:dPr>
            <m:e>
              <m:r>
                <m:rPr>
                  <m:sty m:val="b"/>
                </m:rPr>
                <m:t>x</m:t>
              </m:r>
              <m:r>
                <m:rPr>
                  <m:sty m:val="p"/>
                </m:rPr>
                <m:t>−</m:t>
              </m:r>
              <m:sSub>
                <m:e>
                  <m:r>
                    <m:rPr>
                      <m:sty m:val="b"/>
                    </m:rPr>
                    <m:t>x</m:t>
                  </m:r>
                </m:e>
                <m:sub>
                  <m:r>
                    <m:t>b</m:t>
                  </m:r>
                </m:sub>
              </m:sSub>
            </m:e>
          </m:d>
          <m:r>
            <m:rPr>
              <m:sty m:val="p"/>
            </m:rPr>
            <m:t>+</m:t>
          </m:r>
          <m:f>
            <m:fPr>
              <m:type m:val="lin"/>
            </m:fPr>
            <m:num>
              <m:r>
                <m:t>1</m:t>
              </m:r>
            </m:num>
            <m:den>
              <m:r>
                <m:t>2</m:t>
              </m:r>
            </m:den>
          </m:f>
          <m:r>
            <m:rPr>
              <m:sty m:val="p"/>
            </m:rPr>
            <m:t>(</m:t>
          </m:r>
          <m:r>
            <m:rPr>
              <m:sty m:val="b"/>
            </m:rPr>
            <m:t>y</m:t>
          </m:r>
          <m:r>
            <m:rPr>
              <m:sty m:val="p"/>
            </m:rPr>
            <m:t>−</m:t>
          </m:r>
          <m:r>
            <m:t>H</m:t>
          </m:r>
          <m:d>
            <m:dPr>
              <m:begChr m:val="("/>
              <m:endChr m:val=")"/>
              <m:sepChr m:val=""/>
              <m:grow/>
            </m:dPr>
            <m:e>
              <m:r>
                <m:rPr>
                  <m:sty m:val="b"/>
                </m:rPr>
                <m:t>x</m:t>
              </m:r>
            </m:e>
          </m:d>
          <m:sSup>
            <m:e>
              <m:r>
                <m:rPr>
                  <m:sty m:val="p"/>
                </m:rPr>
                <m:t>)</m:t>
              </m:r>
            </m:e>
            <m:sup>
              <m:r>
                <m:t>T</m:t>
              </m:r>
            </m:sup>
          </m:sSup>
          <m:sSup>
            <m:e>
              <m:r>
                <m:rPr>
                  <m:sty m:val="b"/>
                </m:rPr>
                <m:t>R</m:t>
              </m:r>
            </m:e>
            <m:sup>
              <m:r>
                <m:rPr>
                  <m:sty m:val="p"/>
                </m:rPr>
                <m:t>−</m:t>
              </m:r>
              <m:r>
                <m:t>1</m:t>
              </m:r>
            </m:sup>
          </m:sSup>
          <m:d>
            <m:dPr>
              <m:begChr m:val="("/>
              <m:endChr m:val=")"/>
              <m:sepChr m:val=""/>
              <m:grow/>
            </m:dPr>
            <m:e>
              <m:r>
                <m:rPr>
                  <m:sty m:val="b"/>
                </m:rPr>
                <m:t>y</m:t>
              </m:r>
              <m:r>
                <m:rPr>
                  <m:sty m:val="p"/>
                </m:rPr>
                <m:t>−</m:t>
              </m:r>
              <m:r>
                <m:t>H</m:t>
              </m:r>
              <m:d>
                <m:dPr>
                  <m:begChr m:val="("/>
                  <m:endChr m:val=")"/>
                  <m:sepChr m:val=""/>
                  <m:grow/>
                </m:dPr>
                <m:e>
                  <m:r>
                    <m:rPr>
                      <m:sty m:val="b"/>
                    </m:rPr>
                    <m:t>x</m:t>
                  </m:r>
                </m:e>
              </m:d>
            </m:e>
          </m:d>
        </m:oMath>
      </m:oMathPara>
    </w:p>
    <w:p>
      <w:pPr>
        <w:pStyle w:val="FirstParagraph"/>
      </w:pPr>
      <w:r>
        <w:t xml:space="preserve">Here</w:t>
      </w:r>
      <w:r>
        <w:t xml:space="preserve"> </w:t>
      </w:r>
      <m:oMath>
        <m:r>
          <m:rPr>
            <m:sty m:val="b"/>
          </m:rPr>
          <m:t>x</m:t>
        </m:r>
      </m:oMath>
      <w:r>
        <w:t xml:space="preserve"> </w:t>
      </w:r>
      <w:r>
        <w:t xml:space="preserve">is the model state,</w:t>
      </w:r>
      <w:r>
        <w:t xml:space="preserve"> </w:t>
      </w:r>
      <m:oMath>
        <m:sSub>
          <m:e>
            <m:r>
              <m:rPr>
                <m:sty m:val="b"/>
              </m:rPr>
              <m:t>x</m:t>
            </m:r>
          </m:e>
          <m:sub>
            <m:r>
              <m:t>b</m:t>
            </m:r>
          </m:sub>
        </m:sSub>
      </m:oMath>
      <w:r>
        <w:t xml:space="preserve"> </w:t>
      </w:r>
      <w:r>
        <w:t xml:space="preserve">the background,</w:t>
      </w:r>
      <w:r>
        <w:t xml:space="preserve"> </w:t>
      </w:r>
      <m:oMath>
        <m:r>
          <m:rPr>
            <m:sty m:val="b"/>
          </m:rPr>
          <m:t>y</m:t>
        </m:r>
      </m:oMath>
      <w:r>
        <w:t xml:space="preserve"> </w:t>
      </w:r>
      <w:r>
        <w:t xml:space="preserve">the observations,</w:t>
      </w:r>
      <w:r>
        <w:t xml:space="preserve"> </w:t>
      </w:r>
      <m:oMath>
        <m:r>
          <m:t>H</m:t>
        </m:r>
      </m:oMath>
      <w:r>
        <w:t xml:space="preserve"> </w:t>
      </w:r>
      <w:r>
        <w:t xml:space="preserve">the observation operator, and</w:t>
      </w:r>
      <w:r>
        <w:t xml:space="preserve"> </w:t>
      </w:r>
      <m:oMath>
        <m:r>
          <m:rPr>
            <m:sty m:val="b"/>
          </m:rPr>
          <m:t>B</m:t>
        </m:r>
      </m:oMath>
      <w:r>
        <w:t xml:space="preserve"> </w:t>
      </w:r>
      <w:r>
        <w:t xml:space="preserve">and</w:t>
      </w:r>
      <w:r>
        <w:t xml:space="preserve"> </w:t>
      </w:r>
      <m:oMath>
        <m:r>
          <m:rPr>
            <m:sty m:val="b"/>
          </m:rPr>
          <m:t>R</m:t>
        </m:r>
      </m:oMath>
      <w:r>
        <w:t xml:space="preserve"> </w:t>
      </w:r>
      <w:r>
        <w:t xml:space="preserve">the background and observation error covariances. NCMRWF and IMD run variational and hybrid ensemble–variational (EnVar) schemes for the atmosphere; INCOIS produces the ocean analysis used to start the coupled models.</w:t>
      </w:r>
    </w:p>
    <w:p>
      <w:pPr>
        <w:pStyle w:val="TableCaption"/>
      </w:pPr>
      <w:r>
        <w:t xml:space="preserve">Table 2. Observing systems feeding data assimilation.</w:t>
      </w:r>
    </w:p>
    <w:tbl>
      <w:tblPr>
        <w:tblStyle w:val="Table"/>
        <w:tblW w:type="pct" w:w="5000"/>
        <w:tblLook w:firstRow="1" w:lastRow="0" w:firstColumn="0" w:lastColumn="0" w:noHBand="0" w:noVBand="0" w:val="0020"/>
        <w:jc w:val="start"/>
        <w:tblCaption w:val="Table 2. Observing systems feeding data assimilation."/>
        <w:tblBorders>
          <w:top w:val="single" w:sz="4" w:color="B7C7CB"/>
          <w:left w:val="single" w:sz="4" w:color="B7C7CB"/>
          <w:bottom w:val="single" w:sz="4" w:color="B7C7CB"/>
          <w:right w:val="single" w:sz="4" w:color="B7C7CB"/>
          <w:insideH w:val="single" w:sz="4" w:color="B7C7CB"/>
          <w:insideV w:val="single" w:sz="4" w:color="B7C7CB"/>
        </w:tblBorders>
      </w:tblPr>
      <w:tblGrid>
        <w:gridCol w:w="3960"/>
        <w:gridCol w:w="3960"/>
      </w:tblGrid>
      <w:tr>
        <w:trPr>
          <w:tblHeader w:val="true"/>
        </w:trPr>
        <w:tc>
          <w:tcPr>
            <w:shd w:val="clear" w:color="auto" w:fill="0E3B43"/>
          </w:tcPr>
          <w:p>
            <w:pPr>
              <w:pStyle w:val="Compact"/>
              <w:jc w:val="left"/>
            </w:pPr>
            <w:r>
              <w:rPr>
                <w:b/>
                <w:color w:val="FFFFFF"/>
                <w:sz w:val="20"/>
              </w:rPr>
              <w:t xml:space="preserve">Component</w:t>
            </w:r>
          </w:p>
        </w:tc>
        <w:tc>
          <w:tcPr>
            <w:shd w:val="clear" w:color="auto" w:fill="0E3B43"/>
          </w:tcPr>
          <w:p>
            <w:pPr>
              <w:pStyle w:val="Compact"/>
              <w:jc w:val="left"/>
            </w:pPr>
            <w:r>
              <w:rPr>
                <w:b/>
                <w:color w:val="FFFFFF"/>
                <w:sz w:val="20"/>
              </w:rPr>
              <w:t xml:space="preserve">Observing systems</w:t>
            </w:r>
          </w:p>
        </w:tc>
      </w:tr>
      <w:tr>
        <w:tc>
          <w:tcPr/>
          <w:p>
            <w:pPr>
              <w:pStyle w:val="Compact"/>
              <w:jc w:val="left"/>
            </w:pPr>
            <w:r>
              <w:rPr>
                <w:sz w:val="20"/>
              </w:rPr>
              <w:t xml:space="preserve">Satellite</w:t>
            </w:r>
          </w:p>
        </w:tc>
        <w:tc>
          <w:tcPr/>
          <w:p>
            <w:pPr>
              <w:pStyle w:val="Compact"/>
              <w:jc w:val="left"/>
            </w:pPr>
            <w:r>
              <w:rPr>
                <w:sz w:val="20"/>
              </w:rPr>
              <w:t xml:space="preserve">INSAT-3D/3DR/3DS imagers and sounders; polar-orbiting radiances, winds and scatterometers</w:t>
            </w:r>
          </w:p>
        </w:tc>
      </w:tr>
      <w:tr>
        <w:tc>
          <w:tcPr/>
          <w:p>
            <w:pPr>
              <w:pStyle w:val="Compact"/>
              <w:jc w:val="left"/>
            </w:pPr>
            <w:r>
              <w:rPr>
                <w:sz w:val="20"/>
              </w:rPr>
              <w:t xml:space="preserve">Radar</w:t>
            </w:r>
          </w:p>
        </w:tc>
        <w:tc>
          <w:tcPr/>
          <w:p>
            <w:pPr>
              <w:pStyle w:val="Compact"/>
              <w:jc w:val="left"/>
            </w:pPr>
            <w:r>
              <w:rPr>
                <w:sz w:val="20"/>
              </w:rPr>
              <w:t xml:space="preserve">Doppler weather radar network (reflectivity, radial wind)</w:t>
            </w:r>
          </w:p>
        </w:tc>
      </w:tr>
      <w:tr>
        <w:tc>
          <w:tcPr/>
          <w:p>
            <w:pPr>
              <w:pStyle w:val="Compact"/>
              <w:jc w:val="left"/>
            </w:pPr>
            <w:r>
              <w:rPr>
                <w:sz w:val="20"/>
              </w:rPr>
              <w:t xml:space="preserve">Surface</w:t>
            </w:r>
          </w:p>
        </w:tc>
        <w:tc>
          <w:tcPr/>
          <w:p>
            <w:pPr>
              <w:pStyle w:val="Compact"/>
              <w:jc w:val="left"/>
            </w:pPr>
            <w:r>
              <w:rPr>
                <w:sz w:val="20"/>
              </w:rPr>
              <w:t xml:space="preserve">Observatories, automatic weather stations, rain gauges</w:t>
            </w:r>
          </w:p>
        </w:tc>
      </w:tr>
      <w:tr>
        <w:tc>
          <w:tcPr/>
          <w:p>
            <w:pPr>
              <w:pStyle w:val="Compact"/>
              <w:jc w:val="left"/>
            </w:pPr>
            <w:r>
              <w:rPr>
                <w:sz w:val="20"/>
              </w:rPr>
              <w:t xml:space="preserve">Upper air</w:t>
            </w:r>
          </w:p>
        </w:tc>
        <w:tc>
          <w:tcPr/>
          <w:p>
            <w:pPr>
              <w:pStyle w:val="Compact"/>
              <w:jc w:val="left"/>
            </w:pPr>
            <w:r>
              <w:rPr>
                <w:sz w:val="20"/>
              </w:rPr>
              <w:t xml:space="preserve">Radiosonde, pilot balloon, aircraft (AMDAR)</w:t>
            </w:r>
          </w:p>
        </w:tc>
      </w:tr>
      <w:tr>
        <w:tc>
          <w:tcPr/>
          <w:p>
            <w:pPr>
              <w:pStyle w:val="Compact"/>
              <w:jc w:val="left"/>
            </w:pPr>
            <w:r>
              <w:rPr>
                <w:sz w:val="20"/>
              </w:rPr>
              <w:t xml:space="preserve">Ocean</w:t>
            </w:r>
          </w:p>
        </w:tc>
        <w:tc>
          <w:tcPr/>
          <w:p>
            <w:pPr>
              <w:pStyle w:val="Compact"/>
              <w:jc w:val="left"/>
            </w:pPr>
            <w:r>
              <w:rPr>
                <w:sz w:val="20"/>
              </w:rPr>
              <w:t xml:space="preserve">RAMA and OMNI moored buoys, Argo floats, ships</w:t>
            </w:r>
          </w:p>
        </w:tc>
      </w:tr>
    </w:tbl>
    <w:p>
      <w:pPr>
        <w:pStyle w:val="BodyText"/>
      </w:pPr>
      <w:r>
        <w:t xml:space="preserve">Models run on the Ministry of Earth Sciences supercomputers commissioned in 2024: Arka at IITM Pune (11.77 petaflops) and Arunika at NCMRWF Noida (8.24 petaflops).</w:t>
      </w:r>
    </w:p>
    <w:bookmarkEnd w:id="23"/>
    <w:bookmarkStart w:id="27" w:name="long-range-forecast-methodology"/>
    <w:p>
      <w:pPr>
        <w:pStyle w:val="Heading1"/>
      </w:pPr>
      <w:r>
        <w:t xml:space="preserve">4. Long-range forecast methodology</w:t>
      </w:r>
    </w:p>
    <w:p>
      <w:pPr>
        <w:pStyle w:val="FirstParagraph"/>
      </w:pPr>
      <w:r>
        <w:t xml:space="preserve">The seasonal forecast is issued in two stages and expressed relative to the LPA, the 1971–2020 mean JJAS rainfall of 87 cm (868.6 mm) for India as a whole; the earlier LPA was 88 cm (1961–2010).</w:t>
      </w:r>
    </w:p>
    <w:bookmarkStart w:id="24" w:name="forecast-calendar"/>
    <w:p>
      <w:pPr>
        <w:pStyle w:val="Heading2"/>
      </w:pPr>
      <w:r>
        <w:t xml:space="preserve">4.1 Forecast calendar</w:t>
      </w:r>
    </w:p>
    <w:p>
      <w:pPr>
        <w:pStyle w:val="TableCaption"/>
      </w:pPr>
      <w:r>
        <w:t xml:space="preserve">Table 3. Long-range forecast calendar.</w:t>
      </w:r>
    </w:p>
    <w:tbl>
      <w:tblPr>
        <w:tblStyle w:val="Table"/>
        <w:tblW w:type="pct" w:w="5000"/>
        <w:tblLook w:firstRow="1" w:lastRow="0" w:firstColumn="0" w:lastColumn="0" w:noHBand="0" w:noVBand="0" w:val="0020"/>
        <w:jc w:val="start"/>
        <w:tblCaption w:val="Table 3. Long-range forecast calendar."/>
        <w:tblBorders>
          <w:top w:val="single" w:sz="4" w:color="B7C7CB"/>
          <w:left w:val="single" w:sz="4" w:color="B7C7CB"/>
          <w:bottom w:val="single" w:sz="4" w:color="B7C7CB"/>
          <w:right w:val="single" w:sz="4" w:color="B7C7CB"/>
          <w:insideH w:val="single" w:sz="4" w:color="B7C7CB"/>
          <w:insideV w:val="single" w:sz="4" w:color="B7C7CB"/>
        </w:tblBorders>
      </w:tblPr>
      <w:tblGrid>
        <w:gridCol w:w="3960"/>
        <w:gridCol w:w="3960"/>
      </w:tblGrid>
      <w:tr>
        <w:trPr>
          <w:tblHeader w:val="true"/>
        </w:trPr>
        <w:tc>
          <w:tcPr>
            <w:shd w:val="clear" w:color="auto" w:fill="0E3B43"/>
          </w:tcPr>
          <w:p>
            <w:pPr>
              <w:pStyle w:val="Compact"/>
              <w:jc w:val="left"/>
            </w:pPr>
            <w:r>
              <w:rPr>
                <w:b/>
                <w:color w:val="FFFFFF"/>
                <w:sz w:val="20"/>
              </w:rPr>
              <w:t xml:space="preserve">Issue time</w:t>
            </w:r>
          </w:p>
        </w:tc>
        <w:tc>
          <w:tcPr>
            <w:shd w:val="clear" w:color="auto" w:fill="0E3B43"/>
          </w:tcPr>
          <w:p>
            <w:pPr>
              <w:pStyle w:val="Compact"/>
              <w:jc w:val="left"/>
            </w:pPr>
            <w:r>
              <w:rPr>
                <w:b/>
                <w:color w:val="FFFFFF"/>
                <w:sz w:val="20"/>
              </w:rPr>
              <w:t xml:space="preserve">Product</w:t>
            </w:r>
          </w:p>
        </w:tc>
      </w:tr>
      <w:tr>
        <w:tc>
          <w:tcPr/>
          <w:p>
            <w:pPr>
              <w:pStyle w:val="Compact"/>
              <w:jc w:val="left"/>
            </w:pPr>
            <w:r>
              <w:rPr>
                <w:sz w:val="20"/>
              </w:rPr>
              <w:t xml:space="preserve">Mid-April (stage 1)</w:t>
            </w:r>
          </w:p>
        </w:tc>
        <w:tc>
          <w:tcPr/>
          <w:p>
            <w:pPr>
              <w:pStyle w:val="Compact"/>
              <w:jc w:val="left"/>
            </w:pPr>
            <w:r>
              <w:rPr>
                <w:sz w:val="20"/>
              </w:rPr>
              <w:t xml:space="preserve">All-India JJAS rainfall (% of LPA, ±5%), probabilities for five categories, spatial tercile-probability map</w:t>
            </w:r>
          </w:p>
        </w:tc>
      </w:tr>
      <w:tr>
        <w:tc>
          <w:tcPr/>
          <w:p>
            <w:pPr>
              <w:pStyle w:val="Compact"/>
              <w:jc w:val="left"/>
            </w:pPr>
            <w:r>
              <w:rPr>
                <w:sz w:val="20"/>
              </w:rPr>
              <w:t xml:space="preserve">Mid-May</w:t>
            </w:r>
          </w:p>
        </w:tc>
        <w:tc>
          <w:tcPr/>
          <w:p>
            <w:pPr>
              <w:pStyle w:val="Compact"/>
              <w:jc w:val="left"/>
            </w:pPr>
            <w:r>
              <w:rPr>
                <w:sz w:val="20"/>
              </w:rPr>
              <w:t xml:space="preserve">Onset date over Kerala (±4 days)</w:t>
            </w:r>
          </w:p>
        </w:tc>
      </w:tr>
      <w:tr>
        <w:tc>
          <w:tcPr/>
          <w:p>
            <w:pPr>
              <w:pStyle w:val="Compact"/>
              <w:jc w:val="left"/>
            </w:pPr>
            <w:r>
              <w:rPr>
                <w:sz w:val="20"/>
              </w:rPr>
              <w:t xml:space="preserve">End of May (stage 2)</w:t>
            </w:r>
          </w:p>
        </w:tc>
        <w:tc>
          <w:tcPr/>
          <w:p>
            <w:pPr>
              <w:pStyle w:val="Compact"/>
              <w:jc w:val="left"/>
            </w:pPr>
            <w:r>
              <w:rPr>
                <w:sz w:val="20"/>
              </w:rPr>
              <w:t xml:space="preserve">Updated all-India forecast (±4%); four homogeneous regions (north-west, central, south peninsula, north-east) and Monsoon Core Zone; June outlook</w:t>
            </w:r>
          </w:p>
        </w:tc>
      </w:tr>
      <w:tr>
        <w:tc>
          <w:tcPr/>
          <w:p>
            <w:pPr>
              <w:pStyle w:val="Compact"/>
              <w:jc w:val="left"/>
            </w:pPr>
            <w:r>
              <w:rPr>
                <w:sz w:val="20"/>
              </w:rPr>
              <w:t xml:space="preserve">End of June</w:t>
            </w:r>
          </w:p>
        </w:tc>
        <w:tc>
          <w:tcPr/>
          <w:p>
            <w:pPr>
              <w:pStyle w:val="Compact"/>
              <w:jc w:val="left"/>
            </w:pPr>
            <w:r>
              <w:rPr>
                <w:sz w:val="20"/>
              </w:rPr>
              <w:t xml:space="preserve">July rainfall and temperature outlook</w:t>
            </w:r>
          </w:p>
        </w:tc>
      </w:tr>
      <w:tr>
        <w:tc>
          <w:tcPr/>
          <w:p>
            <w:pPr>
              <w:pStyle w:val="Compact"/>
              <w:jc w:val="left"/>
            </w:pPr>
            <w:r>
              <w:rPr>
                <w:sz w:val="20"/>
              </w:rPr>
              <w:t xml:space="preserve">End of July</w:t>
            </w:r>
          </w:p>
        </w:tc>
        <w:tc>
          <w:tcPr/>
          <w:p>
            <w:pPr>
              <w:pStyle w:val="Compact"/>
              <w:jc w:val="left"/>
            </w:pPr>
            <w:r>
              <w:rPr>
                <w:sz w:val="20"/>
              </w:rPr>
              <w:t xml:space="preserve">August outlook; August–September outlook</w:t>
            </w:r>
          </w:p>
        </w:tc>
      </w:tr>
      <w:tr>
        <w:tc>
          <w:tcPr/>
          <w:p>
            <w:pPr>
              <w:pStyle w:val="Compact"/>
              <w:jc w:val="left"/>
            </w:pPr>
            <w:r>
              <w:rPr>
                <w:sz w:val="20"/>
              </w:rPr>
              <w:t xml:space="preserve">End of August</w:t>
            </w:r>
          </w:p>
        </w:tc>
        <w:tc>
          <w:tcPr/>
          <w:p>
            <w:pPr>
              <w:pStyle w:val="Compact"/>
              <w:jc w:val="left"/>
            </w:pPr>
            <w:r>
              <w:rPr>
                <w:sz w:val="20"/>
              </w:rPr>
              <w:t xml:space="preserve">September outlook</w:t>
            </w:r>
          </w:p>
        </w:tc>
      </w:tr>
    </w:tbl>
    <w:bookmarkEnd w:id="24"/>
    <w:bookmarkStart w:id="25" w:name="forecast-categories"/>
    <w:p>
      <w:pPr>
        <w:pStyle w:val="Heading2"/>
      </w:pPr>
      <w:r>
        <w:t xml:space="preserve">4.2 Forecast categories</w:t>
      </w:r>
    </w:p>
    <w:p>
      <w:pPr>
        <w:pStyle w:val="TableCaption"/>
      </w:pPr>
      <w:r>
        <w:t xml:space="preserve">Table 4. Forecast categories.</w:t>
      </w:r>
    </w:p>
    <w:tbl>
      <w:tblPr>
        <w:tblStyle w:val="Table"/>
        <w:tblW w:type="auto" w:w="0"/>
        <w:tblLook w:firstRow="1" w:lastRow="0" w:firstColumn="0" w:lastColumn="0" w:noHBand="0" w:noVBand="0" w:val="0020"/>
        <w:jc w:val="start"/>
        <w:tblCaption w:val="Table 4. Forecast categories."/>
        <w:tblBorders>
          <w:top w:val="single" w:sz="4" w:color="B7C7CB"/>
          <w:left w:val="single" w:sz="4" w:color="B7C7CB"/>
          <w:bottom w:val="single" w:sz="4" w:color="B7C7CB"/>
          <w:right w:val="single" w:sz="4" w:color="B7C7CB"/>
          <w:insideH w:val="single" w:sz="4" w:color="B7C7CB"/>
          <w:insideV w:val="single" w:sz="4" w:color="B7C7CB"/>
        </w:tblBorders>
      </w:tblPr>
      <w:tblGrid>
        <w:gridCol w:w="3960"/>
        <w:gridCol w:w="3960"/>
      </w:tblGrid>
      <w:tr>
        <w:trPr>
          <w:tblHeader w:val="true"/>
        </w:trPr>
        <w:tc>
          <w:tcPr>
            <w:shd w:val="clear" w:color="auto" w:fill="0E3B43"/>
          </w:tcPr>
          <w:p>
            <w:pPr>
              <w:pStyle w:val="Compact"/>
              <w:jc w:val="left"/>
            </w:pPr>
            <w:r>
              <w:rPr>
                <w:b/>
                <w:color w:val="FFFFFF"/>
                <w:sz w:val="20"/>
              </w:rPr>
              <w:t xml:space="preserve">Category</w:t>
            </w:r>
          </w:p>
        </w:tc>
        <w:tc>
          <w:tcPr>
            <w:shd w:val="clear" w:color="auto" w:fill="0E3B43"/>
          </w:tcPr>
          <w:p>
            <w:pPr>
              <w:pStyle w:val="Compact"/>
              <w:jc w:val="left"/>
            </w:pPr>
            <w:r>
              <w:rPr>
                <w:b/>
                <w:color w:val="FFFFFF"/>
                <w:sz w:val="20"/>
              </w:rPr>
              <w:t xml:space="preserve">All-India JJAS rainfall (% of LPA)</w:t>
            </w:r>
          </w:p>
        </w:tc>
      </w:tr>
      <w:tr>
        <w:tc>
          <w:tcPr/>
          <w:p>
            <w:pPr>
              <w:pStyle w:val="Compact"/>
              <w:jc w:val="left"/>
            </w:pPr>
            <w:r>
              <w:rPr>
                <w:sz w:val="20"/>
              </w:rPr>
              <w:t xml:space="preserve">Deficient</w:t>
            </w:r>
          </w:p>
        </w:tc>
        <w:tc>
          <w:tcPr/>
          <w:p>
            <w:pPr>
              <w:pStyle w:val="Compact"/>
              <w:jc w:val="left"/>
            </w:pPr>
            <w:r>
              <w:rPr>
                <w:sz w:val="20"/>
              </w:rPr>
              <w:t xml:space="preserve">&lt; 90</w:t>
            </w:r>
          </w:p>
        </w:tc>
      </w:tr>
      <w:tr>
        <w:tc>
          <w:tcPr/>
          <w:p>
            <w:pPr>
              <w:pStyle w:val="Compact"/>
              <w:jc w:val="left"/>
            </w:pPr>
            <w:r>
              <w:rPr>
                <w:sz w:val="20"/>
              </w:rPr>
              <w:t xml:space="preserve">Below normal</w:t>
            </w:r>
          </w:p>
        </w:tc>
        <w:tc>
          <w:tcPr/>
          <w:p>
            <w:pPr>
              <w:pStyle w:val="Compact"/>
              <w:jc w:val="left"/>
            </w:pPr>
            <w:r>
              <w:rPr>
                <w:sz w:val="20"/>
              </w:rPr>
              <w:t xml:space="preserve">90–95</w:t>
            </w:r>
          </w:p>
        </w:tc>
      </w:tr>
      <w:tr>
        <w:tc>
          <w:tcPr/>
          <w:p>
            <w:pPr>
              <w:pStyle w:val="Compact"/>
              <w:jc w:val="left"/>
            </w:pPr>
            <w:r>
              <w:rPr>
                <w:sz w:val="20"/>
              </w:rPr>
              <w:t xml:space="preserve">Normal</w:t>
            </w:r>
          </w:p>
        </w:tc>
        <w:tc>
          <w:tcPr/>
          <w:p>
            <w:pPr>
              <w:pStyle w:val="Compact"/>
              <w:jc w:val="left"/>
            </w:pPr>
            <w:r>
              <w:rPr>
                <w:sz w:val="20"/>
              </w:rPr>
              <w:t xml:space="preserve">96–104</w:t>
            </w:r>
          </w:p>
        </w:tc>
      </w:tr>
      <w:tr>
        <w:tc>
          <w:tcPr/>
          <w:p>
            <w:pPr>
              <w:pStyle w:val="Compact"/>
              <w:jc w:val="left"/>
            </w:pPr>
            <w:r>
              <w:rPr>
                <w:sz w:val="20"/>
              </w:rPr>
              <w:t xml:space="preserve">Above normal</w:t>
            </w:r>
          </w:p>
        </w:tc>
        <w:tc>
          <w:tcPr/>
          <w:p>
            <w:pPr>
              <w:pStyle w:val="Compact"/>
              <w:jc w:val="left"/>
            </w:pPr>
            <w:r>
              <w:rPr>
                <w:sz w:val="20"/>
              </w:rPr>
              <w:t xml:space="preserve">105–110</w:t>
            </w:r>
          </w:p>
        </w:tc>
      </w:tr>
      <w:tr>
        <w:tc>
          <w:tcPr/>
          <w:p>
            <w:pPr>
              <w:pStyle w:val="Compact"/>
              <w:jc w:val="left"/>
            </w:pPr>
            <w:r>
              <w:rPr>
                <w:sz w:val="20"/>
              </w:rPr>
              <w:t xml:space="preserve">Excess</w:t>
            </w:r>
          </w:p>
        </w:tc>
        <w:tc>
          <w:tcPr/>
          <w:p>
            <w:pPr>
              <w:pStyle w:val="Compact"/>
              <w:jc w:val="left"/>
            </w:pPr>
            <w:r>
              <w:rPr>
                <w:sz w:val="20"/>
              </w:rPr>
              <w:t xml:space="preserve">&gt; 110</w:t>
            </w:r>
          </w:p>
        </w:tc>
      </w:tr>
    </w:tbl>
    <w:p>
      <w:pPr>
        <w:pStyle w:val="BodyText"/>
      </w:pPr>
      <w:r>
        <w:t xml:space="preserve">Because the stated error (±5%) is wider than most categories, IMD also gives the probability of each category, derived from the spread of the ensemble forecasts and their hindcast errors.</w:t>
      </w:r>
    </w:p>
    <w:bookmarkEnd w:id="25"/>
    <w:bookmarkStart w:id="26" w:name="operational-strategy-since-2021"/>
    <w:p>
      <w:pPr>
        <w:pStyle w:val="Heading2"/>
      </w:pPr>
      <w:r>
        <w:t xml:space="preserve">4.3 Operational strategy since 2021</w:t>
      </w:r>
    </w:p>
    <w:p>
      <w:pPr>
        <w:pStyle w:val="FirstParagraph"/>
      </w:pPr>
      <w:r>
        <w:t xml:space="preserve">Two independent systems are run. SEFS (Section 5) forecasts the all-India total from a few predictors observed before the forecast date. The MME (Section 6) combines coupled ocean–atmosphere models started from the observed state. Forecasters compare the two and issue a consensus: the April all-India number leans on SEFS, while probabilities, spatial maps, regional and monthly outlooks come mainly from the MME.</w:t>
      </w:r>
    </w:p>
    <w:bookmarkEnd w:id="26"/>
    <w:bookmarkEnd w:id="27"/>
    <w:bookmarkStart w:id="34" w:name="Xf1512c5d7a3343d29276935f6e61779b646b96a"/>
    <w:p>
      <w:pPr>
        <w:pStyle w:val="Heading1"/>
      </w:pPr>
      <w:r>
        <w:t xml:space="preserve">5. Statistical Ensemble Forecasting System (SEFS)</w:t>
      </w:r>
    </w:p>
    <w:p>
      <w:pPr>
        <w:pStyle w:val="FirstParagraph"/>
      </w:pPr>
      <w:r>
        <w:t xml:space="preserve">SEFS forecasts all-India JJAS rainfall from 5 predictors in April and 6 in the end-May update. It averages many regression models instead of trusting one equation, which addresses the failures of single-equation models in 2002 and 2004 (</w:t>
      </w:r>
      <w:hyperlink r:id="rId28">
        <w:r>
          <w:rPr>
            <w:rStyle w:val="Hyperlink"/>
          </w:rPr>
          <w:t xml:space="preserve">Rajeevan et al. 2007</w:t>
        </w:r>
      </w:hyperlink>
      <w:r>
        <w:t xml:space="preserve">).</w:t>
      </w:r>
    </w:p>
    <w:bookmarkStart w:id="30" w:name="predictor-selection"/>
    <w:p>
      <w:pPr>
        <w:pStyle w:val="Heading2"/>
      </w:pPr>
      <w:r>
        <w:t xml:space="preserve">5.1 Predictor selection</w:t>
      </w:r>
    </w:p>
    <w:p>
      <w:pPr>
        <w:pStyle w:val="FirstParagraph"/>
      </w:pPr>
      <w:r>
        <w:t xml:space="preserve">A candidate predictor is kept only if it has (i) a physical link to the monsoon, (ii) a statistically significant correlation with JJAS rainfall over the training period and (iii) a correlation that stays stable in sliding windows. Predictors are re-examined periodically, because several predictors of the 1988 16-parameter model lost their correlation over time. The April-stage set published for 2021 is:</w:t>
      </w:r>
    </w:p>
    <w:p>
      <w:pPr>
        <w:pStyle w:val="TableCaption"/>
      </w:pPr>
      <w:r>
        <w:t xml:space="preserve">Table 5. SEFS predictors for the April forecast (2021 set).</w:t>
      </w:r>
    </w:p>
    <w:tbl>
      <w:tblPr>
        <w:tblStyle w:val="Table"/>
        <w:tblW w:type="pct" w:w="5000"/>
        <w:tblLook w:firstRow="1" w:lastRow="0" w:firstColumn="0" w:lastColumn="0" w:noHBand="0" w:noVBand="0" w:val="0020"/>
        <w:jc w:val="start"/>
        <w:tblCaption w:val="Table 5. SEFS predictors for the April forecast (2021 set)."/>
        <w:tblBorders>
          <w:top w:val="single" w:sz="4" w:color="B7C7CB"/>
          <w:left w:val="single" w:sz="4" w:color="B7C7CB"/>
          <w:bottom w:val="single" w:sz="4" w:color="B7C7CB"/>
          <w:right w:val="single" w:sz="4" w:color="B7C7CB"/>
          <w:insideH w:val="single" w:sz="4" w:color="B7C7CB"/>
          <w:insideV w:val="single" w:sz="4" w:color="B7C7CB"/>
        </w:tblBorders>
      </w:tblPr>
      <w:tblGrid>
        <w:gridCol w:w="2640"/>
        <w:gridCol w:w="2640"/>
        <w:gridCol w:w="2640"/>
      </w:tblGrid>
      <w:tr>
        <w:trPr>
          <w:tblHeader w:val="true"/>
        </w:trPr>
        <w:tc>
          <w:tcPr>
            <w:shd w:val="clear" w:color="auto" w:fill="0E3B43"/>
          </w:tcPr>
          <w:p>
            <w:pPr>
              <w:pStyle w:val="Compact"/>
              <w:jc w:val="left"/>
            </w:pPr>
            <w:r>
              <w:rPr>
                <w:b/>
                <w:color w:val="FFFFFF"/>
                <w:sz w:val="20"/>
              </w:rPr>
              <w:t xml:space="preserve">No.</w:t>
            </w:r>
          </w:p>
        </w:tc>
        <w:tc>
          <w:tcPr>
            <w:shd w:val="clear" w:color="auto" w:fill="0E3B43"/>
          </w:tcPr>
          <w:p>
            <w:pPr>
              <w:pStyle w:val="Compact"/>
              <w:jc w:val="left"/>
            </w:pPr>
            <w:r>
              <w:rPr>
                <w:b/>
                <w:color w:val="FFFFFF"/>
                <w:sz w:val="20"/>
              </w:rPr>
              <w:t xml:space="preserve">Predictor</w:t>
            </w:r>
          </w:p>
        </w:tc>
        <w:tc>
          <w:tcPr>
            <w:shd w:val="clear" w:color="auto" w:fill="0E3B43"/>
          </w:tcPr>
          <w:p>
            <w:pPr>
              <w:pStyle w:val="Compact"/>
              <w:jc w:val="left"/>
            </w:pPr>
            <w:r>
              <w:rPr>
                <w:b/>
                <w:color w:val="FFFFFF"/>
                <w:sz w:val="20"/>
              </w:rPr>
              <w:t xml:space="preserve">Period used</w:t>
            </w:r>
          </w:p>
        </w:tc>
      </w:tr>
      <w:tr>
        <w:tc>
          <w:tcPr/>
          <w:p>
            <w:pPr>
              <w:pStyle w:val="Compact"/>
              <w:jc w:val="left"/>
            </w:pPr>
            <w:r>
              <w:rPr>
                <w:sz w:val="20"/>
              </w:rPr>
              <w:t xml:space="preserve">1</w:t>
            </w:r>
          </w:p>
        </w:tc>
        <w:tc>
          <w:tcPr/>
          <w:p>
            <w:pPr>
              <w:pStyle w:val="Compact"/>
              <w:jc w:val="left"/>
            </w:pPr>
            <w:r>
              <w:rPr>
                <w:sz w:val="20"/>
              </w:rPr>
              <w:t xml:space="preserve">North-west Europe land surface air temperature</w:t>
            </w:r>
          </w:p>
        </w:tc>
        <w:tc>
          <w:tcPr/>
          <w:p>
            <w:pPr>
              <w:pStyle w:val="Compact"/>
              <w:jc w:val="left"/>
            </w:pPr>
            <w:r>
              <w:rPr>
                <w:sz w:val="20"/>
              </w:rPr>
              <w:t xml:space="preserve">January</w:t>
            </w:r>
          </w:p>
        </w:tc>
      </w:tr>
      <w:tr>
        <w:tc>
          <w:tcPr/>
          <w:p>
            <w:pPr>
              <w:pStyle w:val="Compact"/>
              <w:jc w:val="left"/>
            </w:pPr>
            <w:r>
              <w:rPr>
                <w:sz w:val="20"/>
              </w:rPr>
              <w:t xml:space="preserve">2</w:t>
            </w:r>
          </w:p>
        </w:tc>
        <w:tc>
          <w:tcPr/>
          <w:p>
            <w:pPr>
              <w:pStyle w:val="Compact"/>
              <w:jc w:val="left"/>
            </w:pPr>
            <w:r>
              <w:rPr>
                <w:sz w:val="20"/>
              </w:rPr>
              <w:t xml:space="preserve">Equatorial Pacific warm water volume</w:t>
            </w:r>
          </w:p>
        </w:tc>
        <w:tc>
          <w:tcPr/>
          <w:p>
            <w:pPr>
              <w:pStyle w:val="Compact"/>
              <w:jc w:val="left"/>
            </w:pPr>
            <w:r>
              <w:rPr>
                <w:sz w:val="20"/>
              </w:rPr>
              <w:t xml:space="preserve">February + March</w:t>
            </w:r>
          </w:p>
        </w:tc>
      </w:tr>
      <w:tr>
        <w:tc>
          <w:tcPr/>
          <w:p>
            <w:pPr>
              <w:pStyle w:val="Compact"/>
              <w:jc w:val="left"/>
            </w:pPr>
            <w:r>
              <w:rPr>
                <w:sz w:val="20"/>
              </w:rPr>
              <w:t xml:space="preserve">3</w:t>
            </w:r>
          </w:p>
        </w:tc>
        <w:tc>
          <w:tcPr/>
          <w:p>
            <w:pPr>
              <w:pStyle w:val="Compact"/>
              <w:jc w:val="left"/>
            </w:pPr>
            <w:r>
              <w:rPr>
                <w:sz w:val="20"/>
              </w:rPr>
              <w:t xml:space="preserve">SST gradient between north-east Pacific and north-west Atlantic</w:t>
            </w:r>
          </w:p>
        </w:tc>
        <w:tc>
          <w:tcPr/>
          <w:p>
            <w:pPr>
              <w:pStyle w:val="Compact"/>
              <w:jc w:val="left"/>
            </w:pPr>
            <w:r>
              <w:rPr>
                <w:sz w:val="20"/>
              </w:rPr>
              <w:t xml:space="preserve">December + January</w:t>
            </w:r>
          </w:p>
        </w:tc>
      </w:tr>
      <w:tr>
        <w:tc>
          <w:tcPr/>
          <w:p>
            <w:pPr>
              <w:pStyle w:val="Compact"/>
              <w:jc w:val="left"/>
            </w:pPr>
            <w:r>
              <w:rPr>
                <w:sz w:val="20"/>
              </w:rPr>
              <w:t xml:space="preserve">4</w:t>
            </w:r>
          </w:p>
        </w:tc>
        <w:tc>
          <w:tcPr/>
          <w:p>
            <w:pPr>
              <w:pStyle w:val="Compact"/>
              <w:jc w:val="left"/>
            </w:pPr>
            <w:r>
              <w:rPr>
                <w:sz w:val="20"/>
              </w:rPr>
              <w:t xml:space="preserve">Equatorial south-east Indian Ocean SST</w:t>
            </w:r>
          </w:p>
        </w:tc>
        <w:tc>
          <w:tcPr/>
          <w:p>
            <w:pPr>
              <w:pStyle w:val="Compact"/>
              <w:jc w:val="left"/>
            </w:pPr>
            <w:r>
              <w:rPr>
                <w:sz w:val="20"/>
              </w:rPr>
              <w:t xml:space="preserve">February</w:t>
            </w:r>
          </w:p>
        </w:tc>
      </w:tr>
      <w:tr>
        <w:tc>
          <w:tcPr/>
          <w:p>
            <w:pPr>
              <w:pStyle w:val="Compact"/>
              <w:jc w:val="left"/>
            </w:pPr>
            <w:r>
              <w:rPr>
                <w:sz w:val="20"/>
              </w:rPr>
              <w:t xml:space="preserve">5</w:t>
            </w:r>
          </w:p>
        </w:tc>
        <w:tc>
          <w:tcPr/>
          <w:p>
            <w:pPr>
              <w:pStyle w:val="Compact"/>
              <w:jc w:val="left"/>
            </w:pPr>
            <w:r>
              <w:rPr>
                <w:sz w:val="20"/>
              </w:rPr>
              <w:t xml:space="preserve">East Asia mean sea level pressure</w:t>
            </w:r>
          </w:p>
        </w:tc>
        <w:tc>
          <w:tcPr/>
          <w:p>
            <w:pPr>
              <w:pStyle w:val="Compact"/>
              <w:jc w:val="left"/>
            </w:pPr>
            <w:r>
              <w:rPr>
                <w:sz w:val="20"/>
              </w:rPr>
              <w:t xml:space="preserve">February + March</w:t>
            </w:r>
          </w:p>
        </w:tc>
      </w:tr>
    </w:tbl>
    <w:p>
      <w:pPr>
        <w:pStyle w:val="BodyText"/>
      </w:pPr>
      <w:r>
        <w:t xml:space="preserve">The end-May model uses six predictors and adds ENSO information such as Niño 3.4 SST in March–May and its tendency (</w:t>
      </w:r>
      <w:hyperlink r:id="rId29">
        <w:r>
          <w:rPr>
            <w:rStyle w:val="Hyperlink"/>
          </w:rPr>
          <w:t xml:space="preserve">IMD 2021</w:t>
        </w:r>
      </w:hyperlink>
      <w:r>
        <w:t xml:space="preserve">).</w:t>
      </w:r>
    </w:p>
    <w:bookmarkEnd w:id="30"/>
    <w:bookmarkStart w:id="31" w:name="ensemble-multiple-regression-emr"/>
    <w:p>
      <w:pPr>
        <w:pStyle w:val="Heading2"/>
      </w:pPr>
      <w:r>
        <w:t xml:space="preserve">5.2 Ensemble multiple regression (EMR)</w:t>
      </w:r>
    </w:p>
    <w:p>
      <w:pPr>
        <w:pStyle w:val="FirstParagraph"/>
      </w:pPr>
      <w:r>
        <w:t xml:space="preserve">With</w:t>
      </w:r>
      <w:r>
        <w:t xml:space="preserve"> </w:t>
      </w:r>
      <m:oMath>
        <m:r>
          <m:t>n</m:t>
        </m:r>
      </m:oMath>
      <w:r>
        <w:t xml:space="preserve"> </w:t>
      </w:r>
      <w:r>
        <w:t xml:space="preserve">predictors there are</w:t>
      </w:r>
      <w:r>
        <w:t xml:space="preserve"> </w:t>
      </w:r>
      <m:oMath>
        <m:sSup>
          <m:e>
            <m:r>
              <m:t>2</m:t>
            </m:r>
          </m:e>
          <m:sup>
            <m:r>
              <m:t>n</m:t>
            </m:r>
          </m:sup>
        </m:sSup>
        <m:r>
          <m:rPr>
            <m:sty m:val="p"/>
          </m:rPr>
          <m:t>−</m:t>
        </m:r>
        <m:r>
          <m:t>1</m:t>
        </m:r>
      </m:oMath>
      <w:r>
        <w:t xml:space="preserve"> </w:t>
      </w:r>
      <w:r>
        <w:t xml:space="preserve">subsets (31 for</w:t>
      </w:r>
      <w:r>
        <w:t xml:space="preserve"> </w:t>
      </w:r>
      <m:oMath>
        <m:r>
          <m:t>n</m:t>
        </m:r>
        <m:r>
          <m:rPr>
            <m:sty m:val="p"/>
          </m:rPr>
          <m:t>=</m:t>
        </m:r>
        <m:r>
          <m:t>5</m:t>
        </m:r>
      </m:oMath>
      <w:r>
        <w:t xml:space="preserve">, 63 for</w:t>
      </w:r>
      <w:r>
        <w:t xml:space="preserve"> </w:t>
      </w:r>
      <m:oMath>
        <m:r>
          <m:t>n</m:t>
        </m:r>
        <m:r>
          <m:rPr>
            <m:sty m:val="p"/>
          </m:rPr>
          <m:t>=</m:t>
        </m:r>
        <m:r>
          <m:t>6</m:t>
        </m:r>
      </m:oMath>
      <w:r>
        <w:t xml:space="preserve">). For each subset</w:t>
      </w:r>
      <w:r>
        <w:t xml:space="preserve"> </w:t>
      </w:r>
      <m:oMath>
        <m:r>
          <m:t>k</m:t>
        </m:r>
      </m:oMath>
      <w:r>
        <w:t xml:space="preserve"> </w:t>
      </w:r>
      <w:r>
        <w:t xml:space="preserve">a linear model is fitted by least squares on the training years:</w:t>
      </w:r>
    </w:p>
    <w:p>
      <w:pPr>
        <w:pStyle w:val="BodyText"/>
      </w:pPr>
      <m:oMathPara>
        <m:oMathParaPr>
          <m:jc m:val="center"/>
        </m:oMathParaPr>
        <m:oMath>
          <m:sSub>
            <m:e>
              <m:r>
                <m:t>R</m:t>
              </m:r>
            </m:e>
            <m:sub>
              <m:r>
                <m:t>k</m:t>
              </m:r>
            </m:sub>
          </m:sSub>
          <m:r>
            <m:rPr>
              <m:sty m:val="p"/>
            </m:rPr>
            <m:t>=</m:t>
          </m:r>
          <m:sSub>
            <m:e>
              <m:r>
                <m:t>β</m:t>
              </m:r>
            </m:e>
            <m:sub>
              <m:r>
                <m:t>0</m:t>
              </m:r>
              <m:r>
                <m:rPr>
                  <m:sty m:val="p"/>
                </m:rPr>
                <m:t>,</m:t>
              </m:r>
              <m:r>
                <m:t>k</m:t>
              </m:r>
            </m:sub>
          </m:sSub>
          <m:r>
            <m:rPr>
              <m:sty m:val="p"/>
            </m:rPr>
            <m:t>+</m:t>
          </m:r>
          <m:nary>
            <m:naryPr>
              <m:chr m:val="∑"/>
              <m:limLoc m:val="undOvr"/>
              <m:subHide m:val="off"/>
              <m:supHide m:val="on"/>
            </m:naryPr>
            <m:sub>
              <m:r>
                <m:t>i</m:t>
              </m:r>
              <m:r>
                <m:rPr>
                  <m:sty m:val="p"/>
                </m:rPr>
                <m:t>∈</m:t>
              </m:r>
              <m:sSub>
                <m:e>
                  <m:r>
                    <m:t>S</m:t>
                  </m:r>
                </m:e>
                <m:sub>
                  <m:r>
                    <m:t>k</m:t>
                  </m:r>
                </m:sub>
              </m:sSub>
            </m:sub>
            <m:sup>
              <m:r>
                <m:t>​</m:t>
              </m:r>
            </m:sup>
            <m:e>
              <m:sSub>
                <m:e>
                  <m:r>
                    <m:t>β</m:t>
                  </m:r>
                </m:e>
                <m:sub>
                  <m:r>
                    <m:t>i</m:t>
                  </m:r>
                  <m:r>
                    <m:rPr>
                      <m:sty m:val="p"/>
                    </m:rPr>
                    <m:t>,</m:t>
                  </m:r>
                  <m:r>
                    <m:t>k</m:t>
                  </m:r>
                </m:sub>
              </m:sSub>
            </m:e>
          </m:nary>
          <m:r>
            <m:t> </m:t>
          </m:r>
          <m:sSub>
            <m:e>
              <m:r>
                <m:t>P</m:t>
              </m:r>
            </m:e>
            <m:sub>
              <m:r>
                <m:t>i</m:t>
              </m:r>
            </m:sub>
          </m:sSub>
          <m:r>
            <m:rPr>
              <m:sty m:val="p"/>
            </m:rPr>
            <m:t>+</m:t>
          </m:r>
          <m:sSub>
            <m:e>
              <m:r>
                <m:t>ε</m:t>
              </m:r>
            </m:e>
            <m:sub>
              <m:r>
                <m:t>k</m:t>
              </m:r>
            </m:sub>
          </m:sSub>
        </m:oMath>
      </m:oMathPara>
    </w:p>
    <w:p>
      <w:pPr>
        <w:pStyle w:val="FirstParagraph"/>
      </w:pPr>
      <m:oMath>
        <m:r>
          <m:t>R</m:t>
        </m:r>
      </m:oMath>
      <w:r>
        <w:t xml:space="preserve"> </w:t>
      </w:r>
      <w:r>
        <w:t xml:space="preserve">is JJAS rainfall (% of LPA),</w:t>
      </w:r>
      <w:r>
        <w:t xml:space="preserve"> </w:t>
      </w:r>
      <m:oMath>
        <m:sSub>
          <m:e>
            <m:r>
              <m:t>P</m:t>
            </m:r>
          </m:e>
          <m:sub>
            <m:r>
              <m:t>i</m:t>
            </m:r>
          </m:sub>
        </m:sSub>
      </m:oMath>
      <w:r>
        <w:t xml:space="preserve"> </w:t>
      </w:r>
      <w:r>
        <w:t xml:space="preserve">the standardised predictors in subset</w:t>
      </w:r>
      <w:r>
        <w:t xml:space="preserve"> </w:t>
      </w:r>
      <m:oMath>
        <m:sSub>
          <m:e>
            <m:r>
              <m:t>S</m:t>
            </m:r>
          </m:e>
          <m:sub>
            <m:r>
              <m:t>k</m:t>
            </m:r>
          </m:sub>
        </m:sSub>
      </m:oMath>
      <w:r>
        <w:t xml:space="preserve"> </w:t>
      </w:r>
      <w:r>
        <w:t xml:space="preserve">and</w:t>
      </w:r>
      <w:r>
        <w:t xml:space="preserve"> </w:t>
      </w:r>
      <m:oMath>
        <m:sSub>
          <m:e>
            <m:r>
              <m:t>ε</m:t>
            </m:r>
          </m:e>
          <m:sub>
            <m:r>
              <m:t>k</m:t>
            </m:r>
          </m:sub>
        </m:sSub>
      </m:oMath>
      <w:r>
        <w:t xml:space="preserve"> </w:t>
      </w:r>
      <w:r>
        <w:t xml:space="preserve">the residual.</w:t>
      </w:r>
    </w:p>
    <w:bookmarkEnd w:id="31"/>
    <w:bookmarkStart w:id="32" w:name="projection-pursuit-regression-ppr"/>
    <w:p>
      <w:pPr>
        <w:pStyle w:val="Heading2"/>
      </w:pPr>
      <w:r>
        <w:t xml:space="preserve">5.3 Projection pursuit regression (PPR)</w:t>
      </w:r>
    </w:p>
    <w:p>
      <w:pPr>
        <w:pStyle w:val="FirstParagraph"/>
      </w:pPr>
      <w:r>
        <w:t xml:space="preserve">PPR allows non-linear predictor–rainfall relations. It models rainfall as a sum of smooth ridge functions of linear combinations of the predictors:</w:t>
      </w:r>
    </w:p>
    <w:p>
      <w:pPr>
        <w:pStyle w:val="BodyText"/>
      </w:pPr>
      <m:oMathPara>
        <m:oMathParaPr>
          <m:jc m:val="center"/>
        </m:oMathParaPr>
        <m:oMath>
          <m:r>
            <m:t>R</m:t>
          </m:r>
          <m:r>
            <m:rPr>
              <m:sty m:val="p"/>
            </m:rPr>
            <m:t>=</m:t>
          </m:r>
          <m:acc>
            <m:accPr>
              <m:chr m:val="‾"/>
            </m:accPr>
            <m:e>
              <m:r>
                <m:t>R</m:t>
              </m:r>
            </m:e>
          </m:acc>
          <m:r>
            <m:rPr>
              <m:sty m:val="p"/>
            </m:rPr>
            <m:t>+</m:t>
          </m:r>
          <m:nary>
            <m:naryPr>
              <m:chr m:val="∑"/>
              <m:limLoc m:val="undOvr"/>
              <m:subHide m:val="off"/>
              <m:supHide m:val="off"/>
            </m:naryPr>
            <m:sub>
              <m:r>
                <m:t>m</m:t>
              </m:r>
              <m:r>
                <m:rPr>
                  <m:sty m:val="p"/>
                </m:rPr>
                <m:t>=</m:t>
              </m:r>
              <m:r>
                <m:t>1</m:t>
              </m:r>
            </m:sub>
            <m:sup>
              <m:r>
                <m:t>M</m:t>
              </m:r>
            </m:sup>
            <m:e>
              <m:sSub>
                <m:e>
                  <m:r>
                    <m:t>γ</m:t>
                  </m:r>
                </m:e>
                <m:sub>
                  <m:r>
                    <m:t>m</m:t>
                  </m:r>
                </m:sub>
              </m:sSub>
            </m:e>
          </m:nary>
          <m:r>
            <m:t> </m:t>
          </m:r>
          <m:sSub>
            <m:e>
              <m:r>
                <m:t>ϕ</m:t>
              </m:r>
            </m:e>
            <m:sub>
              <m:r>
                <m:t>m</m:t>
              </m:r>
            </m:sub>
          </m:sSub>
          <m:r>
            <m:t>​</m:t>
          </m:r>
          <m:d>
            <m:dPr>
              <m:begChr m:val="("/>
              <m:endChr m:val=")"/>
              <m:sepChr m:val=""/>
              <m:grow/>
            </m:dPr>
            <m:e>
              <m:sSubSup>
                <m:e>
                  <m:r>
                    <m:rPr>
                      <m:sty m:val="b"/>
                    </m:rPr>
                    <m:t>α</m:t>
                  </m:r>
                </m:e>
                <m:sub>
                  <m:r>
                    <m:t>m</m:t>
                  </m:r>
                </m:sub>
                <m:sup>
                  <m:r>
                    <m:t>T</m:t>
                  </m:r>
                </m:sup>
              </m:sSubSup>
              <m:r>
                <m:rPr>
                  <m:sty m:val="b"/>
                </m:rPr>
                <m:t>P</m:t>
              </m:r>
            </m:e>
          </m:d>
          <m:r>
            <m:rPr>
              <m:sty m:val="p"/>
            </m:rPr>
            <m:t>+</m:t>
          </m:r>
          <m:r>
            <m:t>ε</m:t>
          </m:r>
        </m:oMath>
      </m:oMathPara>
    </w:p>
    <w:p>
      <w:pPr>
        <w:pStyle w:val="FirstParagraph"/>
      </w:pPr>
      <m:oMath>
        <m:sSub>
          <m:e>
            <m:r>
              <m:rPr>
                <m:sty m:val="b"/>
              </m:rPr>
              <m:t>α</m:t>
            </m:r>
          </m:e>
          <m:sub>
            <m:r>
              <m:t>m</m:t>
            </m:r>
          </m:sub>
        </m:sSub>
      </m:oMath>
      <w:r>
        <w:t xml:space="preserve"> </w:t>
      </w:r>
      <w:r>
        <w:t xml:space="preserve">are projection directions,</w:t>
      </w:r>
      <w:r>
        <w:t xml:space="preserve"> </w:t>
      </w:r>
      <m:oMath>
        <m:sSub>
          <m:e>
            <m:r>
              <m:t>ϕ</m:t>
            </m:r>
          </m:e>
          <m:sub>
            <m:r>
              <m:t>m</m:t>
            </m:r>
          </m:sub>
        </m:sSub>
      </m:oMath>
      <w:r>
        <w:t xml:space="preserve"> </w:t>
      </w:r>
      <w:r>
        <w:t xml:space="preserve">smooth functions estimated from the data and</w:t>
      </w:r>
      <w:r>
        <w:t xml:space="preserve"> </w:t>
      </w:r>
      <m:oMath>
        <m:sSub>
          <m:e>
            <m:r>
              <m:t>γ</m:t>
            </m:r>
          </m:e>
          <m:sub>
            <m:r>
              <m:t>m</m:t>
            </m:r>
          </m:sub>
        </m:sSub>
      </m:oMath>
      <w:r>
        <w:t xml:space="preserve"> </w:t>
      </w:r>
      <w:r>
        <w:t xml:space="preserve">their weights.</w:t>
      </w:r>
    </w:p>
    <w:bookmarkEnd w:id="32"/>
    <w:bookmarkStart w:id="33" w:name="ensemble-average-and-error"/>
    <w:p>
      <w:pPr>
        <w:pStyle w:val="Heading2"/>
      </w:pPr>
      <w:r>
        <w:t xml:space="preserve">5.4 Ensemble average and error</w:t>
      </w:r>
    </w:p>
    <w:p>
      <w:pPr>
        <w:pStyle w:val="FirstParagraph"/>
      </w:pPr>
      <w:r>
        <w:t xml:space="preserve">Member models are ranked by their skill in the training period, the weaker ones are dropped, and the rest are combined with skill-based weights</w:t>
      </w:r>
      <w:r>
        <w:t xml:space="preserve"> </w:t>
      </w:r>
      <m:oMath>
        <m:sSub>
          <m:e>
            <m:r>
              <m:t>w</m:t>
            </m:r>
          </m:e>
          <m:sub>
            <m:r>
              <m:t>k</m:t>
            </m:r>
          </m:sub>
        </m:sSub>
      </m:oMath>
      <w:r>
        <w:t xml:space="preserve">:</w:t>
      </w:r>
    </w:p>
    <w:p>
      <w:pPr>
        <w:pStyle w:val="BodyText"/>
      </w:pPr>
      <m:oMathPara>
        <m:oMathParaPr>
          <m:jc m:val="center"/>
        </m:oMathParaPr>
        <m:oMath>
          <m:sSub>
            <m:e>
              <m:r>
                <m:t>R</m:t>
              </m:r>
            </m:e>
            <m:sub>
              <m:r>
                <m:t>e</m:t>
              </m:r>
              <m:r>
                <m:t>n</m:t>
              </m:r>
              <m:r>
                <m:t>s</m:t>
              </m:r>
            </m:sub>
          </m:sSub>
          <m:r>
            <m:rPr>
              <m:sty m:val="p"/>
            </m:rPr>
            <m:t>=</m:t>
          </m:r>
          <m:f>
            <m:fPr>
              <m:type m:val="bar"/>
            </m:fPr>
            <m:num>
              <m:nary>
                <m:naryPr>
                  <m:chr m:val="∑"/>
                  <m:limLoc m:val="undOvr"/>
                  <m:subHide m:val="off"/>
                  <m:supHide m:val="on"/>
                </m:naryPr>
                <m:sub>
                  <m:r>
                    <m:t>k</m:t>
                  </m:r>
                </m:sub>
                <m:sup>
                  <m:r>
                    <m:t>​</m:t>
                  </m:r>
                </m:sup>
                <m:e>
                  <m:sSub>
                    <m:e>
                      <m:r>
                        <m:t>w</m:t>
                      </m:r>
                    </m:e>
                    <m:sub>
                      <m:r>
                        <m:t>k</m:t>
                      </m:r>
                    </m:sub>
                  </m:sSub>
                </m:e>
              </m:nary>
              <m:sSub>
                <m:e>
                  <m:r>
                    <m:t>R</m:t>
                  </m:r>
                </m:e>
                <m:sub>
                  <m:r>
                    <m:t>k</m:t>
                  </m:r>
                </m:sub>
              </m:sSub>
            </m:num>
            <m:den>
              <m:nary>
                <m:naryPr>
                  <m:chr m:val="∑"/>
                  <m:limLoc m:val="undOvr"/>
                  <m:subHide m:val="off"/>
                  <m:supHide m:val="on"/>
                </m:naryPr>
                <m:sub>
                  <m:r>
                    <m:t>k</m:t>
                  </m:r>
                </m:sub>
                <m:sup>
                  <m:r>
                    <m:t>​</m:t>
                  </m:r>
                </m:sup>
                <m:e>
                  <m:sSub>
                    <m:e>
                      <m:r>
                        <m:t>w</m:t>
                      </m:r>
                    </m:e>
                    <m:sub>
                      <m:r>
                        <m:t>k</m:t>
                      </m:r>
                    </m:sub>
                  </m:sSub>
                </m:e>
              </m:nary>
            </m:den>
          </m:f>
        </m:oMath>
      </m:oMathPara>
    </w:p>
    <w:p>
      <w:pPr>
        <w:pStyle w:val="FirstParagraph"/>
      </w:pPr>
      <w:r>
        <w:t xml:space="preserve">The model error quoted with the forecast (±5% in April, ±4% in May) comes from the root-mean-square error of independent (cross-validated) hindcasts. Rajeevan et al. (2007) trained on a sliding 23-year window and tested on 1981–2004; the Heidke skill scores for three-category forecasts were 0.50 (EMR) and 0.44 (PPR) for the first-stage models.</w:t>
      </w:r>
    </w:p>
    <w:bookmarkEnd w:id="33"/>
    <w:bookmarkEnd w:id="34"/>
    <w:bookmarkStart w:id="39" w:name="X7ca159917fca8115480dc4f505577cb712a8096"/>
    <w:p>
      <w:pPr>
        <w:pStyle w:val="Heading1"/>
      </w:pPr>
      <w:r>
        <w:t xml:space="preserve">6. Dynamical methodology: MMCFS and the multi-model ensemble</w:t>
      </w:r>
    </w:p>
    <w:p>
      <w:pPr>
        <w:pStyle w:val="FirstParagraph"/>
      </w:pPr>
      <w:r>
        <w:t xml:space="preserve">The dynamical forecast integrates coupled ocean–atmosphere–land models forward from the observed state for several months. Seasonal skill comes mainly from slowly evolving SST anomalies (ENSO, IOD) that the coupled model carries forward.</w:t>
      </w:r>
    </w:p>
    <w:bookmarkStart w:id="36" w:name="Xe824134a74d08733895bbb9d1ffdb06459de022"/>
    <w:p>
      <w:pPr>
        <w:pStyle w:val="Heading2"/>
      </w:pPr>
      <w:r>
        <w:t xml:space="preserve">6.1 Monsoon Mission Climate Forecast System (MMCFS)</w:t>
      </w:r>
    </w:p>
    <w:p>
      <w:pPr>
        <w:pStyle w:val="FirstParagraph"/>
      </w:pPr>
      <w:r>
        <w:t xml:space="preserve">MMCFS is the Indian version of NCEP’s Climate Forecast System version 2 (CFSv2), improved under the Monsoon Mission launched by MoES in 2012 (</w:t>
      </w:r>
      <w:hyperlink r:id="rId35">
        <w:r>
          <w:rPr>
            <w:rStyle w:val="Hyperlink"/>
          </w:rPr>
          <w:t xml:space="preserve">Rao et al. 2019</w:t>
        </w:r>
      </w:hyperlink>
      <w:r>
        <w:t xml:space="preserve">). It became IMD’s operational dynamical seasonal model in 2017.</w:t>
      </w:r>
    </w:p>
    <w:p>
      <w:pPr>
        <w:pStyle w:val="TableCaption"/>
      </w:pPr>
      <w:r>
        <w:t xml:space="preserve">Table 6. Components of MMCFS.</w:t>
      </w:r>
    </w:p>
    <w:tbl>
      <w:tblPr>
        <w:tblStyle w:val="Table"/>
        <w:tblW w:type="pct" w:w="5000"/>
        <w:tblLook w:firstRow="1" w:lastRow="0" w:firstColumn="0" w:lastColumn="0" w:noHBand="0" w:noVBand="0" w:val="0020"/>
        <w:jc w:val="start"/>
        <w:tblCaption w:val="Table 6. Components of MMCFS."/>
        <w:tblBorders>
          <w:top w:val="single" w:sz="4" w:color="B7C7CB"/>
          <w:left w:val="single" w:sz="4" w:color="B7C7CB"/>
          <w:bottom w:val="single" w:sz="4" w:color="B7C7CB"/>
          <w:right w:val="single" w:sz="4" w:color="B7C7CB"/>
          <w:insideH w:val="single" w:sz="4" w:color="B7C7CB"/>
          <w:insideV w:val="single" w:sz="4" w:color="B7C7CB"/>
        </w:tblBorders>
      </w:tblPr>
      <w:tblGrid>
        <w:gridCol w:w="2640"/>
        <w:gridCol w:w="2640"/>
        <w:gridCol w:w="2640"/>
      </w:tblGrid>
      <w:tr>
        <w:trPr>
          <w:tblHeader w:val="true"/>
        </w:trPr>
        <w:tc>
          <w:tcPr>
            <w:shd w:val="clear" w:color="auto" w:fill="0E3B43"/>
          </w:tcPr>
          <w:p>
            <w:pPr>
              <w:pStyle w:val="Compact"/>
              <w:jc w:val="left"/>
            </w:pPr>
            <w:r>
              <w:rPr>
                <w:b/>
                <w:color w:val="FFFFFF"/>
                <w:sz w:val="20"/>
              </w:rPr>
              <w:t xml:space="preserve">Component</w:t>
            </w:r>
          </w:p>
        </w:tc>
        <w:tc>
          <w:tcPr>
            <w:shd w:val="clear" w:color="auto" w:fill="0E3B43"/>
          </w:tcPr>
          <w:p>
            <w:pPr>
              <w:pStyle w:val="Compact"/>
              <w:jc w:val="left"/>
            </w:pPr>
            <w:r>
              <w:rPr>
                <w:b/>
                <w:color w:val="FFFFFF"/>
                <w:sz w:val="20"/>
              </w:rPr>
              <w:t xml:space="preserve">Model</w:t>
            </w:r>
          </w:p>
        </w:tc>
        <w:tc>
          <w:tcPr>
            <w:shd w:val="clear" w:color="auto" w:fill="0E3B43"/>
          </w:tcPr>
          <w:p>
            <w:pPr>
              <w:pStyle w:val="Compact"/>
              <w:jc w:val="left"/>
            </w:pPr>
            <w:r>
              <w:rPr>
                <w:b/>
                <w:color w:val="FFFFFF"/>
                <w:sz w:val="20"/>
              </w:rPr>
              <w:t xml:space="preserve">Main role</w:t>
            </w:r>
          </w:p>
        </w:tc>
      </w:tr>
      <w:tr>
        <w:tc>
          <w:tcPr/>
          <w:p>
            <w:pPr>
              <w:pStyle w:val="Compact"/>
              <w:jc w:val="left"/>
            </w:pPr>
            <w:r>
              <w:rPr>
                <w:sz w:val="20"/>
              </w:rPr>
              <w:t xml:space="preserve">Atmosphere</w:t>
            </w:r>
          </w:p>
        </w:tc>
        <w:tc>
          <w:tcPr/>
          <w:p>
            <w:pPr>
              <w:pStyle w:val="Compact"/>
              <w:jc w:val="left"/>
            </w:pPr>
            <w:r>
              <w:rPr>
                <w:sz w:val="20"/>
              </w:rPr>
              <w:t xml:space="preserve">GFS, high-resolution version (~38 km, T382)</w:t>
            </w:r>
          </w:p>
        </w:tc>
        <w:tc>
          <w:tcPr/>
          <w:p>
            <w:pPr>
              <w:pStyle w:val="Compact"/>
              <w:jc w:val="left"/>
            </w:pPr>
            <w:r>
              <w:rPr>
                <w:sz w:val="20"/>
              </w:rPr>
              <w:t xml:space="preserve">Convection, clouds, radiation, circulation</w:t>
            </w:r>
          </w:p>
        </w:tc>
      </w:tr>
      <w:tr>
        <w:tc>
          <w:tcPr/>
          <w:p>
            <w:pPr>
              <w:pStyle w:val="Compact"/>
              <w:jc w:val="left"/>
            </w:pPr>
            <w:r>
              <w:rPr>
                <w:sz w:val="20"/>
              </w:rPr>
              <w:t xml:space="preserve">Ocean</w:t>
            </w:r>
          </w:p>
        </w:tc>
        <w:tc>
          <w:tcPr/>
          <w:p>
            <w:pPr>
              <w:pStyle w:val="Compact"/>
              <w:jc w:val="left"/>
            </w:pPr>
            <w:r>
              <w:rPr>
                <w:sz w:val="20"/>
              </w:rPr>
              <w:t xml:space="preserve">MOM4 (~0.25–0.5°)</w:t>
            </w:r>
          </w:p>
        </w:tc>
        <w:tc>
          <w:tcPr/>
          <w:p>
            <w:pPr>
              <w:pStyle w:val="Compact"/>
              <w:jc w:val="left"/>
            </w:pPr>
            <w:r>
              <w:rPr>
                <w:sz w:val="20"/>
              </w:rPr>
              <w:t xml:space="preserve">SST, upper-ocean heat content, ENSO and IOD evolution</w:t>
            </w:r>
          </w:p>
        </w:tc>
      </w:tr>
      <w:tr>
        <w:tc>
          <w:tcPr/>
          <w:p>
            <w:pPr>
              <w:pStyle w:val="Compact"/>
              <w:jc w:val="left"/>
            </w:pPr>
            <w:r>
              <w:rPr>
                <w:sz w:val="20"/>
              </w:rPr>
              <w:t xml:space="preserve">Land</w:t>
            </w:r>
          </w:p>
        </w:tc>
        <w:tc>
          <w:tcPr/>
          <w:p>
            <w:pPr>
              <w:pStyle w:val="Compact"/>
              <w:jc w:val="left"/>
            </w:pPr>
            <w:r>
              <w:rPr>
                <w:sz w:val="20"/>
              </w:rPr>
              <w:t xml:space="preserve">Noah land-surface model</w:t>
            </w:r>
          </w:p>
        </w:tc>
        <w:tc>
          <w:tcPr/>
          <w:p>
            <w:pPr>
              <w:pStyle w:val="Compact"/>
              <w:jc w:val="left"/>
            </w:pPr>
            <w:r>
              <w:rPr>
                <w:sz w:val="20"/>
              </w:rPr>
              <w:t xml:space="preserve">Soil moisture, snow, evaporation</w:t>
            </w:r>
          </w:p>
        </w:tc>
      </w:tr>
      <w:tr>
        <w:tc>
          <w:tcPr/>
          <w:p>
            <w:pPr>
              <w:pStyle w:val="Compact"/>
              <w:jc w:val="left"/>
            </w:pPr>
            <w:r>
              <w:rPr>
                <w:sz w:val="20"/>
              </w:rPr>
              <w:t xml:space="preserve">Sea ice</w:t>
            </w:r>
          </w:p>
        </w:tc>
        <w:tc>
          <w:tcPr/>
          <w:p>
            <w:pPr>
              <w:pStyle w:val="Compact"/>
              <w:jc w:val="left"/>
            </w:pPr>
            <w:r>
              <w:rPr>
                <w:sz w:val="20"/>
              </w:rPr>
              <w:t xml:space="preserve">CFSv2 sea-ice model</w:t>
            </w:r>
          </w:p>
        </w:tc>
        <w:tc>
          <w:tcPr/>
          <w:p>
            <w:pPr>
              <w:pStyle w:val="Compact"/>
              <w:jc w:val="left"/>
            </w:pPr>
            <w:r>
              <w:rPr>
                <w:sz w:val="20"/>
              </w:rPr>
              <w:t xml:space="preserve">Polar heat and moisture exchange</w:t>
            </w:r>
          </w:p>
        </w:tc>
      </w:tr>
      <w:tr>
        <w:tc>
          <w:tcPr/>
          <w:p>
            <w:pPr>
              <w:pStyle w:val="Compact"/>
              <w:jc w:val="left"/>
            </w:pPr>
            <w:r>
              <w:rPr>
                <w:sz w:val="20"/>
              </w:rPr>
              <w:t xml:space="preserve">Coupler</w:t>
            </w:r>
          </w:p>
        </w:tc>
        <w:tc>
          <w:tcPr/>
          <w:p>
            <w:pPr>
              <w:pStyle w:val="Compact"/>
              <w:jc w:val="left"/>
            </w:pPr>
            <w:r>
              <w:rPr>
                <w:sz w:val="20"/>
              </w:rPr>
              <w:t xml:space="preserve">Flux exchange</w:t>
            </w:r>
          </w:p>
        </w:tc>
        <w:tc>
          <w:tcPr/>
          <w:p>
            <w:pPr>
              <w:pStyle w:val="Compact"/>
              <w:jc w:val="left"/>
            </w:pPr>
            <w:r>
              <w:rPr>
                <w:sz w:val="20"/>
              </w:rPr>
              <w:t xml:space="preserve">Passes heat, freshwater and momentum between components</w:t>
            </w:r>
          </w:p>
        </w:tc>
      </w:tr>
    </w:tbl>
    <w:p>
      <w:pPr>
        <w:pStyle w:val="BodyText"/>
      </w:pPr>
      <w:r>
        <w:t xml:space="preserve">Atmosphere and land start from NCMRWF analyses and the ocean from the INCOIS analysis. An ensemble of runs from staggered initial dates samples initial-condition uncertainty. Each run’s bias is removed using a long hindcast set:</w:t>
      </w:r>
    </w:p>
    <w:p>
      <w:pPr>
        <w:pStyle w:val="BodyText"/>
      </w:pPr>
      <m:oMathPara>
        <m:oMathParaPr>
          <m:jc m:val="center"/>
        </m:oMathParaPr>
        <m:oMath>
          <m:r>
            <m:t>R</m:t>
          </m:r>
          <m:sSub>
            <m:e>
              <m:r>
                <m:rPr>
                  <m:sty m:val="p"/>
                </m:rPr>
                <m:t>′</m:t>
              </m:r>
            </m:e>
            <m:sub>
              <m:r>
                <m:t>f</m:t>
              </m:r>
              <m:r>
                <m:t>c</m:t>
              </m:r>
              <m:r>
                <m:t>s</m:t>
              </m:r>
              <m:r>
                <m:t>t</m:t>
              </m:r>
            </m:sub>
          </m:sSub>
          <m:r>
            <m:rPr>
              <m:sty m:val="p"/>
            </m:rPr>
            <m:t>=</m:t>
          </m:r>
          <m:sSub>
            <m:e>
              <m:r>
                <m:t>R</m:t>
              </m:r>
            </m:e>
            <m:sub>
              <m:r>
                <m:t>f</m:t>
              </m:r>
              <m:r>
                <m:t>c</m:t>
              </m:r>
              <m:r>
                <m:t>s</m:t>
              </m:r>
              <m:r>
                <m:t>t</m:t>
              </m:r>
            </m:sub>
          </m:sSub>
          <m:r>
            <m:rPr>
              <m:sty m:val="p"/>
            </m:rPr>
            <m:t>−</m:t>
          </m:r>
          <m:d>
            <m:dPr>
              <m:begChr m:val="("/>
              <m:endChr m:val=")"/>
              <m:sepChr m:val=""/>
              <m:grow/>
            </m:dPr>
            <m:e>
              <m:sSub>
                <m:e>
                  <m:bar>
                    <m:barPr>
                      <m:pos m:val="top"/>
                    </m:barPr>
                    <m:e>
                      <m:r>
                        <m:t>R</m:t>
                      </m:r>
                    </m:e>
                  </m:bar>
                </m:e>
                <m:sub>
                  <m:r>
                    <m:t>h</m:t>
                  </m:r>
                  <m:r>
                    <m:t>i</m:t>
                  </m:r>
                  <m:r>
                    <m:t>n</m:t>
                  </m:r>
                  <m:r>
                    <m:t>d</m:t>
                  </m:r>
                </m:sub>
              </m:sSub>
              <m:r>
                <m:rPr>
                  <m:sty m:val="p"/>
                </m:rPr>
                <m:t>−</m:t>
              </m:r>
              <m:sSub>
                <m:e>
                  <m:bar>
                    <m:barPr>
                      <m:pos m:val="top"/>
                    </m:barPr>
                    <m:e>
                      <m:r>
                        <m:t>R</m:t>
                      </m:r>
                    </m:e>
                  </m:bar>
                </m:e>
                <m:sub>
                  <m:r>
                    <m:t>o</m:t>
                  </m:r>
                  <m:r>
                    <m:t>b</m:t>
                  </m:r>
                  <m:r>
                    <m:t>s</m:t>
                  </m:r>
                </m:sub>
              </m:sSub>
            </m:e>
          </m:d>
        </m:oMath>
      </m:oMathPara>
    </w:p>
    <w:p>
      <w:pPr>
        <w:pStyle w:val="FirstParagraph"/>
      </w:pPr>
      <w:r>
        <w:t xml:space="preserve">Rao et al. (2019) report a correlation skill of 0.63 for all-India seasonal rainfall over 1981–2010 for the ~38 km system, and better simulation after changes to convection, cloud microphysics and land-surface schemes.</w:t>
      </w:r>
    </w:p>
    <w:bookmarkEnd w:id="36"/>
    <w:bookmarkStart w:id="38" w:name="multi-model-ensemble-mme"/>
    <w:p>
      <w:pPr>
        <w:pStyle w:val="Heading2"/>
      </w:pPr>
      <w:r>
        <w:t xml:space="preserve">6.2 Multi-Model Ensemble (MME)</w:t>
      </w:r>
    </w:p>
    <w:p>
      <w:pPr>
        <w:pStyle w:val="FirstParagraph"/>
      </w:pPr>
      <w:r>
        <w:t xml:space="preserve">Since 2021 IMD’s Office of Climate Research and Services, Pune, combines MMCFS with coupled global climate models from other prediction centres (</w:t>
      </w:r>
      <w:hyperlink r:id="rId29">
        <w:r>
          <w:rPr>
            <w:rStyle w:val="Hyperlink"/>
          </w:rPr>
          <w:t xml:space="preserve">IMD 2021</w:t>
        </w:r>
      </w:hyperlink>
      <w:r>
        <w:t xml:space="preserve">). Averaging several models cancels part of each model’s systematic error and gives a better estimate of forecast uncertainty than one model.</w:t>
      </w:r>
    </w:p>
    <w:p>
      <w:pPr>
        <w:numPr>
          <w:ilvl w:val="0"/>
          <w:numId w:val="1001"/>
        </w:numPr>
        <w:pStyle w:val="Compact"/>
      </w:pPr>
      <w:r>
        <w:t xml:space="preserve">Collect real-time forecasts and hindcasts from each model at the same start month (April or May).</w:t>
      </w:r>
    </w:p>
    <w:p>
      <w:pPr>
        <w:numPr>
          <w:ilvl w:val="0"/>
          <w:numId w:val="1001"/>
        </w:numPr>
        <w:pStyle w:val="Compact"/>
      </w:pPr>
      <w:r>
        <w:t xml:space="preserve">Remove each model’s mean bias, and calibrate its variance, against IMD gridded rainfall over the hindcast period.</w:t>
      </w:r>
    </w:p>
    <w:p>
      <w:pPr>
        <w:numPr>
          <w:ilvl w:val="0"/>
          <w:numId w:val="1001"/>
        </w:numPr>
        <w:pStyle w:val="Compact"/>
      </w:pPr>
      <w:r>
        <w:t xml:space="preserve">Combine models, weighting each by its hindcast skill over India (equal weights where skill does not differ significantly).</w:t>
      </w:r>
    </w:p>
    <w:p>
      <w:pPr>
        <w:numPr>
          <w:ilvl w:val="0"/>
          <w:numId w:val="1001"/>
        </w:numPr>
        <w:pStyle w:val="Compact"/>
      </w:pPr>
      <w:r>
        <w:t xml:space="preserve">Convert the ensemble distribution at each grid point into tercile probabilities (below, near and above normal).</w:t>
      </w:r>
    </w:p>
    <w:p>
      <w:pPr>
        <w:numPr>
          <w:ilvl w:val="0"/>
          <w:numId w:val="1001"/>
        </w:numPr>
        <w:pStyle w:val="Compact"/>
      </w:pPr>
      <w:r>
        <w:t xml:space="preserve">Aggregate to all-India, the four homogeneous regions, the Monsoon Core Zone and subdivisions, and produce monthly outlooks.</w:t>
      </w:r>
    </w:p>
    <w:p>
      <w:pPr>
        <w:pStyle w:val="FirstParagraph"/>
      </w:pPr>
      <w:r>
        <w:t xml:space="preserve">A skill-weighted MME can be written as:</w:t>
      </w:r>
    </w:p>
    <w:p>
      <w:pPr>
        <w:pStyle w:val="BodyText"/>
      </w:pPr>
      <m:oMathPara>
        <m:oMathParaPr>
          <m:jc m:val="center"/>
        </m:oMathParaPr>
        <m:oMath>
          <m:sSub>
            <m:e>
              <m:r>
                <m:t>R</m:t>
              </m:r>
            </m:e>
            <m:sub>
              <m:r>
                <m:t>M</m:t>
              </m:r>
              <m:r>
                <m:t>M</m:t>
              </m:r>
              <m:r>
                <m:t>E</m:t>
              </m:r>
            </m:sub>
          </m:sSub>
          <m:d>
            <m:dPr>
              <m:begChr m:val="("/>
              <m:endChr m:val=")"/>
              <m:sepChr m:val=""/>
              <m:grow/>
            </m:dPr>
            <m:e>
              <m:r>
                <m:t>x</m:t>
              </m:r>
            </m:e>
          </m:d>
          <m:r>
            <m:rPr>
              <m:sty m:val="p"/>
            </m:rPr>
            <m:t>=</m:t>
          </m:r>
          <m:nary>
            <m:naryPr>
              <m:chr m:val="∑"/>
              <m:limLoc m:val="undOvr"/>
              <m:subHide m:val="off"/>
              <m:supHide m:val="off"/>
            </m:naryPr>
            <m:sub>
              <m:r>
                <m:t>j</m:t>
              </m:r>
              <m:r>
                <m:rPr>
                  <m:sty m:val="p"/>
                </m:rPr>
                <m:t>=</m:t>
              </m:r>
              <m:r>
                <m:t>1</m:t>
              </m:r>
            </m:sub>
            <m:sup>
              <m:r>
                <m:t>N</m:t>
              </m:r>
            </m:sup>
            <m:e>
              <m:sSub>
                <m:e>
                  <m:r>
                    <m:t>w</m:t>
                  </m:r>
                </m:e>
                <m:sub>
                  <m:r>
                    <m:t>j</m:t>
                  </m:r>
                </m:sub>
              </m:sSub>
            </m:e>
          </m:nary>
          <m:r>
            <m:t> </m:t>
          </m:r>
          <m:r>
            <m:t>R</m:t>
          </m:r>
          <m:sSub>
            <m:e>
              <m:r>
                <m:rPr>
                  <m:sty m:val="p"/>
                </m:rPr>
                <m:t>′</m:t>
              </m:r>
            </m:e>
            <m:sub>
              <m:r>
                <m:t>j</m:t>
              </m:r>
            </m:sub>
          </m:sSub>
          <m:d>
            <m:dPr>
              <m:begChr m:val="("/>
              <m:endChr m:val=")"/>
              <m:sepChr m:val=""/>
              <m:grow/>
            </m:dPr>
            <m:e>
              <m:r>
                <m:t>x</m:t>
              </m:r>
            </m:e>
          </m:d>
          <m:r>
            <m:rPr>
              <m:sty m:val="p"/>
            </m:rPr>
            <m:t>,</m:t>
          </m:r>
          <m:r>
            <m:t>  </m:t>
          </m:r>
          <m:sSub>
            <m:e>
              <m:r>
                <m:t>w</m:t>
              </m:r>
            </m:e>
            <m:sub>
              <m:r>
                <m:t>j</m:t>
              </m:r>
            </m:sub>
          </m:sSub>
          <m:r>
            <m:rPr>
              <m:sty m:val="p"/>
            </m:rPr>
            <m:t>=</m:t>
          </m:r>
          <m:f>
            <m:fPr>
              <m:type m:val="bar"/>
            </m:fPr>
            <m:num>
              <m:sSubSup>
                <m:e>
                  <m:r>
                    <m:t>r</m:t>
                  </m:r>
                </m:e>
                <m:sub>
                  <m:r>
                    <m:t>j</m:t>
                  </m:r>
                </m:sub>
                <m:sup>
                  <m:r>
                    <m:t>2</m:t>
                  </m:r>
                </m:sup>
              </m:sSubSup>
            </m:num>
            <m:den>
              <m:nary>
                <m:naryPr>
                  <m:chr m:val="∑"/>
                  <m:limLoc m:val="undOvr"/>
                  <m:subHide m:val="off"/>
                  <m:supHide m:val="on"/>
                </m:naryPr>
                <m:sub>
                  <m:r>
                    <m:t>l</m:t>
                  </m:r>
                </m:sub>
                <m:sup>
                  <m:r>
                    <m:t>​</m:t>
                  </m:r>
                </m:sup>
                <m:e>
                  <m:sSubSup>
                    <m:e>
                      <m:r>
                        <m:t>r</m:t>
                      </m:r>
                    </m:e>
                    <m:sub>
                      <m:r>
                        <m:t>l</m:t>
                      </m:r>
                    </m:sub>
                    <m:sup>
                      <m:r>
                        <m:t>2</m:t>
                      </m:r>
                    </m:sup>
                  </m:sSubSup>
                </m:e>
              </m:nary>
            </m:den>
          </m:f>
        </m:oMath>
      </m:oMathPara>
    </w:p>
    <w:p>
      <w:pPr>
        <w:pStyle w:val="FirstParagraph"/>
      </w:pPr>
      <m:oMath>
        <m:r>
          <m:t>R</m:t>
        </m:r>
        <m:sSub>
          <m:e>
            <m:r>
              <m:rPr>
                <m:sty m:val="p"/>
              </m:rPr>
              <m:t>′</m:t>
            </m:r>
          </m:e>
          <m:sub>
            <m:r>
              <m:t>j</m:t>
            </m:r>
          </m:sub>
        </m:sSub>
      </m:oMath>
      <w:r>
        <w:t xml:space="preserve"> </w:t>
      </w:r>
      <w:r>
        <w:t xml:space="preserve">is the bias-corrected forecast of model</w:t>
      </w:r>
      <w:r>
        <w:t xml:space="preserve"> </w:t>
      </w:r>
      <m:oMath>
        <m:r>
          <m:t>j</m:t>
        </m:r>
      </m:oMath>
      <w:r>
        <w:t xml:space="preserve"> </w:t>
      </w:r>
      <w:r>
        <w:t xml:space="preserve">at grid point</w:t>
      </w:r>
      <w:r>
        <w:t xml:space="preserve"> </w:t>
      </w:r>
      <m:oMath>
        <m:r>
          <m:t>x</m:t>
        </m:r>
      </m:oMath>
      <w:r>
        <w:t xml:space="preserve"> </w:t>
      </w:r>
      <w:r>
        <w:t xml:space="preserve">and</w:t>
      </w:r>
      <w:r>
        <w:t xml:space="preserve"> </w:t>
      </w:r>
      <m:oMath>
        <m:sSub>
          <m:e>
            <m:r>
              <m:t>r</m:t>
            </m:r>
          </m:e>
          <m:sub>
            <m:r>
              <m:t>j</m:t>
            </m:r>
          </m:sub>
        </m:sSub>
      </m:oMath>
      <w:r>
        <w:t xml:space="preserve"> </w:t>
      </w:r>
      <w:r>
        <w:t xml:space="preserve">its hindcast correlation; this is one common weighting choice, and IMD has not published its exact weights. The MME also drives monthly rainfall and temperature outlooks, replacing earlier statistical monthly models. Its subdivision-level skill for 2020–2021 was evaluated against 1982–2019 observations in</w:t>
      </w:r>
      <w:r>
        <w:t xml:space="preserve"> </w:t>
      </w:r>
      <w:hyperlink r:id="rId37">
        <w:r>
          <w:rPr>
            <w:rStyle w:val="Hyperlink"/>
          </w:rPr>
          <w:t xml:space="preserve">MAUSAM 77(1), 2026</w:t>
        </w:r>
      </w:hyperlink>
      <w:r>
        <w:t xml:space="preserve">.</w:t>
      </w:r>
    </w:p>
    <w:bookmarkEnd w:id="38"/>
    <w:bookmarkEnd w:id="39"/>
    <w:bookmarkStart w:id="43" w:name="forecast-of-monsoon-onset-over-kerala"/>
    <w:p>
      <w:pPr>
        <w:pStyle w:val="Heading1"/>
      </w:pPr>
      <w:r>
        <w:t xml:space="preserve">7. Forecast of monsoon onset over Kerala</w:t>
      </w:r>
    </w:p>
    <w:p>
      <w:pPr>
        <w:pStyle w:val="FirstParagraph"/>
      </w:pPr>
      <w:r>
        <w:t xml:space="preserve">Since 2005 IMD has forecast the onset date over Kerala in mid-May with an indigenous statistical model of six predictors and a model error of ±4 days. The normal onset date is 1 June (standard deviation about 7 days). IMD reports the forecast was within the error band every year from 2005 to 2022 except 2015 (</w:t>
      </w:r>
      <w:hyperlink r:id="rId40">
        <w:r>
          <w:rPr>
            <w:rStyle w:val="Hyperlink"/>
          </w:rPr>
          <w:t xml:space="preserve">The Statesman, reporting IMD</w:t>
        </w:r>
      </w:hyperlink>
      <w:r>
        <w:t xml:space="preserve">).</w:t>
      </w:r>
    </w:p>
    <w:bookmarkStart w:id="41" w:name="predictors"/>
    <w:p>
      <w:pPr>
        <w:pStyle w:val="Heading2"/>
      </w:pPr>
      <w:r>
        <w:t xml:space="preserve">7.1 Predictors</w:t>
      </w:r>
    </w:p>
    <w:p>
      <w:pPr>
        <w:pStyle w:val="TableCaption"/>
      </w:pPr>
      <w:r>
        <w:t xml:space="preserve">Table 7. Predictors of the onset model.</w:t>
      </w:r>
    </w:p>
    <w:tbl>
      <w:tblPr>
        <w:tblStyle w:val="Table"/>
        <w:tblW w:type="pct" w:w="5000"/>
        <w:tblLook w:firstRow="1" w:lastRow="0" w:firstColumn="0" w:lastColumn="0" w:noHBand="0" w:noVBand="0" w:val="0020"/>
        <w:jc w:val="start"/>
        <w:tblCaption w:val="Table 7. Predictors of the onset model."/>
        <w:tblBorders>
          <w:top w:val="single" w:sz="4" w:color="B7C7CB"/>
          <w:left w:val="single" w:sz="4" w:color="B7C7CB"/>
          <w:bottom w:val="single" w:sz="4" w:color="B7C7CB"/>
          <w:right w:val="single" w:sz="4" w:color="B7C7CB"/>
          <w:insideH w:val="single" w:sz="4" w:color="B7C7CB"/>
          <w:insideV w:val="single" w:sz="4" w:color="B7C7CB"/>
        </w:tblBorders>
      </w:tblPr>
      <w:tblGrid>
        <w:gridCol w:w="2640"/>
        <w:gridCol w:w="2640"/>
        <w:gridCol w:w="2640"/>
      </w:tblGrid>
      <w:tr>
        <w:trPr>
          <w:tblHeader w:val="true"/>
        </w:trPr>
        <w:tc>
          <w:tcPr>
            <w:shd w:val="clear" w:color="auto" w:fill="0E3B43"/>
          </w:tcPr>
          <w:p>
            <w:pPr>
              <w:pStyle w:val="Compact"/>
              <w:jc w:val="left"/>
            </w:pPr>
            <w:r>
              <w:rPr>
                <w:b/>
                <w:color w:val="FFFFFF"/>
                <w:sz w:val="20"/>
              </w:rPr>
              <w:t xml:space="preserve">No.</w:t>
            </w:r>
          </w:p>
        </w:tc>
        <w:tc>
          <w:tcPr>
            <w:shd w:val="clear" w:color="auto" w:fill="0E3B43"/>
          </w:tcPr>
          <w:p>
            <w:pPr>
              <w:pStyle w:val="Compact"/>
              <w:jc w:val="left"/>
            </w:pPr>
            <w:r>
              <w:rPr>
                <w:b/>
                <w:color w:val="FFFFFF"/>
                <w:sz w:val="20"/>
              </w:rPr>
              <w:t xml:space="preserve">Predictor</w:t>
            </w:r>
          </w:p>
        </w:tc>
        <w:tc>
          <w:tcPr>
            <w:shd w:val="clear" w:color="auto" w:fill="0E3B43"/>
          </w:tcPr>
          <w:p>
            <w:pPr>
              <w:pStyle w:val="Compact"/>
              <w:jc w:val="left"/>
            </w:pPr>
            <w:r>
              <w:rPr>
                <w:b/>
                <w:color w:val="FFFFFF"/>
                <w:sz w:val="20"/>
              </w:rPr>
              <w:t xml:space="preserve">What it captures</w:t>
            </w:r>
          </w:p>
        </w:tc>
      </w:tr>
      <w:tr>
        <w:tc>
          <w:tcPr/>
          <w:p>
            <w:pPr>
              <w:pStyle w:val="Compact"/>
              <w:jc w:val="left"/>
            </w:pPr>
            <w:r>
              <w:rPr>
                <w:sz w:val="20"/>
              </w:rPr>
              <w:t xml:space="preserve">1</w:t>
            </w:r>
          </w:p>
        </w:tc>
        <w:tc>
          <w:tcPr/>
          <w:p>
            <w:pPr>
              <w:pStyle w:val="Compact"/>
              <w:jc w:val="left"/>
            </w:pPr>
            <w:r>
              <w:rPr>
                <w:sz w:val="20"/>
              </w:rPr>
              <w:t xml:space="preserve">Minimum temperature over north-west India</w:t>
            </w:r>
          </w:p>
        </w:tc>
        <w:tc>
          <w:tcPr/>
          <w:p>
            <w:pPr>
              <w:pStyle w:val="Compact"/>
              <w:jc w:val="left"/>
            </w:pPr>
            <w:r>
              <w:rPr>
                <w:sz w:val="20"/>
              </w:rPr>
              <w:t xml:space="preserve">Pre-monsoon land heating</w:t>
            </w:r>
          </w:p>
        </w:tc>
      </w:tr>
      <w:tr>
        <w:tc>
          <w:tcPr/>
          <w:p>
            <w:pPr>
              <w:pStyle w:val="Compact"/>
              <w:jc w:val="left"/>
            </w:pPr>
            <w:r>
              <w:rPr>
                <w:sz w:val="20"/>
              </w:rPr>
              <w:t xml:space="preserve">2</w:t>
            </w:r>
          </w:p>
        </w:tc>
        <w:tc>
          <w:tcPr/>
          <w:p>
            <w:pPr>
              <w:pStyle w:val="Compact"/>
              <w:jc w:val="left"/>
            </w:pPr>
            <w:r>
              <w:rPr>
                <w:sz w:val="20"/>
              </w:rPr>
              <w:t xml:space="preserve">Pre-monsoon rainfall peak over south peninsula</w:t>
            </w:r>
          </w:p>
        </w:tc>
        <w:tc>
          <w:tcPr/>
          <w:p>
            <w:pPr>
              <w:pStyle w:val="Compact"/>
              <w:jc w:val="left"/>
            </w:pPr>
            <w:r>
              <w:rPr>
                <w:sz w:val="20"/>
              </w:rPr>
              <w:t xml:space="preserve">Early convection near the onset region</w:t>
            </w:r>
          </w:p>
        </w:tc>
      </w:tr>
      <w:tr>
        <w:tc>
          <w:tcPr/>
          <w:p>
            <w:pPr>
              <w:pStyle w:val="Compact"/>
              <w:jc w:val="left"/>
            </w:pPr>
            <w:r>
              <w:rPr>
                <w:sz w:val="20"/>
              </w:rPr>
              <w:t xml:space="preserve">3</w:t>
            </w:r>
          </w:p>
        </w:tc>
        <w:tc>
          <w:tcPr/>
          <w:p>
            <w:pPr>
              <w:pStyle w:val="Compact"/>
              <w:jc w:val="left"/>
            </w:pPr>
            <w:r>
              <w:rPr>
                <w:sz w:val="20"/>
              </w:rPr>
              <w:t xml:space="preserve">Outgoing longwave radiation (OLR) over the South China Sea</w:t>
            </w:r>
          </w:p>
        </w:tc>
        <w:tc>
          <w:tcPr/>
          <w:p>
            <w:pPr>
              <w:pStyle w:val="Compact"/>
              <w:jc w:val="left"/>
            </w:pPr>
            <w:r>
              <w:rPr>
                <w:sz w:val="20"/>
              </w:rPr>
              <w:t xml:space="preserve">East Asian monsoon onset upstream</w:t>
            </w:r>
          </w:p>
        </w:tc>
      </w:tr>
      <w:tr>
        <w:tc>
          <w:tcPr/>
          <w:p>
            <w:pPr>
              <w:pStyle w:val="Compact"/>
              <w:jc w:val="left"/>
            </w:pPr>
            <w:r>
              <w:rPr>
                <w:sz w:val="20"/>
              </w:rPr>
              <w:t xml:space="preserve">4</w:t>
            </w:r>
          </w:p>
        </w:tc>
        <w:tc>
          <w:tcPr/>
          <w:p>
            <w:pPr>
              <w:pStyle w:val="Compact"/>
              <w:jc w:val="left"/>
            </w:pPr>
            <w:r>
              <w:rPr>
                <w:sz w:val="20"/>
              </w:rPr>
              <w:t xml:space="preserve">Lower-tropospheric zonal wind over south-east Indian Ocean</w:t>
            </w:r>
          </w:p>
        </w:tc>
        <w:tc>
          <w:tcPr/>
          <w:p>
            <w:pPr>
              <w:pStyle w:val="Compact"/>
              <w:jc w:val="left"/>
            </w:pPr>
            <w:r>
              <w:rPr>
                <w:sz w:val="20"/>
              </w:rPr>
              <w:t xml:space="preserve">Cross-equatorial low-level flow</w:t>
            </w:r>
          </w:p>
        </w:tc>
      </w:tr>
      <w:tr>
        <w:tc>
          <w:tcPr/>
          <w:p>
            <w:pPr>
              <w:pStyle w:val="Compact"/>
              <w:jc w:val="left"/>
            </w:pPr>
            <w:r>
              <w:rPr>
                <w:sz w:val="20"/>
              </w:rPr>
              <w:t xml:space="preserve">5</w:t>
            </w:r>
          </w:p>
        </w:tc>
        <w:tc>
          <w:tcPr/>
          <w:p>
            <w:pPr>
              <w:pStyle w:val="Compact"/>
              <w:jc w:val="left"/>
            </w:pPr>
            <w:r>
              <w:rPr>
                <w:sz w:val="20"/>
              </w:rPr>
              <w:t xml:space="preserve">Upper-tropospheric zonal wind over east equatorial Indian Ocean</w:t>
            </w:r>
          </w:p>
        </w:tc>
        <w:tc>
          <w:tcPr/>
          <w:p>
            <w:pPr>
              <w:pStyle w:val="Compact"/>
              <w:jc w:val="left"/>
            </w:pPr>
            <w:r>
              <w:rPr>
                <w:sz w:val="20"/>
              </w:rPr>
              <w:t xml:space="preserve">Development of upper-level easterlies</w:t>
            </w:r>
          </w:p>
        </w:tc>
      </w:tr>
      <w:tr>
        <w:tc>
          <w:tcPr/>
          <w:p>
            <w:pPr>
              <w:pStyle w:val="Compact"/>
              <w:jc w:val="left"/>
            </w:pPr>
            <w:r>
              <w:rPr>
                <w:sz w:val="20"/>
              </w:rPr>
              <w:t xml:space="preserve">6</w:t>
            </w:r>
          </w:p>
        </w:tc>
        <w:tc>
          <w:tcPr/>
          <w:p>
            <w:pPr>
              <w:pStyle w:val="Compact"/>
              <w:jc w:val="left"/>
            </w:pPr>
            <w:r>
              <w:rPr>
                <w:sz w:val="20"/>
              </w:rPr>
              <w:t xml:space="preserve">OLR over south-west Pacific</w:t>
            </w:r>
          </w:p>
        </w:tc>
        <w:tc>
          <w:tcPr/>
          <w:p>
            <w:pPr>
              <w:pStyle w:val="Compact"/>
              <w:jc w:val="left"/>
            </w:pPr>
            <w:r>
              <w:rPr>
                <w:sz w:val="20"/>
              </w:rPr>
              <w:t xml:space="preserve">Large-scale convection shift</w:t>
            </w:r>
          </w:p>
        </w:tc>
      </w:tr>
    </w:tbl>
    <w:p>
      <w:pPr>
        <w:pStyle w:val="BodyText"/>
      </w:pPr>
      <w:r>
        <w:t xml:space="preserve">This is the set used in releases from about 2008 to 2022. Later releases replaced the two OLR predictors with mean sea level pressure over the subtropical north-west Pacific and upper-tropospheric zonal wind over the north-east Indian Ocean.</w:t>
      </w:r>
    </w:p>
    <w:bookmarkEnd w:id="41"/>
    <w:bookmarkStart w:id="42" w:name="how-onset-is-declared"/>
    <w:p>
      <w:pPr>
        <w:pStyle w:val="Heading2"/>
      </w:pPr>
      <w:r>
        <w:t xml:space="preserve">7.2 How onset is declared</w:t>
      </w:r>
    </w:p>
    <w:p>
      <w:pPr>
        <w:pStyle w:val="FirstParagraph"/>
      </w:pPr>
      <w:r>
        <w:t xml:space="preserve">The forecast is verified against an objective declaration made after 10 May when three conditions hold:</w:t>
      </w:r>
    </w:p>
    <w:p>
      <w:pPr>
        <w:numPr>
          <w:ilvl w:val="0"/>
          <w:numId w:val="1002"/>
        </w:numPr>
        <w:pStyle w:val="Compact"/>
      </w:pPr>
      <w:r>
        <w:rPr>
          <w:bCs/>
          <w:b/>
        </w:rPr>
        <w:t xml:space="preserve">Rainfall:</w:t>
      </w:r>
      <w:r>
        <w:t xml:space="preserve"> </w:t>
      </w:r>
      <w:r>
        <w:t xml:space="preserve">at least 60% of 14 listed stations in Kerala and coastal Karnataka report 2.5 mm or more on two consecutive days.</w:t>
      </w:r>
    </w:p>
    <w:p>
      <w:pPr>
        <w:numPr>
          <w:ilvl w:val="0"/>
          <w:numId w:val="1002"/>
        </w:numPr>
        <w:pStyle w:val="Compact"/>
      </w:pPr>
      <w:r>
        <w:rPr>
          <w:bCs/>
          <w:b/>
        </w:rPr>
        <w:t xml:space="preserve">Wind field:</w:t>
      </w:r>
      <w:r>
        <w:t xml:space="preserve"> </w:t>
      </w:r>
      <w:r>
        <w:t xml:space="preserve">westerlies extend up to about 600 hPa over the south-east Arabian Sea, with strong low-level winds (15–20 kt at 925 hPa).</w:t>
      </w:r>
    </w:p>
    <w:p>
      <w:pPr>
        <w:numPr>
          <w:ilvl w:val="0"/>
          <w:numId w:val="1002"/>
        </w:numPr>
        <w:pStyle w:val="Compact"/>
      </w:pPr>
      <w:r>
        <w:rPr>
          <w:bCs/>
          <w:b/>
        </w:rPr>
        <w:t xml:space="preserve">Convection:</w:t>
      </w:r>
      <w:r>
        <w:t xml:space="preserve"> </w:t>
      </w:r>
      <w:r>
        <w:t xml:space="preserve">satellite OLR below 200 W m⁻² over the region.</w:t>
      </w:r>
    </w:p>
    <w:bookmarkEnd w:id="42"/>
    <w:bookmarkEnd w:id="43"/>
    <w:bookmarkStart w:id="48" w:name="extended-range-forecast-methodology-erfs"/>
    <w:p>
      <w:pPr>
        <w:pStyle w:val="Heading1"/>
      </w:pPr>
      <w:r>
        <w:t xml:space="preserve">8. Extended-range forecast methodology (ERFS)</w:t>
      </w:r>
    </w:p>
    <w:p>
      <w:pPr>
        <w:pStyle w:val="FirstParagraph"/>
      </w:pPr>
      <w:r>
        <w:t xml:space="preserve">IMD’s Extended Range Forecast System gives weekly forecasts for four weeks, using predictability from the 30–60-day monsoon intraseasonal oscillation (MISO/BSISO) that drives active and break spells. It is a multi-model ensemble of four configurations developed at IITM under the Monsoon Mission (</w:t>
      </w:r>
      <w:hyperlink r:id="rId44">
        <w:r>
          <w:rPr>
            <w:rStyle w:val="Hyperlink"/>
          </w:rPr>
          <w:t xml:space="preserve">Sahai et al. 2021</w:t>
        </w:r>
      </w:hyperlink>
      <w:r>
        <w:t xml:space="preserve">):</w:t>
      </w:r>
    </w:p>
    <w:p>
      <w:pPr>
        <w:pStyle w:val="TableCaption"/>
      </w:pPr>
      <w:r>
        <w:t xml:space="preserve">Table 8. ERFS model configurations.</w:t>
      </w:r>
    </w:p>
    <w:tbl>
      <w:tblPr>
        <w:tblStyle w:val="Table"/>
        <w:tblW w:type="pct" w:w="5000"/>
        <w:tblLook w:firstRow="1" w:lastRow="0" w:firstColumn="0" w:lastColumn="0" w:noHBand="0" w:noVBand="0" w:val="0020"/>
        <w:jc w:val="start"/>
        <w:tblCaption w:val="Table 8. ERFS model configurations."/>
        <w:tblBorders>
          <w:top w:val="single" w:sz="4" w:color="B7C7CB"/>
          <w:left w:val="single" w:sz="4" w:color="B7C7CB"/>
          <w:bottom w:val="single" w:sz="4" w:color="B7C7CB"/>
          <w:right w:val="single" w:sz="4" w:color="B7C7CB"/>
          <w:insideH w:val="single" w:sz="4" w:color="B7C7CB"/>
          <w:insideV w:val="single" w:sz="4" w:color="B7C7CB"/>
        </w:tblBorders>
      </w:tblPr>
      <w:tblGrid>
        <w:gridCol w:w="2640"/>
        <w:gridCol w:w="2640"/>
        <w:gridCol w:w="2640"/>
      </w:tblGrid>
      <w:tr>
        <w:trPr>
          <w:tblHeader w:val="true"/>
        </w:trPr>
        <w:tc>
          <w:tcPr>
            <w:shd w:val="clear" w:color="auto" w:fill="0E3B43"/>
          </w:tcPr>
          <w:p>
            <w:pPr>
              <w:pStyle w:val="Compact"/>
              <w:jc w:val="left"/>
            </w:pPr>
            <w:r>
              <w:rPr>
                <w:b/>
                <w:color w:val="FFFFFF"/>
                <w:sz w:val="20"/>
              </w:rPr>
              <w:t xml:space="preserve">Configuration</w:t>
            </w:r>
          </w:p>
        </w:tc>
        <w:tc>
          <w:tcPr>
            <w:shd w:val="clear" w:color="auto" w:fill="0E3B43"/>
          </w:tcPr>
          <w:p>
            <w:pPr>
              <w:pStyle w:val="Compact"/>
              <w:jc w:val="left"/>
            </w:pPr>
            <w:r>
              <w:rPr>
                <w:b/>
                <w:color w:val="FFFFFF"/>
                <w:sz w:val="20"/>
              </w:rPr>
              <w:t xml:space="preserve">Type</w:t>
            </w:r>
          </w:p>
        </w:tc>
        <w:tc>
          <w:tcPr>
            <w:shd w:val="clear" w:color="auto" w:fill="0E3B43"/>
          </w:tcPr>
          <w:p>
            <w:pPr>
              <w:pStyle w:val="Compact"/>
              <w:jc w:val="left"/>
            </w:pPr>
            <w:r>
              <w:rPr>
                <w:b/>
                <w:color w:val="FFFFFF"/>
                <w:sz w:val="20"/>
              </w:rPr>
              <w:t xml:space="preserve">Grid spacing</w:t>
            </w:r>
          </w:p>
        </w:tc>
      </w:tr>
      <w:tr>
        <w:tc>
          <w:tcPr/>
          <w:p>
            <w:pPr>
              <w:pStyle w:val="Compact"/>
              <w:jc w:val="left"/>
            </w:pPr>
            <w:r>
              <w:rPr>
                <w:sz w:val="20"/>
              </w:rPr>
              <w:t xml:space="preserve">CFSv2 T382</w:t>
            </w:r>
          </w:p>
        </w:tc>
        <w:tc>
          <w:tcPr/>
          <w:p>
            <w:pPr>
              <w:pStyle w:val="Compact"/>
              <w:jc w:val="left"/>
            </w:pPr>
            <w:r>
              <w:rPr>
                <w:sz w:val="20"/>
              </w:rPr>
              <w:t xml:space="preserve">Coupled ocean–atmosphere</w:t>
            </w:r>
          </w:p>
        </w:tc>
        <w:tc>
          <w:tcPr/>
          <w:p>
            <w:pPr>
              <w:pStyle w:val="Compact"/>
              <w:jc w:val="left"/>
            </w:pPr>
            <w:r>
              <w:rPr>
                <w:sz w:val="20"/>
              </w:rPr>
              <w:t xml:space="preserve">~38 km</w:t>
            </w:r>
          </w:p>
        </w:tc>
      </w:tr>
      <w:tr>
        <w:tc>
          <w:tcPr/>
          <w:p>
            <w:pPr>
              <w:pStyle w:val="Compact"/>
              <w:jc w:val="left"/>
            </w:pPr>
            <w:r>
              <w:rPr>
                <w:sz w:val="20"/>
              </w:rPr>
              <w:t xml:space="preserve">CFSv2 T126</w:t>
            </w:r>
          </w:p>
        </w:tc>
        <w:tc>
          <w:tcPr/>
          <w:p>
            <w:pPr>
              <w:pStyle w:val="Compact"/>
              <w:jc w:val="left"/>
            </w:pPr>
            <w:r>
              <w:rPr>
                <w:sz w:val="20"/>
              </w:rPr>
              <w:t xml:space="preserve">Coupled ocean–atmosphere</w:t>
            </w:r>
          </w:p>
        </w:tc>
        <w:tc>
          <w:tcPr/>
          <w:p>
            <w:pPr>
              <w:pStyle w:val="Compact"/>
              <w:jc w:val="left"/>
            </w:pPr>
            <w:r>
              <w:rPr>
                <w:sz w:val="20"/>
              </w:rPr>
              <w:t xml:space="preserve">~100 km</w:t>
            </w:r>
          </w:p>
        </w:tc>
      </w:tr>
      <w:tr>
        <w:tc>
          <w:tcPr/>
          <w:p>
            <w:pPr>
              <w:pStyle w:val="Compact"/>
              <w:jc w:val="left"/>
            </w:pPr>
            <w:r>
              <w:rPr>
                <w:sz w:val="20"/>
              </w:rPr>
              <w:t xml:space="preserve">GFSbc T382</w:t>
            </w:r>
          </w:p>
        </w:tc>
        <w:tc>
          <w:tcPr/>
          <w:p>
            <w:pPr>
              <w:pStyle w:val="Compact"/>
              <w:jc w:val="left"/>
            </w:pPr>
            <w:r>
              <w:rPr>
                <w:sz w:val="20"/>
              </w:rPr>
              <w:t xml:space="preserve">Atmosphere only, forced by bias-corrected CFSv2 SST</w:t>
            </w:r>
          </w:p>
        </w:tc>
        <w:tc>
          <w:tcPr/>
          <w:p>
            <w:pPr>
              <w:pStyle w:val="Compact"/>
              <w:jc w:val="left"/>
            </w:pPr>
            <w:r>
              <w:rPr>
                <w:sz w:val="20"/>
              </w:rPr>
              <w:t xml:space="preserve">~38 km</w:t>
            </w:r>
          </w:p>
        </w:tc>
      </w:tr>
      <w:tr>
        <w:tc>
          <w:tcPr/>
          <w:p>
            <w:pPr>
              <w:pStyle w:val="Compact"/>
              <w:jc w:val="left"/>
            </w:pPr>
            <w:r>
              <w:rPr>
                <w:sz w:val="20"/>
              </w:rPr>
              <w:t xml:space="preserve">GFSbc T126</w:t>
            </w:r>
          </w:p>
        </w:tc>
        <w:tc>
          <w:tcPr/>
          <w:p>
            <w:pPr>
              <w:pStyle w:val="Compact"/>
              <w:jc w:val="left"/>
            </w:pPr>
            <w:r>
              <w:rPr>
                <w:sz w:val="20"/>
              </w:rPr>
              <w:t xml:space="preserve">Atmosphere only, forced by bias-corrected CFSv2 SST</w:t>
            </w:r>
          </w:p>
        </w:tc>
        <w:tc>
          <w:tcPr/>
          <w:p>
            <w:pPr>
              <w:pStyle w:val="Compact"/>
              <w:jc w:val="left"/>
            </w:pPr>
            <w:r>
              <w:rPr>
                <w:sz w:val="20"/>
              </w:rPr>
              <w:t xml:space="preserve">~100 km</w:t>
            </w:r>
          </w:p>
        </w:tc>
      </w:tr>
    </w:tbl>
    <w:bookmarkStart w:id="45" w:name="procedure"/>
    <w:p>
      <w:pPr>
        <w:pStyle w:val="Heading2"/>
      </w:pPr>
      <w:r>
        <w:t xml:space="preserve">8.1 Procedure</w:t>
      </w:r>
    </w:p>
    <w:p>
      <w:pPr>
        <w:numPr>
          <w:ilvl w:val="0"/>
          <w:numId w:val="1003"/>
        </w:numPr>
        <w:pStyle w:val="Compact"/>
      </w:pPr>
      <w:r>
        <w:t xml:space="preserve">Each configuration is run for 32 days from every Wednesday’s initial conditions, with perturbed members (about 4 per configuration, 16 in total).</w:t>
      </w:r>
    </w:p>
    <w:p>
      <w:pPr>
        <w:numPr>
          <w:ilvl w:val="0"/>
          <w:numId w:val="1003"/>
        </w:numPr>
        <w:pStyle w:val="Compact"/>
      </w:pPr>
      <w:r>
        <w:t xml:space="preserve">Forecasts are bias-corrected with a hindcast set (2003 onwards) started on the same calendar dates.</w:t>
      </w:r>
    </w:p>
    <w:p>
      <w:pPr>
        <w:numPr>
          <w:ilvl w:val="0"/>
          <w:numId w:val="1003"/>
        </w:numPr>
        <w:pStyle w:val="Compact"/>
      </w:pPr>
      <w:r>
        <w:t xml:space="preserve">Anomalies are averaged into weekly windows: days 2–8, 9–15, 16–22 and 23–29 after the initial date.</w:t>
      </w:r>
    </w:p>
    <w:p>
      <w:pPr>
        <w:numPr>
          <w:ilvl w:val="0"/>
          <w:numId w:val="1003"/>
        </w:numPr>
        <w:pStyle w:val="Compact"/>
      </w:pPr>
      <w:r>
        <w:t xml:space="preserve">The forecast is issued every Thursday as weekly rainfall and temperature anomaly maps by subdivision, with probabilities.</w:t>
      </w:r>
    </w:p>
    <w:bookmarkEnd w:id="45"/>
    <w:bookmarkStart w:id="47" w:name="products"/>
    <w:p>
      <w:pPr>
        <w:pStyle w:val="Heading2"/>
      </w:pPr>
      <w:r>
        <w:t xml:space="preserve">8.2 Products</w:t>
      </w:r>
    </w:p>
    <w:p>
      <w:pPr>
        <w:pStyle w:val="FirstParagraph"/>
      </w:pPr>
      <w:r>
        <w:t xml:space="preserve">Weekly rainfall and temperature anomalies, active and break spell outlooks from projected MISO indices, monsoon onset and withdrawal progress, cyclogenesis probability, and heat-wave and cold-wave outlooks. IMD and NCMRWF have also tested combining this system with NCMRWF’s Unified Model extended-range forecasts (</w:t>
      </w:r>
      <w:hyperlink r:id="rId46">
        <w:r>
          <w:rPr>
            <w:rStyle w:val="Hyperlink"/>
          </w:rPr>
          <w:t xml:space="preserve">Pattanaik et al. 2026</w:t>
        </w:r>
      </w:hyperlink>
      <w:r>
        <w:t xml:space="preserve">).</w:t>
      </w:r>
    </w:p>
    <w:bookmarkEnd w:id="47"/>
    <w:bookmarkEnd w:id="48"/>
    <w:bookmarkStart w:id="51" w:name="short--and-medium-range-nwp"/>
    <w:p>
      <w:pPr>
        <w:pStyle w:val="Heading1"/>
      </w:pPr>
      <w:r>
        <w:t xml:space="preserve">9. Short- and medium-range NWP</w:t>
      </w:r>
    </w:p>
    <w:p>
      <w:pPr>
        <w:pStyle w:val="FirstParagraph"/>
      </w:pPr>
      <w:r>
        <w:t xml:space="preserve">Daily monsoon forecasts and heavy-rain warnings up to 10 days come from global deterministic models, global ensembles and high-resolution regional models, then forecaster judgement.</w:t>
      </w:r>
    </w:p>
    <w:p>
      <w:pPr>
        <w:pStyle w:val="TableCaption"/>
      </w:pPr>
      <w:r>
        <w:t xml:space="preserve">Table 9. Short- and medium-range NWP models.</w:t>
      </w:r>
    </w:p>
    <w:tbl>
      <w:tblPr>
        <w:tblStyle w:val="Table"/>
        <w:tblW w:type="pct" w:w="5000"/>
        <w:tblLook w:firstRow="1" w:lastRow="0" w:firstColumn="0" w:lastColumn="0" w:noHBand="0" w:noVBand="0" w:val="0020"/>
        <w:jc w:val="start"/>
        <w:tblCaption w:val="Table 9. Short- and medium-range NWP models."/>
        <w:tblBorders>
          <w:top w:val="single" w:sz="4" w:color="B7C7CB"/>
          <w:left w:val="single" w:sz="4" w:color="B7C7CB"/>
          <w:bottom w:val="single" w:sz="4" w:color="B7C7CB"/>
          <w:right w:val="single" w:sz="4" w:color="B7C7CB"/>
          <w:insideH w:val="single" w:sz="4" w:color="B7C7CB"/>
          <w:insideV w:val="single" w:sz="4" w:color="B7C7CB"/>
        </w:tblBorders>
      </w:tblPr>
      <w:tblGrid>
        <w:gridCol w:w="1584"/>
        <w:gridCol w:w="1584"/>
        <w:gridCol w:w="1584"/>
        <w:gridCol w:w="1584"/>
        <w:gridCol w:w="1584"/>
      </w:tblGrid>
      <w:tr>
        <w:trPr>
          <w:tblHeader w:val="true"/>
        </w:trPr>
        <w:tc>
          <w:tcPr>
            <w:shd w:val="clear" w:color="auto" w:fill="0E3B43"/>
          </w:tcPr>
          <w:p>
            <w:pPr>
              <w:pStyle w:val="Compact"/>
              <w:jc w:val="left"/>
            </w:pPr>
            <w:r>
              <w:rPr>
                <w:b/>
                <w:color w:val="FFFFFF"/>
                <w:sz w:val="20"/>
              </w:rPr>
              <w:t xml:space="preserve">Model</w:t>
            </w:r>
          </w:p>
        </w:tc>
        <w:tc>
          <w:tcPr>
            <w:shd w:val="clear" w:color="auto" w:fill="0E3B43"/>
          </w:tcPr>
          <w:p>
            <w:pPr>
              <w:pStyle w:val="Compact"/>
              <w:jc w:val="left"/>
            </w:pPr>
            <w:r>
              <w:rPr>
                <w:b/>
                <w:color w:val="FFFFFF"/>
                <w:sz w:val="20"/>
              </w:rPr>
              <w:t xml:space="preserve">Type</w:t>
            </w:r>
          </w:p>
        </w:tc>
        <w:tc>
          <w:tcPr>
            <w:shd w:val="clear" w:color="auto" w:fill="0E3B43"/>
          </w:tcPr>
          <w:p>
            <w:pPr>
              <w:pStyle w:val="Compact"/>
              <w:jc w:val="left"/>
            </w:pPr>
            <w:r>
              <w:rPr>
                <w:b/>
                <w:color w:val="FFFFFF"/>
                <w:sz w:val="20"/>
              </w:rPr>
              <w:t xml:space="preserve">Grid spacing</w:t>
            </w:r>
          </w:p>
        </w:tc>
        <w:tc>
          <w:tcPr>
            <w:shd w:val="clear" w:color="auto" w:fill="0E3B43"/>
          </w:tcPr>
          <w:p>
            <w:pPr>
              <w:pStyle w:val="Compact"/>
              <w:jc w:val="left"/>
            </w:pPr>
            <w:r>
              <w:rPr>
                <w:b/>
                <w:color w:val="FFFFFF"/>
                <w:sz w:val="20"/>
              </w:rPr>
              <w:t xml:space="preserve">Range</w:t>
            </w:r>
          </w:p>
        </w:tc>
        <w:tc>
          <w:tcPr>
            <w:shd w:val="clear" w:color="auto" w:fill="0E3B43"/>
          </w:tcPr>
          <w:p>
            <w:pPr>
              <w:pStyle w:val="Compact"/>
              <w:jc w:val="left"/>
            </w:pPr>
            <w:r>
              <w:rPr>
                <w:b/>
                <w:color w:val="FFFFFF"/>
                <w:sz w:val="20"/>
              </w:rPr>
              <w:t xml:space="preserve">Run by</w:t>
            </w:r>
          </w:p>
        </w:tc>
      </w:tr>
      <w:tr>
        <w:tc>
          <w:tcPr/>
          <w:p>
            <w:pPr>
              <w:pStyle w:val="Compact"/>
              <w:jc w:val="left"/>
            </w:pPr>
            <w:r>
              <w:rPr>
                <w:sz w:val="20"/>
              </w:rPr>
              <w:t xml:space="preserve">Bharat Forecast System (BFS)</w:t>
            </w:r>
          </w:p>
        </w:tc>
        <w:tc>
          <w:tcPr/>
          <w:p>
            <w:pPr>
              <w:pStyle w:val="Compact"/>
              <w:jc w:val="left"/>
            </w:pPr>
            <w:r>
              <w:rPr>
                <w:sz w:val="20"/>
              </w:rPr>
              <w:t xml:space="preserve">Global, deterministic</w:t>
            </w:r>
          </w:p>
        </w:tc>
        <w:tc>
          <w:tcPr/>
          <w:p>
            <w:pPr>
              <w:pStyle w:val="Compact"/>
              <w:jc w:val="left"/>
            </w:pPr>
            <w:r>
              <w:rPr>
                <w:sz w:val="20"/>
              </w:rPr>
              <w:t xml:space="preserve">~6 km over 30°S–30°N</w:t>
            </w:r>
          </w:p>
        </w:tc>
        <w:tc>
          <w:tcPr/>
          <w:p>
            <w:pPr>
              <w:pStyle w:val="Compact"/>
              <w:jc w:val="left"/>
            </w:pPr>
            <w:r>
              <w:rPr>
                <w:sz w:val="20"/>
              </w:rPr>
              <w:t xml:space="preserve">Up to 10 days</w:t>
            </w:r>
          </w:p>
        </w:tc>
        <w:tc>
          <w:tcPr/>
          <w:p>
            <w:pPr>
              <w:pStyle w:val="Compact"/>
              <w:jc w:val="left"/>
            </w:pPr>
            <w:r>
              <w:rPr>
                <w:sz w:val="20"/>
              </w:rPr>
              <w:t xml:space="preserve">IITM / IMD, operational May 2025</w:t>
            </w:r>
          </w:p>
        </w:tc>
      </w:tr>
      <w:tr>
        <w:tc>
          <w:tcPr/>
          <w:p>
            <w:pPr>
              <w:pStyle w:val="Compact"/>
              <w:jc w:val="left"/>
            </w:pPr>
            <w:r>
              <w:rPr>
                <w:sz w:val="20"/>
              </w:rPr>
              <w:t xml:space="preserve">GFS T1534</w:t>
            </w:r>
          </w:p>
        </w:tc>
        <w:tc>
          <w:tcPr/>
          <w:p>
            <w:pPr>
              <w:pStyle w:val="Compact"/>
              <w:jc w:val="left"/>
            </w:pPr>
            <w:r>
              <w:rPr>
                <w:sz w:val="20"/>
              </w:rPr>
              <w:t xml:space="preserve">Global, deterministic</w:t>
            </w:r>
          </w:p>
        </w:tc>
        <w:tc>
          <w:tcPr/>
          <w:p>
            <w:pPr>
              <w:pStyle w:val="Compact"/>
              <w:jc w:val="left"/>
            </w:pPr>
            <w:r>
              <w:rPr>
                <w:sz w:val="20"/>
              </w:rPr>
              <w:t xml:space="preserve">~12 km</w:t>
            </w:r>
          </w:p>
        </w:tc>
        <w:tc>
          <w:tcPr/>
          <w:p>
            <w:pPr>
              <w:pStyle w:val="Compact"/>
              <w:jc w:val="left"/>
            </w:pPr>
            <w:r>
              <w:rPr>
                <w:sz w:val="20"/>
              </w:rPr>
              <w:t xml:space="preserve">Up to 10 days</w:t>
            </w:r>
          </w:p>
        </w:tc>
        <w:tc>
          <w:tcPr/>
          <w:p>
            <w:pPr>
              <w:pStyle w:val="Compact"/>
              <w:jc w:val="left"/>
            </w:pPr>
            <w:r>
              <w:rPr>
                <w:sz w:val="20"/>
              </w:rPr>
              <w:t xml:space="preserve">IMD</w:t>
            </w:r>
          </w:p>
        </w:tc>
      </w:tr>
      <w:tr>
        <w:tc>
          <w:tcPr/>
          <w:p>
            <w:pPr>
              <w:pStyle w:val="Compact"/>
              <w:jc w:val="left"/>
            </w:pPr>
            <w:r>
              <w:rPr>
                <w:sz w:val="20"/>
              </w:rPr>
              <w:t xml:space="preserve">NCUM-G</w:t>
            </w:r>
          </w:p>
        </w:tc>
        <w:tc>
          <w:tcPr/>
          <w:p>
            <w:pPr>
              <w:pStyle w:val="Compact"/>
              <w:jc w:val="left"/>
            </w:pPr>
            <w:r>
              <w:rPr>
                <w:sz w:val="20"/>
              </w:rPr>
              <w:t xml:space="preserve">Global, deterministic (Met Office Unified Model)</w:t>
            </w:r>
          </w:p>
        </w:tc>
        <w:tc>
          <w:tcPr/>
          <w:p>
            <w:pPr>
              <w:pStyle w:val="Compact"/>
              <w:jc w:val="left"/>
            </w:pPr>
            <w:r>
              <w:rPr>
                <w:sz w:val="20"/>
              </w:rPr>
              <w:t xml:space="preserve">~12 km</w:t>
            </w:r>
          </w:p>
        </w:tc>
        <w:tc>
          <w:tcPr/>
          <w:p>
            <w:pPr>
              <w:pStyle w:val="Compact"/>
              <w:jc w:val="left"/>
            </w:pPr>
            <w:r>
              <w:rPr>
                <w:sz w:val="20"/>
              </w:rPr>
              <w:t xml:space="preserve">Up to 10 days</w:t>
            </w:r>
          </w:p>
        </w:tc>
        <w:tc>
          <w:tcPr/>
          <w:p>
            <w:pPr>
              <w:pStyle w:val="Compact"/>
              <w:jc w:val="left"/>
            </w:pPr>
            <w:r>
              <w:rPr>
                <w:sz w:val="20"/>
              </w:rPr>
              <w:t xml:space="preserve">NCMRWF</w:t>
            </w:r>
          </w:p>
        </w:tc>
      </w:tr>
      <w:tr>
        <w:tc>
          <w:tcPr/>
          <w:p>
            <w:pPr>
              <w:pStyle w:val="Compact"/>
              <w:jc w:val="left"/>
            </w:pPr>
            <w:r>
              <w:rPr>
                <w:sz w:val="20"/>
              </w:rPr>
              <w:t xml:space="preserve">GEFS T1534</w:t>
            </w:r>
          </w:p>
        </w:tc>
        <w:tc>
          <w:tcPr/>
          <w:p>
            <w:pPr>
              <w:pStyle w:val="Compact"/>
              <w:jc w:val="left"/>
            </w:pPr>
            <w:r>
              <w:rPr>
                <w:sz w:val="20"/>
              </w:rPr>
              <w:t xml:space="preserve">Global ensemble, 21 members</w:t>
            </w:r>
          </w:p>
        </w:tc>
        <w:tc>
          <w:tcPr/>
          <w:p>
            <w:pPr>
              <w:pStyle w:val="Compact"/>
              <w:jc w:val="left"/>
            </w:pPr>
            <w:r>
              <w:rPr>
                <w:sz w:val="20"/>
              </w:rPr>
              <w:t xml:space="preserve">~12 km</w:t>
            </w:r>
          </w:p>
        </w:tc>
        <w:tc>
          <w:tcPr/>
          <w:p>
            <w:pPr>
              <w:pStyle w:val="Compact"/>
              <w:jc w:val="left"/>
            </w:pPr>
            <w:r>
              <w:rPr>
                <w:sz w:val="20"/>
              </w:rPr>
              <w:t xml:space="preserve">Up to 10 days</w:t>
            </w:r>
          </w:p>
        </w:tc>
        <w:tc>
          <w:tcPr/>
          <w:p>
            <w:pPr>
              <w:pStyle w:val="Compact"/>
              <w:jc w:val="left"/>
            </w:pPr>
            <w:r>
              <w:rPr>
                <w:sz w:val="20"/>
              </w:rPr>
              <w:t xml:space="preserve">IMD / IITM</w:t>
            </w:r>
          </w:p>
        </w:tc>
      </w:tr>
      <w:tr>
        <w:tc>
          <w:tcPr/>
          <w:p>
            <w:pPr>
              <w:pStyle w:val="Compact"/>
              <w:jc w:val="left"/>
            </w:pPr>
            <w:r>
              <w:rPr>
                <w:sz w:val="20"/>
              </w:rPr>
              <w:t xml:space="preserve">NEPS-G</w:t>
            </w:r>
          </w:p>
        </w:tc>
        <w:tc>
          <w:tcPr/>
          <w:p>
            <w:pPr>
              <w:pStyle w:val="Compact"/>
              <w:jc w:val="left"/>
            </w:pPr>
            <w:r>
              <w:rPr>
                <w:sz w:val="20"/>
              </w:rPr>
              <w:t xml:space="preserve">Global ensemble, 23 members</w:t>
            </w:r>
          </w:p>
        </w:tc>
        <w:tc>
          <w:tcPr/>
          <w:p>
            <w:pPr>
              <w:pStyle w:val="Compact"/>
              <w:jc w:val="left"/>
            </w:pPr>
            <w:r>
              <w:rPr>
                <w:sz w:val="20"/>
              </w:rPr>
              <w:t xml:space="preserve">~12 km</w:t>
            </w:r>
          </w:p>
        </w:tc>
        <w:tc>
          <w:tcPr/>
          <w:p>
            <w:pPr>
              <w:pStyle w:val="Compact"/>
              <w:jc w:val="left"/>
            </w:pPr>
            <w:r>
              <w:rPr>
                <w:sz w:val="20"/>
              </w:rPr>
              <w:t xml:space="preserve">Up to 10 days</w:t>
            </w:r>
          </w:p>
        </w:tc>
        <w:tc>
          <w:tcPr/>
          <w:p>
            <w:pPr>
              <w:pStyle w:val="Compact"/>
              <w:jc w:val="left"/>
            </w:pPr>
            <w:r>
              <w:rPr>
                <w:sz w:val="20"/>
              </w:rPr>
              <w:t xml:space="preserve">NCMRWF</w:t>
            </w:r>
          </w:p>
        </w:tc>
      </w:tr>
      <w:tr>
        <w:tc>
          <w:tcPr/>
          <w:p>
            <w:pPr>
              <w:pStyle w:val="Compact"/>
              <w:jc w:val="left"/>
            </w:pPr>
            <w:r>
              <w:rPr>
                <w:sz w:val="20"/>
              </w:rPr>
              <w:t xml:space="preserve">WRF / NCUM-R</w:t>
            </w:r>
          </w:p>
        </w:tc>
        <w:tc>
          <w:tcPr/>
          <w:p>
            <w:pPr>
              <w:pStyle w:val="Compact"/>
              <w:jc w:val="left"/>
            </w:pPr>
            <w:r>
              <w:rPr>
                <w:sz w:val="20"/>
              </w:rPr>
              <w:t xml:space="preserve">Regional</w:t>
            </w:r>
          </w:p>
        </w:tc>
        <w:tc>
          <w:tcPr/>
          <w:p>
            <w:pPr>
              <w:pStyle w:val="Compact"/>
              <w:jc w:val="left"/>
            </w:pPr>
            <w:r>
              <w:rPr>
                <w:sz w:val="20"/>
              </w:rPr>
              <w:t xml:space="preserve">~3 km / ~4 km</w:t>
            </w:r>
          </w:p>
        </w:tc>
        <w:tc>
          <w:tcPr/>
          <w:p>
            <w:pPr>
              <w:pStyle w:val="Compact"/>
              <w:jc w:val="left"/>
            </w:pPr>
            <w:r>
              <w:rPr>
                <w:sz w:val="20"/>
              </w:rPr>
              <w:t xml:space="preserve">1–3 days</w:t>
            </w:r>
          </w:p>
        </w:tc>
        <w:tc>
          <w:tcPr/>
          <w:p>
            <w:pPr>
              <w:pStyle w:val="Compact"/>
              <w:jc w:val="left"/>
            </w:pPr>
            <w:r>
              <w:rPr>
                <w:sz w:val="20"/>
              </w:rPr>
              <w:t xml:space="preserve">IMD / NCMRWF</w:t>
            </w:r>
          </w:p>
        </w:tc>
      </w:tr>
      <w:tr>
        <w:tc>
          <w:tcPr/>
          <w:p>
            <w:pPr>
              <w:pStyle w:val="Compact"/>
              <w:jc w:val="left"/>
            </w:pPr>
            <w:r>
              <w:rPr>
                <w:sz w:val="20"/>
              </w:rPr>
              <w:t xml:space="preserve">HWRF</w:t>
            </w:r>
          </w:p>
        </w:tc>
        <w:tc>
          <w:tcPr/>
          <w:p>
            <w:pPr>
              <w:pStyle w:val="Compact"/>
              <w:jc w:val="left"/>
            </w:pPr>
            <w:r>
              <w:rPr>
                <w:sz w:val="20"/>
              </w:rPr>
              <w:t xml:space="preserve">Regional, moving nest</w:t>
            </w:r>
          </w:p>
        </w:tc>
        <w:tc>
          <w:tcPr/>
          <w:p>
            <w:pPr>
              <w:pStyle w:val="Compact"/>
              <w:jc w:val="left"/>
            </w:pPr>
            <w:r>
              <w:rPr>
                <w:sz w:val="20"/>
              </w:rPr>
              <w:t xml:space="preserve">~2 km inner nest</w:t>
            </w:r>
          </w:p>
        </w:tc>
        <w:tc>
          <w:tcPr/>
          <w:p>
            <w:pPr>
              <w:pStyle w:val="Compact"/>
              <w:jc w:val="left"/>
            </w:pPr>
            <w:r>
              <w:rPr>
                <w:sz w:val="20"/>
              </w:rPr>
              <w:t xml:space="preserve">Up to 5 days</w:t>
            </w:r>
          </w:p>
        </w:tc>
        <w:tc>
          <w:tcPr/>
          <w:p>
            <w:pPr>
              <w:pStyle w:val="Compact"/>
              <w:jc w:val="left"/>
            </w:pPr>
            <w:r>
              <w:rPr>
                <w:sz w:val="20"/>
              </w:rPr>
              <w:t xml:space="preserve">IMD, tropical cyclones</w:t>
            </w:r>
          </w:p>
        </w:tc>
      </w:tr>
    </w:tbl>
    <w:bookmarkStart w:id="50" w:name="methodology"/>
    <w:p>
      <w:pPr>
        <w:pStyle w:val="Heading2"/>
      </w:pPr>
      <w:r>
        <w:t xml:space="preserve">9.1 Methodology</w:t>
      </w:r>
    </w:p>
    <w:p>
      <w:pPr>
        <w:numPr>
          <w:ilvl w:val="0"/>
          <w:numId w:val="1004"/>
        </w:numPr>
        <w:pStyle w:val="Compact"/>
      </w:pPr>
      <w:r>
        <w:rPr>
          <w:bCs/>
          <w:b/>
        </w:rPr>
        <w:t xml:space="preserve">Analysis:</w:t>
      </w:r>
      <w:r>
        <w:t xml:space="preserve"> </w:t>
      </w:r>
      <w:r>
        <w:t xml:space="preserve">observations are assimilated every 6 hours (Section 3).</w:t>
      </w:r>
    </w:p>
    <w:p>
      <w:pPr>
        <w:numPr>
          <w:ilvl w:val="0"/>
          <w:numId w:val="1004"/>
        </w:numPr>
        <w:pStyle w:val="Compact"/>
      </w:pPr>
      <w:r>
        <w:rPr>
          <w:bCs/>
          <w:b/>
        </w:rPr>
        <w:t xml:space="preserve">Deterministic runs:</w:t>
      </w:r>
      <w:r>
        <w:t xml:space="preserve"> </w:t>
      </w:r>
      <w:r>
        <w:t xml:space="preserve">BFS, GFS and NCUM give the best single estimate of rain location and timing. BFS’s 6 km grid resolves the Western Ghats and Himalayan orography better; MoES reports 30–64% better extreme-rainfall forecasts in tests (</w:t>
      </w:r>
      <w:hyperlink r:id="rId49">
        <w:r>
          <w:rPr>
            <w:rStyle w:val="Hyperlink"/>
          </w:rPr>
          <w:t xml:space="preserve">ThePrint</w:t>
        </w:r>
      </w:hyperlink>
      <w:r>
        <w:t xml:space="preserve">).</w:t>
      </w:r>
    </w:p>
    <w:p>
      <w:pPr>
        <w:numPr>
          <w:ilvl w:val="0"/>
          <w:numId w:val="1004"/>
        </w:numPr>
        <w:pStyle w:val="Compact"/>
      </w:pPr>
      <w:r>
        <w:rPr>
          <w:bCs/>
          <w:b/>
        </w:rPr>
        <w:t xml:space="preserve">Ensembles:</w:t>
      </w:r>
      <w:r>
        <w:t xml:space="preserve"> </w:t>
      </w:r>
      <w:r>
        <w:t xml:space="preserve">GEFS and NEPS-G perturb initial conditions and physics to give probabilities of heavy rain.</w:t>
      </w:r>
    </w:p>
    <w:p>
      <w:pPr>
        <w:numPr>
          <w:ilvl w:val="0"/>
          <w:numId w:val="1004"/>
        </w:numPr>
        <w:pStyle w:val="Compact"/>
      </w:pPr>
      <w:r>
        <w:rPr>
          <w:bCs/>
          <w:b/>
        </w:rPr>
        <w:t xml:space="preserve">Post-processing:</w:t>
      </w:r>
      <w:r>
        <w:t xml:space="preserve"> </w:t>
      </w:r>
      <w:r>
        <w:t xml:space="preserve">a bias-corrected multi-model ensemble of the deterministic models produces district- and block-level guidance.</w:t>
      </w:r>
    </w:p>
    <w:p>
      <w:pPr>
        <w:numPr>
          <w:ilvl w:val="0"/>
          <w:numId w:val="1004"/>
        </w:numPr>
        <w:pStyle w:val="Compact"/>
      </w:pPr>
      <w:r>
        <w:rPr>
          <w:bCs/>
          <w:b/>
        </w:rPr>
        <w:t xml:space="preserve">Forecaster:</w:t>
      </w:r>
      <w:r>
        <w:t xml:space="preserve"> </w:t>
      </w:r>
      <w:r>
        <w:t xml:space="preserve">regional and state centres blend model guidance with radar and satellite and issue colour-coded warnings (green, yellow, orange, red) and impact-based forecasts.</w:t>
      </w:r>
    </w:p>
    <w:p>
      <w:pPr>
        <w:numPr>
          <w:ilvl w:val="0"/>
          <w:numId w:val="1004"/>
        </w:numPr>
        <w:pStyle w:val="Compact"/>
      </w:pPr>
      <w:r>
        <w:rPr>
          <w:bCs/>
          <w:b/>
        </w:rPr>
        <w:t xml:space="preserve">Nowcasting (0–3 h):</w:t>
      </w:r>
      <w:r>
        <w:t xml:space="preserve"> </w:t>
      </w:r>
      <w:r>
        <w:t xml:space="preserve">extrapolation of Doppler radar and satellite echoes for thunderstorm, lightning and heavy-rain nowcasts.</w:t>
      </w:r>
    </w:p>
    <w:bookmarkEnd w:id="50"/>
    <w:bookmarkEnd w:id="51"/>
    <w:bookmarkStart w:id="56" w:name="verification-and-limitations"/>
    <w:p>
      <w:pPr>
        <w:pStyle w:val="Heading1"/>
      </w:pPr>
      <w:r>
        <w:t xml:space="preserve">10. Verification and limitations</w:t>
      </w:r>
    </w:p>
    <w:bookmarkStart w:id="52" w:name="verification-methodology"/>
    <w:p>
      <w:pPr>
        <w:pStyle w:val="Heading2"/>
      </w:pPr>
      <w:r>
        <w:t xml:space="preserve">10.1 Verification methodology</w:t>
      </w:r>
    </w:p>
    <w:p>
      <w:pPr>
        <w:pStyle w:val="FirstParagraph"/>
      </w:pPr>
      <w:r>
        <w:t xml:space="preserve">Forecasts are verified on long hindcast sets (for example 1981–2020) and in real time against IMD’s gridded rain-gauge rainfall. Deterministic seasonal forecasts use the error and the correlation over years:</w:t>
      </w:r>
    </w:p>
    <w:p>
      <w:pPr>
        <w:pStyle w:val="BodyText"/>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endChr m:val=")"/>
                          <m:sepChr m:val=""/>
                          <m:grow/>
                        </m:dPr>
                        <m:e>
                          <m:sSub>
                            <m:e>
                              <m:r>
                                <m:t>F</m:t>
                              </m:r>
                            </m:e>
                            <m:sub>
                              <m:r>
                                <m:t>t</m:t>
                              </m:r>
                            </m:sub>
                          </m:sSub>
                          <m:r>
                            <m:rPr>
                              <m:sty m:val="p"/>
                            </m:rPr>
                            <m:t>−</m:t>
                          </m:r>
                          <m:sSub>
                            <m:e>
                              <m:r>
                                <m:t>O</m:t>
                              </m:r>
                            </m:e>
                            <m:sub>
                              <m:r>
                                <m:t>t</m:t>
                              </m:r>
                            </m:sub>
                          </m:sSub>
                        </m:e>
                      </m:d>
                    </m:e>
                    <m:sup>
                      <m:r>
                        <m:t>2</m:t>
                      </m:r>
                    </m:sup>
                  </m:sSup>
                </m:e>
              </m:nary>
            </m:e>
          </m:rad>
          <m:r>
            <m:rPr>
              <m:sty m:val="p"/>
            </m:rPr>
            <m:t>,</m:t>
          </m:r>
          <m:r>
            <m:t>  </m:t>
          </m:r>
          <m:r>
            <m:t>r</m:t>
          </m:r>
          <m:r>
            <m:rPr>
              <m:sty m:val="p"/>
            </m:rPr>
            <m:t>=</m:t>
          </m:r>
          <m:f>
            <m:fPr>
              <m:type m:val="bar"/>
            </m:fPr>
            <m:num>
              <m:nary>
                <m:naryPr>
                  <m:chr m:val="∑"/>
                  <m:limLoc m:val="undOvr"/>
                  <m:subHide m:val="off"/>
                  <m:supHide m:val="on"/>
                </m:naryPr>
                <m:sub>
                  <m:r>
                    <m:t>t</m:t>
                  </m:r>
                </m:sub>
                <m:sup>
                  <m:r>
                    <m:t>​</m:t>
                  </m:r>
                </m:sup>
                <m:e>
                  <m:d>
                    <m:dPr>
                      <m:begChr m:val="("/>
                      <m:endChr m:val=")"/>
                      <m:sepChr m:val=""/>
                      <m:grow/>
                    </m:dPr>
                    <m:e>
                      <m:sSub>
                        <m:e>
                          <m:r>
                            <m:t>F</m:t>
                          </m:r>
                        </m:e>
                        <m:sub>
                          <m:r>
                            <m:t>t</m:t>
                          </m:r>
                        </m:sub>
                      </m:sSub>
                      <m:r>
                        <m:rPr>
                          <m:sty m:val="p"/>
                        </m:rPr>
                        <m:t>−</m:t>
                      </m:r>
                      <m:acc>
                        <m:accPr>
                          <m:chr m:val="‾"/>
                        </m:accPr>
                        <m:e>
                          <m:r>
                            <m:t>F</m:t>
                          </m:r>
                        </m:e>
                      </m:acc>
                    </m:e>
                  </m:d>
                </m:e>
              </m:nary>
              <m:d>
                <m:dPr>
                  <m:begChr m:val="("/>
                  <m:endChr m:val=")"/>
                  <m:sepChr m:val=""/>
                  <m:grow/>
                </m:dPr>
                <m:e>
                  <m:sSub>
                    <m:e>
                      <m:r>
                        <m:t>O</m:t>
                      </m:r>
                    </m:e>
                    <m:sub>
                      <m:r>
                        <m:t>t</m:t>
                      </m:r>
                    </m:sub>
                  </m:sSub>
                  <m:r>
                    <m:rPr>
                      <m:sty m:val="p"/>
                    </m:rPr>
                    <m:t>−</m:t>
                  </m:r>
                  <m:acc>
                    <m:accPr>
                      <m:chr m:val="‾"/>
                    </m:accPr>
                    <m:e>
                      <m:r>
                        <m:t>O</m:t>
                      </m:r>
                    </m:e>
                  </m:acc>
                </m:e>
              </m:d>
            </m:num>
            <m:den>
              <m:rad>
                <m:radPr>
                  <m:degHide m:val="on"/>
                </m:radPr>
                <m:deg/>
                <m:e>
                  <m:nary>
                    <m:naryPr>
                      <m:chr m:val="∑"/>
                      <m:limLoc m:val="undOvr"/>
                      <m:subHide m:val="off"/>
                      <m:supHide m:val="on"/>
                    </m:naryPr>
                    <m:sub>
                      <m:r>
                        <m:t>t</m:t>
                      </m:r>
                    </m:sub>
                    <m:sup>
                      <m:r>
                        <m:t>​</m:t>
                      </m:r>
                    </m:sup>
                    <m:e>
                      <m:sSup>
                        <m:e>
                          <m:d>
                            <m:dPr>
                              <m:begChr m:val="("/>
                              <m:endChr m:val=")"/>
                              <m:sepChr m:val=""/>
                              <m:grow/>
                            </m:dPr>
                            <m:e>
                              <m:sSub>
                                <m:e>
                                  <m:r>
                                    <m:t>F</m:t>
                                  </m:r>
                                </m:e>
                                <m:sub>
                                  <m:r>
                                    <m:t>t</m:t>
                                  </m:r>
                                </m:sub>
                              </m:sSub>
                              <m:r>
                                <m:rPr>
                                  <m:sty m:val="p"/>
                                </m:rPr>
                                <m:t>−</m:t>
                              </m:r>
                              <m:acc>
                                <m:accPr>
                                  <m:chr m:val="‾"/>
                                </m:accPr>
                                <m:e>
                                  <m:r>
                                    <m:t>F</m:t>
                                  </m:r>
                                </m:e>
                              </m:acc>
                            </m:e>
                          </m:d>
                        </m:e>
                        <m:sup>
                          <m:r>
                            <m:t>2</m:t>
                          </m:r>
                        </m:sup>
                      </m:sSup>
                    </m:e>
                  </m:nary>
                  <m:r>
                    <m:t> </m:t>
                  </m:r>
                  <m:nary>
                    <m:naryPr>
                      <m:chr m:val="∑"/>
                      <m:limLoc m:val="undOvr"/>
                      <m:subHide m:val="off"/>
                      <m:supHide m:val="on"/>
                    </m:naryPr>
                    <m:sub>
                      <m:r>
                        <m:t>t</m:t>
                      </m:r>
                    </m:sub>
                    <m:sup>
                      <m:r>
                        <m:t>​</m:t>
                      </m:r>
                    </m:sup>
                    <m:e>
                      <m:sSup>
                        <m:e>
                          <m:d>
                            <m:dPr>
                              <m:begChr m:val="("/>
                              <m:endChr m:val=")"/>
                              <m:sepChr m:val=""/>
                              <m:grow/>
                            </m:dPr>
                            <m:e>
                              <m:sSub>
                                <m:e>
                                  <m:r>
                                    <m:t>O</m:t>
                                  </m:r>
                                </m:e>
                                <m:sub>
                                  <m:r>
                                    <m:t>t</m:t>
                                  </m:r>
                                </m:sub>
                              </m:sSub>
                              <m:r>
                                <m:rPr>
                                  <m:sty m:val="p"/>
                                </m:rPr>
                                <m:t>−</m:t>
                              </m:r>
                              <m:acc>
                                <m:accPr>
                                  <m:chr m:val="‾"/>
                                </m:accPr>
                                <m:e>
                                  <m:r>
                                    <m:t>O</m:t>
                                  </m:r>
                                </m:e>
                              </m:acc>
                            </m:e>
                          </m:d>
                        </m:e>
                        <m:sup>
                          <m:r>
                            <m:t>2</m:t>
                          </m:r>
                        </m:sup>
                      </m:sSup>
                    </m:e>
                  </m:nary>
                </m:e>
              </m:rad>
            </m:den>
          </m:f>
        </m:oMath>
      </m:oMathPara>
    </w:p>
    <w:p>
      <w:pPr>
        <w:pStyle w:val="FirstParagraph"/>
      </w:pPr>
      <w:r>
        <w:t xml:space="preserve">Categorical forecasts use the Heidke skill score, with</w:t>
      </w:r>
      <w:r>
        <w:t xml:space="preserve"> </w:t>
      </w:r>
      <m:oMath>
        <m:r>
          <m:t>H</m:t>
        </m:r>
      </m:oMath>
      <w:r>
        <w:t xml:space="preserve"> </w:t>
      </w:r>
      <w:r>
        <w:t xml:space="preserve">correct forecasts out of</w:t>
      </w:r>
      <w:r>
        <w:t xml:space="preserve"> </w:t>
      </w:r>
      <m:oMath>
        <m:r>
          <m:t>N</m:t>
        </m:r>
      </m:oMath>
      <w:r>
        <w:t xml:space="preserve"> </w:t>
      </w:r>
      <w:r>
        <w:t xml:space="preserve">and</w:t>
      </w:r>
      <w:r>
        <w:t xml:space="preserve"> </w:t>
      </w:r>
      <m:oMath>
        <m:r>
          <m:t>E</m:t>
        </m:r>
      </m:oMath>
      <w:r>
        <w:t xml:space="preserve"> </w:t>
      </w:r>
      <w:r>
        <w:t xml:space="preserve">correct by chance:</w:t>
      </w:r>
    </w:p>
    <w:p>
      <w:pPr>
        <w:pStyle w:val="BodyText"/>
      </w:pPr>
      <m:oMathPara>
        <m:oMathParaPr>
          <m:jc m:val="center"/>
        </m:oMathParaPr>
        <m:oMath>
          <m:r>
            <m:rPr>
              <m:sty m:val="p"/>
            </m:rPr>
            <m:t>H</m:t>
          </m:r>
          <m:r>
            <m:rPr>
              <m:sty m:val="p"/>
            </m:rPr>
            <m:t>S</m:t>
          </m:r>
          <m:r>
            <m:rPr>
              <m:sty m:val="p"/>
            </m:rPr>
            <m:t>S</m:t>
          </m:r>
          <m:r>
            <m:rPr>
              <m:sty m:val="p"/>
            </m:rPr>
            <m:t>=</m:t>
          </m:r>
          <m:f>
            <m:fPr>
              <m:type m:val="bar"/>
            </m:fPr>
            <m:num>
              <m:r>
                <m:t>H</m:t>
              </m:r>
              <m:r>
                <m:rPr>
                  <m:sty m:val="p"/>
                </m:rPr>
                <m:t>−</m:t>
              </m:r>
              <m:r>
                <m:t>E</m:t>
              </m:r>
            </m:num>
            <m:den>
              <m:r>
                <m:t>N</m:t>
              </m:r>
              <m:r>
                <m:rPr>
                  <m:sty m:val="p"/>
                </m:rPr>
                <m:t>−</m:t>
              </m:r>
              <m:r>
                <m:t>E</m:t>
              </m:r>
            </m:den>
          </m:f>
        </m:oMath>
      </m:oMathPara>
    </w:p>
    <w:p>
      <w:pPr>
        <w:pStyle w:val="FirstParagraph"/>
      </w:pPr>
      <w:r>
        <w:t xml:space="preserve">Probabilistic forecasts use the Brier score (</w:t>
      </w:r>
      <m:oMath>
        <m:r>
          <m:t>p</m:t>
        </m:r>
      </m:oMath>
      <w:r>
        <w:t xml:space="preserve"> </w:t>
      </w:r>
      <w:r>
        <w:t xml:space="preserve">= forecast probability,</w:t>
      </w:r>
      <w:r>
        <w:t xml:space="preserve"> </w:t>
      </w:r>
      <m:oMath>
        <m:r>
          <m:t>o</m:t>
        </m:r>
      </m:oMath>
      <w:r>
        <w:t xml:space="preserve"> </w:t>
      </w:r>
      <w:r>
        <w:t xml:space="preserve">= 1 if the event occurred, else 0) and the ranked probability skill score, plus ROC curves and reliability diagrams:</w:t>
      </w:r>
    </w:p>
    <w:p>
      <w:pPr>
        <w:pStyle w:val="BodyText"/>
      </w:pPr>
      <m:oMathPara>
        <m:oMathParaPr>
          <m:jc m:val="center"/>
        </m:oMathParaPr>
        <m:oMath>
          <m:r>
            <m:rPr>
              <m:sty m:val="p"/>
            </m:rPr>
            <m:t>B</m:t>
          </m:r>
          <m:r>
            <m:rPr>
              <m:sty m:val="p"/>
            </m:rPr>
            <m:t>S</m:t>
          </m:r>
          <m:r>
            <m:rPr>
              <m:sty m:val="p"/>
            </m:rPr>
            <m:t>=</m:t>
          </m:r>
          <m:f>
            <m:fPr>
              <m:type m:val="bar"/>
            </m:fPr>
            <m:num>
              <m:r>
                <m:t>1</m:t>
              </m:r>
            </m:num>
            <m:den>
              <m:r>
                <m:t>N</m:t>
              </m:r>
            </m:den>
          </m:f>
          <m:nary>
            <m:naryPr>
              <m:chr m:val="∑"/>
              <m:limLoc m:val="undOvr"/>
              <m:subHide m:val="off"/>
              <m:supHide m:val="off"/>
            </m:naryPr>
            <m:sub>
              <m:r>
                <m:t>t</m:t>
              </m:r>
              <m:r>
                <m:rPr>
                  <m:sty m:val="p"/>
                </m:rPr>
                <m:t>=</m:t>
              </m:r>
              <m:r>
                <m:t>1</m:t>
              </m:r>
            </m:sub>
            <m:sup>
              <m:r>
                <m:t>N</m:t>
              </m:r>
            </m:sup>
            <m:e>
              <m:sSup>
                <m:e>
                  <m:d>
                    <m:dPr>
                      <m:begChr m:val="("/>
                      <m:endChr m:val=")"/>
                      <m:sepChr m:val=""/>
                      <m:grow/>
                    </m:dPr>
                    <m:e>
                      <m:sSub>
                        <m:e>
                          <m:r>
                            <m:t>p</m:t>
                          </m:r>
                        </m:e>
                        <m:sub>
                          <m:r>
                            <m:t>t</m:t>
                          </m:r>
                        </m:sub>
                      </m:sSub>
                      <m:r>
                        <m:rPr>
                          <m:sty m:val="p"/>
                        </m:rPr>
                        <m:t>−</m:t>
                      </m:r>
                      <m:sSub>
                        <m:e>
                          <m:r>
                            <m:t>o</m:t>
                          </m:r>
                        </m:e>
                        <m:sub>
                          <m:r>
                            <m:t>t</m:t>
                          </m:r>
                        </m:sub>
                      </m:sSub>
                    </m:e>
                  </m:d>
                </m:e>
                <m:sup>
                  <m:r>
                    <m:t>2</m:t>
                  </m:r>
                </m:sup>
              </m:sSup>
            </m:e>
          </m:nary>
        </m:oMath>
      </m:oMathPara>
    </w:p>
    <w:p>
      <w:pPr>
        <w:pStyle w:val="FirstParagraph"/>
      </w:pPr>
      <w:r>
        <w:t xml:space="preserve">Short-range rain forecasts use probability of detection (POD), false alarm ratio (FAR) and equitable threat score (ETS). The scores feed back into predictor selection, model weights and model upgrades.</w:t>
      </w:r>
    </w:p>
    <w:bookmarkEnd w:id="52"/>
    <w:bookmarkStart w:id="55" w:name="limitations"/>
    <w:p>
      <w:pPr>
        <w:pStyle w:val="Heading2"/>
      </w:pPr>
      <w:r>
        <w:t xml:space="preserve">10.2 Limitations</w:t>
      </w:r>
    </w:p>
    <w:p>
      <w:pPr>
        <w:numPr>
          <w:ilvl w:val="0"/>
          <w:numId w:val="1005"/>
        </w:numPr>
        <w:pStyle w:val="Compact"/>
      </w:pPr>
      <w:r>
        <w:rPr>
          <w:bCs/>
          <w:b/>
        </w:rPr>
        <w:t xml:space="preserve">Internal variability:</w:t>
      </w:r>
      <w:r>
        <w:t xml:space="preserve"> </w:t>
      </w:r>
      <w:r>
        <w:t xml:space="preserve">active and break spells and low-pressure systems are chaotic, so part of seasonal rainfall is unpredictable even with perfect models.</w:t>
      </w:r>
    </w:p>
    <w:p>
      <w:pPr>
        <w:numPr>
          <w:ilvl w:val="0"/>
          <w:numId w:val="1005"/>
        </w:numPr>
        <w:pStyle w:val="Compact"/>
      </w:pPr>
      <w:r>
        <w:rPr>
          <w:bCs/>
          <w:b/>
        </w:rPr>
        <w:t xml:space="preserve">Spring predictability barrier:</w:t>
      </w:r>
      <w:r>
        <w:t xml:space="preserve"> </w:t>
      </w:r>
      <w:r>
        <w:t xml:space="preserve">ENSO forecasts made in March–May are least reliable, which limits the April forecast.</w:t>
      </w:r>
    </w:p>
    <w:p>
      <w:pPr>
        <w:numPr>
          <w:ilvl w:val="0"/>
          <w:numId w:val="1005"/>
        </w:numPr>
        <w:pStyle w:val="Compact"/>
      </w:pPr>
      <w:r>
        <w:rPr>
          <w:bCs/>
          <w:b/>
        </w:rPr>
        <w:t xml:space="preserve">Model biases:</w:t>
      </w:r>
      <w:r>
        <w:t xml:space="preserve"> </w:t>
      </w:r>
      <w:r>
        <w:t xml:space="preserve">coupled models tend to under-simulate rainfall over Indian land and the monsoon trough, and simulate the IOD poorly.</w:t>
      </w:r>
    </w:p>
    <w:p>
      <w:pPr>
        <w:numPr>
          <w:ilvl w:val="0"/>
          <w:numId w:val="1005"/>
        </w:numPr>
        <w:pStyle w:val="Compact"/>
      </w:pPr>
      <w:r>
        <w:rPr>
          <w:bCs/>
          <w:b/>
        </w:rPr>
        <w:t xml:space="preserve">Changing teleconnections:</w:t>
      </w:r>
      <w:r>
        <w:t xml:space="preserve"> </w:t>
      </w:r>
      <w:r>
        <w:t xml:space="preserve">predictor–rainfall relations can weaken with climate change, so statistical predictors must be re-tested.</w:t>
      </w:r>
    </w:p>
    <w:p>
      <w:pPr>
        <w:numPr>
          <w:ilvl w:val="0"/>
          <w:numId w:val="1005"/>
        </w:numPr>
        <w:pStyle w:val="Compact"/>
      </w:pPr>
      <w:r>
        <w:rPr>
          <w:bCs/>
          <w:b/>
        </w:rPr>
        <w:t xml:space="preserve">Regional skill:</w:t>
      </w:r>
      <w:r>
        <w:t xml:space="preserve"> </w:t>
      </w:r>
      <w:r>
        <w:t xml:space="preserve">regional and monthly forecasts are much less skilful than the all-India total.</w:t>
      </w:r>
    </w:p>
    <w:p>
      <w:pPr>
        <w:pStyle w:val="FirstParagraph"/>
      </w:pPr>
      <w:r>
        <w:t xml:space="preserve">The 2026 season illustrates these limits. IMD forecast 92% of LPA in April and 90% in May (60% probability of deficient) as El Niño developed. The season ended near 87% of LPA (provisional), with east and north-east India, forecast as normal, recording their driest monsoon since 1901 (</w:t>
      </w:r>
      <w:hyperlink r:id="rId53">
        <w:r>
          <w:rPr>
            <w:rStyle w:val="Hyperlink"/>
          </w:rPr>
          <w:t xml:space="preserve">IMD May 2026 update</w:t>
        </w:r>
      </w:hyperlink>
      <w:r>
        <w:t xml:space="preserve">;</w:t>
      </w:r>
      <w:r>
        <w:t xml:space="preserve"> </w:t>
      </w:r>
      <w:hyperlink r:id="rId54">
        <w:r>
          <w:rPr>
            <w:rStyle w:val="Hyperlink"/>
          </w:rPr>
          <w:t xml:space="preserve">season report</w:t>
        </w:r>
      </w:hyperlink>
      <w:r>
        <w:t xml:space="preserve">).</w:t>
      </w:r>
    </w:p>
    <w:bookmarkEnd w:id="55"/>
    <w:bookmarkEnd w:id="56"/>
    <w:bookmarkStart w:id="57" w:name="conclusion"/>
    <w:p>
      <w:pPr>
        <w:pStyle w:val="Heading1"/>
      </w:pPr>
      <w:r>
        <w:t xml:space="preserve">11. Conclusion</w:t>
      </w:r>
    </w:p>
    <w:p>
      <w:pPr>
        <w:pStyle w:val="FirstParagraph"/>
      </w:pPr>
      <w:r>
        <w:t xml:space="preserve">IMD’s methodology is a layered, seamless system. Seasonal forecasts combine a statistical ensemble (SEFS) with a dynamical multi-model ensemble built around MMCFS. Extended-range forecasts come from a CFSv2/GFSbc ensemble, and daily forecasts from high-resolution global and regional NWP, now including the 6 km Bharat Forecast System. Each layer is calibrated and verified on hindcasts. The main open problems are model biases over India, the spring predictability barrier and low regional skill, which Mission Mausam (2024) targets with denser observations, higher-resolution coupled models and AI/ML methods.</w:t>
      </w:r>
    </w:p>
    <w:bookmarkEnd w:id="57"/>
    <w:bookmarkStart w:id="62" w:name="references"/>
    <w:p>
      <w:pPr>
        <w:pStyle w:val="Heading1"/>
      </w:pPr>
      <w:r>
        <w:t xml:space="preserve">References</w:t>
      </w:r>
    </w:p>
    <w:p>
      <w:pPr>
        <w:numPr>
          <w:ilvl w:val="0"/>
          <w:numId w:val="1006"/>
        </w:numPr>
        <w:pStyle w:val="Compact"/>
      </w:pPr>
      <w:r>
        <w:t xml:space="preserve">Rajeevan M., Pai D.S., Anil Kumar R., Lal B. (2007). New statistical models for long-range forecasting of southwest monsoon rainfall over India.</w:t>
      </w:r>
      <w:r>
        <w:t xml:space="preserve"> </w:t>
      </w:r>
      <w:r>
        <w:rPr>
          <w:iCs/>
          <w:i/>
        </w:rPr>
        <w:t xml:space="preserve">Climate Dynamics</w:t>
      </w:r>
      <w:r>
        <w:t xml:space="preserve"> </w:t>
      </w:r>
      <w:r>
        <w:t xml:space="preserve">28: 813–828. doi:10.1007/s00382-006-0197-6.</w:t>
      </w:r>
      <w:r>
        <w:t xml:space="preserve"> </w:t>
      </w:r>
      <w:hyperlink r:id="rId28">
        <w:r>
          <w:rPr>
            <w:rStyle w:val="Hyperlink"/>
          </w:rPr>
          <w:t xml:space="preserve">Springer</w:t>
        </w:r>
      </w:hyperlink>
      <w:r>
        <w:t xml:space="preserve"> </w:t>
      </w:r>
      <w:r>
        <w:t xml:space="preserve">·</w:t>
      </w:r>
      <w:r>
        <w:t xml:space="preserve"> </w:t>
      </w:r>
      <w:hyperlink r:id="rId58">
        <w:r>
          <w:rPr>
            <w:rStyle w:val="Hyperlink"/>
          </w:rPr>
          <w:t xml:space="preserve">IMD PDF</w:t>
        </w:r>
      </w:hyperlink>
    </w:p>
    <w:p>
      <w:pPr>
        <w:numPr>
          <w:ilvl w:val="0"/>
          <w:numId w:val="1006"/>
        </w:numPr>
        <w:pStyle w:val="Compact"/>
      </w:pPr>
      <w:r>
        <w:t xml:space="preserve">Rao S.A. et al. (2019). Monsoon Mission: a targeted activity to improve monsoon prediction across scales.</w:t>
      </w:r>
      <w:r>
        <w:t xml:space="preserve"> </w:t>
      </w:r>
      <w:r>
        <w:rPr>
          <w:iCs/>
          <w:i/>
        </w:rPr>
        <w:t xml:space="preserve">Bulletin of the American Meteorological Society</w:t>
      </w:r>
      <w:r>
        <w:t xml:space="preserve"> </w:t>
      </w:r>
      <w:r>
        <w:t xml:space="preserve">100(12): 2509–2532. doi:10.1175/BAMS-D-17-0330.1.</w:t>
      </w:r>
      <w:r>
        <w:t xml:space="preserve"> </w:t>
      </w:r>
      <w:hyperlink r:id="rId35">
        <w:r>
          <w:rPr>
            <w:rStyle w:val="Hyperlink"/>
          </w:rPr>
          <w:t xml:space="preserve">Record</w:t>
        </w:r>
      </w:hyperlink>
    </w:p>
    <w:p>
      <w:pPr>
        <w:numPr>
          <w:ilvl w:val="0"/>
          <w:numId w:val="1006"/>
        </w:numPr>
        <w:pStyle w:val="Compact"/>
      </w:pPr>
      <w:r>
        <w:t xml:space="preserve">Sahai A.K. et al. (2021). Multi-model multi-physics ensemble: a futuristic way to extended range prediction system.</w:t>
      </w:r>
      <w:r>
        <w:t xml:space="preserve"> </w:t>
      </w:r>
      <w:r>
        <w:rPr>
          <w:iCs/>
          <w:i/>
        </w:rPr>
        <w:t xml:space="preserve">Frontiers in Climate</w:t>
      </w:r>
      <w:r>
        <w:t xml:space="preserve"> </w:t>
      </w:r>
      <w:r>
        <w:t xml:space="preserve">3: 655919. doi:10.3389/fclim.2021.655919.</w:t>
      </w:r>
      <w:r>
        <w:t xml:space="preserve"> </w:t>
      </w:r>
      <w:hyperlink r:id="rId44">
        <w:r>
          <w:rPr>
            <w:rStyle w:val="Hyperlink"/>
          </w:rPr>
          <w:t xml:space="preserve">Full text</w:t>
        </w:r>
      </w:hyperlink>
    </w:p>
    <w:p>
      <w:pPr>
        <w:numPr>
          <w:ilvl w:val="0"/>
          <w:numId w:val="1006"/>
        </w:numPr>
        <w:pStyle w:val="Compact"/>
      </w:pPr>
      <w:r>
        <w:t xml:space="preserve">Pattanaik D.R., Johny C.J., Amat H.B., Alone A., Gupta A., Mishra A. (2026). Multi-model ensemble based extended range forecasts based on IMD’s and NCMRWF’s operational modelling systems.</w:t>
      </w:r>
      <w:r>
        <w:t xml:space="preserve"> </w:t>
      </w:r>
      <w:r>
        <w:rPr>
          <w:iCs/>
          <w:i/>
        </w:rPr>
        <w:t xml:space="preserve">Journal of Earth System Science</w:t>
      </w:r>
      <w:r>
        <w:t xml:space="preserve"> </w:t>
      </w:r>
      <w:r>
        <w:t xml:space="preserve">135(1).</w:t>
      </w:r>
      <w:r>
        <w:t xml:space="preserve"> </w:t>
      </w:r>
      <w:hyperlink r:id="rId46">
        <w:r>
          <w:rPr>
            <w:rStyle w:val="Hyperlink"/>
          </w:rPr>
          <w:t xml:space="preserve">Record</w:t>
        </w:r>
      </w:hyperlink>
    </w:p>
    <w:p>
      <w:pPr>
        <w:numPr>
          <w:ilvl w:val="0"/>
          <w:numId w:val="1006"/>
        </w:numPr>
        <w:pStyle w:val="Compact"/>
      </w:pPr>
      <w:r>
        <w:t xml:space="preserve">Evaluation of seasonal prediction skills of summer monsoon precipitation over Pan India (2026).</w:t>
      </w:r>
      <w:r>
        <w:t xml:space="preserve"> </w:t>
      </w:r>
      <w:r>
        <w:rPr>
          <w:iCs/>
          <w:i/>
        </w:rPr>
        <w:t xml:space="preserve">MAUSAM</w:t>
      </w:r>
      <w:r>
        <w:t xml:space="preserve"> </w:t>
      </w:r>
      <w:r>
        <w:t xml:space="preserve">77(1): 83–98.</w:t>
      </w:r>
      <w:r>
        <w:t xml:space="preserve"> </w:t>
      </w:r>
      <w:hyperlink r:id="rId37">
        <w:r>
          <w:rPr>
            <w:rStyle w:val="Hyperlink"/>
          </w:rPr>
          <w:t xml:space="preserve">Article</w:t>
        </w:r>
      </w:hyperlink>
    </w:p>
    <w:p>
      <w:pPr>
        <w:numPr>
          <w:ilvl w:val="0"/>
          <w:numId w:val="1006"/>
        </w:numPr>
        <w:pStyle w:val="Compact"/>
      </w:pPr>
      <w:r>
        <w:t xml:space="preserve">A multi-model ensemble tool for predicting districts level monsoon rainfall and extreme rainfall events over India.</w:t>
      </w:r>
      <w:r>
        <w:t xml:space="preserve"> </w:t>
      </w:r>
      <w:r>
        <w:rPr>
          <w:iCs/>
          <w:i/>
        </w:rPr>
        <w:t xml:space="preserve">MAUSAM</w:t>
      </w:r>
      <w:r>
        <w:t xml:space="preserve">.</w:t>
      </w:r>
      <w:r>
        <w:t xml:space="preserve"> </w:t>
      </w:r>
      <w:hyperlink r:id="rId59">
        <w:r>
          <w:rPr>
            <w:rStyle w:val="Hyperlink"/>
          </w:rPr>
          <w:t xml:space="preserve">Article</w:t>
        </w:r>
      </w:hyperlink>
    </w:p>
    <w:p>
      <w:pPr>
        <w:numPr>
          <w:ilvl w:val="0"/>
          <w:numId w:val="1006"/>
        </w:numPr>
        <w:pStyle w:val="Compact"/>
      </w:pPr>
      <w:r>
        <w:t xml:space="preserve">India Meteorological Department (2021). Long range forecast for the 2021 southwest monsoon season rainfall: new forecasting strategy, SEFS predictors and MME. Press release, 15 April 2021.</w:t>
      </w:r>
      <w:r>
        <w:t xml:space="preserve"> </w:t>
      </w:r>
      <w:hyperlink r:id="rId29">
        <w:r>
          <w:rPr>
            <w:rStyle w:val="Hyperlink"/>
          </w:rPr>
          <w:t xml:space="preserve">PDF</w:t>
        </w:r>
      </w:hyperlink>
    </w:p>
    <w:p>
      <w:pPr>
        <w:numPr>
          <w:ilvl w:val="0"/>
          <w:numId w:val="1006"/>
        </w:numPr>
        <w:pStyle w:val="Compact"/>
      </w:pPr>
      <w:r>
        <w:t xml:space="preserve">India Meteorological Department (2026). Long range forecast for the 2026 southwest monsoon season rainfall (April) and updated forecast with June outlook (May).</w:t>
      </w:r>
      <w:r>
        <w:t xml:space="preserve"> </w:t>
      </w:r>
      <w:hyperlink r:id="rId60">
        <w:r>
          <w:rPr>
            <w:rStyle w:val="Hyperlink"/>
          </w:rPr>
          <w:t xml:space="preserve">April PDF</w:t>
        </w:r>
      </w:hyperlink>
      <w:r>
        <w:t xml:space="preserve"> </w:t>
      </w:r>
      <w:r>
        <w:t xml:space="preserve">·</w:t>
      </w:r>
      <w:r>
        <w:t xml:space="preserve"> </w:t>
      </w:r>
      <w:hyperlink r:id="rId53">
        <w:r>
          <w:rPr>
            <w:rStyle w:val="Hyperlink"/>
          </w:rPr>
          <w:t xml:space="preserve">May PDF</w:t>
        </w:r>
      </w:hyperlink>
    </w:p>
    <w:p>
      <w:pPr>
        <w:numPr>
          <w:ilvl w:val="0"/>
          <w:numId w:val="1006"/>
        </w:numPr>
        <w:pStyle w:val="Compact"/>
      </w:pPr>
      <w:r>
        <w:t xml:space="preserve">Ministry of Earth Sciences. Parliamentary reply on IMD’s statistical and MME forecasting systems.</w:t>
      </w:r>
      <w:r>
        <w:t xml:space="preserve"> </w:t>
      </w:r>
      <w:hyperlink r:id="rId61">
        <w:r>
          <w:rPr>
            <w:rStyle w:val="Hyperlink"/>
          </w:rPr>
          <w:t xml:space="preserve">PDF</w:t>
        </w:r>
      </w:hyperlink>
    </w:p>
    <w:p>
      <w:pPr>
        <w:numPr>
          <w:ilvl w:val="0"/>
          <w:numId w:val="1006"/>
        </w:numPr>
        <w:pStyle w:val="Compact"/>
      </w:pPr>
      <w:r>
        <w:t xml:space="preserve">Launch of the Bharat Forecast System, May 2025.</w:t>
      </w:r>
      <w:r>
        <w:t xml:space="preserve"> </w:t>
      </w:r>
      <w:hyperlink r:id="rId49">
        <w:r>
          <w:rPr>
            <w:rStyle w:val="Hyperlink"/>
          </w:rPr>
          <w:t xml:space="preserve">ThePrint</w:t>
        </w:r>
      </w:hyperlink>
    </w:p>
    <w:p>
      <w:pPr>
        <w:pStyle w:val="FirstParagraph"/>
      </w:pPr>
      <w:r>
        <w:rPr>
          <w:iCs/>
          <w:i/>
        </w:rPr>
        <w:t xml:space="preserve">References 2, 4 and 5 were checked from their abstracts and catalogue records only. Model resolutions, member counts and the MME weighting formula are approximate or illustrative where marked.</w:t>
      </w:r>
    </w:p>
    <w:bookmarkEnd w:id="62"/>
    <w:sectPr>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mbria" w:hAnsi="Cambria" w:cs="Cambria" w:eastAsia="Cambria"/>
      <w:b/>
      <w:bCs/>
      <w:color w:val="0E3B43"/>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cs="Calibri" w:eastAsia="Calibri"/>
      <w:color w:val="5F6C72"/>
      <w:sz w:val="22"/>
    </w:rPr>
  </w:style>
  <w:style w:styleId="Date" w:type="paragraph">
    <w:name w:val="Date"/>
    <w:next w:val="BodyText"/>
    <w:qFormat/>
    <w:pPr>
      <w:keepNext/>
      <w:keepLines/>
      <w:jc w:val="center"/>
    </w:pPr>
    <w:rPr>
      <w:rFonts w:ascii="Calibri" w:hAnsi="Calibri" w:cs="Calibri" w:eastAsia="Calibri"/>
      <w:color w:val="5F6C72"/>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hAnsi="Cambria" w:cs="Cambria" w:eastAsia="Cambria"/>
      <w:b/>
      <w:bCs/>
      <w:color w:val="0E3B43"/>
      <w:sz w:val="30"/>
      <w:szCs w:val="32"/>
    </w:rPr>
  </w:style>
  <w:style w:styleId="Heading2" w:type="paragraph">
    <w:name w:val="Heading 2"/>
    <w:basedOn w:val="Normal"/>
    <w:next w:val="BodyText"/>
    <w:uiPriority w:val="9"/>
    <w:unhideWhenUsed/>
    <w:qFormat/>
    <w:pPr>
      <w:keepNext/>
      <w:keepLines/>
      <w:spacing w:after="0" w:before="200"/>
      <w:outlineLvl w:val="1"/>
    </w:pPr>
    <w:rPr>
      <w:rFonts w:ascii="Cambria" w:hAnsi="Cambria" w:cs="Cambria" w:eastAsia="Cambria"/>
      <w:b/>
      <w:bCs/>
      <w:color w:val="0E3B43"/>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cs="Calibri" w:eastAsia="Calibri"/>
      <w:color w:val="5F6C72"/>
      <w:sz w:val="20"/>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4" Type="http://schemas.openxmlformats.org/officeDocument/2006/relationships/hyperlink" Target="https://frontiersin.org/journals/climate/articles/10.3389/fclim.2021.655919/full" TargetMode="External"/><Relationship Id="rId58" Type="http://schemas.openxmlformats.org/officeDocument/2006/relationships/hyperlink" Target="https://imdpune.gov.in:443/hindi/cmpg/LRFModels_Rajeevan.pdf" TargetMode="External"/><Relationship Id="rId28" Type="http://schemas.openxmlformats.org/officeDocument/2006/relationships/hyperlink" Target="https://link.springer.com/doi/10.1007/s00382-006-0197-6" TargetMode="External"/><Relationship Id="rId60" Type="http://schemas.openxmlformats.org/officeDocument/2006/relationships/hyperlink" Target="https://mausam.imd.gov.in/Forecast/mcmarq/mcmarq_data/Long%20Range%20Forecast%20for%20the%202026%20Southwest%20Monsoon%20Season%20Rainfall%20(June-September).pdf" TargetMode="External"/><Relationship Id="rId53" Type="http://schemas.openxmlformats.org/officeDocument/2006/relationships/hyperlink" Target="https://mausam.imd.gov.in/Forecast/mcmarq/mcmarq_data/Updated%20Long%20Range%20Forecast%20for%20the%202026%20Southwest%20Monsoon%20Season%20Rainfall%20(June%20September)%20and%20Monthly%20outlook%20for%20June%20month.pdf" TargetMode="External"/><Relationship Id="rId29" Type="http://schemas.openxmlformats.org/officeDocument/2006/relationships/hyperlink" Target="https://mausam.imd.gov.in/backend/assets/press_release_pdf/lrfapr21_presrelease_15apr.pdf" TargetMode="External"/><Relationship Id="rId59" Type="http://schemas.openxmlformats.org/officeDocument/2006/relationships/hyperlink" Target="https://mausamjournal.imd.gov.in/index.php/MAUSAM/article/view/6118" TargetMode="External"/><Relationship Id="rId37" Type="http://schemas.openxmlformats.org/officeDocument/2006/relationships/hyperlink" Target="https://mausamjournal.imd.gov.in/index.php/MAUSAM/article/view/6545" TargetMode="External"/><Relationship Id="rId54" Type="http://schemas.openxmlformats.org/officeDocument/2006/relationships/hyperlink" Target="https://pwonlyias.com/current-affairs/2026-southwest-monsoon-rainfall-deficit-lpa-imd-report/" TargetMode="External"/><Relationship Id="rId35" Type="http://schemas.openxmlformats.org/officeDocument/2006/relationships/hyperlink" Target="https://repository.ias.ac.in/120416" TargetMode="External"/><Relationship Id="rId49" Type="http://schemas.openxmlformats.org/officeDocument/2006/relationships/hyperlink" Target="https://theprint.in/science/imd-makes-leap-with-made-in-india-bharat-forecast-system-promises-more-accurate-predictions/2637673" TargetMode="External"/><Relationship Id="rId46" Type="http://schemas.openxmlformats.org/officeDocument/2006/relationships/hyperlink" Target="https://www.ebsco.com/articles/earth-and-atmospheric-sciences/bc384705-40fd-5381-9e90-607d81d8c102/multi-model-ensemble-based-extended-range-forecasts-based-on-imd-s-and-ncmrwf-s-operational-modelling-systems" TargetMode="External"/><Relationship Id="rId61" Type="http://schemas.openxmlformats.org/officeDocument/2006/relationships/hyperlink" Target="https://www.moes.gov.in/sites/default/files/PIB2198789.pdf" TargetMode="External"/><Relationship Id="rId40" Type="http://schemas.openxmlformats.org/officeDocument/2006/relationships/hyperlink" Target="https://www.thestatesman.com/india/monsoon-likely-to-hit-kerala-four-days-late-expected-onset-on-june-4-imd-1503181999.html/amp"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frontiersin.org/journals/climate/articles/10.3389/fclim.2021.655919/full" TargetMode="External"/><Relationship Id="rId58" Type="http://schemas.openxmlformats.org/officeDocument/2006/relationships/hyperlink" Target="https://imdpune.gov.in:443/hindi/cmpg/LRFModels_Rajeevan.pdf" TargetMode="External"/><Relationship Id="rId28" Type="http://schemas.openxmlformats.org/officeDocument/2006/relationships/hyperlink" Target="https://link.springer.com/doi/10.1007/s00382-006-0197-6" TargetMode="External"/><Relationship Id="rId60" Type="http://schemas.openxmlformats.org/officeDocument/2006/relationships/hyperlink" Target="https://mausam.imd.gov.in/Forecast/mcmarq/mcmarq_data/Long%20Range%20Forecast%20for%20the%202026%20Southwest%20Monsoon%20Season%20Rainfall%20(June-September).pdf" TargetMode="External"/><Relationship Id="rId53" Type="http://schemas.openxmlformats.org/officeDocument/2006/relationships/hyperlink" Target="https://mausam.imd.gov.in/Forecast/mcmarq/mcmarq_data/Updated%20Long%20Range%20Forecast%20for%20the%202026%20Southwest%20Monsoon%20Season%20Rainfall%20(June%20September)%20and%20Monthly%20outlook%20for%20June%20month.pdf" TargetMode="External"/><Relationship Id="rId29" Type="http://schemas.openxmlformats.org/officeDocument/2006/relationships/hyperlink" Target="https://mausam.imd.gov.in/backend/assets/press_release_pdf/lrfapr21_presrelease_15apr.pdf" TargetMode="External"/><Relationship Id="rId59" Type="http://schemas.openxmlformats.org/officeDocument/2006/relationships/hyperlink" Target="https://mausamjournal.imd.gov.in/index.php/MAUSAM/article/view/6118" TargetMode="External"/><Relationship Id="rId37" Type="http://schemas.openxmlformats.org/officeDocument/2006/relationships/hyperlink" Target="https://mausamjournal.imd.gov.in/index.php/MAUSAM/article/view/6545" TargetMode="External"/><Relationship Id="rId54" Type="http://schemas.openxmlformats.org/officeDocument/2006/relationships/hyperlink" Target="https://pwonlyias.com/current-affairs/2026-southwest-monsoon-rainfall-deficit-lpa-imd-report/" TargetMode="External"/><Relationship Id="rId35" Type="http://schemas.openxmlformats.org/officeDocument/2006/relationships/hyperlink" Target="https://repository.ias.ac.in/120416" TargetMode="External"/><Relationship Id="rId49" Type="http://schemas.openxmlformats.org/officeDocument/2006/relationships/hyperlink" Target="https://theprint.in/science/imd-makes-leap-with-made-in-india-bharat-forecast-system-promises-more-accurate-predictions/2637673" TargetMode="External"/><Relationship Id="rId46" Type="http://schemas.openxmlformats.org/officeDocument/2006/relationships/hyperlink" Target="https://www.ebsco.com/articles/earth-and-atmospheric-sciences/bc384705-40fd-5381-9e90-607d81d8c102/multi-model-ensemble-based-extended-range-forecasts-based-on-imd-s-and-ncmrwf-s-operational-modelling-systems" TargetMode="External"/><Relationship Id="rId61" Type="http://schemas.openxmlformats.org/officeDocument/2006/relationships/hyperlink" Target="https://www.moes.gov.in/sites/default/files/PIB2198789.pdf" TargetMode="External"/><Relationship Id="rId40" Type="http://schemas.openxmlformats.org/officeDocument/2006/relationships/hyperlink" Target="https://www.thestatesman.com/india/monsoon-likely-to-hit-kerala-four-days-late-expected-onset-on-june-4-imd-1503181999.html/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Monsoon Forecasting Methodology of the India Meteorological Department: Models and Methods</dc:title>
  <dc:creator>Animesh</dc:creator>
  <cp:keywords/>
  <dcterms:created xsi:type="dcterms:W3CDTF">2026-10-28T23:49:01Z</dcterms:created>
  <dcterms:modified xsi:type="dcterms:W3CDTF">2026-10-28T23:49:01Z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October 2026</vt:lpwstr>
  </property>
</Properties>
</file>