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pPr>
      <w:r>
        <w:rPr>
          <w:b/>
          <w:bCs/>
          <w:color w:val="1C7C78"/>
          <w:sz w:val="26"/>
          <w:szCs w:val="26"/>
        </w:rPr>
        <w:t xml:space="preserve">MuDAS-AI · Spectroradiometer protocol</w:t>
      </w:r>
    </w:p>
    <w:p>
      <w:pPr>
        <w:spacing w:after="240"/>
      </w:pPr>
      <w:r>
        <w:rPr>
          <w:b/>
          <w:bCs/>
          <w:color w:val="1F3A40"/>
          <w:sz w:val="44"/>
          <w:szCs w:val="44"/>
        </w:rPr>
        <w:t xml:space="preserve">Working with ASD FieldSpec Data for White Rust Detection and Severity Assessment in Mustard</w:t>
      </w:r>
    </w:p>
    <w:p>
      <w:pPr>
        <w:spacing w:after="400"/>
      </w:pPr>
      <w:r>
        <w:rPr>
          <w:color w:val="5E7A7E"/>
          <w:sz w:val="25"/>
          <w:szCs w:val="25"/>
        </w:rPr>
        <w:t xml:space="preserve">A step-by-step protocol from measurement to validated spectral features, indices and models, built on Selvaprakash et al. (2026), Mandal et al. (2022) and Gogoi et al. (2018)</w:t>
      </w:r>
    </w:p>
    <w:p>
      <w:pPr>
        <w:spacing w:after="60"/>
      </w:pPr>
      <w:r>
        <w:rPr>
          <w:sz w:val="21"/>
          <w:szCs w:val="21"/>
        </w:rPr>
        <w:t xml:space="preserve">Animesh Panda · ICAR-Indian Agricultural Research Institute, New Delhi · October 2026</w:t>
      </w:r>
    </w:p>
    <w:p>
      <w:pPr>
        <w:spacing w:after="60" w:before="900"/>
      </w:pPr>
      <w:r>
        <w:rPr>
          <w:b/>
          <w:bCs/>
          <w:sz w:val="20"/>
          <w:szCs w:val="20"/>
        </w:rPr>
        <w:t xml:space="preserve">Companion files:</w:t>
      </w:r>
      <w:r>
        <w:rPr>
          <w:sz w:val="20"/>
          <w:szCs w:val="20"/>
        </w:rPr>
        <w:t xml:space="preserve"> asd_workflow/asd_pipeline.py (one function per step) and asd_workflow/demo_simulated.py (runs all steps on simulated spectra). The code has been run on simulated data only; it has not yet been tested on real ASD files.</w:t>
      </w:r>
    </w:p>
    <w:p>
      <w:pPr>
        <w:spacing w:after="60"/>
      </w:pPr>
      <w:r>
        <w:rPr>
          <w:i/>
          <w:iCs/>
          <w:color w:val="5E7A7E"/>
          <w:sz w:val="20"/>
          <w:szCs w:val="20"/>
        </w:rPr>
        <w:t xml:space="preserve">Status: protocol and plan. No white rust results are reported in this document.</w:t>
      </w:r>
    </w:p>
    <w:p>
      <w:pPr>
        <w:pStyle w:val="Heading1"/>
        <w:pageBreakBefore/>
      </w:pPr>
      <w:r>
        <w:t xml:space="preserve">How to use this protocol</w:t>
      </w:r>
    </w:p>
    <w:p>
      <w:pPr>
        <w:spacing w:after="100" w:line="259"/>
        <w:jc w:val="both"/>
      </w:pPr>
      <w:r>
        <w:t xml:space="preserve">The protocol has 12 steps. Each step states what to do, why, what the three papers did, and the Python function that implements it. Work through the steps in order: each step's output is the next step's input, and each ends with a quality check. Steps 1–2 happen in the glasshouse or field; Steps 3–12 happen at the computer.</w:t>
      </w:r>
    </w:p>
    <w:p>
      <w:pPr>
        <w:keepNext/>
        <w:spacing w:after="80" w:before="160"/>
      </w:pPr>
      <w:r>
        <w:rPr>
          <w:b/>
          <w:bCs/>
          <w:color w:val="1C7C78"/>
          <w:sz w:val="20"/>
          <w:szCs w:val="20"/>
        </w:rPr>
        <w:t xml:space="preserve">Table 1. </w:t>
      </w:r>
      <w:r>
        <w:rPr>
          <w:color w:val="1F3A40"/>
          <w:sz w:val="20"/>
          <w:szCs w:val="20"/>
        </w:rPr>
        <w:t xml:space="preserve">What each paper contributes.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6"/>
        <w:gridCol w:w="3792"/>
        <w:gridCol w:w="3160"/>
      </w:tblGrid>
      <w:tr>
        <w:trPr>
          <w:cantSplit/>
          <w:tblHeader/>
        </w:trPr>
        <w:tc>
          <w:tcPr>
            <w:tcW w:type="dxa" w:w="268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Paper</w:t>
            </w:r>
          </w:p>
        </w:tc>
        <w:tc>
          <w:tcPr>
            <w:tcW w:type="dxa" w:w="379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What it did</w:t>
            </w:r>
          </w:p>
        </w:tc>
        <w:tc>
          <w:tcPr>
            <w:tcW w:type="dxa" w:w="3160"/>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What this protocol takes from it</w:t>
            </w:r>
          </w:p>
        </w:tc>
      </w:tr>
      <w:tr>
        <w:trPr>
          <w:cantSplit/>
          <w:tblHeader w:val="false"/>
        </w:trPr>
        <w:tc>
          <w:tcPr>
            <w:tcW w:type="dxa" w:w="268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Selvaprakash et al. (2026), Plant Science Today 13(1): 1–10. Rice blast, 800 leaves, 4 classes, ASD-type spectroradiometer 350–2500 nm</w:t>
            </w:r>
          </w:p>
        </w:tc>
        <w:tc>
          <w:tcPr>
            <w:tcW w:type="dxa" w:w="379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SG smoothing → SNV/MSC → derivatives → PCA/t-SNE/UMAP → cosine and SAM → Isolation Forest → RF band importance → band-pair search → Rice Blast Index (R1068, R1560) → lagged correlation, autocorrelation, feature persistence</w:t>
            </w:r>
          </w:p>
        </w:tc>
        <w:tc>
          <w:tcPr>
            <w:tcW w:type="dxa" w:w="316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The full processing chain (Steps 4–9), the index-development procedure and the redundancy diagnostics</w:t>
            </w:r>
          </w:p>
        </w:tc>
      </w:tr>
      <w:tr>
        <w:trPr>
          <w:cantSplit/>
          <w:tblHeader w:val="false"/>
        </w:trPr>
        <w:tc>
          <w:tcPr>
            <w:tcW w:type="dxa" w:w="268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Mandal et al. (2022), J. Agrometeorology 24(3): 241–248. Rice blast, canopy spectra, 0–9 IRRI scale, ASD FieldSpec</w:t>
            </w:r>
          </w:p>
        </w:tc>
        <w:tc>
          <w:tcPr>
            <w:tcW w:type="dxa" w:w="379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Canopy measurement protocol; SG smoothing; correlation spectrum with |r| &gt; 0.6; difference spectra; first derivative; red-edge parameters (REP, REV, Σdr670–780); REV vs score regression (R² 0.81 and 0.91)</w:t>
            </w:r>
          </w:p>
        </w:tc>
        <w:tc>
          <w:tcPr>
            <w:tcW w:type="dxa" w:w="316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Canopy measurement settings (Step 2), the correlation-spectrum screen (Step 7) and red-edge features (Step 8)</w:t>
            </w:r>
          </w:p>
        </w:tc>
      </w:tr>
      <w:tr>
        <w:trPr>
          <w:cantSplit/>
          <w:tblHeader w:val="false"/>
        </w:trPr>
        <w:tc>
          <w:tcPr>
            <w:tcW w:type="dxa" w:w="268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Gogoi, Deka &amp; Bora (2018), Agricultural Reviews 39(4): 307–313. Review</w:t>
            </w:r>
          </w:p>
        </w:tc>
        <w:tc>
          <w:tcPr>
            <w:tcW w:type="dxa" w:w="379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Reflectance physics of VIS, NIR and SWIR; healthy vs diseased spectra; imaging vs non-imaging sensors; case studies including thermography and hyperspectral detection</w:t>
            </w:r>
          </w:p>
        </w:tc>
        <w:tc>
          <w:tcPr>
            <w:tcW w:type="dxa" w:w="316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Physiological interpretation of sensitive bands (Steps 6–8) and the link to other sensors (Step 11)</w:t>
            </w:r>
          </w:p>
        </w:tc>
      </w:tr>
    </w:tbl>
    <w:p>
      <w:pPr>
        <w:spacing w:after="120"/>
      </w:pPr>
    </w:p>
    <w:p>
      <w:pPr>
        <w:keepNext/>
        <w:spacing w:after="80" w:before="160"/>
      </w:pPr>
      <w:r>
        <w:rPr>
          <w:b/>
          <w:bCs/>
          <w:color w:val="1C7C78"/>
          <w:sz w:val="20"/>
          <w:szCs w:val="20"/>
        </w:rPr>
        <w:t xml:space="preserve">Table 2. </w:t>
      </w:r>
      <w:r>
        <w:rPr>
          <w:color w:val="1F3A40"/>
          <w:sz w:val="20"/>
          <w:szCs w:val="20"/>
        </w:rPr>
        <w:t xml:space="preserve">The 12 steps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
        <w:gridCol w:w="3915"/>
        <w:gridCol w:w="2560"/>
        <w:gridCol w:w="2411"/>
      </w:tblGrid>
      <w:tr>
        <w:trPr>
          <w:cantSplit/>
          <w:tblHeader/>
        </w:trPr>
        <w:tc>
          <w:tcPr>
            <w:tcW w:type="dxa" w:w="75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Step</w:t>
            </w:r>
          </w:p>
        </w:tc>
        <w:tc>
          <w:tcPr>
            <w:tcW w:type="dxa" w:w="391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What</w:t>
            </w:r>
          </w:p>
        </w:tc>
        <w:tc>
          <w:tcPr>
            <w:tcW w:type="dxa" w:w="2560"/>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Output</w:t>
            </w:r>
          </w:p>
        </w:tc>
        <w:tc>
          <w:tcPr>
            <w:tcW w:type="dxa" w:w="241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Main source</w:t>
            </w:r>
          </w:p>
        </w:tc>
      </w:tr>
      <w:tr>
        <w:trPr>
          <w:cantSplit/>
          <w:tblHeader w:val="false"/>
        </w:trPr>
        <w:tc>
          <w:tcPr>
            <w:tcW w:type="dxa" w:w="75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w:t>
            </w:r>
          </w:p>
        </w:tc>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Design the experiment and the sampling sheet</w:t>
            </w:r>
          </w:p>
        </w:tc>
        <w:tc>
          <w:tcPr>
            <w:tcW w:type="dxa" w:w="256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Sample plan; metadata template</w:t>
            </w:r>
          </w:p>
        </w:tc>
        <w:tc>
          <w:tcPr>
            <w:tcW w:type="dxa" w:w="241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Mandal 2022; Selvaprakash 2026</w:t>
            </w:r>
          </w:p>
        </w:tc>
      </w:tr>
      <w:tr>
        <w:trPr>
          <w:cantSplit/>
          <w:tblHeader w:val="false"/>
        </w:trPr>
        <w:tc>
          <w:tcPr>
            <w:tcW w:type="dxa" w:w="75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2</w:t>
            </w:r>
          </w:p>
        </w:tc>
        <w:tc>
          <w:tcPr>
            <w:tcW w:type="dxa" w:w="39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Measure with the ASD</w:t>
            </w:r>
          </w:p>
        </w:tc>
        <w:tc>
          <w:tcPr>
            <w:tcW w:type="dxa" w:w="256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Raw .asd files, field log</w:t>
            </w:r>
          </w:p>
        </w:tc>
        <w:tc>
          <w:tcPr>
            <w:tcW w:type="dxa" w:w="241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Mandal 2022; Selvaprakash 2026</w:t>
            </w:r>
          </w:p>
        </w:tc>
      </w:tr>
      <w:tr>
        <w:trPr>
          <w:cantSplit/>
          <w:tblHeader w:val="false"/>
        </w:trPr>
        <w:tc>
          <w:tcPr>
            <w:tcW w:type="dxa" w:w="75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3</w:t>
            </w:r>
          </w:p>
        </w:tc>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Import and organise</w:t>
            </w:r>
          </w:p>
        </w:tc>
        <w:tc>
          <w:tcPr>
            <w:tcW w:type="dxa" w:w="256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Spectra matrix + metadata table</w:t>
            </w:r>
          </w:p>
        </w:tc>
        <w:tc>
          <w:tcPr>
            <w:tcW w:type="dxa" w:w="241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w:t>
            </w:r>
          </w:p>
        </w:tc>
      </w:tr>
      <w:tr>
        <w:trPr>
          <w:cantSplit/>
          <w:tblHeader w:val="false"/>
        </w:trPr>
        <w:tc>
          <w:tcPr>
            <w:tcW w:type="dxa" w:w="75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4</w:t>
            </w:r>
          </w:p>
        </w:tc>
        <w:tc>
          <w:tcPr>
            <w:tcW w:type="dxa" w:w="39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Quality control: splice, noisy bands, replicates, outliers</w:t>
            </w:r>
          </w:p>
        </w:tc>
        <w:tc>
          <w:tcPr>
            <w:tcW w:type="dxa" w:w="256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Clean reflectance</w:t>
            </w:r>
          </w:p>
        </w:tc>
        <w:tc>
          <w:tcPr>
            <w:tcW w:type="dxa" w:w="241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Selvaprakash 2026</w:t>
            </w:r>
          </w:p>
        </w:tc>
      </w:tr>
      <w:tr>
        <w:trPr>
          <w:cantSplit/>
          <w:tblHeader w:val="false"/>
        </w:trPr>
        <w:tc>
          <w:tcPr>
            <w:tcW w:type="dxa" w:w="75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5</w:t>
            </w:r>
          </w:p>
        </w:tc>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Pre-processing: SG, SNV/MSC, derivatives, continuum removal</w:t>
            </w:r>
          </w:p>
        </w:tc>
        <w:tc>
          <w:tcPr>
            <w:tcW w:type="dxa" w:w="256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Transformed spectra</w:t>
            </w:r>
          </w:p>
        </w:tc>
        <w:tc>
          <w:tcPr>
            <w:tcW w:type="dxa" w:w="241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Both papers</w:t>
            </w:r>
          </w:p>
        </w:tc>
      </w:tr>
      <w:tr>
        <w:trPr>
          <w:cantSplit/>
          <w:tblHeader w:val="false"/>
        </w:trPr>
        <w:tc>
          <w:tcPr>
            <w:tcW w:type="dxa" w:w="75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6</w:t>
            </w:r>
          </w:p>
        </w:tc>
        <w:tc>
          <w:tcPr>
            <w:tcW w:type="dxa" w:w="39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Exploration: mean, difference, correlation and similarity</w:t>
            </w:r>
          </w:p>
        </w:tc>
        <w:tc>
          <w:tcPr>
            <w:tcW w:type="dxa" w:w="256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Figures; first view of separability</w:t>
            </w:r>
          </w:p>
        </w:tc>
        <w:tc>
          <w:tcPr>
            <w:tcW w:type="dxa" w:w="241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Both papers</w:t>
            </w:r>
          </w:p>
        </w:tc>
      </w:tr>
      <w:tr>
        <w:trPr>
          <w:cantSplit/>
          <w:tblHeader w:val="false"/>
        </w:trPr>
        <w:tc>
          <w:tcPr>
            <w:tcW w:type="dxa" w:w="75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7</w:t>
            </w:r>
          </w:p>
        </w:tc>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Sensitive regions: correlation and Kruskal–Wallis spectra</w:t>
            </w:r>
          </w:p>
        </w:tc>
        <w:tc>
          <w:tcPr>
            <w:tcW w:type="dxa" w:w="256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Candidate regions</w:t>
            </w:r>
          </w:p>
        </w:tc>
        <w:tc>
          <w:tcPr>
            <w:tcW w:type="dxa" w:w="241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Mandal 2022</w:t>
            </w:r>
          </w:p>
        </w:tc>
      </w:tr>
      <w:tr>
        <w:trPr>
          <w:cantSplit/>
          <w:tblHeader w:val="false"/>
        </w:trPr>
        <w:tc>
          <w:tcPr>
            <w:tcW w:type="dxa" w:w="75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8</w:t>
            </w:r>
          </w:p>
        </w:tc>
        <w:tc>
          <w:tcPr>
            <w:tcW w:type="dxa" w:w="39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Feature extraction: red edge, indices, band depth</w:t>
            </w:r>
          </w:p>
        </w:tc>
        <w:tc>
          <w:tcPr>
            <w:tcW w:type="dxa" w:w="256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Feature table</w:t>
            </w:r>
          </w:p>
        </w:tc>
        <w:tc>
          <w:tcPr>
            <w:tcW w:type="dxa" w:w="241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Mandal 2022; Selvaprakash 2026</w:t>
            </w:r>
          </w:p>
        </w:tc>
      </w:tr>
      <w:tr>
        <w:trPr>
          <w:cantSplit/>
          <w:tblHeader w:val="false"/>
        </w:trPr>
        <w:tc>
          <w:tcPr>
            <w:tcW w:type="dxa" w:w="75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9</w:t>
            </w:r>
          </w:p>
        </w:tc>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Band-pair search and new index (inside training folds)</w:t>
            </w:r>
          </w:p>
        </w:tc>
        <w:tc>
          <w:tcPr>
            <w:tcW w:type="dxa" w:w="256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White rust index candidates</w:t>
            </w:r>
          </w:p>
        </w:tc>
        <w:tc>
          <w:tcPr>
            <w:tcW w:type="dxa" w:w="241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Selvaprakash 2026</w:t>
            </w:r>
          </w:p>
        </w:tc>
      </w:tr>
      <w:tr>
        <w:trPr>
          <w:cantSplit/>
          <w:tblHeader w:val="false"/>
        </w:trPr>
        <w:tc>
          <w:tcPr>
            <w:tcW w:type="dxa" w:w="75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10</w:t>
            </w:r>
          </w:p>
        </w:tc>
        <w:tc>
          <w:tcPr>
            <w:tcW w:type="dxa" w:w="39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Classification and validation</w:t>
            </w:r>
          </w:p>
        </w:tc>
        <w:tc>
          <w:tcPr>
            <w:tcW w:type="dxa" w:w="256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Validated models; F1, κ</w:t>
            </w:r>
          </w:p>
        </w:tc>
        <w:tc>
          <w:tcPr>
            <w:tcW w:type="dxa" w:w="241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Selvaprakash 2026 + grouped CV</w:t>
            </w:r>
          </w:p>
        </w:tc>
      </w:tr>
      <w:tr>
        <w:trPr>
          <w:cantSplit/>
          <w:tblHeader w:val="false"/>
        </w:trPr>
        <w:tc>
          <w:tcPr>
            <w:tcW w:type="dxa" w:w="75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w:t>
            </w:r>
          </w:p>
        </w:tc>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Link to UAV sensors</w:t>
            </w:r>
          </w:p>
        </w:tc>
        <w:tc>
          <w:tcPr>
            <w:tcW w:type="dxa" w:w="256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Simulated MicaSense / UAV bands</w:t>
            </w:r>
          </w:p>
        </w:tc>
        <w:tc>
          <w:tcPr>
            <w:tcW w:type="dxa" w:w="241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Gogoi 2018; Mandal 2022</w:t>
            </w:r>
          </w:p>
        </w:tc>
      </w:tr>
      <w:tr>
        <w:trPr>
          <w:cantSplit/>
          <w:tblHeader w:val="false"/>
        </w:trPr>
        <w:tc>
          <w:tcPr>
            <w:tcW w:type="dxa" w:w="75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12</w:t>
            </w:r>
          </w:p>
        </w:tc>
        <w:tc>
          <w:tcPr>
            <w:tcW w:type="dxa" w:w="39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Report</w:t>
            </w:r>
          </w:p>
        </w:tc>
        <w:tc>
          <w:tcPr>
            <w:tcW w:type="dxa" w:w="256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Tables, figures, checklist</w:t>
            </w:r>
          </w:p>
        </w:tc>
        <w:tc>
          <w:tcPr>
            <w:tcW w:type="dxa" w:w="241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All</w:t>
            </w:r>
          </w:p>
        </w:tc>
      </w:tr>
    </w:tbl>
    <w:p>
      <w:pPr>
        <w:spacing w:after="120"/>
      </w:pPr>
    </w:p>
    <w:p>
      <w:pPr>
        <w:keepNext/>
        <w:spacing w:after="60" w:before="120"/>
        <w:jc w:val="center"/>
      </w:pPr>
      <w:r>
        <w:drawing>
          <wp:inline distT="0" distB="0" distL="0" distR="0">
            <wp:extent cx="5760720" cy="3802075"/>
            <wp:effectExtent t="0" r="0" b="0" l="0"/>
            <wp:docPr id="1" name="fig1" descr="Illustration of Steps 4–8 on **simulated** spectra (generated by demo_simulated.py). These are not white rust results." title="Illustration of Steps 4–8 on **simulated** spectra (generated by demo_simulated.py). These are not white rus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802075"/>
                    </a:xfrm>
                    <a:prstGeom prst="rect">
                      <a:avLst/>
                    </a:prstGeom>
                  </pic:spPr>
                </pic:pic>
              </a:graphicData>
            </a:graphic>
          </wp:inline>
        </w:drawing>
      </w:r>
    </w:p>
    <w:p>
      <w:pPr>
        <w:spacing w:after="160"/>
        <w:jc w:val="center"/>
      </w:pPr>
      <w:r>
        <w:rPr>
          <w:b/>
          <w:bCs/>
          <w:color w:val="1C7C78"/>
          <w:sz w:val="20"/>
          <w:szCs w:val="20"/>
        </w:rPr>
        <w:t xml:space="preserve">Figure 1. </w:t>
      </w:r>
      <w:r>
        <w:rPr>
          <w:color w:val="1F3A40"/>
          <w:sz w:val="20"/>
          <w:szCs w:val="20"/>
        </w:rPr>
        <w:t xml:space="preserve">Illustration of Steps 4–8 on </w:t>
      </w:r>
      <w:r>
        <w:rPr>
          <w:b/>
          <w:bCs/>
          <w:color w:val="1F3A40"/>
          <w:sz w:val="20"/>
          <w:szCs w:val="20"/>
        </w:rPr>
        <w:t xml:space="preserve">simulated</w:t>
      </w:r>
      <w:r>
        <w:rPr>
          <w:color w:val="1F3A40"/>
          <w:sz w:val="20"/>
          <w:szCs w:val="20"/>
        </w:rPr>
        <w:t xml:space="preserve"> spectra (generated by demo_simulated.py). These are not white rust results.</w:t>
      </w:r>
    </w:p>
    <w:p>
      <w:pPr>
        <w:pStyle w:val="Heading1"/>
        <w:pageBreakBefore/>
      </w:pPr>
      <w:r>
        <w:t xml:space="preserve">What the three papers did</w:t>
      </w:r>
    </w:p>
    <w:p>
      <w:pPr>
        <w:pStyle w:val="Heading2"/>
      </w:pPr>
      <w:r>
        <w:t xml:space="preserve">Selvaprakash et al. (2026): an end-to-end hyperspectral framework for rice blast</w:t>
      </w:r>
    </w:p>
    <w:p>
      <w:pPr>
        <w:spacing w:after="100" w:line="259"/>
        <w:jc w:val="both"/>
      </w:pPr>
      <w:r>
        <w:rPr>
          <w:b/>
          <w:bCs/>
        </w:rPr>
        <w:t xml:space="preserve">Data.</w:t>
      </w:r>
      <w:r>
        <w:t xml:space="preserve"> 800 rice leaves from a farmer's field at Sonipat, Haryana (kharif 2023) in four classes (healthy, early, moderate, severe), plus greenhouse trials to confirm the spectral signatures. Leaf reflectance 350–2500 nm with a handheld spectroradiometer, Spectralon-calibrated before each session, measured 10:00–14:00, three readings per leaf averaged.</w:t>
      </w:r>
    </w:p>
    <w:p>
      <w:pPr>
        <w:spacing w:after="100" w:line="259"/>
        <w:jc w:val="both"/>
      </w:pPr>
      <w:r>
        <w:rPr>
          <w:b/>
          <w:bCs/>
        </w:rPr>
        <w:t xml:space="preserve">Workflow:</w:t>
      </w:r>
    </w:p>
    <w:p>
      <w:pPr>
        <w:pStyle w:val="ListParagraph"/>
        <w:numPr>
          <w:ilvl w:val="0"/>
          <w:numId w:val="2"/>
        </w:numPr>
        <w:spacing w:after="50" w:line="252"/>
      </w:pPr>
      <w:r>
        <w:t xml:space="preserve">Savitzky–Golay smoothing to remove high-frequency noise.</w:t>
      </w:r>
    </w:p>
    <w:p>
      <w:pPr>
        <w:pStyle w:val="ListParagraph"/>
        <w:numPr>
          <w:ilvl w:val="0"/>
          <w:numId w:val="2"/>
        </w:numPr>
        <w:spacing w:after="50" w:line="252"/>
      </w:pPr>
      <w:r>
        <w:t xml:space="preserve">SNV and MSC to correct scatter and baseline differences.</w:t>
      </w:r>
    </w:p>
    <w:p>
      <w:pPr>
        <w:pStyle w:val="ListParagraph"/>
        <w:numPr>
          <w:ilvl w:val="0"/>
          <w:numId w:val="2"/>
        </w:numPr>
        <w:spacing w:after="50" w:line="252"/>
      </w:pPr>
      <w:r>
        <w:t xml:space="preserve">First and second derivatives to enhance edges linked to chlorophyll loss, water stress and protein changes.</w:t>
      </w:r>
    </w:p>
    <w:p>
      <w:pPr>
        <w:pStyle w:val="ListParagraph"/>
        <w:numPr>
          <w:ilvl w:val="0"/>
          <w:numId w:val="2"/>
        </w:numPr>
        <w:spacing w:after="50" w:line="252"/>
      </w:pPr>
      <w:r>
        <w:t xml:space="preserve">Band-to-band correlation matrix to show redundancy; PCA, t-SNE and UMAP projections to visualise structure (PCA: 98% of variance in five components).</w:t>
      </w:r>
    </w:p>
    <w:p>
      <w:pPr>
        <w:pStyle w:val="ListParagraph"/>
        <w:numPr>
          <w:ilvl w:val="0"/>
          <w:numId w:val="2"/>
        </w:numPr>
        <w:spacing w:after="50" w:line="252"/>
      </w:pPr>
      <w:r>
        <w:t xml:space="preserve">Cosine similarity and SAM matrices for brightness-independent comparison (clusters &lt; 0.06 rad; three spectra &gt; 0.15 rad flagged).</w:t>
      </w:r>
    </w:p>
    <w:p>
      <w:pPr>
        <w:pStyle w:val="ListParagraph"/>
        <w:numPr>
          <w:ilvl w:val="0"/>
          <w:numId w:val="2"/>
        </w:numPr>
        <w:spacing w:after="50" w:line="252"/>
      </w:pPr>
      <w:r>
        <w:t xml:space="preserve">Isolation Forest to remove anomalous spectra (reported +4.7% robustness).</w:t>
      </w:r>
    </w:p>
    <w:p>
      <w:pPr>
        <w:pStyle w:val="ListParagraph"/>
        <w:numPr>
          <w:ilvl w:val="0"/>
          <w:numId w:val="2"/>
        </w:numPr>
        <w:spacing w:after="50" w:line="252"/>
      </w:pPr>
      <w:r>
        <w:t xml:space="preserve">Random-forest impurity importance; top ten wavelengths retained (highest: 2016, 1977, 648 nm).</w:t>
      </w:r>
    </w:p>
    <w:p>
      <w:pPr>
        <w:pStyle w:val="ListParagraph"/>
        <w:numPr>
          <w:ilvl w:val="0"/>
          <w:numId w:val="2"/>
        </w:numPr>
        <w:spacing w:after="50" w:line="252"/>
      </w:pPr>
      <w:r>
        <w:t xml:space="preserve">Band-pair search in normalised-difference form → Rice Blast Index RBI = (R1068 − R1560)/(R1068 + R1560).</w:t>
      </w:r>
    </w:p>
    <w:p>
      <w:pPr>
        <w:pStyle w:val="ListParagraph"/>
        <w:numPr>
          <w:ilvl w:val="0"/>
          <w:numId w:val="2"/>
        </w:numPr>
        <w:spacing w:after="50" w:line="252"/>
      </w:pPr>
      <w:r>
        <w:t xml:space="preserve">Structural diagnostics: lagged correlation (ρ ≈ e^(−0.12·lag), &lt; 0.2 at 25 bands), spectral autocorrelation, feature persistence (peaks at 648, 1068, 1560 nm).</w:t>
      </w:r>
    </w:p>
    <w:p>
      <w:pPr>
        <w:spacing w:after="100" w:line="259"/>
        <w:jc w:val="both"/>
      </w:pPr>
      <w:r>
        <w:rPr>
          <w:b/>
          <w:bCs/>
        </w:rPr>
        <w:t xml:space="preserve">Results:</w:t>
      </w:r>
      <w:r>
        <w:t xml:space="preserve"> RBI F1 = 0.95 and κ = 0.93 versus NDVI 0.81/0.77 and PRI 0.84/0.79; AUC = 0.94; 18 ms processing per spectrum.</w:t>
      </w:r>
    </w:p>
    <w:p>
      <w:pPr>
        <w:spacing w:after="100" w:line="259"/>
        <w:jc w:val="both"/>
      </w:pPr>
      <w:r>
        <w:rPr>
          <w:b/>
          <w:bCs/>
        </w:rPr>
        <w:t xml:space="preserve">Points to clarify before reuse:</w:t>
      </w:r>
      <w:r>
        <w:t xml:space="preserve"> the classifier or threshold that produced F1 and κ and the train–test split are not described; the band-pair count does not match ten bands; RBI uses SWIR bands that VNIR UAV cameras cannot record. This protocol adopts the processing chain but places selection inside training folds (Steps 9–10).</w:t>
      </w:r>
    </w:p>
    <w:p>
      <w:pPr>
        <w:pStyle w:val="Heading2"/>
      </w:pPr>
      <w:r>
        <w:t xml:space="preserve">Mandal et al. (2022): canopy spectra and red-edge parameters for blast severity</w:t>
      </w:r>
    </w:p>
    <w:p>
      <w:pPr>
        <w:spacing w:after="100" w:line="259"/>
        <w:jc w:val="both"/>
      </w:pPr>
      <w:r>
        <w:rPr>
          <w:b/>
          <w:bCs/>
        </w:rPr>
        <w:t xml:space="preserve">Data.</w:t>
      </w:r>
      <w:r>
        <w:t xml:space="preserve"> ICAR-VPKAS Hawalbagh, Almora (1245 m); upland rain-fed and lowland irrigated rice; 10 genotypes per system, 3 replications, RBD; severity scored 0–9 by the IRRI scale. Canopy reflectance with an ASD FieldSpec (350–2500 nm), 25° FOV, 0.5 m above the canopy at nadir, 11:00–13:00, average of 30 scans, Spectralon re-referenced when light changed.</w:t>
      </w:r>
    </w:p>
    <w:p>
      <w:pPr>
        <w:spacing w:after="100" w:line="259"/>
        <w:jc w:val="both"/>
      </w:pPr>
      <w:r>
        <w:rPr>
          <w:b/>
          <w:bCs/>
        </w:rPr>
        <w:t xml:space="preserve">Workflow:</w:t>
      </w:r>
    </w:p>
    <w:p>
      <w:pPr>
        <w:pStyle w:val="ListParagraph"/>
        <w:numPr>
          <w:ilvl w:val="0"/>
          <w:numId w:val="3"/>
        </w:numPr>
        <w:spacing w:after="50" w:line="252"/>
      </w:pPr>
      <w:r>
        <w:t xml:space="preserve">Savitzky–Golay smoothing.</w:t>
      </w:r>
    </w:p>
    <w:p>
      <w:pPr>
        <w:pStyle w:val="ListParagraph"/>
        <w:numPr>
          <w:ilvl w:val="0"/>
          <w:numId w:val="3"/>
        </w:numPr>
        <w:spacing w:after="50" w:line="252"/>
      </w:pPr>
      <w:r>
        <w:t xml:space="preserve">Reflectance spectra per score and difference spectra from healthy.</w:t>
      </w:r>
    </w:p>
    <w:p>
      <w:pPr>
        <w:pStyle w:val="ListParagraph"/>
        <w:numPr>
          <w:ilvl w:val="0"/>
          <w:numId w:val="3"/>
        </w:numPr>
        <w:spacing w:after="50" w:line="252"/>
      </w:pPr>
      <w:r>
        <w:t xml:space="preserve">Pearson correlation between score and reflectance at each wavelength; |r| &gt; 0.6 = sensitive.</w:t>
      </w:r>
    </w:p>
    <w:p>
      <w:pPr>
        <w:pStyle w:val="ListParagraph"/>
        <w:numPr>
          <w:ilvl w:val="0"/>
          <w:numId w:val="3"/>
        </w:numPr>
        <w:spacing w:after="50" w:line="252"/>
      </w:pPr>
      <w:r>
        <w:t xml:space="preserve">First derivative and its correlation with score.</w:t>
      </w:r>
    </w:p>
    <w:p>
      <w:pPr>
        <w:pStyle w:val="ListParagraph"/>
        <w:numPr>
          <w:ilvl w:val="0"/>
          <w:numId w:val="3"/>
        </w:numPr>
        <w:spacing w:after="50" w:line="252"/>
      </w:pPr>
      <w:r>
        <w:t xml:space="preserve">Red-edge parameters from the first derivative: REP (λre), REV (amplitude, drre) and Σdr670–780, located by a second-order polynomial fit.</w:t>
      </w:r>
    </w:p>
    <w:p>
      <w:pPr>
        <w:pStyle w:val="ListParagraph"/>
        <w:numPr>
          <w:ilvl w:val="0"/>
          <w:numId w:val="3"/>
        </w:numPr>
        <w:spacing w:after="50" w:line="252"/>
      </w:pPr>
      <w:r>
        <w:t xml:space="preserve">Regression of REV on score.</w:t>
      </w:r>
    </w:p>
    <w:p>
      <w:pPr>
        <w:spacing w:after="100" w:line="259"/>
        <w:jc w:val="both"/>
      </w:pPr>
      <w:r>
        <w:rPr>
          <w:b/>
          <w:bCs/>
        </w:rPr>
        <w:t xml:space="preserve">Results:</w:t>
      </w:r>
      <w:r>
        <w:t xml:space="preserve"> visible ↑, NIR ↓ and SWIR ↑ with severity; sensitive regions at 690, 700–1000, 1475 and 1950–2100 nm (upland); derivative correlations at 490–550, 680–760 (positive), 550–680 (negative), 1100–1200 and 1250–1340 nm; REV fell from 0.009429 to 0.002301 (upland) and 0.010421 to 0.001935 (lowland) between scores 0 and 9; REV vs score R² = 0.81 and 0.91; no blue shift of REP.</w:t>
      </w:r>
    </w:p>
    <w:p>
      <w:pPr>
        <w:spacing w:after="100" w:line="259"/>
        <w:jc w:val="both"/>
      </w:pPr>
      <w:r>
        <w:rPr>
          <w:b/>
          <w:bCs/>
        </w:rPr>
        <w:t xml:space="preserve">Points to note:</w:t>
      </w:r>
      <w:r>
        <w:t xml:space="preserve"> each score corresponds to a different genotype (disease and genotype are confounded); each regression has 10 points and no independent validation; one measurement date.</w:t>
      </w:r>
    </w:p>
    <w:p>
      <w:pPr>
        <w:pStyle w:val="Heading2"/>
      </w:pPr>
      <w:r>
        <w:t xml:space="preserve">Gogoi, Deka &amp; Bora (2018): a review of remote sensing for plant disease</w:t>
      </w:r>
    </w:p>
    <w:p>
      <w:pPr>
        <w:spacing w:after="100" w:line="259"/>
        <w:jc w:val="both"/>
      </w:pPr>
      <w:r>
        <w:t xml:space="preserve">The review explains vegetation reflectance in three domains (VIS pigments, NIR mesophyll scattering, SWIR water), how stressed tissue changes these, and the sensor families (RGB, multispectral, hyperspectral, thermal, fluorescence imaging; VIS/IR and fluorescence spectroscopy). Its case studies include hyperspectral detection of potato late blight (Ray et al., 2011: up to 25% infestation separated with 710, 720 and 750 nm), UAV versus aircraft imaging of citrus greening (Garcia-Ruiz et al., 2013: 67–85% vs 61–74%), and thermography of cucumber downy mildew (Lindenthal et al., 2005: maximum temperature difference +0.6 °C at 2 days after inoculation, &gt; 2 °C at 5–6 days). Use it for interpretation and for the introduction; cite the original studies for numbers.</w:t>
      </w:r>
    </w:p>
    <w:p>
      <w:pPr>
        <w:pStyle w:val="Heading1"/>
      </w:pPr>
      <w:r>
        <w:t xml:space="preserve">Step 1. Design the experiment and the sampling sheet</w:t>
      </w:r>
    </w:p>
    <w:p>
      <w:pPr>
        <w:spacing w:after="100" w:line="259"/>
        <w:jc w:val="both"/>
      </w:pPr>
      <w:r>
        <w:t xml:space="preserve">The quality of the final model depends more on the design than on the algorithms. Three decisions must be made before the first measurement: what a sample is, how severity is scored, and which samples belong together (the grouping that validation will respect).</w:t>
      </w:r>
    </w:p>
    <w:p>
      <w:pPr>
        <w:pStyle w:val="Heading3"/>
      </w:pPr>
      <w:r>
        <w:t xml:space="preserve">1.1 What is a sample?</w:t>
      </w:r>
    </w:p>
    <w:p>
      <w:pPr>
        <w:pStyle w:val="ListParagraph"/>
        <w:numPr>
          <w:ilvl w:val="0"/>
          <w:numId w:val="4"/>
        </w:numPr>
        <w:spacing w:after="50" w:line="252"/>
      </w:pPr>
      <w:r>
        <w:rPr>
          <w:b/>
          <w:bCs/>
        </w:rPr>
        <w:t xml:space="preserve">Leaf level (glasshouse):</w:t>
      </w:r>
      <w:r>
        <w:t xml:space="preserve"> one leaf measured with the contact probe and leaf clip. Measure the </w:t>
      </w:r>
      <w:r>
        <w:rPr>
          <w:b/>
          <w:bCs/>
        </w:rPr>
        <w:t xml:space="preserve">adaxial (upper) surface</w:t>
      </w:r>
      <w:r>
        <w:t xml:space="preserve"> on all leaves, because that is what a UAV sees, and the </w:t>
      </w:r>
      <w:r>
        <w:rPr>
          <w:b/>
          <w:bCs/>
        </w:rPr>
        <w:t xml:space="preserve">abaxial (lower) surface</w:t>
      </w:r>
      <w:r>
        <w:t xml:space="preserve"> on the same leaves, because </w:t>
      </w:r>
      <w:r>
        <w:rPr>
          <w:i/>
          <w:iCs/>
        </w:rPr>
        <w:t xml:space="preserve">Albugo candida</w:t>
      </w:r>
      <w:r>
        <w:t xml:space="preserve"> pustules develop mainly underneath. Keep the two surfaces as separate records.</w:t>
      </w:r>
    </w:p>
    <w:p>
      <w:pPr>
        <w:pStyle w:val="ListParagraph"/>
        <w:numPr>
          <w:ilvl w:val="0"/>
          <w:numId w:val="4"/>
        </w:numPr>
        <w:spacing w:after="50" w:line="252"/>
      </w:pPr>
      <w:r>
        <w:rPr>
          <w:b/>
          <w:bCs/>
        </w:rPr>
        <w:t xml:space="preserve">Canopy level (field plots or pot groups):</w:t>
      </w:r>
      <w:r>
        <w:t xml:space="preserve"> one spectrum of the canopy at nadir with the pistol grip, as in Mandal et al. (2022). This is closer to the UAV view.</w:t>
      </w:r>
    </w:p>
    <w:p>
      <w:pPr>
        <w:pStyle w:val="ListParagraph"/>
        <w:numPr>
          <w:ilvl w:val="0"/>
          <w:numId w:val="4"/>
        </w:numPr>
        <w:spacing w:after="50" w:line="252"/>
      </w:pPr>
      <w:r>
        <w:rPr>
          <w:b/>
          <w:bCs/>
        </w:rPr>
        <w:t xml:space="preserve">Replicates:</w:t>
      </w:r>
      <w:r>
        <w:t xml:space="preserve"> 3 readings per leaf (Selvaprakash et al., 2026) or 30 averaged scans per canopy reading (Mandal et al., 2022). Replicates are averaged later; they are not independent samples.</w:t>
      </w:r>
    </w:p>
    <w:p>
      <w:pPr>
        <w:pStyle w:val="Heading3"/>
      </w:pPr>
      <w:r>
        <w:t xml:space="preserve">1.2 How is severity scored?</w:t>
      </w:r>
    </w:p>
    <w:p>
      <w:pPr>
        <w:spacing w:after="100" w:line="259"/>
        <w:jc w:val="both"/>
      </w:pPr>
      <w:r>
        <w:t xml:space="preserve">Score each measured leaf immediately after measurement, on the same leaf and surface, using your white rust grade scale (e.g. 0–5 by percentage of leaf area with pustules or chlorosis, comparable to the IRRI 0–9 area classes used by Mandal et al.). Also record percentage area if possible, because it allows regression as well as classification. For early detection, record </w:t>
      </w:r>
      <w:r>
        <w:rPr>
          <w:b/>
          <w:bCs/>
        </w:rPr>
        <w:t xml:space="preserve">days after inoculation (DAI)</w:t>
      </w:r>
      <w:r>
        <w:t xml:space="preserve"> and whether the leaf is inoculated, so that asymptomatic inoculated leaves (grade 0, inoculated) can be distinguished from healthy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4557A" w:sz="24"/>
              <w:bottom w:val="none" w:color="FFFFFF" w:sz="0"/>
              <w:right w:val="none" w:color="FFFFFF" w:sz="0"/>
            </w:tcBorders>
            <w:shd w:fill="EEF2F7" w:color="auto" w:val="clear"/>
            <w:tcMar>
              <w:top w:type="dxa" w:w="100"/>
              <w:left w:type="dxa" w:w="180"/>
              <w:bottom w:type="dxa" w:w="100"/>
              <w:right w:type="dxa" w:w="180"/>
            </w:tcMar>
          </w:tcPr>
          <w:p>
            <w:pPr>
              <w:spacing w:after="60"/>
            </w:pPr>
            <w:r>
              <w:rPr>
                <w:b/>
                <w:bCs/>
                <w:color w:val="34557A"/>
                <w:sz w:val="21"/>
                <w:szCs w:val="21"/>
              </w:rPr>
              <w:t xml:space="preserve">Avoid the confound in Mandal et al. (2022)</w:t>
            </w:r>
          </w:p>
          <w:p>
            <w:pPr>
              <w:spacing w:after="60" w:line="264"/>
            </w:pPr>
            <w:r>
              <w:rPr>
                <w:sz w:val="21"/>
                <w:szCs w:val="21"/>
              </w:rPr>
              <w:t xml:space="preserve">In Mandal et al., each severity score came from a different genotype (BL-18 = 9, VL 32475 = 0, and so on), so spectral differences could reflect genotype as well as disease. Use </w:t>
            </w:r>
            <w:r>
              <w:rPr>
                <w:b/>
                <w:bCs/>
                <w:sz w:val="21"/>
                <w:szCs w:val="21"/>
              </w:rPr>
              <w:t xml:space="preserve">one cultivar</w:t>
            </w:r>
            <w:r>
              <w:rPr>
                <w:sz w:val="21"/>
                <w:szCs w:val="21"/>
              </w:rPr>
              <w:t xml:space="preserve"> (or balance cultivars across grades) and include </w:t>
            </w:r>
            <w:r>
              <w:rPr>
                <w:b/>
                <w:bCs/>
                <w:sz w:val="21"/>
                <w:szCs w:val="21"/>
              </w:rPr>
              <w:t xml:space="preserve">non-inoculated controls of the same cultivar</w:t>
            </w:r>
            <w:r>
              <w:rPr>
                <w:sz w:val="21"/>
                <w:szCs w:val="21"/>
              </w:rPr>
              <w:t xml:space="preserve"> measured on the same days. Then disease is the only systematic difference.</w:t>
            </w:r>
          </w:p>
        </w:tc>
      </w:tr>
    </w:tbl>
    <w:p>
      <w:pPr>
        <w:spacing w:after="120"/>
      </w:pPr>
    </w:p>
    <w:p>
      <w:pPr>
        <w:pStyle w:val="Heading3"/>
      </w:pPr>
      <w:r>
        <w:t xml:space="preserve">1.3 Grouping and sample size</w:t>
      </w:r>
    </w:p>
    <w:p>
      <w:pPr>
        <w:pStyle w:val="ListParagraph"/>
        <w:numPr>
          <w:ilvl w:val="0"/>
          <w:numId w:val="4"/>
        </w:numPr>
        <w:spacing w:after="50" w:line="252"/>
      </w:pPr>
      <w:r>
        <w:rPr>
          <w:b/>
          <w:bCs/>
        </w:rPr>
        <w:t xml:space="preserve">Group = plant (pot) in the glasshouse, plot in the field.</w:t>
      </w:r>
      <w:r>
        <w:t xml:space="preserve"> Leaves of one plant are not independent; validation must keep all leaves of a plant in the same fold (Step 10).</w:t>
      </w:r>
    </w:p>
    <w:p>
      <w:pPr>
        <w:pStyle w:val="ListParagraph"/>
        <w:numPr>
          <w:ilvl w:val="0"/>
          <w:numId w:val="4"/>
        </w:numPr>
        <w:spacing w:after="50" w:line="252"/>
      </w:pPr>
      <w:r>
        <w:rPr>
          <w:b/>
          <w:bCs/>
        </w:rPr>
        <w:t xml:space="preserve">Size:</w:t>
      </w:r>
      <w:r>
        <w:t xml:space="preserve"> aim for at least 8–10 plants per grade class and 3–5 leaves per plant per date. Selvaprakash et al. used 800 leaves in 4 classes; the number of </w:t>
      </w:r>
      <w:r>
        <w:rPr>
          <w:i/>
          <w:iCs/>
        </w:rPr>
        <w:t xml:space="preserve">plants</w:t>
      </w:r>
      <w:r>
        <w:t xml:space="preserve"> matters more than the number of leaves.</w:t>
      </w:r>
    </w:p>
    <w:p>
      <w:pPr>
        <w:pStyle w:val="ListParagraph"/>
        <w:numPr>
          <w:ilvl w:val="0"/>
          <w:numId w:val="4"/>
        </w:numPr>
        <w:spacing w:after="50" w:line="252"/>
      </w:pPr>
      <w:r>
        <w:rPr>
          <w:b/>
          <w:bCs/>
        </w:rPr>
        <w:t xml:space="preserve">Dates:</w:t>
      </w:r>
      <w:r>
        <w:t xml:space="preserve"> for early detection, measure at fixed DAI (e.g. 0, 3, 5, 7, 10, 14, 21) on the same plants.</w:t>
      </w:r>
    </w:p>
    <w:p>
      <w:pPr>
        <w:keepNext/>
        <w:spacing w:after="80" w:before="160"/>
      </w:pPr>
      <w:r>
        <w:rPr>
          <w:b/>
          <w:bCs/>
          <w:color w:val="1C7C78"/>
          <w:sz w:val="20"/>
          <w:szCs w:val="20"/>
        </w:rPr>
        <w:t xml:space="preserve">Table 3. </w:t>
      </w:r>
      <w:r>
        <w:rPr>
          <w:color w:val="1F3A40"/>
          <w:sz w:val="20"/>
          <w:szCs w:val="20"/>
        </w:rPr>
        <w:t xml:space="preserve">Metadata template (one row per reading).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3"/>
        <w:gridCol w:w="3103"/>
        <w:gridCol w:w="3922"/>
      </w:tblGrid>
      <w:tr>
        <w:trPr>
          <w:cantSplit/>
          <w:tblHeader/>
        </w:trPr>
        <w:tc>
          <w:tcPr>
            <w:tcW w:type="dxa" w:w="2613"/>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Column</w:t>
            </w:r>
          </w:p>
        </w:tc>
        <w:tc>
          <w:tcPr>
            <w:tcW w:type="dxa" w:w="3103"/>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Example</w:t>
            </w:r>
          </w:p>
        </w:tc>
        <w:tc>
          <w:tcPr>
            <w:tcW w:type="dxa" w:w="392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Note</w:t>
            </w:r>
          </w:p>
        </w:tc>
      </w:tr>
      <w:tr>
        <w:trPr>
          <w:cantSplit/>
          <w:tblHeader w:val="false"/>
        </w:trPr>
        <w:tc>
          <w:tcPr>
            <w:tcW w:type="dxa" w:w="261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file</w:t>
            </w:r>
          </w:p>
        </w:tc>
        <w:tc>
          <w:tcPr>
            <w:tcW w:type="dxa" w:w="310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WR_GH_20261103_00045.asd</w:t>
            </w:r>
          </w:p>
        </w:tc>
        <w:tc>
          <w:tcPr>
            <w:tcW w:type="dxa" w:w="39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ASD file name, unique</w:t>
            </w:r>
          </w:p>
        </w:tc>
      </w:tr>
      <w:tr>
        <w:trPr>
          <w:cantSplit/>
          <w:tblHeader w:val="false"/>
        </w:trPr>
        <w:tc>
          <w:tcPr>
            <w:tcW w:type="dxa" w:w="261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sample_id / leaf_id</w:t>
            </w:r>
          </w:p>
        </w:tc>
        <w:tc>
          <w:tcPr>
            <w:tcW w:type="dxa" w:w="310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P07_L3_AD</w:t>
            </w:r>
          </w:p>
        </w:tc>
        <w:tc>
          <w:tcPr>
            <w:tcW w:type="dxa" w:w="39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Plant 7, leaf 3, adaxial</w:t>
            </w:r>
          </w:p>
        </w:tc>
      </w:tr>
      <w:tr>
        <w:trPr>
          <w:cantSplit/>
          <w:tblHeader w:val="false"/>
        </w:trPr>
        <w:tc>
          <w:tcPr>
            <w:tcW w:type="dxa" w:w="261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plant_id (group)</w:t>
            </w:r>
          </w:p>
        </w:tc>
        <w:tc>
          <w:tcPr>
            <w:tcW w:type="dxa" w:w="310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P07</w:t>
            </w:r>
          </w:p>
        </w:tc>
        <w:tc>
          <w:tcPr>
            <w:tcW w:type="dxa" w:w="39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Used for grouped CV</w:t>
            </w:r>
          </w:p>
        </w:tc>
      </w:tr>
      <w:tr>
        <w:trPr>
          <w:cantSplit/>
          <w:tblHeader w:val="false"/>
        </w:trPr>
        <w:tc>
          <w:tcPr>
            <w:tcW w:type="dxa" w:w="261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treatment</w:t>
            </w:r>
          </w:p>
        </w:tc>
        <w:tc>
          <w:tcPr>
            <w:tcW w:type="dxa" w:w="310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inoculated / control</w:t>
            </w:r>
          </w:p>
        </w:tc>
        <w:tc>
          <w:tcPr>
            <w:tcW w:type="dxa" w:w="39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p>
        </w:tc>
      </w:tr>
      <w:tr>
        <w:trPr>
          <w:cantSplit/>
          <w:tblHeader w:val="false"/>
        </w:trPr>
        <w:tc>
          <w:tcPr>
            <w:tcW w:type="dxa" w:w="261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dai, date, time</w:t>
            </w:r>
          </w:p>
        </w:tc>
        <w:tc>
          <w:tcPr>
            <w:tcW w:type="dxa" w:w="310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7, 2026-11-03, 11:20</w:t>
            </w:r>
          </w:p>
        </w:tc>
        <w:tc>
          <w:tcPr>
            <w:tcW w:type="dxa" w:w="39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Days after inoculation</w:t>
            </w:r>
          </w:p>
        </w:tc>
      </w:tr>
      <w:tr>
        <w:trPr>
          <w:cantSplit/>
          <w:tblHeader w:val="false"/>
        </w:trPr>
        <w:tc>
          <w:tcPr>
            <w:tcW w:type="dxa" w:w="261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surface, leaf_position</w:t>
            </w:r>
          </w:p>
        </w:tc>
        <w:tc>
          <w:tcPr>
            <w:tcW w:type="dxa" w:w="310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adaxial, upper</w:t>
            </w:r>
          </w:p>
        </w:tc>
        <w:tc>
          <w:tcPr>
            <w:tcW w:type="dxa" w:w="39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Upper/middle/lower canopy layer</w:t>
            </w:r>
          </w:p>
        </w:tc>
      </w:tr>
      <w:tr>
        <w:trPr>
          <w:cantSplit/>
          <w:tblHeader w:val="false"/>
        </w:trPr>
        <w:tc>
          <w:tcPr>
            <w:tcW w:type="dxa" w:w="261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grade, pct_area</w:t>
            </w:r>
          </w:p>
        </w:tc>
        <w:tc>
          <w:tcPr>
            <w:tcW w:type="dxa" w:w="310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2, 8</w:t>
            </w:r>
          </w:p>
        </w:tc>
        <w:tc>
          <w:tcPr>
            <w:tcW w:type="dxa" w:w="39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Scored right after measuring</w:t>
            </w:r>
          </w:p>
        </w:tc>
      </w:tr>
      <w:tr>
        <w:trPr>
          <w:cantSplit/>
          <w:tblHeader w:val="false"/>
        </w:trPr>
        <w:tc>
          <w:tcPr>
            <w:tcW w:type="dxa" w:w="261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probe, white_ref_time</w:t>
            </w:r>
          </w:p>
        </w:tc>
        <w:tc>
          <w:tcPr>
            <w:tcW w:type="dxa" w:w="310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contact probe, 11:05</w:t>
            </w:r>
          </w:p>
        </w:tc>
        <w:tc>
          <w:tcPr>
            <w:tcW w:type="dxa" w:w="39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Optimisation and white reference log</w:t>
            </w:r>
          </w:p>
        </w:tc>
      </w:tr>
      <w:tr>
        <w:trPr>
          <w:cantSplit/>
          <w:tblHeader w:val="false"/>
        </w:trPr>
        <w:tc>
          <w:tcPr>
            <w:tcW w:type="dxa" w:w="261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spad, notes</w:t>
            </w:r>
          </w:p>
        </w:tc>
        <w:tc>
          <w:tcPr>
            <w:tcW w:type="dxa" w:w="310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38.5, 'flower petal in FOV'</w:t>
            </w:r>
          </w:p>
        </w:tc>
        <w:tc>
          <w:tcPr>
            <w:tcW w:type="dxa" w:w="39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Optional physiology; anything unusual</w:t>
            </w:r>
          </w:p>
        </w:tc>
      </w:tr>
    </w:tbl>
    <w:p>
      <w:pPr>
        <w:spacing w:after="120"/>
      </w:pPr>
    </w:p>
    <w:p>
      <w:pPr>
        <w:pStyle w:val="Heading1"/>
      </w:pPr>
      <w:r>
        <w:t xml:space="preserve">Step 2. Measure with the ASD FieldSpec</w:t>
      </w:r>
    </w:p>
    <w:p>
      <w:pPr>
        <w:spacing w:after="100" w:line="259"/>
        <w:jc w:val="both"/>
      </w:pPr>
      <w:r>
        <w:t xml:space="preserve">The ASD FieldSpec (3 or 4) records 350–2500 nm with three detectors: a silicon array for VNIR (350–1000 nm) and two InGaAs detectors for SWIR1 (1001–1800 nm) and SWIR2 (1801–2500 nm). Its output is interpolated to 1 nm, giving 2,151 bands. Reflectance is computed relative to a white Spectralon reference.</w:t>
      </w:r>
    </w:p>
    <w:p>
      <w:pPr>
        <w:pStyle w:val="Heading3"/>
      </w:pPr>
      <w:r>
        <w:t xml:space="preserve">2.1 Leaf measurements (contact probe + leaf clip)</w:t>
      </w:r>
    </w:p>
    <w:p>
      <w:pPr>
        <w:keepNext/>
        <w:spacing w:after="40" w:before="80"/>
      </w:pPr>
      <w:r>
        <w:rPr>
          <w:b/>
          <w:bCs/>
          <w:color w:val="1C7C78"/>
          <w:sz w:val="21"/>
          <w:szCs w:val="21"/>
        </w:rPr>
        <w:t xml:space="preserve">Do this</w:t>
      </w:r>
    </w:p>
    <w:p>
      <w:pPr>
        <w:pStyle w:val="ListParagraph"/>
        <w:numPr>
          <w:ilvl w:val="0"/>
          <w:numId w:val="5"/>
        </w:numPr>
        <w:spacing w:after="50" w:line="252"/>
      </w:pPr>
      <w:r>
        <w:t xml:space="preserve">Switch on the instrument at least 30 minutes before measuring so the detectors stabilise (VNIR drift is the main cause of the splice step at 1000 nm).</w:t>
      </w:r>
    </w:p>
    <w:p>
      <w:pPr>
        <w:pStyle w:val="ListParagraph"/>
        <w:numPr>
          <w:ilvl w:val="0"/>
          <w:numId w:val="5"/>
        </w:numPr>
        <w:spacing w:after="50" w:line="252"/>
      </w:pPr>
      <w:r>
        <w:t xml:space="preserve">Attach the contact probe (own halogen light source) with the leaf clip; set spectrum averaging (e.g. 10–25 scans) and dark-current averaging.</w:t>
      </w:r>
    </w:p>
    <w:p>
      <w:pPr>
        <w:pStyle w:val="ListParagraph"/>
        <w:numPr>
          <w:ilvl w:val="0"/>
          <w:numId w:val="5"/>
        </w:numPr>
        <w:spacing w:after="50" w:line="252"/>
      </w:pPr>
      <w:r>
        <w:t xml:space="preserve">Optimise on the white reference, then take a white reference reading; repeat white reference every 10–15 minutes and whenever the probe is re-positioned or the reading drifts.</w:t>
      </w:r>
    </w:p>
    <w:p>
      <w:pPr>
        <w:pStyle w:val="ListParagraph"/>
        <w:numPr>
          <w:ilvl w:val="0"/>
          <w:numId w:val="5"/>
        </w:numPr>
        <w:spacing w:after="50" w:line="252"/>
      </w:pPr>
      <w:r>
        <w:t xml:space="preserve">Place the leaf against the black background of the clip, avoiding the midrib and large veins; measure 3 positions per leaf (Selvaprakash et al. used 3 readings averaged).</w:t>
      </w:r>
    </w:p>
    <w:p>
      <w:pPr>
        <w:pStyle w:val="ListParagraph"/>
        <w:numPr>
          <w:ilvl w:val="0"/>
          <w:numId w:val="5"/>
        </w:numPr>
        <w:spacing w:after="50" w:line="252"/>
      </w:pPr>
      <w:r>
        <w:t xml:space="preserve">Measure adaxial first, then abaxial; record both with the same leaf_id and a surface code.</w:t>
      </w:r>
    </w:p>
    <w:p>
      <w:pPr>
        <w:pStyle w:val="ListParagraph"/>
        <w:numPr>
          <w:ilvl w:val="0"/>
          <w:numId w:val="5"/>
        </w:numPr>
        <w:spacing w:after="50" w:line="252"/>
      </w:pPr>
      <w:r>
        <w:t xml:space="preserve">Score the leaf immediately and write the grade in the sheet.</w:t>
      </w:r>
    </w:p>
    <w:p>
      <w:pPr>
        <w:spacing w:after="100" w:line="259"/>
        <w:jc w:val="both"/>
      </w:pPr>
      <w:r>
        <w:rPr>
          <w:b/>
          <w:bCs/>
        </w:rPr>
        <w:t xml:space="preserve">Why:</w:t>
      </w:r>
      <w:r>
        <w:t xml:space="preserve"> the contact probe uses its own light, so readings are independent of sunlight and the atmospheric water bands are much less noisy than in sunlight measurements. This makes leaf spectra comparable across days and between IARI and other sites.</w:t>
      </w:r>
    </w:p>
    <w:p>
      <w:pPr>
        <w:pStyle w:val="Heading3"/>
      </w:pPr>
      <w:r>
        <w:t xml:space="preserve">2.2 Canopy measurements (pistol grip, sunlight)</w:t>
      </w:r>
    </w:p>
    <w:p>
      <w:pPr>
        <w:keepNext/>
        <w:spacing w:after="40" w:before="80"/>
      </w:pPr>
      <w:r>
        <w:rPr>
          <w:b/>
          <w:bCs/>
          <w:color w:val="1C7C78"/>
          <w:sz w:val="21"/>
          <w:szCs w:val="21"/>
        </w:rPr>
        <w:t xml:space="preserve">Do this</w:t>
      </w:r>
    </w:p>
    <w:p>
      <w:pPr>
        <w:pStyle w:val="ListParagraph"/>
        <w:numPr>
          <w:ilvl w:val="0"/>
          <w:numId w:val="6"/>
        </w:numPr>
        <w:spacing w:after="50" w:line="252"/>
      </w:pPr>
      <w:r>
        <w:t xml:space="preserve">Measure on clear days between 11:00 and 13:00 (Mandal et al.) or at most 10:00–14:00 (Selvaprakash et al.) to limit changes in solar angle.</w:t>
      </w:r>
    </w:p>
    <w:p>
      <w:pPr>
        <w:pStyle w:val="ListParagraph"/>
        <w:numPr>
          <w:ilvl w:val="0"/>
          <w:numId w:val="6"/>
        </w:numPr>
        <w:spacing w:after="50" w:line="252"/>
      </w:pPr>
      <w:r>
        <w:t xml:space="preserve">Hold the pistol grip at nadir; Mandal et al. used a 25° field of view at 0.5 m above the canopy. The footprint diameter is 2·h·tan(FOV/2) = 2 × 0.5 × tan(12.5°) ≈ 0.22 m; keep it inside the plot or pot group and away from soil, pot rims and the operator's shadow.</w:t>
      </w:r>
    </w:p>
    <w:p>
      <w:pPr>
        <w:pStyle w:val="ListParagraph"/>
        <w:numPr>
          <w:ilvl w:val="0"/>
          <w:numId w:val="6"/>
        </w:numPr>
        <w:spacing w:after="50" w:line="252"/>
      </w:pPr>
      <w:r>
        <w:t xml:space="preserve">Average 30 scans per reading (Mandal et al.) and take several readings per plot at different positions.</w:t>
      </w:r>
    </w:p>
    <w:p>
      <w:pPr>
        <w:pStyle w:val="ListParagraph"/>
        <w:numPr>
          <w:ilvl w:val="0"/>
          <w:numId w:val="6"/>
        </w:numPr>
        <w:spacing w:after="50" w:line="252"/>
      </w:pPr>
      <w:r>
        <w:t xml:space="preserve">Optimise and take a white reference before each plot or whenever the light changes (Mandal et al. repeated it whenever sunlight changed).</w:t>
      </w:r>
    </w:p>
    <w:p>
      <w:pPr>
        <w:pStyle w:val="ListParagraph"/>
        <w:numPr>
          <w:ilvl w:val="0"/>
          <w:numId w:val="6"/>
        </w:numPr>
        <w:spacing w:after="50" w:line="252"/>
      </w:pPr>
      <w:r>
        <w:t xml:space="preserve">Record time, cloud and wind for every reading; discard readings taken while clouds pass.</w:t>
      </w:r>
    </w:p>
    <w:p>
      <w:pPr>
        <w:spacing w:after="120" w:before="100"/>
        <w:jc w:val="center"/>
      </w:pPr>
      <w:r>
        <w:rPr>
          <w:rFonts w:ascii="Cambria Math" w:cs="Cambria Math" w:eastAsia="Cambria Math" w:hAnsi="Cambria Math"/>
          <w:sz w:val="23"/>
          <w:szCs w:val="23"/>
        </w:rPr>
        <w:t xml:space="preserve">Footprint diameter = 2 · h · tan(FOV / 2)</w:t>
      </w:r>
    </w:p>
    <w:p>
      <w:pPr>
        <w:pStyle w:val="Heading3"/>
      </w:pPr>
      <w:r>
        <w:t xml:space="preserve">2.3 Quality checks before leaving the glasshouse or field</w:t>
      </w:r>
    </w:p>
    <w:p>
      <w:pPr>
        <w:pStyle w:val="ListParagraph"/>
        <w:numPr>
          <w:ilvl w:val="0"/>
          <w:numId w:val="4"/>
        </w:numPr>
        <w:spacing w:after="50" w:line="252"/>
      </w:pPr>
      <w:r>
        <w:t xml:space="preserve">Every reading has a metadata row; file numbers are continuous.</w:t>
      </w:r>
    </w:p>
    <w:p>
      <w:pPr>
        <w:pStyle w:val="ListParagraph"/>
        <w:numPr>
          <w:ilvl w:val="0"/>
          <w:numId w:val="4"/>
        </w:numPr>
        <w:spacing w:after="50" w:line="252"/>
      </w:pPr>
      <w:r>
        <w:t xml:space="preserve">Spot-check a few spectra on screen: green peak present, red trough near 670 nm, NIR plateau 0.3–0.6 for healthy leaves.</w:t>
      </w:r>
    </w:p>
    <w:p>
      <w:pPr>
        <w:pStyle w:val="ListParagraph"/>
        <w:numPr>
          <w:ilvl w:val="0"/>
          <w:numId w:val="4"/>
        </w:numPr>
        <w:spacing w:after="50" w:line="252"/>
      </w:pPr>
      <w:r>
        <w:t xml:space="preserve">White reference spectra are flat near 1.0.</w:t>
      </w:r>
    </w:p>
    <w:p>
      <w:pPr>
        <w:pStyle w:val="Heading1"/>
      </w:pPr>
      <w:r>
        <w:t xml:space="preserve">Step 3. Import and organise the data</w:t>
      </w:r>
    </w:p>
    <w:p>
      <w:pPr>
        <w:spacing w:after="100" w:line="259"/>
        <w:jc w:val="both"/>
      </w:pPr>
      <w:r>
        <w:t xml:space="preserve">Two routes are common. </w:t>
      </w:r>
      <w:r>
        <w:rPr>
          <w:b/>
          <w:bCs/>
        </w:rPr>
        <w:t xml:space="preserve">ViewSpec Pro</w:t>
      </w:r>
      <w:r>
        <w:t xml:space="preserve"> (ASD software) converts .asd files to reflectance and exports ASCII; choose 'output to a single file' so that the first column is wavelength and every other column is one spectrum. Alternatively, Python packages that read .asd files directly (e.g. SpecDAL) or the R packages asdreader and prospectr can be used. Whatever the route, end with two linked objects: a matrix R (samples × 2,151 wavelengths) and a metadata table with the same row order.</w:t>
      </w:r>
    </w:p>
    <w:p>
      <w:pPr>
        <w:shd w:fill="F2F4F5" w:color="auto" w:val="clear"/>
        <w:spacing w:after="0" w:line="228"/>
      </w:pPr>
      <w:r>
        <w:rPr>
          <w:rFonts w:ascii="Consolas" w:cs="Consolas" w:eastAsia="Consolas" w:hAnsi="Consolas"/>
          <w:sz w:val="16"/>
          <w:szCs w:val="16"/>
        </w:rPr>
        <w:t xml:space="preserve">import asd_pipeline as A, pandas as pd</w:t>
      </w:r>
    </w:p>
    <w:p>
      <w:pPr>
        <w:shd w:fill="F2F4F5" w:color="auto" w:val="clear"/>
        <w:spacing w:after="0" w:line="228"/>
      </w:pPr>
      <w:r>
        <w:rPr>
          <w:rFonts w:ascii="Consolas" w:cs="Consolas" w:eastAsia="Consolas" w:hAnsi="Consolas"/>
          <w:sz w:val="16"/>
          <w:szCs w:val="16"/>
        </w:rPr>
        <w:t xml:space="preserve">wl, R, names = A.load_viewspec_ascii("export_2026-11-03.txt")   # wl: 350..2500, R: n x 2151</w:t>
      </w:r>
    </w:p>
    <w:p>
      <w:pPr>
        <w:shd w:fill="F2F4F5" w:color="auto" w:val="clear"/>
        <w:spacing w:after="0" w:line="228"/>
      </w:pPr>
      <w:r>
        <w:rPr>
          <w:rFonts w:ascii="Consolas" w:cs="Consolas" w:eastAsia="Consolas" w:hAnsi="Consolas"/>
          <w:sz w:val="16"/>
          <w:szCs w:val="16"/>
        </w:rPr>
        <w:t xml:space="preserve">meta = pd.read_excel("sampling_sheet.xlsx")</w:t>
      </w:r>
    </w:p>
    <w:p>
      <w:pPr>
        <w:shd w:fill="F2F4F5" w:color="auto" w:val="clear"/>
        <w:spacing w:after="0" w:line="228"/>
      </w:pPr>
      <w:r>
        <w:rPr>
          <w:rFonts w:ascii="Consolas" w:cs="Consolas" w:eastAsia="Consolas" w:hAnsi="Consolas"/>
          <w:sz w:val="16"/>
          <w:szCs w:val="16"/>
        </w:rPr>
        <w:t xml:space="preserve">meta = meta.set_index("file").loc[names].reset_index()           # same order as R</w:t>
      </w:r>
    </w:p>
    <w:p>
      <w:pPr>
        <w:spacing w:after="100"/>
      </w:pPr>
    </w:p>
    <w:p>
      <w:pPr>
        <w:keepNext/>
        <w:spacing w:after="40" w:before="80"/>
      </w:pPr>
      <w:r>
        <w:rPr>
          <w:b/>
          <w:bCs/>
          <w:color w:val="1C7C78"/>
          <w:sz w:val="21"/>
          <w:szCs w:val="21"/>
        </w:rPr>
        <w:t xml:space="preserve">Do this</w:t>
      </w:r>
    </w:p>
    <w:p>
      <w:pPr>
        <w:pStyle w:val="ListParagraph"/>
        <w:numPr>
          <w:ilvl w:val="0"/>
          <w:numId w:val="7"/>
        </w:numPr>
        <w:spacing w:after="50" w:line="252"/>
      </w:pPr>
      <w:r>
        <w:t xml:space="preserve">Keep raw files untouched in a read-only folder; work on copies.</w:t>
      </w:r>
    </w:p>
    <w:p>
      <w:pPr>
        <w:pStyle w:val="ListParagraph"/>
        <w:numPr>
          <w:ilvl w:val="0"/>
          <w:numId w:val="7"/>
        </w:numPr>
        <w:spacing w:after="50" w:line="252"/>
      </w:pPr>
      <w:r>
        <w:t xml:space="preserve">Check that every spectrum has a metadata row and vice versa; stop if not.</w:t>
      </w:r>
    </w:p>
    <w:p>
      <w:pPr>
        <w:pStyle w:val="ListParagraph"/>
        <w:numPr>
          <w:ilvl w:val="0"/>
          <w:numId w:val="7"/>
        </w:numPr>
        <w:spacing w:after="50" w:line="252"/>
      </w:pPr>
      <w:r>
        <w:t xml:space="preserve">If the reference panel has a calibration certificate, multiply relative reflectance by the panel's reflectance factor to obtain absolute reflectance (optional for within-study comparisons, recommended for comparing instruments or sites).</w:t>
      </w:r>
    </w:p>
    <w:p>
      <w:pPr>
        <w:pStyle w:val="ListParagraph"/>
        <w:numPr>
          <w:ilvl w:val="0"/>
          <w:numId w:val="7"/>
        </w:numPr>
        <w:spacing w:after="50" w:line="252"/>
      </w:pPr>
      <w:r>
        <w:t xml:space="preserve">Save R, wl and meta together (e.g. a .npz plus a .csv) with a version number.</w:t>
      </w:r>
    </w:p>
    <w:p>
      <w:pPr>
        <w:pStyle w:val="Heading1"/>
      </w:pPr>
      <w:r>
        <w:t xml:space="preserve">Step 4. Quality control</w:t>
      </w:r>
    </w:p>
    <w:p>
      <w:pPr>
        <w:pStyle w:val="Heading2"/>
      </w:pPr>
      <w:r>
        <w:t xml:space="preserve">4.1 Splice correction</w:t>
      </w:r>
    </w:p>
    <w:p>
      <w:pPr>
        <w:spacing w:after="100" w:line="259"/>
        <w:jc w:val="both"/>
      </w:pPr>
      <w:r>
        <w:t xml:space="preserve">Because three detectors are joined, ASD spectra often show small steps at 1000/1001 nm and 1800/1801 nm. The VNIR detector is the most temperature-sensitive, so the step at 1000 nm is usually the largest. The correction shifts the outer segments so that they meet the middle (SWIR1) segment smoothly. ViewSpec Pro offers a splice correction; asd_pipeline.splice_correct does the same with an additive shift based on linear extrapolation of the neighbouring SWIR1 bands.</w:t>
      </w:r>
    </w:p>
    <w:p>
      <w:pPr>
        <w:shd w:fill="F2F4F5" w:color="auto" w:val="clear"/>
        <w:spacing w:after="0" w:line="228"/>
      </w:pPr>
      <w:r>
        <w:rPr>
          <w:rFonts w:ascii="Consolas" w:cs="Consolas" w:eastAsia="Consolas" w:hAnsi="Consolas"/>
          <w:sz w:val="16"/>
          <w:szCs w:val="16"/>
        </w:rPr>
        <w:t xml:space="preserve">R = A.splice_correct(R, wl, splices=(1000, 1800))</w:t>
      </w:r>
    </w:p>
    <w:p>
      <w:pPr>
        <w:spacing w:after="100"/>
      </w:pPr>
    </w:p>
    <w:p>
      <w:pPr>
        <w:pStyle w:val="Heading2"/>
      </w:pPr>
      <w:r>
        <w:t xml:space="preserve">4.2 Remove noisy regions</w:t>
      </w:r>
    </w:p>
    <w:p>
      <w:pPr>
        <w:spacing w:after="100" w:line="259"/>
        <w:jc w:val="both"/>
      </w:pPr>
      <w:r>
        <w:t xml:space="preserve">Remove bands with low signal or strong atmospheric water absorption. For sunlight (canopy) measurements this is essential; for contact-probe measurements, the edges should still be trimmed.</w:t>
      </w:r>
    </w:p>
    <w:p>
      <w:pPr>
        <w:keepNext/>
        <w:spacing w:after="80" w:before="160"/>
      </w:pPr>
      <w:r>
        <w:rPr>
          <w:b/>
          <w:bCs/>
          <w:color w:val="1C7C78"/>
          <w:sz w:val="20"/>
          <w:szCs w:val="20"/>
        </w:rPr>
        <w:t xml:space="preserve">Table 4. </w:t>
      </w:r>
      <w:r>
        <w:rPr>
          <w:color w:val="1F3A40"/>
          <w:sz w:val="20"/>
          <w:szCs w:val="20"/>
        </w:rPr>
        <w:t xml:space="preserve">Spectral regions to remove.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3419"/>
        <w:gridCol w:w="2176"/>
        <w:gridCol w:w="2178"/>
      </w:tblGrid>
      <w:tr>
        <w:trPr>
          <w:cantSplit/>
          <w:tblHeader/>
        </w:trPr>
        <w:tc>
          <w:tcPr>
            <w:tcW w:type="dxa" w:w="186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Region (nm)</w:t>
            </w:r>
          </w:p>
        </w:tc>
        <w:tc>
          <w:tcPr>
            <w:tcW w:type="dxa" w:w="341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Reason</w:t>
            </w:r>
          </w:p>
        </w:tc>
        <w:tc>
          <w:tcPr>
            <w:tcW w:type="dxa" w:w="217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Contact probe</w:t>
            </w:r>
          </w:p>
        </w:tc>
        <w:tc>
          <w:tcPr>
            <w:tcW w:type="dxa" w:w="2178"/>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Sunlight (canopy)</w:t>
            </w:r>
          </w:p>
        </w:tc>
      </w:tr>
      <w:tr>
        <w:trPr>
          <w:cantSplit/>
          <w:tblHeader w:val="false"/>
        </w:trPr>
        <w:tc>
          <w:tcPr>
            <w:tcW w:type="dxa" w:w="186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350–399</w:t>
            </w:r>
          </w:p>
        </w:tc>
        <w:tc>
          <w:tcPr>
            <w:tcW w:type="dxa" w:w="34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Low detector signal, noisy</w:t>
            </w:r>
          </w:p>
        </w:tc>
        <w:tc>
          <w:tcPr>
            <w:tcW w:type="dxa" w:w="217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Remove</w:t>
            </w:r>
          </w:p>
        </w:tc>
        <w:tc>
          <w:tcPr>
            <w:tcW w:type="dxa" w:w="217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Remove</w:t>
            </w:r>
          </w:p>
        </w:tc>
      </w:tr>
      <w:tr>
        <w:trPr>
          <w:cantSplit/>
          <w:tblHeader w:val="false"/>
        </w:trPr>
        <w:tc>
          <w:tcPr>
            <w:tcW w:type="dxa" w:w="186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1341–1459</w:t>
            </w:r>
          </w:p>
        </w:tc>
        <w:tc>
          <w:tcPr>
            <w:tcW w:type="dxa" w:w="34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Atmospheric water absorption</w:t>
            </w:r>
          </w:p>
        </w:tc>
        <w:tc>
          <w:tcPr>
            <w:tcW w:type="dxa" w:w="217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Inspect; usually keep</w:t>
            </w:r>
          </w:p>
        </w:tc>
        <w:tc>
          <w:tcPr>
            <w:tcW w:type="dxa" w:w="217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Remove</w:t>
            </w:r>
          </w:p>
        </w:tc>
      </w:tr>
      <w:tr>
        <w:trPr>
          <w:cantSplit/>
          <w:tblHeader w:val="false"/>
        </w:trPr>
        <w:tc>
          <w:tcPr>
            <w:tcW w:type="dxa" w:w="186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1791–1959</w:t>
            </w:r>
          </w:p>
        </w:tc>
        <w:tc>
          <w:tcPr>
            <w:tcW w:type="dxa" w:w="34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Atmospheric water absorption</w:t>
            </w:r>
          </w:p>
        </w:tc>
        <w:tc>
          <w:tcPr>
            <w:tcW w:type="dxa" w:w="217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Inspect; usually keep</w:t>
            </w:r>
          </w:p>
        </w:tc>
        <w:tc>
          <w:tcPr>
            <w:tcW w:type="dxa" w:w="217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Remove</w:t>
            </w:r>
          </w:p>
        </w:tc>
      </w:tr>
      <w:tr>
        <w:trPr>
          <w:cantSplit/>
          <w:tblHeader w:val="false"/>
        </w:trPr>
        <w:tc>
          <w:tcPr>
            <w:tcW w:type="dxa" w:w="186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2351–2500</w:t>
            </w:r>
          </w:p>
        </w:tc>
        <w:tc>
          <w:tcPr>
            <w:tcW w:type="dxa" w:w="34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Low signal at detector edge</w:t>
            </w:r>
          </w:p>
        </w:tc>
        <w:tc>
          <w:tcPr>
            <w:tcW w:type="dxa" w:w="217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Remove</w:t>
            </w:r>
          </w:p>
        </w:tc>
        <w:tc>
          <w:tcPr>
            <w:tcW w:type="dxa" w:w="217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Remove</w:t>
            </w:r>
          </w:p>
        </w:tc>
      </w:tr>
    </w:tbl>
    <w:p>
      <w:pPr>
        <w:spacing w:after="120"/>
      </w:pPr>
    </w:p>
    <w:p>
      <w:pPr>
        <w:shd w:fill="F2F4F5" w:color="auto" w:val="clear"/>
        <w:spacing w:after="0" w:line="228"/>
      </w:pPr>
      <w:r>
        <w:rPr>
          <w:rFonts w:ascii="Consolas" w:cs="Consolas" w:eastAsia="Consolas" w:hAnsi="Consolas"/>
          <w:sz w:val="16"/>
          <w:szCs w:val="16"/>
        </w:rPr>
        <w:t xml:space="preserve">keep = A.band_mask(wl)          # True for bands kept; default regions as in the table</w:t>
      </w:r>
    </w:p>
    <w:p>
      <w:pPr>
        <w:spacing w:after="100"/>
      </w:pPr>
    </w:p>
    <w:p>
      <w:pPr>
        <w:pStyle w:val="Heading2"/>
      </w:pPr>
      <w:r>
        <w:t xml:space="preserve">4.3 Average replicates and run physical checks</w:t>
      </w:r>
    </w:p>
    <w:p>
      <w:pPr>
        <w:shd w:fill="F2F4F5" w:color="auto" w:val="clear"/>
        <w:spacing w:after="0" w:line="228"/>
      </w:pPr>
      <w:r>
        <w:rPr>
          <w:rFonts w:ascii="Consolas" w:cs="Consolas" w:eastAsia="Consolas" w:hAnsi="Consolas"/>
          <w:sz w:val="16"/>
          <w:szCs w:val="16"/>
        </w:rPr>
        <w:t xml:space="preserve">R, meta = A.average_replicates(R, meta, key="leaf_id")   # 3 readings -&gt; 1 spectrum per leaf</w:t>
      </w:r>
    </w:p>
    <w:p>
      <w:pPr>
        <w:shd w:fill="F2F4F5" w:color="auto" w:val="clear"/>
        <w:spacing w:after="0" w:line="228"/>
      </w:pPr>
      <w:r>
        <w:rPr>
          <w:rFonts w:ascii="Consolas" w:cs="Consolas" w:eastAsia="Consolas" w:hAnsi="Consolas"/>
          <w:sz w:val="16"/>
          <w:szCs w:val="16"/>
        </w:rPr>
        <w:t xml:space="preserve">flags = A.physical_checks(R, wl)   # reflectance outside 0-1, NIR &lt; 0.2, no green peak</w:t>
      </w:r>
    </w:p>
    <w:p>
      <w:pPr>
        <w:spacing w:after="100"/>
      </w:pPr>
    </w:p>
    <w:p>
      <w:pPr>
        <w:spacing w:after="100" w:line="259"/>
        <w:jc w:val="both"/>
      </w:pPr>
      <w:r>
        <w:t xml:space="preserve">Inspect every flagged spectrum and the field notes before deciding. A low NIR plateau usually means the leaf did not fill the probe window or background was seen; a missing green peak can indicate a dead leaf or a measurement error.</w:t>
      </w:r>
    </w:p>
    <w:p>
      <w:pPr>
        <w:pStyle w:val="Heading2"/>
      </w:pPr>
      <w:r>
        <w:t xml:space="preserve">4.4 Statistical outliers: Isolation Forest and SAM</w:t>
      </w:r>
    </w:p>
    <w:p>
      <w:pPr>
        <w:spacing w:after="100" w:line="259"/>
        <w:jc w:val="both"/>
      </w:pPr>
      <w:r>
        <w:t xml:space="preserve">Selvaprakash et al. removed anomalous spectra with an </w:t>
      </w:r>
      <w:r>
        <w:rPr>
          <w:b/>
          <w:bCs/>
        </w:rPr>
        <w:t xml:space="preserve">Isolation Forest</w:t>
      </w:r>
      <w:r>
        <w:t xml:space="preserve">, an unsupervised method that isolates unusual observations by random splits (unusual samples are isolated in fewer splits), and reported a 4.7% gain in robustness. They also used </w:t>
      </w:r>
      <w:r>
        <w:rPr>
          <w:b/>
          <w:bCs/>
        </w:rPr>
        <w:t xml:space="preserve">SAM</w:t>
      </w:r>
      <w:r>
        <w:t xml:space="preserve">: spectra at an angle &gt; 0.15 rad from the others were flagged, while normal spectra clustered below 0.06 rad.</w:t>
      </w:r>
    </w:p>
    <w:p>
      <w:pPr>
        <w:spacing w:after="20" w:before="100"/>
        <w:jc w:val="center"/>
      </w:pPr>
      <w:r>
        <w:rPr>
          <w:rFonts w:ascii="Cambria Math" w:cs="Cambria Math" w:eastAsia="Cambria Math" w:hAnsi="Cambria Math"/>
          <w:sz w:val="23"/>
          <w:szCs w:val="23"/>
        </w:rPr>
        <w:t xml:space="preserve">SAM(x, y) = arccos( ⟨x, y⟩ / (‖x‖ · ‖y‖) )</w:t>
      </w:r>
    </w:p>
    <w:p>
      <w:pPr>
        <w:spacing w:after="120"/>
        <w:jc w:val="center"/>
      </w:pPr>
      <w:r>
        <w:rPr>
          <w:i/>
          <w:iCs/>
          <w:color w:val="5E7A7E"/>
          <w:sz w:val="19"/>
          <w:szCs w:val="19"/>
        </w:rPr>
        <w:t xml:space="preserve">Angle between two spectra; insensitive to overall brightness.</w:t>
      </w:r>
    </w:p>
    <w:p>
      <w:pPr>
        <w:shd w:fill="F2F4F5" w:color="auto" w:val="clear"/>
        <w:spacing w:after="0" w:line="228"/>
      </w:pPr>
      <w:r>
        <w:rPr>
          <w:rFonts w:ascii="Consolas" w:cs="Consolas" w:eastAsia="Consolas" w:hAnsi="Consolas"/>
          <w:sz w:val="16"/>
          <w:szCs w:val="16"/>
        </w:rPr>
        <w:t xml:space="preserve">from sklearn.ensemble import IsolationForest</w:t>
      </w:r>
    </w:p>
    <w:p>
      <w:pPr>
        <w:shd w:fill="F2F4F5" w:color="auto" w:val="clear"/>
        <w:spacing w:after="0" w:line="228"/>
      </w:pPr>
      <w:r>
        <w:rPr>
          <w:rFonts w:ascii="Consolas" w:cs="Consolas" w:eastAsia="Consolas" w:hAnsi="Consolas"/>
          <w:sz w:val="16"/>
          <w:szCs w:val="16"/>
        </w:rPr>
        <w:t xml:space="preserve">iso = IsolationForest(contamination=0.02, random_state=0).fit(X_train)   # TRAINING spectra only</w:t>
      </w:r>
    </w:p>
    <w:p>
      <w:pPr>
        <w:shd w:fill="F2F4F5" w:color="auto" w:val="clear"/>
        <w:spacing w:after="0" w:line="228"/>
      </w:pPr>
      <w:r>
        <w:rPr>
          <w:rFonts w:ascii="Consolas" w:cs="Consolas" w:eastAsia="Consolas" w:hAnsi="Consolas"/>
          <w:sz w:val="16"/>
          <w:szCs w:val="16"/>
        </w:rPr>
        <w:t xml:space="preserve">ok_train = iso.predict(X_train) == 1</w:t>
      </w:r>
    </w:p>
    <w:p>
      <w:pPr>
        <w:shd w:fill="F2F4F5" w:color="auto" w:val="clear"/>
        <w:spacing w:after="0" w:line="228"/>
      </w:pPr>
      <w:r>
        <w:rPr>
          <w:rFonts w:ascii="Consolas" w:cs="Consolas" w:eastAsia="Consolas" w:hAnsi="Consolas"/>
          <w:sz w:val="16"/>
          <w:szCs w:val="16"/>
        </w:rPr>
        <w:t xml:space="preserve">angle = A.sam(X, np.median(X_train, axis=0))                            # flag angle &gt; ~0.15 rad</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4557A" w:sz="24"/>
              <w:bottom w:val="none" w:color="FFFFFF" w:sz="0"/>
              <w:right w:val="none" w:color="FFFFFF" w:sz="0"/>
            </w:tcBorders>
            <w:shd w:fill="EEF2F7" w:color="auto" w:val="clear"/>
            <w:tcMar>
              <w:top w:type="dxa" w:w="100"/>
              <w:left w:type="dxa" w:w="180"/>
              <w:bottom w:type="dxa" w:w="100"/>
              <w:right w:type="dxa" w:w="180"/>
            </w:tcMar>
          </w:tcPr>
          <w:p>
            <w:pPr>
              <w:spacing w:after="60"/>
            </w:pPr>
            <w:r>
              <w:rPr>
                <w:b/>
                <w:bCs/>
                <w:color w:val="34557A"/>
                <w:sz w:val="21"/>
                <w:szCs w:val="21"/>
              </w:rPr>
              <w:t xml:space="preserve">Rule for outliers</w:t>
            </w:r>
          </w:p>
          <w:p>
            <w:pPr>
              <w:spacing w:after="60" w:line="264"/>
            </w:pPr>
            <w:r>
              <w:rPr>
                <w:sz w:val="21"/>
                <w:szCs w:val="21"/>
              </w:rPr>
              <w:t xml:space="preserve">Outliers flagged by the Isolation Forest are removed only from </w:t>
            </w:r>
            <w:r>
              <w:rPr>
                <w:b/>
                <w:bCs/>
                <w:sz w:val="21"/>
                <w:szCs w:val="21"/>
              </w:rPr>
              <w:t xml:space="preserve">training</w:t>
            </w:r>
            <w:r>
              <w:rPr>
                <w:sz w:val="21"/>
                <w:szCs w:val="21"/>
              </w:rPr>
              <w:t xml:space="preserve"> data inside each cross-validation fold (Step 10). Test spectra are never removed because of their spectra: a severely diseased leaf can look like an outlier, and removing it would make the test easier. Report how many spectra were removed and why.</w:t>
            </w:r>
          </w:p>
        </w:tc>
      </w:tr>
    </w:tbl>
    <w:p>
      <w:pPr>
        <w:spacing w:after="120"/>
      </w:pPr>
    </w:p>
    <w:p>
      <w:pPr>
        <w:pStyle w:val="Heading1"/>
      </w:pPr>
      <w:r>
        <w:t xml:space="preserve">Step 5. Pre-processing</w:t>
      </w:r>
    </w:p>
    <w:p>
      <w:pPr>
        <w:spacing w:after="100" w:line="259"/>
        <w:jc w:val="both"/>
      </w:pPr>
      <w:r>
        <w:t xml:space="preserve">Pre-processing removes noise and effects unrelated to disease (leaf thickness, surface scatter, probe pressure) while keeping absorption features. Both papers used Savitzky–Golay smoothing; Selvaprakash et al. added SNV, MSC and first and second derivatives; Mandal et al. used the first derivative for the red edge.</w:t>
      </w:r>
    </w:p>
    <w:p>
      <w:pPr>
        <w:keepNext/>
        <w:spacing w:after="80" w:before="160"/>
      </w:pPr>
      <w:r>
        <w:rPr>
          <w:b/>
          <w:bCs/>
          <w:color w:val="1C7C78"/>
          <w:sz w:val="20"/>
          <w:szCs w:val="20"/>
        </w:rPr>
        <w:t xml:space="preserve">Table 5. </w:t>
      </w:r>
      <w:r>
        <w:rPr>
          <w:color w:val="1F3A40"/>
          <w:sz w:val="20"/>
          <w:szCs w:val="20"/>
        </w:rPr>
        <w:t xml:space="preserve">Pre-processing methods, what they remove and when to use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3504"/>
        <w:gridCol w:w="2044"/>
        <w:gridCol w:w="2338"/>
      </w:tblGrid>
      <w:tr>
        <w:trPr>
          <w:cantSplit/>
          <w:tblHeader/>
        </w:trPr>
        <w:tc>
          <w:tcPr>
            <w:tcW w:type="dxa" w:w="175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Method</w:t>
            </w:r>
          </w:p>
        </w:tc>
        <w:tc>
          <w:tcPr>
            <w:tcW w:type="dxa" w:w="3504"/>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Formula / idea</w:t>
            </w:r>
          </w:p>
        </w:tc>
        <w:tc>
          <w:tcPr>
            <w:tcW w:type="dxa" w:w="2044"/>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Removes</w:t>
            </w:r>
          </w:p>
        </w:tc>
        <w:tc>
          <w:tcPr>
            <w:tcW w:type="dxa" w:w="2338"/>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Use for</w:t>
            </w:r>
          </w:p>
        </w:tc>
      </w:tr>
      <w:tr>
        <w:trPr>
          <w:cantSplit/>
          <w:tblHeader w:val="false"/>
        </w:trPr>
        <w:tc>
          <w:tcPr>
            <w:tcW w:type="dxa" w:w="175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Savitzky–Golay (SG)</w:t>
            </w:r>
          </w:p>
        </w:tc>
        <w:tc>
          <w:tcPr>
            <w:tcW w:type="dxa" w:w="35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Least-squares polynomial of order m over a window of 2k+1 bands (Savitzky &amp; Golay, 1964)</w:t>
            </w:r>
          </w:p>
        </w:tc>
        <w:tc>
          <w:tcPr>
            <w:tcW w:type="dxa" w:w="204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Random noise</w:t>
            </w:r>
          </w:p>
        </w:tc>
        <w:tc>
          <w:tcPr>
            <w:tcW w:type="dxa" w:w="233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Always first; window 11–21 nm, order 2–3</w:t>
            </w:r>
          </w:p>
        </w:tc>
      </w:tr>
      <w:tr>
        <w:trPr>
          <w:cantSplit/>
          <w:tblHeader w:val="false"/>
        </w:trPr>
        <w:tc>
          <w:tcPr>
            <w:tcW w:type="dxa" w:w="175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SNV</w:t>
            </w:r>
          </w:p>
        </w:tc>
        <w:tc>
          <w:tcPr>
            <w:tcW w:type="dxa" w:w="350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(Rλ − mean(R)) / SD(R), per spectrum (Barnes et al., 1989)</w:t>
            </w:r>
          </w:p>
        </w:tc>
        <w:tc>
          <w:tcPr>
            <w:tcW w:type="dxa" w:w="204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Additive and multiplicative scatter</w:t>
            </w:r>
          </w:p>
        </w:tc>
        <w:tc>
          <w:tcPr>
            <w:tcW w:type="dxa" w:w="233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Classification, PCA, band search</w:t>
            </w:r>
          </w:p>
        </w:tc>
      </w:tr>
      <w:tr>
        <w:trPr>
          <w:cantSplit/>
          <w:tblHeader w:val="false"/>
        </w:trPr>
        <w:tc>
          <w:tcPr>
            <w:tcW w:type="dxa" w:w="175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MSC</w:t>
            </w:r>
          </w:p>
        </w:tc>
        <w:tc>
          <w:tcPr>
            <w:tcW w:type="dxa" w:w="35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Fit R = a + b·R̄, then (R − a)/b (Martens &amp; Næs, 1992)</w:t>
            </w:r>
          </w:p>
        </w:tc>
        <w:tc>
          <w:tcPr>
            <w:tcW w:type="dxa" w:w="204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Scatter relative to a reference</w:t>
            </w:r>
          </w:p>
        </w:tc>
        <w:tc>
          <w:tcPr>
            <w:tcW w:type="dxa" w:w="233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Same as SNV; reference = TRAINING mean</w:t>
            </w:r>
          </w:p>
        </w:tc>
      </w:tr>
      <w:tr>
        <w:trPr>
          <w:cantSplit/>
          <w:tblHeader w:val="false"/>
        </w:trPr>
        <w:tc>
          <w:tcPr>
            <w:tcW w:type="dxa" w:w="175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1st derivative</w:t>
            </w:r>
          </w:p>
        </w:tc>
        <w:tc>
          <w:tcPr>
            <w:tcW w:type="dxa" w:w="350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dR/dλ (SG with deriv = 1)</w:t>
            </w:r>
          </w:p>
        </w:tc>
        <w:tc>
          <w:tcPr>
            <w:tcW w:type="dxa" w:w="204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Baseline offsets; sharpens edges</w:t>
            </w:r>
          </w:p>
        </w:tc>
        <w:tc>
          <w:tcPr>
            <w:tcW w:type="dxa" w:w="233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Red edge (Step 8); band search</w:t>
            </w:r>
          </w:p>
        </w:tc>
      </w:tr>
      <w:tr>
        <w:trPr>
          <w:cantSplit/>
          <w:tblHeader w:val="false"/>
        </w:trPr>
        <w:tc>
          <w:tcPr>
            <w:tcW w:type="dxa" w:w="175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2nd derivative</w:t>
            </w:r>
          </w:p>
        </w:tc>
        <w:tc>
          <w:tcPr>
            <w:tcW w:type="dxa" w:w="35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d²R/dλ² (SG with deriv = 2)</w:t>
            </w:r>
          </w:p>
        </w:tc>
        <w:tc>
          <w:tcPr>
            <w:tcW w:type="dxa" w:w="204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Baseline slope; shows curvature</w:t>
            </w:r>
          </w:p>
        </w:tc>
        <w:tc>
          <w:tcPr>
            <w:tcW w:type="dxa" w:w="233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Locating absorption features</w:t>
            </w:r>
          </w:p>
        </w:tc>
      </w:tr>
      <w:tr>
        <w:trPr>
          <w:cantSplit/>
          <w:tblHeader w:val="false"/>
        </w:trPr>
        <w:tc>
          <w:tcPr>
            <w:tcW w:type="dxa" w:w="175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Continuum removal</w:t>
            </w:r>
          </w:p>
        </w:tc>
        <w:tc>
          <w:tcPr>
            <w:tcW w:type="dxa" w:w="350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 / upper convex hull over a region</w:t>
            </w:r>
          </w:p>
        </w:tc>
        <w:tc>
          <w:tcPr>
            <w:tcW w:type="dxa" w:w="204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Overall brightness; isolates absorption depth</w:t>
            </w:r>
          </w:p>
        </w:tc>
        <w:tc>
          <w:tcPr>
            <w:tcW w:type="dxa" w:w="233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Chlorophyll well (550–750 nm), water bands</w:t>
            </w:r>
          </w:p>
        </w:tc>
      </w:tr>
    </w:tbl>
    <w:p>
      <w:pPr>
        <w:spacing w:after="120"/>
      </w:pPr>
    </w:p>
    <w:p>
      <w:pPr>
        <w:shd w:fill="F2F4F5" w:color="auto" w:val="clear"/>
        <w:spacing w:after="0" w:line="228"/>
      </w:pPr>
      <w:r>
        <w:rPr>
          <w:rFonts w:ascii="Consolas" w:cs="Consolas" w:eastAsia="Consolas" w:hAnsi="Consolas"/>
          <w:sz w:val="16"/>
          <w:szCs w:val="16"/>
        </w:rPr>
        <w:t xml:space="preserve">Rs   = A.sg(R, window=11, order=2)            # smoothed reflectance</w:t>
      </w:r>
    </w:p>
    <w:p>
      <w:pPr>
        <w:shd w:fill="F2F4F5" w:color="auto" w:val="clear"/>
        <w:spacing w:after="0" w:line="228"/>
      </w:pPr>
      <w:r>
        <w:rPr>
          <w:rFonts w:ascii="Consolas" w:cs="Consolas" w:eastAsia="Consolas" w:hAnsi="Consolas"/>
          <w:sz w:val="16"/>
          <w:szCs w:val="16"/>
        </w:rPr>
        <w:t xml:space="preserve">Xsnv = A.snv(Rs[:, keep])                       # SNV on kept bands</w:t>
      </w:r>
    </w:p>
    <w:p>
      <w:pPr>
        <w:shd w:fill="F2F4F5" w:color="auto" w:val="clear"/>
        <w:spacing w:after="0" w:line="228"/>
      </w:pPr>
      <w:r>
        <w:rPr>
          <w:rFonts w:ascii="Consolas" w:cs="Consolas" w:eastAsia="Consolas" w:hAnsi="Consolas"/>
          <w:sz w:val="16"/>
          <w:szCs w:val="16"/>
        </w:rPr>
        <w:t xml:space="preserve">d1   = A.sg(R, 11, 2, deriv=1)                  # first derivative</w:t>
      </w:r>
    </w:p>
    <w:p>
      <w:pPr>
        <w:shd w:fill="F2F4F5" w:color="auto" w:val="clear"/>
        <w:spacing w:after="0" w:line="228"/>
      </w:pPr>
      <w:r>
        <w:rPr>
          <w:rFonts w:ascii="Consolas" w:cs="Consolas" w:eastAsia="Consolas" w:hAnsi="Consolas"/>
          <w:sz w:val="16"/>
          <w:szCs w:val="16"/>
        </w:rPr>
        <w:t xml:space="preserve">Xmsc, ref = A.msc(Rs[train][:, keep])           # MSC: fit reference on training spectra</w:t>
      </w:r>
    </w:p>
    <w:p>
      <w:pPr>
        <w:shd w:fill="F2F4F5" w:color="auto" w:val="clear"/>
        <w:spacing w:after="0" w:line="228"/>
      </w:pPr>
      <w:r>
        <w:rPr>
          <w:rFonts w:ascii="Consolas" w:cs="Consolas" w:eastAsia="Consolas" w:hAnsi="Consolas"/>
          <w:sz w:val="16"/>
          <w:szCs w:val="16"/>
        </w:rPr>
        <w:t xml:space="preserve">wc, CR = A.continuum_removed(Rs, wl, 550, 750)  # band depth = 1 - CR</w:t>
      </w:r>
    </w:p>
    <w:p>
      <w:pPr>
        <w:spacing w:after="100"/>
      </w:pPr>
    </w:p>
    <w:p>
      <w:pPr>
        <w:spacing w:after="100" w:line="259"/>
        <w:jc w:val="both"/>
      </w:pPr>
      <w:r>
        <w:rPr>
          <w:b/>
          <w:bCs/>
        </w:rPr>
        <w:t xml:space="preserve">Why:</w:t>
      </w:r>
      <w:r>
        <w:t xml:space="preserve"> SNV, SG and derivatives use only the spectrum itself, so they can be applied to all samples before splitting without leakage. MSC uses a reference spectrum; compute that reference from training samples only and apply it to the test samples.</w:t>
      </w:r>
    </w:p>
    <w:p>
      <w:pPr>
        <w:spacing w:after="100" w:line="259"/>
        <w:jc w:val="both"/>
      </w:pPr>
      <w:r>
        <w:t xml:space="preserve">Choose the SG window with care: too small leaves noise in the derivatives; too large flattens narrow features such as the 531/570 nm PRI bands. Compare smoothed and raw spectra visually for a few leaves of each grade, and keep the chosen window fixed for the whole study.</w:t>
      </w:r>
    </w:p>
    <w:p>
      <w:pPr>
        <w:pStyle w:val="Heading1"/>
      </w:pPr>
      <w:r>
        <w:t xml:space="preserve">Step 6. Exploratory analysis</w:t>
      </w:r>
    </w:p>
    <w:p>
      <w:pPr>
        <w:spacing w:after="100" w:line="259"/>
        <w:jc w:val="both"/>
      </w:pPr>
      <w:r>
        <w:t xml:space="preserve">Exploration shows whether grades differ, where in the spectrum, and whether there are hidden groupings (dates, cultivars, surfaces). It does not prove separability; that is the job of Step 10.</w:t>
      </w:r>
    </w:p>
    <w:p>
      <w:pPr>
        <w:pStyle w:val="Heading3"/>
      </w:pPr>
      <w:r>
        <w:t xml:space="preserve">6.1 Mean and difference spectra</w:t>
      </w:r>
    </w:p>
    <w:p>
      <w:pPr>
        <w:spacing w:after="100" w:line="259"/>
        <w:jc w:val="both"/>
      </w:pPr>
      <w:r>
        <w:t xml:space="preserve">Plot the mean spectrum (± SD) for each grade and the difference from the healthy mean (Mandal et al., Fig. 2). Interpret with leaf optics (Gogoi et al., 2018): in the </w:t>
      </w:r>
      <w:r>
        <w:rPr>
          <w:b/>
          <w:bCs/>
        </w:rPr>
        <w:t xml:space="preserve">visible</w:t>
      </w:r>
      <w:r>
        <w:t xml:space="preserve"> region chlorophyll a absorbs at 0.41–0.43 and 0.60–0.69 µm and chlorophyll b at 0.45–0.47 µm; in the </w:t>
      </w:r>
      <w:r>
        <w:rPr>
          <w:b/>
          <w:bCs/>
        </w:rPr>
        <w:t xml:space="preserve">NIR</w:t>
      </w:r>
      <w:r>
        <w:t xml:space="preserve"> (0.7–1.3 µm) reflectance is high because of scattering at air–cell–water interfaces in the mesophyll; in the </w:t>
      </w:r>
      <w:r>
        <w:rPr>
          <w:b/>
          <w:bCs/>
        </w:rPr>
        <w:t xml:space="preserve">SWIR</w:t>
      </w:r>
      <w:r>
        <w:t xml:space="preserve"> (1.3–2.5 µm) water absorbs at 1.45, 1.94 and 2.7 µm with minor features at 0.96, 1.12, 1.54, 1.67 and 2.2 µm. Diseased tissue typically reflects more visible light (pigment loss), less NIR (mesophyll damage) and more SWIR (water loss); Mandal et al. found exactly this for rice blast.</w:t>
      </w:r>
    </w:p>
    <w:p>
      <w:pPr>
        <w:shd w:fill="F2F4F5" w:color="auto" w:val="clear"/>
        <w:spacing w:after="0" w:line="228"/>
      </w:pPr>
      <w:r>
        <w:rPr>
          <w:rFonts w:ascii="Consolas" w:cs="Consolas" w:eastAsia="Consolas" w:hAnsi="Consolas"/>
          <w:sz w:val="16"/>
          <w:szCs w:val="16"/>
        </w:rPr>
        <w:t xml:space="preserve">import matplotlib.pyplot as plt</w:t>
      </w:r>
    </w:p>
    <w:p>
      <w:pPr>
        <w:shd w:fill="F2F4F5" w:color="auto" w:val="clear"/>
        <w:spacing w:after="0" w:line="228"/>
      </w:pPr>
      <w:r>
        <w:rPr>
          <w:rFonts w:ascii="Consolas" w:cs="Consolas" w:eastAsia="Consolas" w:hAnsi="Consolas"/>
          <w:sz w:val="16"/>
          <w:szCs w:val="16"/>
        </w:rPr>
        <w:t xml:space="preserve">for g in np.unique(y):</w:t>
      </w:r>
    </w:p>
    <w:p>
      <w:pPr>
        <w:shd w:fill="F2F4F5" w:color="auto" w:val="clear"/>
        <w:spacing w:after="0" w:line="228"/>
      </w:pPr>
      <w:r>
        <w:rPr>
          <w:rFonts w:ascii="Consolas" w:cs="Consolas" w:eastAsia="Consolas" w:hAnsi="Consolas"/>
          <w:sz w:val="16"/>
          <w:szCs w:val="16"/>
        </w:rPr>
        <w:t xml:space="preserve">    m, sd = Rs[y == g].mean(0), Rs[y == g].std(0)</w:t>
      </w:r>
    </w:p>
    <w:p>
      <w:pPr>
        <w:shd w:fill="F2F4F5" w:color="auto" w:val="clear"/>
        <w:spacing w:after="0" w:line="228"/>
      </w:pPr>
      <w:r>
        <w:rPr>
          <w:rFonts w:ascii="Consolas" w:cs="Consolas" w:eastAsia="Consolas" w:hAnsi="Consolas"/>
          <w:sz w:val="16"/>
          <w:szCs w:val="16"/>
        </w:rPr>
        <w:t xml:space="preserve">    m[~keep] = np.nan                                   # gaps at removed bands</w:t>
      </w:r>
    </w:p>
    <w:p>
      <w:pPr>
        <w:shd w:fill="F2F4F5" w:color="auto" w:val="clear"/>
        <w:spacing w:after="0" w:line="228"/>
      </w:pPr>
      <w:r>
        <w:rPr>
          <w:rFonts w:ascii="Consolas" w:cs="Consolas" w:eastAsia="Consolas" w:hAnsi="Consolas"/>
          <w:sz w:val="16"/>
          <w:szCs w:val="16"/>
        </w:rPr>
        <w:t xml:space="preserve">    plt.plot(wl, m, label=f"grade {g}"); plt.fill_between(wl, m - sd, m + sd, alpha=.15)</w:t>
      </w:r>
    </w:p>
    <w:p>
      <w:pPr>
        <w:shd w:fill="F2F4F5" w:color="auto" w:val="clear"/>
        <w:spacing w:after="0" w:line="228"/>
      </w:pPr>
      <w:r>
        <w:rPr>
          <w:rFonts w:ascii="Consolas" w:cs="Consolas" w:eastAsia="Consolas" w:hAnsi="Consolas"/>
          <w:sz w:val="16"/>
          <w:szCs w:val="16"/>
        </w:rPr>
        <w:t xml:space="preserve">diff = Rs[y == 5].mean(0) - Rs[y == 0].mean(0)        # difference spectrum (Mandal Fig. 2)</w:t>
      </w:r>
    </w:p>
    <w:p>
      <w:pPr>
        <w:spacing w:after="100"/>
      </w:pPr>
    </w:p>
    <w:p>
      <w:pPr>
        <w:pStyle w:val="Heading3"/>
      </w:pPr>
      <w:r>
        <w:t xml:space="preserve">6.2 Band-to-band correlation, PCA, t-SNE and UMAP</w:t>
      </w:r>
    </w:p>
    <w:p>
      <w:pPr>
        <w:shd w:fill="F2F4F5" w:color="auto" w:val="clear"/>
        <w:spacing w:after="0" w:line="228"/>
      </w:pPr>
      <w:r>
        <w:rPr>
          <w:rFonts w:ascii="Consolas" w:cs="Consolas" w:eastAsia="Consolas" w:hAnsi="Consolas"/>
          <w:sz w:val="16"/>
          <w:szCs w:val="16"/>
        </w:rPr>
        <w:t xml:space="preserve">from sklearn.decomposition import PCA</w:t>
      </w:r>
    </w:p>
    <w:p>
      <w:pPr>
        <w:shd w:fill="F2F4F5" w:color="auto" w:val="clear"/>
        <w:spacing w:after="0" w:line="228"/>
      </w:pPr>
      <w:r>
        <w:rPr>
          <w:rFonts w:ascii="Consolas" w:cs="Consolas" w:eastAsia="Consolas" w:hAnsi="Consolas"/>
          <w:sz w:val="16"/>
          <w:szCs w:val="16"/>
        </w:rPr>
        <w:t xml:space="preserve">C = np.corrcoef(Rs[:, keep][:, ::5].T)                 # band-to-band correlation (every 5 nm)</w:t>
      </w:r>
    </w:p>
    <w:p>
      <w:pPr>
        <w:shd w:fill="F2F4F5" w:color="auto" w:val="clear"/>
        <w:spacing w:after="0" w:line="228"/>
      </w:pPr>
      <w:r>
        <w:rPr>
          <w:rFonts w:ascii="Consolas" w:cs="Consolas" w:eastAsia="Consolas" w:hAnsi="Consolas"/>
          <w:sz w:val="16"/>
          <w:szCs w:val="16"/>
        </w:rPr>
        <w:t xml:space="preserve">pca = PCA(5).fit(Xsnv); scores = pca.transform(Xsnv)    # loadings: pca.components_</w:t>
      </w:r>
    </w:p>
    <w:p>
      <w:pPr>
        <w:shd w:fill="F2F4F5" w:color="auto" w:val="clear"/>
        <w:spacing w:after="0" w:line="228"/>
      </w:pPr>
      <w:r>
        <w:rPr>
          <w:rFonts w:ascii="Consolas" w:cs="Consolas" w:eastAsia="Consolas" w:hAnsi="Consolas"/>
          <w:sz w:val="16"/>
          <w:szCs w:val="16"/>
        </w:rPr>
        <w:t xml:space="preserve">print(pca.explained_variance_ratio_.cumsum())</w:t>
      </w:r>
    </w:p>
    <w:p>
      <w:pPr>
        <w:spacing w:after="100"/>
      </w:pPr>
    </w:p>
    <w:p>
      <w:pPr>
        <w:spacing w:after="100" w:line="259"/>
        <w:jc w:val="both"/>
      </w:pPr>
      <w:r>
        <w:t xml:space="preserve">A band-to-band correlation matrix shows blocks of redundant bands (Selvaprakash et al., Fig. 3). PCA, t-SNE and UMAP project spectra into two dimensions: PCA is linear and its components can be interpreted through loadings (98% of variance was in five components in Selvaprakash et al.); t-SNE and UMAP preserve local neighbourhoods and can reveal subgroups.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4557A" w:sz="24"/>
              <w:bottom w:val="none" w:color="FFFFFF" w:sz="0"/>
              <w:right w:val="none" w:color="FFFFFF" w:sz="0"/>
            </w:tcBorders>
            <w:shd w:fill="EEF2F7" w:color="auto" w:val="clear"/>
            <w:tcMar>
              <w:top w:type="dxa" w:w="100"/>
              <w:left w:type="dxa" w:w="180"/>
              <w:bottom w:type="dxa" w:w="100"/>
              <w:right w:type="dxa" w:w="180"/>
            </w:tcMar>
          </w:tcPr>
          <w:p>
            <w:pPr>
              <w:spacing w:after="60"/>
            </w:pPr>
            <w:r>
              <w:rPr>
                <w:b/>
                <w:bCs/>
                <w:color w:val="34557A"/>
                <w:sz w:val="21"/>
                <w:szCs w:val="21"/>
              </w:rPr>
              <w:t xml:space="preserve">Use t-SNE and UMAP for visualisation only</w:t>
            </w:r>
          </w:p>
          <w:p>
            <w:pPr>
              <w:spacing w:after="60" w:line="264"/>
            </w:pPr>
            <w:r>
              <w:rPr>
                <w:sz w:val="21"/>
                <w:szCs w:val="21"/>
              </w:rPr>
              <w:t xml:space="preserve">Separation in a t-SNE or UMAP plot is not evidence of classification accuracy: both methods are tuned to separate neighbourhoods and their output depends on parameters. Use them to find subgroups and outliers; measure accuracy only with held-out samples.</w:t>
            </w:r>
          </w:p>
        </w:tc>
      </w:tr>
    </w:tbl>
    <w:p>
      <w:pPr>
        <w:spacing w:after="120"/>
      </w:pPr>
    </w:p>
    <w:p>
      <w:pPr>
        <w:pStyle w:val="Heading3"/>
      </w:pPr>
      <w:r>
        <w:t xml:space="preserve">6.3 Cosine similarity and SAM matrices</w:t>
      </w:r>
    </w:p>
    <w:p>
      <w:pPr>
        <w:spacing w:after="100" w:line="259"/>
        <w:jc w:val="both"/>
      </w:pPr>
      <w:r>
        <w:t xml:space="preserve">Pairwise cosine similarity and SAM between all spectra show clusters independent of brightness. Selvaprakash et al. found two tight clusters (mean similarity &gt; 0.95) and a few outliers. Order the matrix by grade and date: if spectra cluster by date rather than grade, date effects (phenology, light) must be handled before modelling.</w:t>
      </w:r>
    </w:p>
    <w:p>
      <w:pPr>
        <w:pStyle w:val="Heading1"/>
      </w:pPr>
      <w:r>
        <w:t xml:space="preserve">Step 7. Identify sensitive spectral regions</w:t>
      </w:r>
    </w:p>
    <w:p>
      <w:pPr>
        <w:spacing w:after="100" w:line="259"/>
        <w:jc w:val="both"/>
      </w:pPr>
      <w:r>
        <w:t xml:space="preserve">Mandal et al. correlated reflectance at every wavelength with the severity score and treated regions with |r| &gt; 0.6 as sensitive; they repeated this for the first derivative. Three improvements make this screen more suitable for ordinal grades and many wavelengths:</w:t>
      </w:r>
    </w:p>
    <w:p>
      <w:pPr>
        <w:pStyle w:val="ListParagraph"/>
        <w:numPr>
          <w:ilvl w:val="0"/>
          <w:numId w:val="4"/>
        </w:numPr>
        <w:spacing w:after="50" w:line="252"/>
      </w:pPr>
      <w:r>
        <w:t xml:space="preserve">Use </w:t>
      </w:r>
      <w:r>
        <w:rPr>
          <w:b/>
          <w:bCs/>
        </w:rPr>
        <w:t xml:space="preserve">Spearman's ρ</w:t>
      </w:r>
      <w:r>
        <w:t xml:space="preserve"> (rank correlation), because grades are ordinal.</w:t>
      </w:r>
    </w:p>
    <w:p>
      <w:pPr>
        <w:pStyle w:val="ListParagraph"/>
        <w:numPr>
          <w:ilvl w:val="0"/>
          <w:numId w:val="4"/>
        </w:numPr>
        <w:spacing w:after="50" w:line="252"/>
      </w:pPr>
      <w:r>
        <w:t xml:space="preserve">Add a </w:t>
      </w:r>
      <w:r>
        <w:rPr>
          <w:b/>
          <w:bCs/>
        </w:rPr>
        <w:t xml:space="preserve">Kruskal–Wallis</w:t>
      </w:r>
      <w:r>
        <w:t xml:space="preserve"> test across grade classes for each band, with </w:t>
      </w:r>
      <w:r>
        <w:rPr>
          <w:b/>
          <w:bCs/>
        </w:rPr>
        <w:t xml:space="preserve">Benjamini–Hochberg FDR</w:t>
      </w:r>
      <w:r>
        <w:t xml:space="preserve"> correction for the 2,000+ tests.</w:t>
      </w:r>
    </w:p>
    <w:p>
      <w:pPr>
        <w:pStyle w:val="ListParagraph"/>
        <w:numPr>
          <w:ilvl w:val="0"/>
          <w:numId w:val="4"/>
        </w:numPr>
        <w:spacing w:after="50" w:line="252"/>
      </w:pPr>
      <w:r>
        <w:t xml:space="preserve">Run the screen </w:t>
      </w:r>
      <w:r>
        <w:rPr>
          <w:b/>
          <w:bCs/>
        </w:rPr>
        <w:t xml:space="preserve">separately for each DAI or date</w:t>
      </w:r>
      <w:r>
        <w:t xml:space="preserve">, so that the timing of sensitivity becomes visible.</w:t>
      </w:r>
    </w:p>
    <w:p>
      <w:pPr>
        <w:shd w:fill="F2F4F5" w:color="auto" w:val="clear"/>
        <w:spacing w:after="0" w:line="228"/>
      </w:pPr>
      <w:r>
        <w:rPr>
          <w:rFonts w:ascii="Consolas" w:cs="Consolas" w:eastAsia="Consolas" w:hAnsi="Consolas"/>
          <w:sz w:val="16"/>
          <w:szCs w:val="16"/>
        </w:rPr>
        <w:t xml:space="preserve">rho  = A.correlation_spectrum(Rs[:, keep], y)       # Spearman rho per band</w:t>
      </w:r>
    </w:p>
    <w:p>
      <w:pPr>
        <w:shd w:fill="F2F4F5" w:color="auto" w:val="clear"/>
        <w:spacing w:after="0" w:line="228"/>
      </w:pPr>
      <w:r>
        <w:rPr>
          <w:rFonts w:ascii="Consolas" w:cs="Consolas" w:eastAsia="Consolas" w:hAnsi="Consolas"/>
          <w:sz w:val="16"/>
          <w:szCs w:val="16"/>
        </w:rPr>
        <w:t xml:space="preserve">H, q = A.kruskal_spectrum(Rs[:, keep], y)          # Kruskal-Wallis + FDR q-values</w:t>
      </w:r>
    </w:p>
    <w:p>
      <w:pPr>
        <w:shd w:fill="F2F4F5" w:color="auto" w:val="clear"/>
        <w:spacing w:after="0" w:line="228"/>
      </w:pPr>
      <w:r>
        <w:rPr>
          <w:rFonts w:ascii="Consolas" w:cs="Consolas" w:eastAsia="Consolas" w:hAnsi="Consolas"/>
          <w:sz w:val="16"/>
          <w:szCs w:val="16"/>
        </w:rPr>
        <w:t xml:space="preserve">rho1 = A.correlation_spectrum(d1[:, keep], y)       # same on the first derivative</w:t>
      </w:r>
    </w:p>
    <w:p>
      <w:pPr>
        <w:shd w:fill="F2F4F5" w:color="auto" w:val="clear"/>
        <w:spacing w:after="0" w:line="228"/>
      </w:pPr>
      <w:r>
        <w:rPr>
          <w:rFonts w:ascii="Consolas" w:cs="Consolas" w:eastAsia="Consolas" w:hAnsi="Consolas"/>
          <w:sz w:val="16"/>
          <w:szCs w:val="16"/>
        </w:rPr>
        <w:t xml:space="preserve">run  = A.persistence(rho, threshold=0.6)            # contiguous run length (Selvaprakash)</w:t>
      </w:r>
    </w:p>
    <w:p>
      <w:pPr>
        <w:spacing w:after="100"/>
      </w:pPr>
    </w:p>
    <w:p>
      <w:pPr>
        <w:spacing w:after="100" w:line="259"/>
        <w:jc w:val="both"/>
      </w:pPr>
      <w:r>
        <w:t xml:space="preserve">Mandal et al. reported sensitive regions at 690 nm, 700–1000 nm, 1475 nm and 1950–2100 nm (upland rice), and derivative correlations that were positive at 490–550 and 680–760 nm, negative at 550–680 nm, and high at 1100–1200 and 1250–1340 nm. For white rust, expect the red and red-edge regions (chlorophyll loss around pustules) and possibly SWIR water features to respond; whether they do, and from which DAI, is the result.</w:t>
      </w:r>
    </w:p>
    <w:p>
      <w:pPr>
        <w:pStyle w:val="Heading3"/>
      </w:pPr>
      <w:r>
        <w:t xml:space="preserve">Redundancy diagnostics (Selvaprakash et al.)</w:t>
      </w:r>
    </w:p>
    <w:p>
      <w:pPr>
        <w:pStyle w:val="ListParagraph"/>
        <w:numPr>
          <w:ilvl w:val="0"/>
          <w:numId w:val="4"/>
        </w:numPr>
        <w:spacing w:after="50" w:line="252"/>
      </w:pPr>
      <w:r>
        <w:rPr>
          <w:b/>
          <w:bCs/>
        </w:rPr>
        <w:t xml:space="preserve">Lagged correlation:</w:t>
      </w:r>
      <w:r>
        <w:t xml:space="preserve"> the mean correlation between band λ and band λ + k across samples. In their data it decayed as ρ ≈ e^(−0.12·lag) and fell below 0.2 at a 25-band separation, which justified sampling every ~20 nm in low-cost sensors.</w:t>
      </w:r>
    </w:p>
    <w:p>
      <w:pPr>
        <w:pStyle w:val="ListParagraph"/>
        <w:numPr>
          <w:ilvl w:val="0"/>
          <w:numId w:val="4"/>
        </w:numPr>
        <w:spacing w:after="50" w:line="252"/>
      </w:pPr>
      <w:r>
        <w:rPr>
          <w:b/>
          <w:bCs/>
        </w:rPr>
        <w:t xml:space="preserve">Spectral autocorrelation:</w:t>
      </w:r>
      <w:r>
        <w:t xml:space="preserve"> how strongly each spectrum resembles itself shifted by k bands; high values (r &gt; 0.9 over 700–950 nm in their data) show smooth, redundant regions.</w:t>
      </w:r>
    </w:p>
    <w:p>
      <w:pPr>
        <w:pStyle w:val="ListParagraph"/>
        <w:numPr>
          <w:ilvl w:val="0"/>
          <w:numId w:val="4"/>
        </w:numPr>
        <w:spacing w:after="50" w:line="252"/>
      </w:pPr>
      <w:r>
        <w:rPr>
          <w:b/>
          <w:bCs/>
        </w:rPr>
        <w:t xml:space="preserve">Feature persistence:</w:t>
      </w:r>
      <w:r>
        <w:t xml:space="preserve"> the length of the contiguous run of bands in which a signal (e.g. |ρ| with grade) exceeds a threshold. Long runs mark stable, physiologically meaningful features; isolated single bands are more likely noise. Their persistence peaked at 648, 1068 and 1560 nm.</w:t>
      </w:r>
    </w:p>
    <w:p>
      <w:pPr>
        <w:shd w:fill="F2F4F5" w:color="auto" w:val="clear"/>
        <w:spacing w:after="0" w:line="228"/>
      </w:pPr>
      <w:r>
        <w:rPr>
          <w:rFonts w:ascii="Consolas" w:cs="Consolas" w:eastAsia="Consolas" w:hAnsi="Consolas"/>
          <w:sz w:val="16"/>
          <w:szCs w:val="16"/>
        </w:rPr>
        <w:t xml:space="preserve">lag = A.lagged_correlation(Rs[:, keep], max_lag=60)   # choose the band step for Step 9</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use the lag at which mean correlation drops below about 0.2–0.3 to choose the band step (e.g. 10 or 20 nm) for the band-pair search in Step 9 and for VIF/SPA in the UAV pipeline.</w:t>
            </w:r>
          </w:p>
        </w:tc>
      </w:tr>
    </w:tbl>
    <w:p>
      <w:pPr>
        <w:spacing w:after="120"/>
      </w:pPr>
    </w:p>
    <w:p>
      <w:pPr>
        <w:pStyle w:val="Heading1"/>
      </w:pPr>
      <w:r>
        <w:t xml:space="preserve">Step 8. Extract features</w:t>
      </w:r>
    </w:p>
    <w:p>
      <w:pPr>
        <w:pStyle w:val="Heading2"/>
      </w:pPr>
      <w:r>
        <w:t xml:space="preserve">8.1 Red-edge parameters (Mandal et al., 2022)</w:t>
      </w:r>
    </w:p>
    <w:p>
      <w:pPr>
        <w:spacing w:after="100" w:line="259"/>
        <w:jc w:val="both"/>
      </w:pPr>
      <w:r>
        <w:t xml:space="preserve">The red edge (680–760 nm) is the steep rise from red absorption to NIR plateau. From the first derivative of reflectance:</w:t>
      </w:r>
    </w:p>
    <w:p>
      <w:pPr>
        <w:pStyle w:val="ListParagraph"/>
        <w:numPr>
          <w:ilvl w:val="0"/>
          <w:numId w:val="4"/>
        </w:numPr>
        <w:spacing w:after="50" w:line="252"/>
      </w:pPr>
      <w:r>
        <w:rPr>
          <w:b/>
          <w:bCs/>
        </w:rPr>
        <w:t xml:space="preserve">REP (λre):</w:t>
      </w:r>
      <w:r>
        <w:t xml:space="preserve"> wavelength of the maximum of dR/dλ in 680–760 nm; a shift to shorter wavelengths (blue shift) indicates chlorophyll loss.</w:t>
      </w:r>
    </w:p>
    <w:p>
      <w:pPr>
        <w:pStyle w:val="ListParagraph"/>
        <w:numPr>
          <w:ilvl w:val="0"/>
          <w:numId w:val="4"/>
        </w:numPr>
        <w:spacing w:after="50" w:line="252"/>
      </w:pPr>
      <w:r>
        <w:rPr>
          <w:b/>
          <w:bCs/>
        </w:rPr>
        <w:t xml:space="preserve">REV (drre):</w:t>
      </w:r>
      <w:r>
        <w:t xml:space="preserve"> the amplitude of that maximum (red-edge value).</w:t>
      </w:r>
    </w:p>
    <w:p>
      <w:pPr>
        <w:pStyle w:val="ListParagraph"/>
        <w:numPr>
          <w:ilvl w:val="0"/>
          <w:numId w:val="4"/>
        </w:numPr>
        <w:spacing w:after="50" w:line="252"/>
      </w:pPr>
      <w:r>
        <w:rPr>
          <w:b/>
          <w:bCs/>
        </w:rPr>
        <w:t xml:space="preserve">Σdr670–780:</w:t>
      </w:r>
      <w:r>
        <w:t xml:space="preserve"> the sum of first-derivative values from 670 to 780 nm.</w:t>
      </w:r>
    </w:p>
    <w:p>
      <w:pPr>
        <w:spacing w:after="100" w:line="259"/>
        <w:jc w:val="both"/>
      </w:pPr>
      <w:r>
        <w:t xml:space="preserve">Mandal et al. fitted a second-order polynomial around the derivative peak to locate REP and REV precisely. They observed no blue shift but a steady fall of REV with severity (upland 0.009429 at score 0 to 0.002301 at score 9; lowland 0.010421 to 0.001935), with R² = 0.81 and 0.91 for REV against score. A simpler alternative that needs only four bands, and can therefore also be computed from UAV hyperspectral data, is the linear interpolation method of Guyot and Baret (1988):</w:t>
      </w:r>
    </w:p>
    <w:p>
      <w:pPr>
        <w:spacing w:after="120" w:before="100"/>
        <w:jc w:val="center"/>
      </w:pPr>
      <w:r>
        <w:rPr>
          <w:rFonts w:ascii="Cambria Math" w:cs="Cambria Math" w:eastAsia="Cambria Math" w:hAnsi="Cambria Math"/>
          <w:sz w:val="23"/>
          <w:szCs w:val="23"/>
        </w:rPr>
        <w:t xml:space="preserve">R_re = (R670 + R780) / 2 ,    REP = 700 + 40 · (R_re − R700) / (R740 − R700)</w:t>
      </w:r>
    </w:p>
    <w:p>
      <w:pPr>
        <w:shd w:fill="F2F4F5" w:color="auto" w:val="clear"/>
        <w:spacing w:after="0" w:line="228"/>
      </w:pPr>
      <w:r>
        <w:rPr>
          <w:rFonts w:ascii="Consolas" w:cs="Consolas" w:eastAsia="Consolas" w:hAnsi="Consolas"/>
          <w:sz w:val="16"/>
          <w:szCs w:val="16"/>
        </w:rPr>
        <w:t xml:space="preserve">re = A.red_edge(R, wl)      # columns: REP, REV, SDr670_780, REP_linear</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4557A" w:sz="24"/>
              <w:bottom w:val="none" w:color="FFFFFF" w:sz="0"/>
              <w:right w:val="none" w:color="FFFFFF" w:sz="0"/>
            </w:tcBorders>
            <w:shd w:fill="EEF2F7" w:color="auto" w:val="clear"/>
            <w:tcMar>
              <w:top w:type="dxa" w:w="100"/>
              <w:left w:type="dxa" w:w="180"/>
              <w:bottom w:type="dxa" w:w="100"/>
              <w:right w:type="dxa" w:w="180"/>
            </w:tcMar>
          </w:tcPr>
          <w:p>
            <w:pPr>
              <w:spacing w:after="60"/>
            </w:pPr>
            <w:r>
              <w:rPr>
                <w:b/>
                <w:bCs/>
                <w:color w:val="34557A"/>
                <w:sz w:val="21"/>
                <w:szCs w:val="21"/>
              </w:rPr>
              <w:t xml:space="preserve">Caution on the R² values</w:t>
            </w:r>
          </w:p>
          <w:p>
            <w:pPr>
              <w:spacing w:after="60" w:line="264"/>
            </w:pPr>
            <w:r>
              <w:rPr>
                <w:sz w:val="21"/>
                <w:szCs w:val="21"/>
              </w:rPr>
              <w:t xml:space="preserve">Each of Mandal et al.'s regressions used 10 points (one per score, each a different genotype) and no independent validation. Treat R² = 0.81–0.91 as evidence that REV tracks severity, not as an expected prediction accuracy.</w:t>
            </w:r>
          </w:p>
        </w:tc>
      </w:tr>
    </w:tbl>
    <w:p>
      <w:pPr>
        <w:spacing w:after="120"/>
      </w:pPr>
    </w:p>
    <w:p>
      <w:pPr>
        <w:pStyle w:val="Heading2"/>
      </w:pPr>
      <w:r>
        <w:t xml:space="preserve">8.2 Published vegetation indices</w:t>
      </w:r>
    </w:p>
    <w:p>
      <w:pPr>
        <w:keepNext/>
        <w:spacing w:after="80" w:before="160"/>
      </w:pPr>
      <w:r>
        <w:rPr>
          <w:b/>
          <w:bCs/>
          <w:color w:val="1C7C78"/>
          <w:sz w:val="20"/>
          <w:szCs w:val="20"/>
        </w:rPr>
        <w:t xml:space="preserve">Table 6. </w:t>
      </w:r>
      <w:r>
        <w:rPr>
          <w:color w:val="1F3A40"/>
          <w:sz w:val="20"/>
          <w:szCs w:val="20"/>
        </w:rPr>
        <w:t xml:space="preserve">Indices to compute (narrow-band forms). 'UAV' indicates whether a VNIR UAV camera can reproduce the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2"/>
        <w:gridCol w:w="3504"/>
        <w:gridCol w:w="2336"/>
        <w:gridCol w:w="1316"/>
      </w:tblGrid>
      <w:tr>
        <w:trPr>
          <w:cantSplit/>
          <w:tblHeader/>
        </w:trPr>
        <w:tc>
          <w:tcPr>
            <w:tcW w:type="dxa" w:w="248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Index</w:t>
            </w:r>
          </w:p>
        </w:tc>
        <w:tc>
          <w:tcPr>
            <w:tcW w:type="dxa" w:w="3504"/>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Formula</w:t>
            </w:r>
          </w:p>
        </w:tc>
        <w:tc>
          <w:tcPr>
            <w:tcW w:type="dxa" w:w="233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Indicates</w:t>
            </w:r>
          </w:p>
        </w:tc>
        <w:tc>
          <w:tcPr>
            <w:tcW w:type="dxa" w:w="131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UAV</w:t>
            </w:r>
          </w:p>
        </w:tc>
      </w:tr>
      <w:tr>
        <w:trPr>
          <w:cantSplit/>
          <w:tblHeader w:val="false"/>
        </w:trPr>
        <w:tc>
          <w:tcPr>
            <w:tcW w:type="dxa" w:w="248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NDVI</w:t>
            </w:r>
          </w:p>
        </w:tc>
        <w:tc>
          <w:tcPr>
            <w:tcW w:type="dxa" w:w="35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(R800 − R680) / (R800 + R680)</w:t>
            </w:r>
          </w:p>
        </w:tc>
        <w:tc>
          <w:tcPr>
            <w:tcW w:type="dxa" w:w="233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Green biomass, chlorophyll</w:t>
            </w:r>
          </w:p>
        </w:tc>
        <w:tc>
          <w:tcPr>
            <w:tcW w:type="dxa" w:w="131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Yes</w:t>
            </w:r>
          </w:p>
        </w:tc>
      </w:tr>
      <w:tr>
        <w:trPr>
          <w:cantSplit/>
          <w:tblHeader w:val="false"/>
        </w:trPr>
        <w:tc>
          <w:tcPr>
            <w:tcW w:type="dxa" w:w="248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PRI (Gamon et al., 1992)</w:t>
            </w:r>
          </w:p>
        </w:tc>
        <w:tc>
          <w:tcPr>
            <w:tcW w:type="dxa" w:w="350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(R531 − R570) / (R531 + R570)</w:t>
            </w:r>
          </w:p>
        </w:tc>
        <w:tc>
          <w:tcPr>
            <w:tcW w:type="dxa" w:w="233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Xanthophyll cycle, light-use efficiency</w:t>
            </w:r>
          </w:p>
        </w:tc>
        <w:tc>
          <w:tcPr>
            <w:tcW w:type="dxa" w:w="131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Hyperspectral only</w:t>
            </w:r>
          </w:p>
        </w:tc>
      </w:tr>
      <w:tr>
        <w:trPr>
          <w:cantSplit/>
          <w:tblHeader w:val="false"/>
        </w:trPr>
        <w:tc>
          <w:tcPr>
            <w:tcW w:type="dxa" w:w="248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NDRE</w:t>
            </w:r>
          </w:p>
        </w:tc>
        <w:tc>
          <w:tcPr>
            <w:tcW w:type="dxa" w:w="35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(R790 − R720) / (R790 + R720)</w:t>
            </w:r>
          </w:p>
        </w:tc>
        <w:tc>
          <w:tcPr>
            <w:tcW w:type="dxa" w:w="233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Chlorophyll (red edge)</w:t>
            </w:r>
          </w:p>
        </w:tc>
        <w:tc>
          <w:tcPr>
            <w:tcW w:type="dxa" w:w="131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Yes</w:t>
            </w:r>
          </w:p>
        </w:tc>
      </w:tr>
      <w:tr>
        <w:trPr>
          <w:cantSplit/>
          <w:tblHeader w:val="false"/>
        </w:trPr>
        <w:tc>
          <w:tcPr>
            <w:tcW w:type="dxa" w:w="248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CIre (Gitelson et al., 2003)</w:t>
            </w:r>
          </w:p>
        </w:tc>
        <w:tc>
          <w:tcPr>
            <w:tcW w:type="dxa" w:w="350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R790 / R720 − 1</w:t>
            </w:r>
          </w:p>
        </w:tc>
        <w:tc>
          <w:tcPr>
            <w:tcW w:type="dxa" w:w="233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Chlorophyll content</w:t>
            </w:r>
          </w:p>
        </w:tc>
        <w:tc>
          <w:tcPr>
            <w:tcW w:type="dxa" w:w="131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Yes</w:t>
            </w:r>
          </w:p>
        </w:tc>
      </w:tr>
      <w:tr>
        <w:trPr>
          <w:cantSplit/>
          <w:tblHeader w:val="false"/>
        </w:trPr>
        <w:tc>
          <w:tcPr>
            <w:tcW w:type="dxa" w:w="248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PSRI (Merzlyak et al., 1999)</w:t>
            </w:r>
          </w:p>
        </w:tc>
        <w:tc>
          <w:tcPr>
            <w:tcW w:type="dxa" w:w="35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(R680 − R500) / R750</w:t>
            </w:r>
          </w:p>
        </w:tc>
        <w:tc>
          <w:tcPr>
            <w:tcW w:type="dxa" w:w="233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Senescence, carotenoid/chlorophyll</w:t>
            </w:r>
          </w:p>
        </w:tc>
        <w:tc>
          <w:tcPr>
            <w:tcW w:type="dxa" w:w="131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Yes (HS)</w:t>
            </w:r>
          </w:p>
        </w:tc>
      </w:tr>
      <w:tr>
        <w:trPr>
          <w:cantSplit/>
          <w:tblHeader w:val="false"/>
        </w:trPr>
        <w:tc>
          <w:tcPr>
            <w:tcW w:type="dxa" w:w="248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MCARI (Daughtry et al., 2000)</w:t>
            </w:r>
          </w:p>
        </w:tc>
        <w:tc>
          <w:tcPr>
            <w:tcW w:type="dxa" w:w="350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[(R700 − R670) − 0.2 (R700 − R550)] · (R700 / R670)</w:t>
            </w:r>
          </w:p>
        </w:tc>
        <w:tc>
          <w:tcPr>
            <w:tcW w:type="dxa" w:w="233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Chlorophyll absorption</w:t>
            </w:r>
          </w:p>
        </w:tc>
        <w:tc>
          <w:tcPr>
            <w:tcW w:type="dxa" w:w="131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Hyperspectral</w:t>
            </w:r>
          </w:p>
        </w:tc>
      </w:tr>
      <w:tr>
        <w:trPr>
          <w:cantSplit/>
          <w:tblHeader w:val="false"/>
        </w:trPr>
        <w:tc>
          <w:tcPr>
            <w:tcW w:type="dxa" w:w="248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ARI (Gitelson et al., 2001)</w:t>
            </w:r>
          </w:p>
        </w:tc>
        <w:tc>
          <w:tcPr>
            <w:tcW w:type="dxa" w:w="35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1/R550 − 1/R700</w:t>
            </w:r>
          </w:p>
        </w:tc>
        <w:tc>
          <w:tcPr>
            <w:tcW w:type="dxa" w:w="233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Anthocyanins</w:t>
            </w:r>
          </w:p>
        </w:tc>
        <w:tc>
          <w:tcPr>
            <w:tcW w:type="dxa" w:w="131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Hyperspectral</w:t>
            </w:r>
          </w:p>
        </w:tc>
      </w:tr>
      <w:tr>
        <w:trPr>
          <w:cantSplit/>
          <w:tblHeader w:val="false"/>
        </w:trPr>
        <w:tc>
          <w:tcPr>
            <w:tcW w:type="dxa" w:w="248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CRI1 (Gitelson et al., 2002)</w:t>
            </w:r>
          </w:p>
        </w:tc>
        <w:tc>
          <w:tcPr>
            <w:tcW w:type="dxa" w:w="350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1/R510 − 1/R550</w:t>
            </w:r>
          </w:p>
        </w:tc>
        <w:tc>
          <w:tcPr>
            <w:tcW w:type="dxa" w:w="233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Carotenoids</w:t>
            </w:r>
          </w:p>
        </w:tc>
        <w:tc>
          <w:tcPr>
            <w:tcW w:type="dxa" w:w="131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Hyperspectral</w:t>
            </w:r>
          </w:p>
        </w:tc>
      </w:tr>
      <w:tr>
        <w:trPr>
          <w:cantSplit/>
          <w:tblHeader w:val="false"/>
        </w:trPr>
        <w:tc>
          <w:tcPr>
            <w:tcW w:type="dxa" w:w="248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PSSRa, PSSRb (Blackburn, 1998)</w:t>
            </w:r>
          </w:p>
        </w:tc>
        <w:tc>
          <w:tcPr>
            <w:tcW w:type="dxa" w:w="35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R800/R680 ; R800/R635</w:t>
            </w:r>
          </w:p>
        </w:tc>
        <w:tc>
          <w:tcPr>
            <w:tcW w:type="dxa" w:w="233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Chlorophyll a, b</w:t>
            </w:r>
          </w:p>
        </w:tc>
        <w:tc>
          <w:tcPr>
            <w:tcW w:type="dxa" w:w="131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Hyperspectral</w:t>
            </w:r>
          </w:p>
        </w:tc>
      </w:tr>
      <w:tr>
        <w:trPr>
          <w:cantSplit/>
          <w:tblHeader w:val="false"/>
        </w:trPr>
        <w:tc>
          <w:tcPr>
            <w:tcW w:type="dxa" w:w="248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mND705 (Sims &amp; Gamon, 2002)</w:t>
            </w:r>
          </w:p>
        </w:tc>
        <w:tc>
          <w:tcPr>
            <w:tcW w:type="dxa" w:w="350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(R750 − R705) / (R750 + R705 − 2R445)</w:t>
            </w:r>
          </w:p>
        </w:tc>
        <w:tc>
          <w:tcPr>
            <w:tcW w:type="dxa" w:w="233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Chlorophyll, corrected for surface reflectance</w:t>
            </w:r>
          </w:p>
        </w:tc>
        <w:tc>
          <w:tcPr>
            <w:tcW w:type="dxa" w:w="131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Hyperspectral</w:t>
            </w:r>
          </w:p>
        </w:tc>
      </w:tr>
      <w:tr>
        <w:trPr>
          <w:cantSplit/>
          <w:tblHeader w:val="false"/>
        </w:trPr>
        <w:tc>
          <w:tcPr>
            <w:tcW w:type="dxa" w:w="248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WBI (Peñuelas et al., 1997)</w:t>
            </w:r>
          </w:p>
        </w:tc>
        <w:tc>
          <w:tcPr>
            <w:tcW w:type="dxa" w:w="35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R900 / R970</w:t>
            </w:r>
          </w:p>
        </w:tc>
        <w:tc>
          <w:tcPr>
            <w:tcW w:type="dxa" w:w="233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Water content</w:t>
            </w:r>
          </w:p>
        </w:tc>
        <w:tc>
          <w:tcPr>
            <w:tcW w:type="dxa" w:w="131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Hyperspectral (VNIR edge)</w:t>
            </w:r>
          </w:p>
        </w:tc>
      </w:tr>
      <w:tr>
        <w:trPr>
          <w:cantSplit/>
          <w:tblHeader w:val="false"/>
        </w:trPr>
        <w:tc>
          <w:tcPr>
            <w:tcW w:type="dxa" w:w="248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NDWI (Gao, 1996)</w:t>
            </w:r>
          </w:p>
        </w:tc>
        <w:tc>
          <w:tcPr>
            <w:tcW w:type="dxa" w:w="350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(R860 − R1240) / (R860 + R1240)</w:t>
            </w:r>
          </w:p>
        </w:tc>
        <w:tc>
          <w:tcPr>
            <w:tcW w:type="dxa" w:w="233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Leaf water</w:t>
            </w:r>
          </w:p>
        </w:tc>
        <w:tc>
          <w:tcPr>
            <w:tcW w:type="dxa" w:w="131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No (SWIR)</w:t>
            </w:r>
          </w:p>
        </w:tc>
      </w:tr>
      <w:tr>
        <w:trPr>
          <w:cantSplit/>
          <w:tblHeader w:val="false"/>
        </w:trPr>
        <w:tc>
          <w:tcPr>
            <w:tcW w:type="dxa" w:w="248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MSI (Hunt &amp; Rock, 1989)</w:t>
            </w:r>
          </w:p>
        </w:tc>
        <w:tc>
          <w:tcPr>
            <w:tcW w:type="dxa" w:w="35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R1600 / R820</w:t>
            </w:r>
          </w:p>
        </w:tc>
        <w:tc>
          <w:tcPr>
            <w:tcW w:type="dxa" w:w="233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Moisture stress</w:t>
            </w:r>
          </w:p>
        </w:tc>
        <w:tc>
          <w:tcPr>
            <w:tcW w:type="dxa" w:w="131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No (SWIR)</w:t>
            </w:r>
          </w:p>
        </w:tc>
      </w:tr>
      <w:tr>
        <w:trPr>
          <w:cantSplit/>
          <w:tblHeader w:val="false"/>
        </w:trPr>
        <w:tc>
          <w:tcPr>
            <w:tcW w:type="dxa" w:w="248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DWSI-1 (Apan et al., 2004)</w:t>
            </w:r>
          </w:p>
        </w:tc>
        <w:tc>
          <w:tcPr>
            <w:tcW w:type="dxa" w:w="350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R800 / R1660</w:t>
            </w:r>
          </w:p>
        </w:tc>
        <w:tc>
          <w:tcPr>
            <w:tcW w:type="dxa" w:w="233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Disease–water stress (cited in Gogoi et al.)</w:t>
            </w:r>
          </w:p>
        </w:tc>
        <w:tc>
          <w:tcPr>
            <w:tcW w:type="dxa" w:w="131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No (SWIR)</w:t>
            </w:r>
          </w:p>
        </w:tc>
      </w:tr>
      <w:tr>
        <w:trPr>
          <w:cantSplit/>
          <w:tblHeader w:val="false"/>
        </w:trPr>
        <w:tc>
          <w:tcPr>
            <w:tcW w:type="dxa" w:w="248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RBI (Selvaprakash et al., 2026)</w:t>
            </w:r>
          </w:p>
        </w:tc>
        <w:tc>
          <w:tcPr>
            <w:tcW w:type="dxa" w:w="35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(R1068 − R1560) / (R1068 + R1560)</w:t>
            </w:r>
          </w:p>
        </w:tc>
        <w:tc>
          <w:tcPr>
            <w:tcW w:type="dxa" w:w="233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Rice blast (chlorophyll–protein vs water–protein)</w:t>
            </w:r>
          </w:p>
        </w:tc>
        <w:tc>
          <w:tcPr>
            <w:tcW w:type="dxa" w:w="131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No (SWIR)</w:t>
            </w:r>
          </w:p>
        </w:tc>
      </w:tr>
    </w:tbl>
    <w:p>
      <w:pPr>
        <w:spacing w:after="120"/>
      </w:pPr>
    </w:p>
    <w:p>
      <w:pPr>
        <w:shd w:fill="F2F4F5" w:color="auto" w:val="clear"/>
        <w:spacing w:after="0" w:line="228"/>
      </w:pPr>
      <w:r>
        <w:rPr>
          <w:rFonts w:ascii="Consolas" w:cs="Consolas" w:eastAsia="Consolas" w:hAnsi="Consolas"/>
          <w:sz w:val="16"/>
          <w:szCs w:val="16"/>
        </w:rPr>
        <w:t xml:space="preserve">F = pd.concat([A.red_edge(Rs, wl), A.indices(Rs, wl)], axis=1)</w:t>
      </w:r>
    </w:p>
    <w:p>
      <w:pPr>
        <w:spacing w:after="100"/>
      </w:pPr>
    </w:p>
    <w:p>
      <w:pPr>
        <w:spacing w:after="100" w:line="259"/>
        <w:jc w:val="both"/>
      </w:pPr>
      <w:r>
        <w:t xml:space="preserve">Compute RBI as a benchmark: it was developed for rice blast, so its performance on white rust is itself a result worth reporting. Selvaprakash et al. reported F1 = 0.95 and κ = 0.93 for RBI, against 0.81/0.77 for NDVI and 0.84/0.79 for PRI; for your data, compare all indices with the same validation design (Step 10).</w:t>
      </w:r>
    </w:p>
    <w:p>
      <w:pPr>
        <w:pStyle w:val="Heading2"/>
      </w:pPr>
      <w:r>
        <w:t xml:space="preserve">8.3 Continuum-removed band depth and random-forest band importance</w:t>
      </w:r>
    </w:p>
    <w:p>
      <w:pPr>
        <w:spacing w:after="100" w:line="259"/>
        <w:jc w:val="both"/>
      </w:pPr>
      <w:r>
        <w:t xml:space="preserve">Continuum removal over the chlorophyll well (550–750 nm) gives band depth = 1 − CR(λ); depth at 670 nm and the area of the well are robust chlorophyll features. Selvaprakash et al. ranked bands by </w:t>
      </w:r>
      <w:r>
        <w:rPr>
          <w:b/>
          <w:bCs/>
        </w:rPr>
        <w:t xml:space="preserve">random-forest impurity importance</w:t>
      </w:r>
      <w:r>
        <w:t xml:space="preserve"> (mean decrease in Gini impurity) and kept the top ten; in their data 2016, 1977 and 648 nm ranked highest. Impurity importance favours correlated groups of bands, so read it as 'which regions matter' rather than 'which single band', and compute it within training folds.</w:t>
      </w:r>
    </w:p>
    <w:p>
      <w:pPr>
        <w:pStyle w:val="Heading1"/>
      </w:pPr>
      <w:r>
        <w:t xml:space="preserve">Step 9. Search band pairs and develop a white rust index</w:t>
      </w:r>
    </w:p>
    <w:p>
      <w:pPr>
        <w:spacing w:after="100" w:line="259"/>
        <w:jc w:val="both"/>
      </w:pPr>
      <w:r>
        <w:t xml:space="preserve">Selvaprakash et al. developed the Rice Blast Index from an exhaustive search of normalised-difference band pairs, guided by random-forest importance and feature persistence:</w:t>
      </w:r>
    </w:p>
    <w:p>
      <w:pPr>
        <w:spacing w:after="120" w:before="100"/>
        <w:jc w:val="center"/>
      </w:pPr>
      <w:r>
        <w:rPr>
          <w:rFonts w:ascii="Cambria Math" w:cs="Cambria Math" w:eastAsia="Cambria Math" w:hAnsi="Cambria Math"/>
          <w:sz w:val="23"/>
          <w:szCs w:val="23"/>
        </w:rPr>
        <w:t xml:space="preserve">NDSI(λi, λj) = (Rλi − Rλj) / (Rλi + Rλj)</w:t>
      </w:r>
    </w:p>
    <w:p>
      <w:pPr>
        <w:spacing w:after="100" w:line="259"/>
        <w:jc w:val="both"/>
      </w:pPr>
      <w:r>
        <w:t xml:space="preserve">Their wording ('the ten most informative wavelengths enabled the evaluation of over one million band combinations') needs care: ten bands give only 45 pairs, whereas all ~2,150 ASD bands give about 2.3 million. A search over all pairs is powerful but prone to chance findings, because one of millions of pairs will correlate well with the grades by luck. The procedure below keeps the search honest.</w:t>
      </w:r>
    </w:p>
    <w:p>
      <w:pPr>
        <w:keepNext/>
        <w:spacing w:after="40" w:before="80"/>
      </w:pPr>
      <w:r>
        <w:rPr>
          <w:b/>
          <w:bCs/>
          <w:color w:val="1C7C78"/>
          <w:sz w:val="21"/>
          <w:szCs w:val="21"/>
        </w:rPr>
        <w:t xml:space="preserve">Do this</w:t>
      </w:r>
    </w:p>
    <w:p>
      <w:pPr>
        <w:pStyle w:val="ListParagraph"/>
        <w:numPr>
          <w:ilvl w:val="0"/>
          <w:numId w:val="8"/>
        </w:numPr>
        <w:spacing w:after="50" w:line="252"/>
      </w:pPr>
      <w:r>
        <w:t xml:space="preserve">Thin the bands using the lagged-correlation result (e.g. every 10 or 20 nm) and exclude noisy regions; this reduces pairs from millions to thousands.</w:t>
      </w:r>
    </w:p>
    <w:p>
      <w:pPr>
        <w:pStyle w:val="ListParagraph"/>
        <w:numPr>
          <w:ilvl w:val="0"/>
          <w:numId w:val="8"/>
        </w:numPr>
        <w:spacing w:after="50" w:line="252"/>
      </w:pPr>
      <w:r>
        <w:t xml:space="preserve">Inside each </w:t>
      </w:r>
      <w:r>
        <w:rPr>
          <w:b/>
          <w:bCs/>
        </w:rPr>
        <w:t xml:space="preserve">training</w:t>
      </w:r>
      <w:r>
        <w:t xml:space="preserve"> fold, compute every NDSI and its |Spearman ρ| with grade (or Kruskal–Wallis H across classes).</w:t>
      </w:r>
    </w:p>
    <w:p>
      <w:pPr>
        <w:pStyle w:val="ListParagraph"/>
        <w:numPr>
          <w:ilvl w:val="0"/>
          <w:numId w:val="8"/>
        </w:numPr>
        <w:spacing w:after="50" w:line="252"/>
      </w:pPr>
      <w:r>
        <w:t xml:space="preserve">Keep the top pairs and record them per fold. A pair (or a region pair) chosen in most folds is stable; a pair chosen once is likely chance.</w:t>
      </w:r>
    </w:p>
    <w:p>
      <w:pPr>
        <w:pStyle w:val="ListParagraph"/>
        <w:numPr>
          <w:ilvl w:val="0"/>
          <w:numId w:val="8"/>
        </w:numPr>
        <w:spacing w:after="50" w:line="252"/>
      </w:pPr>
      <w:r>
        <w:t xml:space="preserve">Prefer pairs whose bands lie in persistent regions (Step 7) and have a physiological interpretation (chlorophyll, water, protein, structure).</w:t>
      </w:r>
    </w:p>
    <w:p>
      <w:pPr>
        <w:pStyle w:val="ListParagraph"/>
        <w:numPr>
          <w:ilvl w:val="0"/>
          <w:numId w:val="8"/>
        </w:numPr>
        <w:spacing w:after="50" w:line="252"/>
      </w:pPr>
      <w:r>
        <w:t xml:space="preserve">Name the final candidate (e.g. 'WRI-1') only after it has been evaluated on held-out plants in Step 10, and report its accuracy next to NDVI, PRI, NDRE and RBI.</w:t>
      </w:r>
    </w:p>
    <w:p>
      <w:pPr>
        <w:pStyle w:val="ListParagraph"/>
        <w:numPr>
          <w:ilvl w:val="0"/>
          <w:numId w:val="8"/>
        </w:numPr>
        <w:spacing w:after="50" w:line="252"/>
      </w:pPr>
      <w:r>
        <w:t xml:space="preserve">Run the same search restricted to the UAV hyperspectral range (e.g. 400–1000 nm) to obtain a UAV-compatible index.</w:t>
      </w:r>
    </w:p>
    <w:p>
      <w:pPr>
        <w:shd w:fill="F2F4F5" w:color="auto" w:val="clear"/>
        <w:spacing w:after="0" w:line="228"/>
      </w:pPr>
      <w:r>
        <w:rPr>
          <w:rFonts w:ascii="Consolas" w:cs="Consolas" w:eastAsia="Consolas" w:hAnsi="Consolas"/>
          <w:sz w:val="16"/>
          <w:szCs w:val="16"/>
        </w:rPr>
        <w:t xml:space="preserve">top = A.ndsi_search(Rs[train], wl, y[train], step=10, keep=keep).head(10)   # TRAINING only</w:t>
      </w:r>
    </w:p>
    <w:p>
      <w:pPr>
        <w:shd w:fill="F2F4F5" w:color="auto" w:val="clear"/>
        <w:spacing w:after="0" w:line="228"/>
      </w:pPr>
      <w:r>
        <w:rPr>
          <w:rFonts w:ascii="Consolas" w:cs="Consolas" w:eastAsia="Consolas" w:hAnsi="Consolas"/>
          <w:sz w:val="16"/>
          <w:szCs w:val="16"/>
        </w:rPr>
        <w:t xml:space="preserve">x_new = A.ndsi(Rs, wl, top.b1[0], top.b2[0])                                # apply to all</w:t>
      </w:r>
    </w:p>
    <w:p>
      <w:pPr>
        <w:spacing w:after="100"/>
      </w:pPr>
    </w:p>
    <w:p>
      <w:pPr>
        <w:spacing w:after="100" w:line="259"/>
        <w:jc w:val="both"/>
      </w:pPr>
      <w:r>
        <w:t xml:space="preserve">A heat map of |ρ| for all pairs (band i on one axis, band j on the other) is a standard figure. Show the map from the full data set for description, but state that the index itself was selected within training folds.</w:t>
      </w:r>
    </w:p>
    <w:p>
      <w:pPr>
        <w:pStyle w:val="Heading1"/>
      </w:pPr>
      <w:r>
        <w:t xml:space="preserve">Step 10. Classification and validation</w:t>
      </w:r>
    </w:p>
    <w:p>
      <w:pPr>
        <w:spacing w:after="100" w:line="259"/>
        <w:jc w:val="both"/>
      </w:pPr>
      <w:r>
        <w:t xml:space="preserve">The aim is an honest estimate of how well grades (or healthy vs infected) can be predicted for </w:t>
      </w:r>
      <w:r>
        <w:rPr>
          <w:b/>
          <w:bCs/>
        </w:rPr>
        <w:t xml:space="preserve">new plants</w:t>
      </w:r>
      <w:r>
        <w:t xml:space="preserve">. Selvaprakash et al. report F1 and Cohen's κ but do not describe the train–test split; this step specifies it.</w:t>
      </w:r>
    </w:p>
    <w:p>
      <w:pPr>
        <w:pStyle w:val="Heading3"/>
      </w:pPr>
      <w:r>
        <w:t xml:space="preserve">10.1 Validation design</w:t>
      </w:r>
    </w:p>
    <w:p>
      <w:pPr>
        <w:pStyle w:val="ListParagraph"/>
        <w:numPr>
          <w:ilvl w:val="0"/>
          <w:numId w:val="4"/>
        </w:numPr>
        <w:spacing w:after="50" w:line="252"/>
      </w:pPr>
      <w:r>
        <w:rPr>
          <w:b/>
          <w:bCs/>
        </w:rPr>
        <w:t xml:space="preserve">Outer loop:</w:t>
      </w:r>
      <w:r>
        <w:t xml:space="preserve"> StratifiedGroupKFold with groups = plant_id (4–5 folds). All leaves and dates of a plant are in the same fold; each plant is tested once.</w:t>
      </w:r>
    </w:p>
    <w:p>
      <w:pPr>
        <w:pStyle w:val="ListParagraph"/>
        <w:numPr>
          <w:ilvl w:val="0"/>
          <w:numId w:val="4"/>
        </w:numPr>
        <w:spacing w:after="50" w:line="252"/>
      </w:pPr>
      <w:r>
        <w:rPr>
          <w:b/>
          <w:bCs/>
        </w:rPr>
        <w:t xml:space="preserve">Inside each training fold:</w:t>
      </w:r>
      <w:r>
        <w:t xml:space="preserve"> Isolation Forest outlier removal; MSC reference; band-pair search; feature selection; hyper-parameter tuning with an inner GroupKFold.</w:t>
      </w:r>
    </w:p>
    <w:p>
      <w:pPr>
        <w:pStyle w:val="ListParagraph"/>
        <w:numPr>
          <w:ilvl w:val="0"/>
          <w:numId w:val="4"/>
        </w:numPr>
        <w:spacing w:after="50" w:line="252"/>
      </w:pPr>
      <w:r>
        <w:rPr>
          <w:b/>
          <w:bCs/>
        </w:rPr>
        <w:t xml:space="preserve">Test fold:</w:t>
      </w:r>
      <w:r>
        <w:t xml:space="preserve"> predict once, without any removal or refitting.</w:t>
      </w:r>
    </w:p>
    <w:p>
      <w:pPr>
        <w:pStyle w:val="ListParagraph"/>
        <w:numPr>
          <w:ilvl w:val="0"/>
          <w:numId w:val="4"/>
        </w:numPr>
        <w:spacing w:after="50" w:line="252"/>
      </w:pPr>
      <w:r>
        <w:rPr>
          <w:b/>
          <w:bCs/>
        </w:rPr>
        <w:t xml:space="preserve">Repeat</w:t>
      </w:r>
      <w:r>
        <w:t xml:space="preserve"> the outer split with 3–5 seeds and report mean ± SD.</w:t>
      </w:r>
    </w:p>
    <w:p>
      <w:pPr>
        <w:pStyle w:val="ListParagraph"/>
        <w:numPr>
          <w:ilvl w:val="0"/>
          <w:numId w:val="4"/>
        </w:numPr>
        <w:spacing w:after="50" w:line="252"/>
      </w:pPr>
      <w:r>
        <w:rPr>
          <w:b/>
          <w:bCs/>
        </w:rPr>
        <w:t xml:space="preserve">External test:</w:t>
      </w:r>
      <w:r>
        <w:t xml:space="preserve"> a later glasshouse batch or the field season, model frozen.</w:t>
      </w:r>
    </w:p>
    <w:p>
      <w:pPr>
        <w:shd w:fill="F2F4F5" w:color="auto" w:val="clear"/>
        <w:spacing w:after="0" w:line="228"/>
      </w:pPr>
      <w:r>
        <w:rPr>
          <w:rFonts w:ascii="Consolas" w:cs="Consolas" w:eastAsia="Consolas" w:hAnsi="Consolas"/>
          <w:sz w:val="16"/>
          <w:szCs w:val="16"/>
        </w:rPr>
        <w:t xml:space="preserve">from sklearn.model_selection import StratifiedGroupKFold, GroupKFold, GridSearchCV</w:t>
      </w:r>
    </w:p>
    <w:p>
      <w:pPr>
        <w:shd w:fill="F2F4F5" w:color="auto" w:val="clear"/>
        <w:spacing w:after="0" w:line="228"/>
      </w:pPr>
      <w:r>
        <w:rPr>
          <w:rFonts w:ascii="Consolas" w:cs="Consolas" w:eastAsia="Consolas" w:hAnsi="Consolas"/>
          <w:sz w:val="16"/>
          <w:szCs w:val="16"/>
        </w:rPr>
        <w:t xml:space="preserve">outer = StratifiedGroupKFold(n_splits=4, shuffle=True, random_state=0)</w:t>
      </w:r>
    </w:p>
    <w:p>
      <w:pPr>
        <w:shd w:fill="F2F4F5" w:color="auto" w:val="clear"/>
        <w:spacing w:after="0" w:line="228"/>
      </w:pPr>
      <w:r>
        <w:rPr>
          <w:rFonts w:ascii="Consolas" w:cs="Consolas" w:eastAsia="Consolas" w:hAnsi="Consolas"/>
          <w:sz w:val="16"/>
          <w:szCs w:val="16"/>
        </w:rPr>
        <w:t xml:space="preserve">for tr, te in outer.split(Rs, y, groups):</w:t>
      </w:r>
    </w:p>
    <w:p>
      <w:pPr>
        <w:shd w:fill="F2F4F5" w:color="auto" w:val="clear"/>
        <w:spacing w:after="0" w:line="228"/>
      </w:pPr>
      <w:r>
        <w:rPr>
          <w:rFonts w:ascii="Consolas" w:cs="Consolas" w:eastAsia="Consolas" w:hAnsi="Consolas"/>
          <w:sz w:val="16"/>
          <w:szCs w:val="16"/>
        </w:rPr>
        <w:t xml:space="preserve">    tr  = tr[IsolationForest(contamination=0.02).fit(Xsnv[tr]).predict(Xsnv[tr]) == 1]</w:t>
      </w:r>
    </w:p>
    <w:p>
      <w:pPr>
        <w:shd w:fill="F2F4F5" w:color="auto" w:val="clear"/>
        <w:spacing w:after="0" w:line="228"/>
      </w:pPr>
      <w:r>
        <w:rPr>
          <w:rFonts w:ascii="Consolas" w:cs="Consolas" w:eastAsia="Consolas" w:hAnsi="Consolas"/>
          <w:sz w:val="16"/>
          <w:szCs w:val="16"/>
        </w:rPr>
        <w:t xml:space="preserve">    top = A.ndsi_search(Rs[tr], wl, y[tr], step=20, keep=keep).head(3)</w:t>
      </w:r>
    </w:p>
    <w:p>
      <w:pPr>
        <w:shd w:fill="F2F4F5" w:color="auto" w:val="clear"/>
        <w:spacing w:after="0" w:line="228"/>
      </w:pPr>
      <w:r>
        <w:rPr>
          <w:rFonts w:ascii="Consolas" w:cs="Consolas" w:eastAsia="Consolas" w:hAnsi="Consolas"/>
          <w:sz w:val="16"/>
          <w:szCs w:val="16"/>
        </w:rPr>
        <w:t xml:space="preserve">    Xtr, Xte = make_features(tr, top), make_features(te, top)   # red edge + indices + top NDSI</w:t>
      </w:r>
    </w:p>
    <w:p>
      <w:pPr>
        <w:shd w:fill="F2F4F5" w:color="auto" w:val="clear"/>
        <w:spacing w:after="0" w:line="228"/>
      </w:pPr>
      <w:r>
        <w:rPr>
          <w:rFonts w:ascii="Consolas" w:cs="Consolas" w:eastAsia="Consolas" w:hAnsi="Consolas"/>
          <w:sz w:val="16"/>
          <w:szCs w:val="16"/>
        </w:rPr>
        <w:t xml:space="preserve">    grid = GridSearchCV(Pipeline([("sc", StandardScaler()), ("clf", SVC())]),</w:t>
      </w:r>
    </w:p>
    <w:p>
      <w:pPr>
        <w:shd w:fill="F2F4F5" w:color="auto" w:val="clear"/>
        <w:spacing w:after="0" w:line="228"/>
      </w:pPr>
      <w:r>
        <w:rPr>
          <w:rFonts w:ascii="Consolas" w:cs="Consolas" w:eastAsia="Consolas" w:hAnsi="Consolas"/>
          <w:sz w:val="16"/>
          <w:szCs w:val="16"/>
        </w:rPr>
        <w:t xml:space="preserve">                        {"clf__C": [1, 10, 100]}, cv=GroupKFold(3), scoring="f1_macro")</w:t>
      </w:r>
    </w:p>
    <w:p>
      <w:pPr>
        <w:shd w:fill="F2F4F5" w:color="auto" w:val="clear"/>
        <w:spacing w:after="0" w:line="228"/>
      </w:pPr>
      <w:r>
        <w:rPr>
          <w:rFonts w:ascii="Consolas" w:cs="Consolas" w:eastAsia="Consolas" w:hAnsi="Consolas"/>
          <w:sz w:val="16"/>
          <w:szCs w:val="16"/>
        </w:rPr>
        <w:t xml:space="preserve">    pred[te] = grid.fit(Xtr, y[tr], groups=groups[tr]).predict(Xte)</w:t>
      </w:r>
    </w:p>
    <w:p>
      <w:pPr>
        <w:spacing w:after="100"/>
      </w:pPr>
    </w:p>
    <w:p>
      <w:pPr>
        <w:spacing w:after="100" w:line="259"/>
        <w:jc w:val="both"/>
      </w:pPr>
      <w:r>
        <w:t xml:space="preserve">demo_simulated.py contains the complete loop. Classifiers to compare: random forest, SVM (RBF) and KNN on the feature table; PLS-DA on full SNV spectra; and each single index with a simple threshold or logistic regression (the index-only baselines that correspond to Selvaprakash et al.'s NDVI/PRI/RBI comparison).</w:t>
      </w:r>
    </w:p>
    <w:p>
      <w:pPr>
        <w:pStyle w:val="Heading3"/>
      </w:pPr>
      <w:r>
        <w:t xml:space="preserve">10.2 Tasks and metrics</w:t>
      </w:r>
    </w:p>
    <w:p>
      <w:pPr>
        <w:keepNext/>
        <w:spacing w:after="80" w:before="160"/>
      </w:pPr>
      <w:r>
        <w:rPr>
          <w:b/>
          <w:bCs/>
          <w:color w:val="1C7C78"/>
          <w:sz w:val="20"/>
          <w:szCs w:val="20"/>
        </w:rPr>
        <w:t xml:space="preserve">Table 7. </w:t>
      </w:r>
      <w:r>
        <w:rPr>
          <w:color w:val="1F3A40"/>
          <w:sz w:val="20"/>
          <w:szCs w:val="20"/>
        </w:rPr>
        <w:t xml:space="preserve">Classification tasks and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6"/>
        <w:gridCol w:w="3730"/>
        <w:gridCol w:w="3732"/>
      </w:tblGrid>
      <w:tr>
        <w:trPr>
          <w:cantSplit/>
          <w:tblHeader/>
        </w:trPr>
        <w:tc>
          <w:tcPr>
            <w:tcW w:type="dxa" w:w="217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Task</w:t>
            </w:r>
          </w:p>
        </w:tc>
        <w:tc>
          <w:tcPr>
            <w:tcW w:type="dxa" w:w="3730"/>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Classes</w:t>
            </w:r>
          </w:p>
        </w:tc>
        <w:tc>
          <w:tcPr>
            <w:tcW w:type="dxa" w:w="373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Metrics</w:t>
            </w:r>
          </w:p>
        </w:tc>
      </w:tr>
      <w:tr>
        <w:trPr>
          <w:cantSplit/>
          <w:tblHeader w:val="false"/>
        </w:trPr>
        <w:tc>
          <w:tcPr>
            <w:tcW w:type="dxa" w:w="217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Early detection</w:t>
            </w:r>
          </w:p>
        </w:tc>
        <w:tc>
          <w:tcPr>
            <w:tcW w:type="dxa" w:w="373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Control vs inoculated, per DAI (including asymptomatic leaves)</w:t>
            </w:r>
          </w:p>
        </w:tc>
        <w:tc>
          <w:tcPr>
            <w:tcW w:type="dxa" w:w="373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Sensitivity, specificity, AUC, F1</w:t>
            </w:r>
          </w:p>
        </w:tc>
      </w:tr>
      <w:tr>
        <w:trPr>
          <w:cantSplit/>
          <w:tblHeader w:val="false"/>
        </w:trPr>
        <w:tc>
          <w:tcPr>
            <w:tcW w:type="dxa" w:w="217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Severity grading</w:t>
            </w:r>
          </w:p>
        </w:tc>
        <w:tc>
          <w:tcPr>
            <w:tcW w:type="dxa" w:w="373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Grades 0–5 (ordered)</w:t>
            </w:r>
          </w:p>
        </w:tc>
        <w:tc>
          <w:tcPr>
            <w:tcW w:type="dxa" w:w="373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Macro-F1, OA, quadratic-weighted κ, confusion matrix</w:t>
            </w:r>
          </w:p>
        </w:tc>
      </w:tr>
      <w:tr>
        <w:trPr>
          <w:cantSplit/>
          <w:tblHeader w:val="false"/>
        </w:trPr>
        <w:tc>
          <w:tcPr>
            <w:tcW w:type="dxa" w:w="217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Severity regression</w:t>
            </w:r>
          </w:p>
        </w:tc>
        <w:tc>
          <w:tcPr>
            <w:tcW w:type="dxa" w:w="373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 area or DI</w:t>
            </w:r>
          </w:p>
        </w:tc>
        <w:tc>
          <w:tcPr>
            <w:tcW w:type="dxa" w:w="373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R², RMSE, RPD on held-out plants</w:t>
            </w:r>
          </w:p>
        </w:tc>
      </w:tr>
      <w:tr>
        <w:trPr>
          <w:cantSplit/>
          <w:tblHeader w:val="false"/>
        </w:trPr>
        <w:tc>
          <w:tcPr>
            <w:tcW w:type="dxa" w:w="217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Index comparison</w:t>
            </w:r>
          </w:p>
        </w:tc>
        <w:tc>
          <w:tcPr>
            <w:tcW w:type="dxa" w:w="373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Each index alone</w:t>
            </w:r>
          </w:p>
        </w:tc>
        <w:tc>
          <w:tcPr>
            <w:tcW w:type="dxa" w:w="373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F1 and κ (as in Selvaprakash et al.), with McNemar test between indices</w:t>
            </w:r>
          </w:p>
        </w:tc>
      </w:tr>
    </w:tbl>
    <w:p>
      <w:pPr>
        <w:spacing w:after="120"/>
      </w:pPr>
    </w:p>
    <w:p>
      <w:pPr>
        <w:spacing w:after="20" w:before="100"/>
        <w:jc w:val="center"/>
      </w:pPr>
      <w:r>
        <w:rPr>
          <w:rFonts w:ascii="Cambria Math" w:cs="Cambria Math" w:eastAsia="Cambria Math" w:hAnsi="Cambria Math"/>
          <w:sz w:val="23"/>
          <w:szCs w:val="23"/>
        </w:rPr>
        <w:t xml:space="preserve">κ_w = 1 − Σ wᵢⱼ Oᵢⱼ / Σ wᵢⱼ Eᵢⱼ ,   wᵢⱼ = (i − j)² / (K − 1)²</w:t>
      </w:r>
    </w:p>
    <w:p>
      <w:pPr>
        <w:spacing w:after="120"/>
        <w:jc w:val="center"/>
      </w:pPr>
      <w:r>
        <w:rPr>
          <w:i/>
          <w:iCs/>
          <w:color w:val="5E7A7E"/>
          <w:sz w:val="19"/>
          <w:szCs w:val="19"/>
        </w:rPr>
        <w:t xml:space="preserve">Quadratic-weighted kappa penalises errors between distant grades more than between neighbouring grades.</w:t>
      </w:r>
    </w:p>
    <w:p>
      <w:pPr>
        <w:pStyle w:val="Heading3"/>
      </w:pPr>
      <w:r>
        <w:t xml:space="preserve">10.3 Code for metrics and paired comparison</w:t>
      </w:r>
    </w:p>
    <w:p>
      <w:pPr>
        <w:shd w:fill="F2F4F5" w:color="auto" w:val="clear"/>
        <w:spacing w:after="0" w:line="228"/>
      </w:pPr>
      <w:r>
        <w:rPr>
          <w:rFonts w:ascii="Consolas" w:cs="Consolas" w:eastAsia="Consolas" w:hAnsi="Consolas"/>
          <w:sz w:val="16"/>
          <w:szCs w:val="16"/>
        </w:rPr>
        <w:t xml:space="preserve">from sklearn.metrics import f1_score, cohen_kappa_score, confusion_matrix, roc_auc_score</w:t>
      </w:r>
    </w:p>
    <w:p>
      <w:pPr>
        <w:shd w:fill="F2F4F5" w:color="auto" w:val="clear"/>
        <w:spacing w:after="0" w:line="228"/>
      </w:pPr>
      <w:r>
        <w:rPr>
          <w:rFonts w:ascii="Consolas" w:cs="Consolas" w:eastAsia="Consolas" w:hAnsi="Consolas"/>
          <w:sz w:val="16"/>
          <w:szCs w:val="16"/>
        </w:rPr>
        <w:t xml:space="preserve">from scipy.stats import chi2</w:t>
      </w:r>
    </w:p>
    <w:p>
      <w:pPr>
        <w:shd w:fill="F2F4F5" w:color="auto" w:val="clear"/>
        <w:spacing w:after="0" w:line="228"/>
      </w:pPr>
      <w:r>
        <w:rPr>
          <w:rFonts w:ascii="Consolas" w:cs="Consolas" w:eastAsia="Consolas" w:hAnsi="Consolas"/>
          <w:sz w:val="16"/>
          <w:szCs w:val="16"/>
        </w:rPr>
        <w:t xml:space="preserve">f1  = f1_score(y, pred, average="macro")</w:t>
      </w:r>
    </w:p>
    <w:p>
      <w:pPr>
        <w:shd w:fill="F2F4F5" w:color="auto" w:val="clear"/>
        <w:spacing w:after="0" w:line="228"/>
      </w:pPr>
      <w:r>
        <w:rPr>
          <w:rFonts w:ascii="Consolas" w:cs="Consolas" w:eastAsia="Consolas" w:hAnsi="Consolas"/>
          <w:sz w:val="16"/>
          <w:szCs w:val="16"/>
        </w:rPr>
        <w:t xml:space="preserve">kw  = cohen_kappa_score(y, pred, weights="quadratic")</w:t>
      </w:r>
    </w:p>
    <w:p>
      <w:pPr>
        <w:shd w:fill="F2F4F5" w:color="auto" w:val="clear"/>
        <w:spacing w:after="0" w:line="228"/>
      </w:pPr>
      <w:r>
        <w:rPr>
          <w:rFonts w:ascii="Consolas" w:cs="Consolas" w:eastAsia="Consolas" w:hAnsi="Consolas"/>
          <w:sz w:val="16"/>
          <w:szCs w:val="16"/>
        </w:rPr>
        <w:t xml:space="preserve">cm  = confusion_matrix(y, pred)</w:t>
      </w:r>
    </w:p>
    <w:p>
      <w:pPr>
        <w:shd w:fill="F2F4F5" w:color="auto" w:val="clear"/>
        <w:spacing w:after="0" w:line="228"/>
      </w:pPr>
      <w:r>
        <w:rPr>
          <w:rFonts w:ascii="Consolas" w:cs="Consolas" w:eastAsia="Consolas" w:hAnsi="Consolas"/>
          <w:sz w:val="16"/>
          <w:szCs w:val="16"/>
        </w:rPr>
        <w:t xml:space="preserve"># McNemar: is model A (e.g. new index) better than model B (e.g. NDVI) on the same leaves?</w:t>
      </w:r>
    </w:p>
    <w:p>
      <w:pPr>
        <w:shd w:fill="F2F4F5" w:color="auto" w:val="clear"/>
        <w:spacing w:after="0" w:line="228"/>
      </w:pPr>
      <w:r>
        <w:rPr>
          <w:rFonts w:ascii="Consolas" w:cs="Consolas" w:eastAsia="Consolas" w:hAnsi="Consolas"/>
          <w:sz w:val="16"/>
          <w:szCs w:val="16"/>
        </w:rPr>
        <w:t xml:space="preserve">a_ok, b_ok = (pred_a == y), (pred_b == y)</w:t>
      </w:r>
    </w:p>
    <w:p>
      <w:pPr>
        <w:shd w:fill="F2F4F5" w:color="auto" w:val="clear"/>
        <w:spacing w:after="0" w:line="228"/>
      </w:pPr>
      <w:r>
        <w:rPr>
          <w:rFonts w:ascii="Consolas" w:cs="Consolas" w:eastAsia="Consolas" w:hAnsi="Consolas"/>
          <w:sz w:val="16"/>
          <w:szCs w:val="16"/>
        </w:rPr>
        <w:t xml:space="preserve">n01, n10 = np.sum(a_ok &amp; ~b_ok), np.sum(~a_ok &amp; b_ok)</w:t>
      </w:r>
    </w:p>
    <w:p>
      <w:pPr>
        <w:shd w:fill="F2F4F5" w:color="auto" w:val="clear"/>
        <w:spacing w:after="0" w:line="228"/>
      </w:pPr>
      <w:r>
        <w:rPr>
          <w:rFonts w:ascii="Consolas" w:cs="Consolas" w:eastAsia="Consolas" w:hAnsi="Consolas"/>
          <w:sz w:val="16"/>
          <w:szCs w:val="16"/>
        </w:rPr>
        <w:t xml:space="preserve">stat = (abs(n01 - n10) - 1) ** 2 / (n01 + n10); p = chi2.sf(stat, 1)</w:t>
      </w:r>
    </w:p>
    <w:p>
      <w:pPr>
        <w:spacing w:after="100"/>
      </w:pPr>
    </w:p>
    <w:p>
      <w:pPr>
        <w:pStyle w:val="Heading3"/>
      </w:pPr>
      <w:r>
        <w:t xml:space="preserve">10.4 Severity as a continuous variable</w:t>
      </w:r>
    </w:p>
    <w:p>
      <w:pPr>
        <w:spacing w:after="100" w:line="259"/>
        <w:jc w:val="both"/>
      </w:pPr>
      <w:r>
        <w:t xml:space="preserve">If percentage diseased area is recorded, fit PLSR on SNV spectra and RF or SVR on the feature table, with the same grouped folds. Report R², RMSE and RPD on held-out plants; RPD = SD(reference) / RMSE, where values above about 2 indicate good quantitative prediction (Selvaprakash et al. cite blast-mapping models with RPD &gt; 2.4). Choose the number of PLS components by inner cross-validation.</w:t>
      </w:r>
    </w:p>
    <w:p>
      <w:pPr>
        <w:pStyle w:val="Heading3"/>
      </w:pPr>
      <w:r>
        <w:t xml:space="preserve">10.5 Early detection by DAI</w:t>
      </w:r>
    </w:p>
    <w:p>
      <w:pPr>
        <w:spacing w:after="100" w:line="259"/>
        <w:jc w:val="both"/>
      </w:pPr>
      <w:r>
        <w:t xml:space="preserve">For each DAI separately, train control vs inoculated with the same grouped design and plot accuracy (or AUC) against DAI. The first DAI at which accuracy is significantly above chance (permutation test: shuffle labels within the training folds 500–1,000 times) is the detection time for that feature set. Compare this time between full ASD spectra, red-edge features, UAV-simulated bands and thermal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4557A" w:sz="24"/>
              <w:bottom w:val="none" w:color="FFFFFF" w:sz="0"/>
              <w:right w:val="none" w:color="FFFFFF" w:sz="0"/>
            </w:tcBorders>
            <w:shd w:fill="EEF2F7" w:color="auto" w:val="clear"/>
            <w:tcMar>
              <w:top w:type="dxa" w:w="100"/>
              <w:left w:type="dxa" w:w="180"/>
              <w:bottom w:type="dxa" w:w="100"/>
              <w:right w:type="dxa" w:w="180"/>
            </w:tcMar>
          </w:tcPr>
          <w:p>
            <w:pPr>
              <w:spacing w:after="60"/>
            </w:pPr>
            <w:r>
              <w:rPr>
                <w:b/>
                <w:bCs/>
                <w:color w:val="34557A"/>
                <w:sz w:val="21"/>
                <w:szCs w:val="21"/>
              </w:rPr>
              <w:t xml:space="preserve">Why this matters</w:t>
            </w:r>
          </w:p>
          <w:p>
            <w:pPr>
              <w:spacing w:after="60" w:line="264"/>
            </w:pPr>
            <w:r>
              <w:rPr>
                <w:sz w:val="21"/>
                <w:szCs w:val="21"/>
              </w:rPr>
              <w:t xml:space="preserve">If the band search, outlier removal and accuracy calculation all use the same leaves, accuracy is optimistic, because the index was chosen to fit those leaves. Splitting by plant rather than by leaf matters as well: leaves of one plant share genotype, age and micro-environment, so a leaf-level random split lets the model recognise the plant instead of the disease.</w:t>
            </w:r>
          </w:p>
        </w:tc>
      </w:tr>
    </w:tbl>
    <w:p>
      <w:pPr>
        <w:spacing w:after="120"/>
      </w:pPr>
    </w:p>
    <w:p>
      <w:pPr>
        <w:pStyle w:val="Heading1"/>
      </w:pPr>
      <w:r>
        <w:t xml:space="preserve">Step 11. Link ASD results to UAV sensors</w:t>
      </w:r>
    </w:p>
    <w:p>
      <w:pPr>
        <w:spacing w:after="100" w:line="259"/>
        <w:jc w:val="both"/>
      </w:pPr>
      <w:r>
        <w:t xml:space="preserve">ASD spectra are the reference for the UAV work: they show which bands carry the white rust signal and whether the UAV cameras can see it. Simulate each camera's bands by weighting the ASD spectrum with the camera's spectral response function (SRF); a Gaussian with the band's centre and FWHM is a good approximation when the true SRF is not available.</w:t>
      </w:r>
    </w:p>
    <w:p>
      <w:pPr>
        <w:spacing w:after="120" w:before="100"/>
        <w:jc w:val="center"/>
      </w:pPr>
      <w:r>
        <w:rPr>
          <w:rFonts w:ascii="Cambria Math" w:cs="Cambria Math" w:eastAsia="Cambria Math" w:hAnsi="Cambria Math"/>
          <w:sz w:val="23"/>
          <w:szCs w:val="23"/>
        </w:rPr>
        <w:t xml:space="preserve">R_band = Σλ SRF(λ) · R(λ) / Σλ SRF(λ) ,   SRF(λ) = exp( −4 ln2 · (λ − c)² / FWHM² )</w:t>
      </w:r>
    </w:p>
    <w:p>
      <w:pPr>
        <w:shd w:fill="F2F4F5" w:color="auto" w:val="clear"/>
        <w:spacing w:after="0" w:line="228"/>
      </w:pPr>
      <w:r>
        <w:rPr>
          <w:rFonts w:ascii="Consolas" w:cs="Consolas" w:eastAsia="Consolas" w:hAnsi="Consolas"/>
          <w:sz w:val="16"/>
          <w:szCs w:val="16"/>
        </w:rPr>
        <w:t xml:space="preserve">mica = A.simulate_bands(Rs, wl, A.MICASENSE_MX)   # Blue 475, Green 560, Red 668, RedEdge 717, NIR 842 nm</w:t>
      </w:r>
    </w:p>
    <w:p>
      <w:pPr>
        <w:shd w:fill="F2F4F5" w:color="auto" w:val="clear"/>
        <w:spacing w:after="0" w:line="228"/>
      </w:pPr>
      <w:r>
        <w:rPr>
          <w:rFonts w:ascii="Consolas" w:cs="Consolas" w:eastAsia="Consolas" w:hAnsi="Consolas"/>
          <w:sz w:val="16"/>
          <w:szCs w:val="16"/>
        </w:rPr>
        <w:t xml:space="preserve"># UAV hyperspectral: build {name: (centre, fwhm)} from the camera's band table and call the same function</w:t>
      </w:r>
    </w:p>
    <w:p>
      <w:pPr>
        <w:spacing w:after="100"/>
      </w:pPr>
    </w:p>
    <w:p>
      <w:pPr>
        <w:pStyle w:val="ListParagraph"/>
        <w:numPr>
          <w:ilvl w:val="0"/>
          <w:numId w:val="4"/>
        </w:numPr>
        <w:spacing w:after="50" w:line="252"/>
      </w:pPr>
      <w:r>
        <w:t xml:space="preserve">Re-run Steps 7–10 on the simulated MicaSense bands and on the simulated UAV hyperspectral bands. The drop in accuracy from full ASD → UAV hyperspectral → MicaSense shows what each camera loses.</w:t>
      </w:r>
    </w:p>
    <w:p>
      <w:pPr>
        <w:pStyle w:val="ListParagraph"/>
        <w:numPr>
          <w:ilvl w:val="0"/>
          <w:numId w:val="4"/>
        </w:numPr>
        <w:spacing w:after="50" w:line="252"/>
      </w:pPr>
      <w:r>
        <w:t xml:space="preserve">Features that need SWIR (RBI, NDWI, MSI, DWSI) cannot be measured from a VNIR UAV camera; report them as ground-only diagnostics.</w:t>
      </w:r>
    </w:p>
    <w:p>
      <w:pPr>
        <w:pStyle w:val="ListParagraph"/>
        <w:numPr>
          <w:ilvl w:val="0"/>
          <w:numId w:val="4"/>
        </w:numPr>
        <w:spacing w:after="50" w:line="252"/>
      </w:pPr>
      <w:r>
        <w:t xml:space="preserve">Gogoi et al. (2018) summarise evidence that thermal imaging detects downy mildew of cucumber before visible symptoms (maximum temperature difference +0.6 °C at 2 days after inoculation; Lindenthal et al., 2005). Downy mildews and </w:t>
      </w:r>
      <w:r>
        <w:rPr>
          <w:i/>
          <w:iCs/>
        </w:rPr>
        <w:t xml:space="preserve">Albugo candida</w:t>
      </w:r>
      <w:r>
        <w:t xml:space="preserve"> are both biotrophic oomycetes, so pair ASD leaf measurements with leaf temperature (thermal camera or IR thermometer) on the same days to test whether a similar early thermal signal exists for white rust.</w:t>
      </w:r>
    </w:p>
    <w:p>
      <w:pPr>
        <w:pStyle w:val="Heading1"/>
      </w:pPr>
      <w:r>
        <w:t xml:space="preserve">Step 12. Report</w:t>
      </w:r>
    </w:p>
    <w:p>
      <w:pPr>
        <w:keepNext/>
        <w:spacing w:after="80" w:before="160"/>
      </w:pPr>
      <w:r>
        <w:rPr>
          <w:b/>
          <w:bCs/>
          <w:color w:val="1C7C78"/>
          <w:sz w:val="20"/>
          <w:szCs w:val="20"/>
        </w:rPr>
        <w:t xml:space="preserve">Table 8. </w:t>
      </w:r>
      <w:r>
        <w:rPr>
          <w:color w:val="1F3A40"/>
          <w:sz w:val="20"/>
          <w:szCs w:val="20"/>
        </w:rPr>
        <w:t xml:space="preserve">Minimum tables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7151"/>
      </w:tblGrid>
      <w:tr>
        <w:trPr>
          <w:cantSplit/>
          <w:tblHeader/>
        </w:trPr>
        <w:tc>
          <w:tcPr>
            <w:tcW w:type="dxa" w:w="248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Item</w:t>
            </w:r>
          </w:p>
        </w:tc>
        <w:tc>
          <w:tcPr>
            <w:tcW w:type="dxa" w:w="715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Content</w:t>
            </w:r>
          </w:p>
        </w:tc>
      </w:tr>
      <w:tr>
        <w:trPr>
          <w:cantSplit/>
          <w:tblHeader w:val="false"/>
        </w:trPr>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Table: data set</w:t>
            </w:r>
          </w:p>
        </w:tc>
        <w:tc>
          <w:tcPr>
            <w:tcW w:type="dxa" w:w="715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Plants, leaves, readings per grade, DAI and surface; number of spectra removed at each QC step and why</w:t>
            </w:r>
          </w:p>
        </w:tc>
      </w:tr>
      <w:tr>
        <w:trPr>
          <w:cantSplit/>
          <w:tblHeader w:val="false"/>
        </w:trPr>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Figure: spectra</w:t>
            </w:r>
          </w:p>
        </w:tc>
        <w:tc>
          <w:tcPr>
            <w:tcW w:type="dxa" w:w="715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Mean ± SD spectrum per grade; difference from healthy (Mandal et al., Fig. 1–2 style)</w:t>
            </w:r>
          </w:p>
        </w:tc>
      </w:tr>
      <w:tr>
        <w:trPr>
          <w:cantSplit/>
          <w:tblHeader w:val="false"/>
        </w:trPr>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Figure: sensitivity</w:t>
            </w:r>
          </w:p>
        </w:tc>
        <w:tc>
          <w:tcPr>
            <w:tcW w:type="dxa" w:w="715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Spearman ρ and Kruskal–Wallis q per wavelength, raw and first derivative, per DAI</w:t>
            </w:r>
          </w:p>
        </w:tc>
      </w:tr>
      <w:tr>
        <w:trPr>
          <w:cantSplit/>
          <w:tblHeader w:val="false"/>
        </w:trPr>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Figure: red edge</w:t>
            </w:r>
          </w:p>
        </w:tc>
        <w:tc>
          <w:tcPr>
            <w:tcW w:type="dxa" w:w="715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First-derivative curves per grade; REP, REV and Σdr670–780 by grade (box plots)</w:t>
            </w:r>
          </w:p>
        </w:tc>
      </w:tr>
      <w:tr>
        <w:trPr>
          <w:cantSplit/>
          <w:tblHeader w:val="false"/>
        </w:trPr>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Figure: band-pair map</w:t>
            </w:r>
          </w:p>
        </w:tc>
        <w:tc>
          <w:tcPr>
            <w:tcW w:type="dxa" w:w="715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|ρ| heat map of NDSI pairs; selected pairs per fold</w:t>
            </w:r>
          </w:p>
        </w:tc>
      </w:tr>
      <w:tr>
        <w:trPr>
          <w:cantSplit/>
          <w:tblHeader w:val="false"/>
        </w:trPr>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Table: index comparison</w:t>
            </w:r>
          </w:p>
        </w:tc>
        <w:tc>
          <w:tcPr>
            <w:tcW w:type="dxa" w:w="715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F1, κ, AUC for NDVI, PRI, NDRE, RBI and the new index, all on held-out plants</w:t>
            </w:r>
          </w:p>
        </w:tc>
      </w:tr>
      <w:tr>
        <w:trPr>
          <w:cantSplit/>
          <w:tblHeader w:val="false"/>
        </w:trPr>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Table: models</w:t>
            </w:r>
          </w:p>
        </w:tc>
        <w:tc>
          <w:tcPr>
            <w:tcW w:type="dxa" w:w="715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RF, SVM, KNN, PLS-DA: macro-F1, weighted κ, per-class recall; mean ± SD over repeats</w:t>
            </w:r>
          </w:p>
        </w:tc>
      </w:tr>
      <w:tr>
        <w:trPr>
          <w:cantSplit/>
          <w:tblHeader w:val="false"/>
        </w:trPr>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Table: transfer to UAV</w:t>
            </w:r>
          </w:p>
        </w:tc>
        <w:tc>
          <w:tcPr>
            <w:tcW w:type="dxa" w:w="715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Accuracy with full ASD, simulated UAV hyperspectral and simulated MicaSense bands</w:t>
            </w:r>
          </w:p>
        </w:tc>
      </w:tr>
    </w:tbl>
    <w:p>
      <w:pPr>
        <w:spacing w:after="120"/>
      </w:pPr>
    </w:p>
    <w:p>
      <w:pPr>
        <w:pStyle w:val="Heading3"/>
      </w:pPr>
      <w:r>
        <w:t xml:space="preserve">Checklist before writing</w:t>
      </w:r>
    </w:p>
    <w:p>
      <w:pPr>
        <w:pStyle w:val="ListParagraph"/>
        <w:numPr>
          <w:ilvl w:val="0"/>
          <w:numId w:val="4"/>
        </w:numPr>
        <w:spacing w:after="50" w:line="252"/>
      </w:pPr>
      <w:r>
        <w:t xml:space="preserve">Same cultivar for all grades, or cultivars balanced across grades (no disease–genotype confound).</w:t>
      </w:r>
    </w:p>
    <w:p>
      <w:pPr>
        <w:pStyle w:val="ListParagraph"/>
        <w:numPr>
          <w:ilvl w:val="0"/>
          <w:numId w:val="4"/>
        </w:numPr>
        <w:spacing w:after="50" w:line="252"/>
      </w:pPr>
      <w:r>
        <w:t xml:space="preserve">Both leaf surfaces recorded; adaxial used for UAV comparisons.</w:t>
      </w:r>
    </w:p>
    <w:p>
      <w:pPr>
        <w:pStyle w:val="ListParagraph"/>
        <w:numPr>
          <w:ilvl w:val="0"/>
          <w:numId w:val="4"/>
        </w:numPr>
        <w:spacing w:after="50" w:line="252"/>
      </w:pPr>
      <w:r>
        <w:t xml:space="preserve">Splice correction applied; noisy regions removed; replicates averaged.</w:t>
      </w:r>
    </w:p>
    <w:p>
      <w:pPr>
        <w:pStyle w:val="ListParagraph"/>
        <w:numPr>
          <w:ilvl w:val="0"/>
          <w:numId w:val="4"/>
        </w:numPr>
        <w:spacing w:after="50" w:line="252"/>
      </w:pPr>
      <w:r>
        <w:t xml:space="preserve">Outliers removed only from training folds; numbers reported.</w:t>
      </w:r>
    </w:p>
    <w:p>
      <w:pPr>
        <w:pStyle w:val="ListParagraph"/>
        <w:numPr>
          <w:ilvl w:val="0"/>
          <w:numId w:val="4"/>
        </w:numPr>
        <w:spacing w:after="50" w:line="252"/>
      </w:pPr>
      <w:r>
        <w:t xml:space="preserve">MSC reference, band-pair search, feature selection and tuning inside training folds.</w:t>
      </w:r>
    </w:p>
    <w:p>
      <w:pPr>
        <w:pStyle w:val="ListParagraph"/>
        <w:numPr>
          <w:ilvl w:val="0"/>
          <w:numId w:val="4"/>
        </w:numPr>
        <w:spacing w:after="50" w:line="252"/>
      </w:pPr>
      <w:r>
        <w:t xml:space="preserve">Folds grouped by plant; repeated seeds; external batch tested if available.</w:t>
      </w:r>
    </w:p>
    <w:p>
      <w:pPr>
        <w:pStyle w:val="ListParagraph"/>
        <w:numPr>
          <w:ilvl w:val="0"/>
          <w:numId w:val="4"/>
        </w:numPr>
        <w:spacing w:after="50" w:line="252"/>
      </w:pPr>
      <w:r>
        <w:t xml:space="preserve">t-SNE/UMAP used only for visualisation.</w:t>
      </w:r>
    </w:p>
    <w:p>
      <w:pPr>
        <w:pStyle w:val="ListParagraph"/>
        <w:numPr>
          <w:ilvl w:val="0"/>
          <w:numId w:val="4"/>
        </w:numPr>
        <w:spacing w:after="50" w:line="252"/>
      </w:pPr>
      <w:r>
        <w:t xml:space="preserve">Indices compared with the same folds and a paired test.</w:t>
      </w:r>
    </w:p>
    <w:p>
      <w:pPr>
        <w:pStyle w:val="ListParagraph"/>
        <w:numPr>
          <w:ilvl w:val="0"/>
          <w:numId w:val="4"/>
        </w:numPr>
        <w:spacing w:after="50" w:line="252"/>
      </w:pPr>
      <w:r>
        <w:t xml:space="preserve">SWIR-only findings identified as ground-only.</w:t>
      </w:r>
    </w:p>
    <w:p>
      <w:pPr>
        <w:pStyle w:val="Heading3"/>
      </w:pPr>
      <w:r>
        <w:t xml:space="preserve">Model sentence for the Methods chapter</w:t>
      </w:r>
    </w:p>
    <w:p>
      <w:pPr>
        <w:spacing w:after="100" w:line="259"/>
        <w:jc w:val="both"/>
      </w:pPr>
      <w:r>
        <w:rPr>
          <w:i/>
          <w:iCs/>
        </w:rPr>
        <w:t xml:space="preserve">Leaf reflectance (350–2500 nm) was measured with an ASD FieldSpec spectroradiometer and contact probe on adaxial and abaxial surfaces. Spectra were splice-corrected, trimmed of low-signal regions, averaged over three readings, smoothed with a Savitzky–Golay filter and normalised by SNV (Selvaprakash et al., 2026). Sensitive regions were identified with Spearman correlation and Kruskal–Wallis tests with FDR correction, red-edge parameters (REP, REV, Σdr670–780) were derived from the first derivative (Mandal et al., 2022), and normalised-difference band pairs were searched within training folds. Models were evaluated by repeated, plant-grouped nested cross-validation, with outlier removal and feature selection confined to training folds.</w:t>
      </w:r>
    </w:p>
    <w:p>
      <w:pPr>
        <w:pStyle w:val="Heading1"/>
        <w:pageBreakBefore/>
      </w:pPr>
      <w:r>
        <w:t xml:space="preserve">Appendix A. Glasshouse measurement schedule (example)</w:t>
      </w:r>
    </w:p>
    <w:p>
      <w:pPr>
        <w:keepNext/>
        <w:spacing w:after="80" w:before="160"/>
      </w:pPr>
      <w:r>
        <w:rPr>
          <w:b/>
          <w:bCs/>
          <w:color w:val="1C7C78"/>
          <w:sz w:val="20"/>
          <w:szCs w:val="20"/>
        </w:rPr>
        <w:t xml:space="preserve">Table 9. </w:t>
      </w:r>
      <w:r>
        <w:rPr>
          <w:color w:val="1F3A40"/>
          <w:sz w:val="20"/>
          <w:szCs w:val="20"/>
        </w:rPr>
        <w:t xml:space="preserve">Example schedule for one glasshouse batch (adapt the DAI to the observed epidemic).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141"/>
        <w:gridCol w:w="2141"/>
        <w:gridCol w:w="2141"/>
        <w:gridCol w:w="1609"/>
      </w:tblGrid>
      <w:tr>
        <w:trPr>
          <w:cantSplit/>
          <w:tblHeader/>
        </w:trPr>
        <w:tc>
          <w:tcPr>
            <w:tcW w:type="dxa" w:w="160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DAI</w:t>
            </w:r>
          </w:p>
        </w:tc>
        <w:tc>
          <w:tcPr>
            <w:tcW w:type="dxa" w:w="214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Expected stage</w:t>
            </w:r>
          </w:p>
        </w:tc>
        <w:tc>
          <w:tcPr>
            <w:tcW w:type="dxa" w:w="214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ASD (leaf)</w:t>
            </w:r>
          </w:p>
        </w:tc>
        <w:tc>
          <w:tcPr>
            <w:tcW w:type="dxa" w:w="214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Other measurements</w:t>
            </w:r>
          </w:p>
        </w:tc>
        <w:tc>
          <w:tcPr>
            <w:tcW w:type="dxa" w:w="160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Scoring</w:t>
            </w:r>
          </w:p>
        </w:tc>
      </w:tr>
      <w:tr>
        <w:trPr>
          <w:cantSplit/>
          <w:tblHeader w:val="false"/>
        </w:trPr>
        <w:tc>
          <w:tcPr>
            <w:tcW w:type="dxa" w:w="160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0 (before inoculation)</w:t>
            </w:r>
          </w:p>
        </w:tc>
        <w:tc>
          <w:tcPr>
            <w:tcW w:type="dxa" w:w="21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Healthy baseline</w:t>
            </w:r>
          </w:p>
        </w:tc>
        <w:tc>
          <w:tcPr>
            <w:tcW w:type="dxa" w:w="21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All plants, 4 leaves, both surfaces</w:t>
            </w:r>
          </w:p>
        </w:tc>
        <w:tc>
          <w:tcPr>
            <w:tcW w:type="dxa" w:w="21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SPAD; leaf temperature</w:t>
            </w:r>
          </w:p>
        </w:tc>
        <w:tc>
          <w:tcPr>
            <w:tcW w:type="dxa" w:w="16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Grade 0</w:t>
            </w:r>
          </w:p>
        </w:tc>
      </w:tr>
      <w:tr>
        <w:trPr>
          <w:cantSplit/>
          <w:tblHeader w:val="false"/>
        </w:trPr>
        <w:tc>
          <w:tcPr>
            <w:tcW w:type="dxa" w:w="160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2–3</w:t>
            </w:r>
          </w:p>
        </w:tc>
        <w:tc>
          <w:tcPr>
            <w:tcW w:type="dxa" w:w="21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Asymptomatic</w:t>
            </w:r>
          </w:p>
        </w:tc>
        <w:tc>
          <w:tcPr>
            <w:tcW w:type="dxa" w:w="21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Same leaves</w:t>
            </w:r>
          </w:p>
        </w:tc>
        <w:tc>
          <w:tcPr>
            <w:tcW w:type="dxa" w:w="21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Leaf temperature, Fv/Fm if available</w:t>
            </w:r>
          </w:p>
        </w:tc>
        <w:tc>
          <w:tcPr>
            <w:tcW w:type="dxa" w:w="16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Grade; note any flecks</w:t>
            </w:r>
          </w:p>
        </w:tc>
      </w:tr>
      <w:tr>
        <w:trPr>
          <w:cantSplit/>
          <w:tblHeader w:val="false"/>
        </w:trPr>
        <w:tc>
          <w:tcPr>
            <w:tcW w:type="dxa" w:w="160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5</w:t>
            </w:r>
          </w:p>
        </w:tc>
        <w:tc>
          <w:tcPr>
            <w:tcW w:type="dxa" w:w="21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Asymptomatic / first chlorosis</w:t>
            </w:r>
          </w:p>
        </w:tc>
        <w:tc>
          <w:tcPr>
            <w:tcW w:type="dxa" w:w="21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Same leaves</w:t>
            </w:r>
          </w:p>
        </w:tc>
        <w:tc>
          <w:tcPr>
            <w:tcW w:type="dxa" w:w="21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As above</w:t>
            </w:r>
          </w:p>
        </w:tc>
        <w:tc>
          <w:tcPr>
            <w:tcW w:type="dxa" w:w="16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Grade, % area</w:t>
            </w:r>
          </w:p>
        </w:tc>
      </w:tr>
      <w:tr>
        <w:trPr>
          <w:cantSplit/>
          <w:tblHeader w:val="false"/>
        </w:trPr>
        <w:tc>
          <w:tcPr>
            <w:tcW w:type="dxa" w:w="160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7</w:t>
            </w:r>
          </w:p>
        </w:tc>
        <w:tc>
          <w:tcPr>
            <w:tcW w:type="dxa" w:w="21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First pustules (underside)</w:t>
            </w:r>
          </w:p>
        </w:tc>
        <w:tc>
          <w:tcPr>
            <w:tcW w:type="dxa" w:w="21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Same leaves + new upper leaves</w:t>
            </w:r>
          </w:p>
        </w:tc>
        <w:tc>
          <w:tcPr>
            <w:tcW w:type="dxa" w:w="21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As above; RGB photo of both surfaces</w:t>
            </w:r>
          </w:p>
        </w:tc>
        <w:tc>
          <w:tcPr>
            <w:tcW w:type="dxa" w:w="16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Grade, % area</w:t>
            </w:r>
          </w:p>
        </w:tc>
      </w:tr>
      <w:tr>
        <w:trPr>
          <w:cantSplit/>
          <w:tblHeader w:val="false"/>
        </w:trPr>
        <w:tc>
          <w:tcPr>
            <w:tcW w:type="dxa" w:w="160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10</w:t>
            </w:r>
          </w:p>
        </w:tc>
        <w:tc>
          <w:tcPr>
            <w:tcW w:type="dxa" w:w="21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Pustules on both surfaces</w:t>
            </w:r>
          </w:p>
        </w:tc>
        <w:tc>
          <w:tcPr>
            <w:tcW w:type="dxa" w:w="21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As above</w:t>
            </w:r>
          </w:p>
        </w:tc>
        <w:tc>
          <w:tcPr>
            <w:tcW w:type="dxa" w:w="21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As above</w:t>
            </w:r>
          </w:p>
        </w:tc>
        <w:tc>
          <w:tcPr>
            <w:tcW w:type="dxa" w:w="16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Grade, % area</w:t>
            </w:r>
          </w:p>
        </w:tc>
      </w:tr>
      <w:tr>
        <w:trPr>
          <w:cantSplit/>
          <w:tblHeader w:val="false"/>
        </w:trPr>
        <w:tc>
          <w:tcPr>
            <w:tcW w:type="dxa" w:w="160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14</w:t>
            </w:r>
          </w:p>
        </w:tc>
        <w:tc>
          <w:tcPr>
            <w:tcW w:type="dxa" w:w="21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Coalescing pustules</w:t>
            </w:r>
          </w:p>
        </w:tc>
        <w:tc>
          <w:tcPr>
            <w:tcW w:type="dxa" w:w="21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As above</w:t>
            </w:r>
          </w:p>
        </w:tc>
        <w:tc>
          <w:tcPr>
            <w:tcW w:type="dxa" w:w="21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As above</w:t>
            </w:r>
          </w:p>
        </w:tc>
        <w:tc>
          <w:tcPr>
            <w:tcW w:type="dxa" w:w="16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Grade, % area</w:t>
            </w:r>
          </w:p>
        </w:tc>
      </w:tr>
      <w:tr>
        <w:trPr>
          <w:cantSplit/>
          <w:tblHeader w:val="false"/>
        </w:trPr>
        <w:tc>
          <w:tcPr>
            <w:tcW w:type="dxa" w:w="160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21</w:t>
            </w:r>
          </w:p>
        </w:tc>
        <w:tc>
          <w:tcPr>
            <w:tcW w:type="dxa" w:w="21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Severe; possible stagheads</w:t>
            </w:r>
          </w:p>
        </w:tc>
        <w:tc>
          <w:tcPr>
            <w:tcW w:type="dxa" w:w="21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As above</w:t>
            </w:r>
          </w:p>
        </w:tc>
        <w:tc>
          <w:tcPr>
            <w:tcW w:type="dxa" w:w="21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As above; canopy readings of pot groups</w:t>
            </w:r>
          </w:p>
        </w:tc>
        <w:tc>
          <w:tcPr>
            <w:tcW w:type="dxa" w:w="16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Grade, % area</w:t>
            </w:r>
          </w:p>
        </w:tc>
      </w:tr>
    </w:tbl>
    <w:p>
      <w:pPr>
        <w:spacing w:after="120"/>
      </w:pPr>
    </w:p>
    <w:p>
      <w:pPr>
        <w:spacing w:after="100" w:line="259"/>
        <w:jc w:val="both"/>
      </w:pPr>
      <w:r>
        <w:rPr>
          <w:b/>
          <w:bCs/>
        </w:rPr>
        <w:t xml:space="preserve">Sample-size check:</w:t>
      </w:r>
      <w:r>
        <w:t xml:space="preserve"> with, for example, 10 control and 30 inoculated plants, 4 leaves per plant, 2 surfaces, 3 readings and 7 dates, one batch gives 40 × 4 × 2 × 3 × 7 = 6,720 readings, i.e. 2,240 averaged leaf spectra. The unit for validation is still the plant (40), so a second batch adds more independent information than more leaves per plant.</w:t>
      </w:r>
    </w:p>
    <w:p>
      <w:pPr>
        <w:spacing w:after="100" w:line="259"/>
        <w:jc w:val="both"/>
      </w:pPr>
      <w:r>
        <w:rPr>
          <w:b/>
          <w:bCs/>
        </w:rPr>
        <w:t xml:space="preserve">Folder structure:</w:t>
      </w:r>
      <w:r>
        <w:t xml:space="preserve"> raw/ (read-only .asd files by date) → export/ (ViewSpec ASCII) → meta/ (sampling sheets) → processed/ (R, wl, meta per version) → results/ (figures, tables) → code/ (asd_pipeline.py and analysis notebooks).</w:t>
      </w:r>
    </w:p>
    <w:p>
      <w:pPr>
        <w:pStyle w:val="Heading1"/>
      </w:pPr>
      <w:r>
        <w:t xml:space="preserve">Appendix B. Troubleshooting ASD data</w:t>
      </w:r>
    </w:p>
    <w:p>
      <w:pPr>
        <w:keepNext/>
        <w:spacing w:after="80" w:before="160"/>
      </w:pPr>
      <w:r>
        <w:rPr>
          <w:b/>
          <w:bCs/>
          <w:color w:val="1C7C78"/>
          <w:sz w:val="20"/>
          <w:szCs w:val="20"/>
        </w:rPr>
        <w:t xml:space="preserve">Table 10. </w:t>
      </w:r>
      <w:r>
        <w:rPr>
          <w:color w:val="1F3A40"/>
          <w:sz w:val="20"/>
          <w:szCs w:val="20"/>
        </w:rPr>
        <w:t xml:space="preserve">Common problems, how to recognise them and what to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0"/>
        <w:gridCol w:w="2331"/>
        <w:gridCol w:w="2642"/>
        <w:gridCol w:w="2645"/>
      </w:tblGrid>
      <w:tr>
        <w:trPr>
          <w:cantSplit/>
          <w:tblHeader/>
        </w:trPr>
        <w:tc>
          <w:tcPr>
            <w:tcW w:type="dxa" w:w="2020"/>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Problem</w:t>
            </w:r>
          </w:p>
        </w:tc>
        <w:tc>
          <w:tcPr>
            <w:tcW w:type="dxa" w:w="23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How it looks</w:t>
            </w:r>
          </w:p>
        </w:tc>
        <w:tc>
          <w:tcPr>
            <w:tcW w:type="dxa" w:w="264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Cause</w:t>
            </w:r>
          </w:p>
        </w:tc>
        <w:tc>
          <w:tcPr>
            <w:tcW w:type="dxa" w:w="264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Action</w:t>
            </w:r>
          </w:p>
        </w:tc>
      </w:tr>
      <w:tr>
        <w:trPr>
          <w:cantSplit/>
          <w:tblHeader w:val="false"/>
        </w:trPr>
        <w:tc>
          <w:tcPr>
            <w:tcW w:type="dxa" w:w="202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Step at 1000 nm</w:t>
            </w:r>
          </w:p>
        </w:tc>
        <w:tc>
          <w:tcPr>
            <w:tcW w:type="dxa" w:w="23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Jump between VNIR and SWIR1</w:t>
            </w:r>
          </w:p>
        </w:tc>
        <w:tc>
          <w:tcPr>
            <w:tcW w:type="dxa" w:w="264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VNIR detector temperature drift</w:t>
            </w:r>
          </w:p>
        </w:tc>
        <w:tc>
          <w:tcPr>
            <w:tcW w:type="dxa" w:w="264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Longer warm-up; splice correction (Step 4.1)</w:t>
            </w:r>
          </w:p>
        </w:tc>
      </w:tr>
      <w:tr>
        <w:trPr>
          <w:cantSplit/>
          <w:tblHeader w:val="false"/>
        </w:trPr>
        <w:tc>
          <w:tcPr>
            <w:tcW w:type="dxa" w:w="202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Step at 1800 nm</w:t>
            </w:r>
          </w:p>
        </w:tc>
        <w:tc>
          <w:tcPr>
            <w:tcW w:type="dxa" w:w="23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Jump between SWIR1 and SWIR2</w:t>
            </w:r>
          </w:p>
        </w:tc>
        <w:tc>
          <w:tcPr>
            <w:tcW w:type="dxa" w:w="264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Detector join</w:t>
            </w:r>
          </w:p>
        </w:tc>
        <w:tc>
          <w:tcPr>
            <w:tcW w:type="dxa" w:w="264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Splice correction</w:t>
            </w:r>
          </w:p>
        </w:tc>
      </w:tr>
      <w:tr>
        <w:trPr>
          <w:cantSplit/>
          <w:tblHeader w:val="false"/>
        </w:trPr>
        <w:tc>
          <w:tcPr>
            <w:tcW w:type="dxa" w:w="202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Reflectance &gt; 1 or &lt; 0</w:t>
            </w:r>
          </w:p>
        </w:tc>
        <w:tc>
          <w:tcPr>
            <w:tcW w:type="dxa" w:w="23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Values outside 0–1, often at the edges</w:t>
            </w:r>
          </w:p>
        </w:tc>
        <w:tc>
          <w:tcPr>
            <w:tcW w:type="dxa" w:w="264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Dirty or old white reference; optimisation before light changed</w:t>
            </w:r>
          </w:p>
        </w:tc>
        <w:tc>
          <w:tcPr>
            <w:tcW w:type="dxa" w:w="264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Clean panel; re-optimise; re-measure</w:t>
            </w:r>
          </w:p>
        </w:tc>
      </w:tr>
      <w:tr>
        <w:trPr>
          <w:cantSplit/>
          <w:tblHeader w:val="false"/>
        </w:trPr>
        <w:tc>
          <w:tcPr>
            <w:tcW w:type="dxa" w:w="202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Saturated spectrum</w:t>
            </w:r>
          </w:p>
        </w:tc>
        <w:tc>
          <w:tcPr>
            <w:tcW w:type="dxa" w:w="23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Flat top in VNIR</w:t>
            </w:r>
          </w:p>
        </w:tc>
        <w:tc>
          <w:tcPr>
            <w:tcW w:type="dxa" w:w="264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Integration time too long for the light level</w:t>
            </w:r>
          </w:p>
        </w:tc>
        <w:tc>
          <w:tcPr>
            <w:tcW w:type="dxa" w:w="264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Re-optimise</w:t>
            </w:r>
          </w:p>
        </w:tc>
      </w:tr>
      <w:tr>
        <w:trPr>
          <w:cantSplit/>
          <w:tblHeader w:val="false"/>
        </w:trPr>
        <w:tc>
          <w:tcPr>
            <w:tcW w:type="dxa" w:w="202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Noisy 1350–1450 and 1800–1950 nm</w:t>
            </w:r>
          </w:p>
        </w:tc>
        <w:tc>
          <w:tcPr>
            <w:tcW w:type="dxa" w:w="23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Spiky water regions in sunlight</w:t>
            </w:r>
          </w:p>
        </w:tc>
        <w:tc>
          <w:tcPr>
            <w:tcW w:type="dxa" w:w="264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Atmospheric water vapour</w:t>
            </w:r>
          </w:p>
        </w:tc>
        <w:tc>
          <w:tcPr>
            <w:tcW w:type="dxa" w:w="264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Remove regions; use contact probe for leaves</w:t>
            </w:r>
          </w:p>
        </w:tc>
      </w:tr>
      <w:tr>
        <w:trPr>
          <w:cantSplit/>
          <w:tblHeader w:val="false"/>
        </w:trPr>
        <w:tc>
          <w:tcPr>
            <w:tcW w:type="dxa" w:w="202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Low NIR plateau</w:t>
            </w:r>
          </w:p>
        </w:tc>
        <w:tc>
          <w:tcPr>
            <w:tcW w:type="dxa" w:w="23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NIR &lt; 0.2 for a green leaf</w:t>
            </w:r>
          </w:p>
        </w:tc>
        <w:tc>
          <w:tcPr>
            <w:tcW w:type="dxa" w:w="264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Leaf not covering probe window; background seen</w:t>
            </w:r>
          </w:p>
        </w:tc>
        <w:tc>
          <w:tcPr>
            <w:tcW w:type="dxa" w:w="264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Re-measure; flag in QC</w:t>
            </w:r>
          </w:p>
        </w:tc>
      </w:tr>
      <w:tr>
        <w:trPr>
          <w:cantSplit/>
          <w:tblHeader w:val="false"/>
        </w:trPr>
        <w:tc>
          <w:tcPr>
            <w:tcW w:type="dxa" w:w="202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Drift over the session</w:t>
            </w:r>
          </w:p>
        </w:tc>
        <w:tc>
          <w:tcPr>
            <w:tcW w:type="dxa" w:w="23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Gradual change in control leaves</w:t>
            </w:r>
          </w:p>
        </w:tc>
        <w:tc>
          <w:tcPr>
            <w:tcW w:type="dxa" w:w="264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Instrument or lamp warming; light change</w:t>
            </w:r>
          </w:p>
        </w:tc>
        <w:tc>
          <w:tcPr>
            <w:tcW w:type="dxa" w:w="264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Frequent white reference; measure a control leaf every 30 min</w:t>
            </w:r>
          </w:p>
        </w:tc>
      </w:tr>
      <w:tr>
        <w:trPr>
          <w:cantSplit/>
          <w:tblHeader w:val="false"/>
        </w:trPr>
        <w:tc>
          <w:tcPr>
            <w:tcW w:type="dxa" w:w="202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Different values between surfaces</w:t>
            </w:r>
          </w:p>
        </w:tc>
        <w:tc>
          <w:tcPr>
            <w:tcW w:type="dxa" w:w="23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Abaxial brighter in VIS</w:t>
            </w:r>
          </w:p>
        </w:tc>
        <w:tc>
          <w:tcPr>
            <w:tcW w:type="dxa" w:w="264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Leaf anatomy (normal)</w:t>
            </w:r>
          </w:p>
        </w:tc>
        <w:tc>
          <w:tcPr>
            <w:tcW w:type="dxa" w:w="264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Analyse surfaces separately</w:t>
            </w:r>
          </w:p>
        </w:tc>
      </w:tr>
    </w:tbl>
    <w:p>
      <w:pPr>
        <w:spacing w:after="120"/>
      </w:pPr>
    </w:p>
    <w:p>
      <w:pPr>
        <w:pStyle w:val="Heading1"/>
      </w:pPr>
      <w:r>
        <w:t xml:space="preserve">Appendix C. Which steps may use all samples, and which only training samples</w:t>
      </w:r>
    </w:p>
    <w:p>
      <w:pPr>
        <w:keepNext/>
        <w:spacing w:after="80" w:before="160"/>
      </w:pPr>
      <w:r>
        <w:rPr>
          <w:b/>
          <w:bCs/>
          <w:color w:val="1C7C78"/>
          <w:sz w:val="20"/>
          <w:szCs w:val="20"/>
        </w:rPr>
        <w:t xml:space="preserve">Table 11. </w:t>
      </w:r>
      <w:r>
        <w:rPr>
          <w:color w:val="1F3A40"/>
          <w:sz w:val="20"/>
          <w:szCs w:val="20"/>
        </w:rPr>
        <w:t xml:space="preserve">Leakage map for the protocol.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1"/>
        <w:gridCol w:w="2798"/>
        <w:gridCol w:w="2799"/>
      </w:tblGrid>
      <w:tr>
        <w:trPr>
          <w:cantSplit/>
          <w:tblHeader/>
        </w:trPr>
        <w:tc>
          <w:tcPr>
            <w:tcW w:type="dxa" w:w="404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Step</w:t>
            </w:r>
          </w:p>
        </w:tc>
        <w:tc>
          <w:tcPr>
            <w:tcW w:type="dxa" w:w="2798"/>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Uses labels or other samples?</w:t>
            </w:r>
          </w:p>
        </w:tc>
        <w:tc>
          <w:tcPr>
            <w:tcW w:type="dxa" w:w="279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Where it runs</w:t>
            </w:r>
          </w:p>
        </w:tc>
      </w:tr>
      <w:tr>
        <w:trPr>
          <w:cantSplit/>
          <w:tblHeader w:val="false"/>
        </w:trPr>
        <w:tc>
          <w:tcPr>
            <w:tcW w:type="dxa" w:w="40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Splice correction, band removal, replicate averaging</w:t>
            </w:r>
          </w:p>
        </w:tc>
        <w:tc>
          <w:tcPr>
            <w:tcW w:type="dxa" w:w="279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No</w:t>
            </w:r>
          </w:p>
        </w:tc>
        <w:tc>
          <w:tcPr>
            <w:tcW w:type="dxa" w:w="27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All samples, before splitting</w:t>
            </w:r>
          </w:p>
        </w:tc>
      </w:tr>
      <w:tr>
        <w:trPr>
          <w:cantSplit/>
          <w:tblHeader w:val="false"/>
        </w:trPr>
        <w:tc>
          <w:tcPr>
            <w:tcW w:type="dxa" w:w="40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SG smoothing, SNV, derivatives, continuum removal, indices, red-edge parameters</w:t>
            </w:r>
          </w:p>
        </w:tc>
        <w:tc>
          <w:tcPr>
            <w:tcW w:type="dxa" w:w="279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No (one spectrum at a time)</w:t>
            </w:r>
          </w:p>
        </w:tc>
        <w:tc>
          <w:tcPr>
            <w:tcW w:type="dxa" w:w="27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All samples, before splitting</w:t>
            </w:r>
          </w:p>
        </w:tc>
      </w:tr>
      <w:tr>
        <w:trPr>
          <w:cantSplit/>
          <w:tblHeader w:val="false"/>
        </w:trPr>
        <w:tc>
          <w:tcPr>
            <w:tcW w:type="dxa" w:w="40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MSC</w:t>
            </w:r>
          </w:p>
        </w:tc>
        <w:tc>
          <w:tcPr>
            <w:tcW w:type="dxa" w:w="279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Uses a reference spectrum (mean of samples)</w:t>
            </w:r>
          </w:p>
        </w:tc>
        <w:tc>
          <w:tcPr>
            <w:tcW w:type="dxa" w:w="27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Fit on training, apply to test</w:t>
            </w:r>
          </w:p>
        </w:tc>
      </w:tr>
      <w:tr>
        <w:trPr>
          <w:cantSplit/>
          <w:tblHeader w:val="false"/>
        </w:trPr>
        <w:tc>
          <w:tcPr>
            <w:tcW w:type="dxa" w:w="40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Isolation Forest, PCA, scaling</w:t>
            </w:r>
          </w:p>
        </w:tc>
        <w:tc>
          <w:tcPr>
            <w:tcW w:type="dxa" w:w="279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Use the distribution of samples</w:t>
            </w:r>
          </w:p>
        </w:tc>
        <w:tc>
          <w:tcPr>
            <w:tcW w:type="dxa" w:w="27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Fit on training only</w:t>
            </w:r>
          </w:p>
        </w:tc>
      </w:tr>
      <w:tr>
        <w:trPr>
          <w:cantSplit/>
          <w:tblHeader w:val="false"/>
        </w:trPr>
        <w:tc>
          <w:tcPr>
            <w:tcW w:type="dxa" w:w="40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Correlation / Kruskal–Wallis screen, RF importance, band-pair search, feature selection</w:t>
            </w:r>
          </w:p>
        </w:tc>
        <w:tc>
          <w:tcPr>
            <w:tcW w:type="dxa" w:w="279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Use labels</w:t>
            </w:r>
          </w:p>
        </w:tc>
        <w:tc>
          <w:tcPr>
            <w:tcW w:type="dxa" w:w="27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Training folds only (descriptive plots on all data are fine if labelled as such)</w:t>
            </w:r>
          </w:p>
        </w:tc>
      </w:tr>
      <w:tr>
        <w:trPr>
          <w:cantSplit/>
          <w:tblHeader w:val="false"/>
        </w:trPr>
        <w:tc>
          <w:tcPr>
            <w:tcW w:type="dxa" w:w="40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Hyper-parameter tuning</w:t>
            </w:r>
          </w:p>
        </w:tc>
        <w:tc>
          <w:tcPr>
            <w:tcW w:type="dxa" w:w="279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Uses labels</w:t>
            </w:r>
          </w:p>
        </w:tc>
        <w:tc>
          <w:tcPr>
            <w:tcW w:type="dxa" w:w="27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Inner folds within training</w:t>
            </w:r>
          </w:p>
        </w:tc>
      </w:tr>
      <w:tr>
        <w:trPr>
          <w:cantSplit/>
          <w:tblHeader w:val="false"/>
        </w:trPr>
        <w:tc>
          <w:tcPr>
            <w:tcW w:type="dxa" w:w="40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Accuracy, F1, κ, McNemar</w:t>
            </w:r>
          </w:p>
        </w:tc>
        <w:tc>
          <w:tcPr>
            <w:tcW w:type="dxa" w:w="279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Uses labels</w:t>
            </w:r>
          </w:p>
        </w:tc>
        <w:tc>
          <w:tcPr>
            <w:tcW w:type="dxa" w:w="27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Outer test folds only</w:t>
            </w:r>
          </w:p>
        </w:tc>
      </w:tr>
    </w:tbl>
    <w:p>
      <w:pPr>
        <w:spacing w:after="120"/>
      </w:pPr>
    </w:p>
    <w:p>
      <w:pPr>
        <w:pStyle w:val="Heading1"/>
        <w:pageBreakBefore/>
      </w:pPr>
      <w:r>
        <w:t xml:space="preserve">References</w:t>
      </w:r>
    </w:p>
    <w:p>
      <w:pPr>
        <w:spacing w:after="70" w:line="250"/>
        <w:ind w:left="360" w:hanging="360"/>
      </w:pPr>
      <w:r>
        <w:rPr>
          <w:sz w:val="19"/>
          <w:szCs w:val="19"/>
        </w:rPr>
        <w:t xml:space="preserve">Apan, A., Held, A., Phinn, S., Markley, J. (2004). Detecting sugarcane 'orange rust' disease using EO-1 Hyperion hyperspectral imagery. Int. J. Remote Sens. 25, 489–498.</w:t>
      </w:r>
    </w:p>
    <w:p>
      <w:pPr>
        <w:spacing w:after="70" w:line="250"/>
        <w:ind w:left="360" w:hanging="360"/>
      </w:pPr>
      <w:r>
        <w:rPr>
          <w:sz w:val="19"/>
          <w:szCs w:val="19"/>
        </w:rPr>
        <w:t xml:space="preserve">Barnes, R.J., Dhanoa, M.S., Lister, S.J. (1989). Standard normal variate transformation and de-trending of near-infrared diffuse reflectance spectra. Appl. Spectrosc. 43(5), 772–777.</w:t>
      </w:r>
    </w:p>
    <w:p>
      <w:pPr>
        <w:spacing w:after="70" w:line="250"/>
        <w:ind w:left="360" w:hanging="360"/>
      </w:pPr>
      <w:r>
        <w:rPr>
          <w:sz w:val="19"/>
          <w:szCs w:val="19"/>
        </w:rPr>
        <w:t xml:space="preserve">Benjamini, Y., Hochberg, Y. (1995). Controlling the false discovery rate. J. R. Stat. Soc. B 57(1), 289–300.</w:t>
      </w:r>
    </w:p>
    <w:p>
      <w:pPr>
        <w:spacing w:after="70" w:line="250"/>
        <w:ind w:left="360" w:hanging="360"/>
      </w:pPr>
      <w:r>
        <w:rPr>
          <w:sz w:val="19"/>
          <w:szCs w:val="19"/>
        </w:rPr>
        <w:t xml:space="preserve">Blackburn, G.A. (1998). Quantifying chlorophylls and carotenoids at leaf and canopy scales. Remote Sens. Environ. 66, 273–285.</w:t>
      </w:r>
    </w:p>
    <w:p>
      <w:pPr>
        <w:spacing w:after="70" w:line="250"/>
        <w:ind w:left="360" w:hanging="360"/>
      </w:pPr>
      <w:r>
        <w:rPr>
          <w:sz w:val="19"/>
          <w:szCs w:val="19"/>
        </w:rPr>
        <w:t xml:space="preserve">Breiman, L. (2001). Random forests. Mach. Learn. 45, 5–32.</w:t>
      </w:r>
    </w:p>
    <w:p>
      <w:pPr>
        <w:spacing w:after="70" w:line="250"/>
        <w:ind w:left="360" w:hanging="360"/>
      </w:pPr>
      <w:r>
        <w:rPr>
          <w:sz w:val="19"/>
          <w:szCs w:val="19"/>
        </w:rPr>
        <w:t xml:space="preserve">Daughtry, C.S.T., et al. (2000). Estimating corn leaf chlorophyll concentration from leaf and canopy reflectance. Remote Sens. Environ. 74, 229–239.</w:t>
      </w:r>
    </w:p>
    <w:p>
      <w:pPr>
        <w:spacing w:after="70" w:line="250"/>
        <w:ind w:left="360" w:hanging="360"/>
      </w:pPr>
      <w:r>
        <w:rPr>
          <w:sz w:val="19"/>
          <w:szCs w:val="19"/>
        </w:rPr>
        <w:t xml:space="preserve">Gamon, J.A., Peñuelas, J., Field, C.B. (1992). A narrow-waveband spectral index that tracks diurnal changes in photosynthetic efficiency. Remote Sens. Environ. 41, 35–44.</w:t>
      </w:r>
    </w:p>
    <w:p>
      <w:pPr>
        <w:spacing w:after="70" w:line="250"/>
        <w:ind w:left="360" w:hanging="360"/>
      </w:pPr>
      <w:r>
        <w:rPr>
          <w:sz w:val="19"/>
          <w:szCs w:val="19"/>
        </w:rPr>
        <w:t xml:space="preserve">Gao, B.-C. (1996). NDWI — a normalized difference water index for remote sensing of vegetation liquid water from space. Remote Sens. Environ. 58, 257–266.</w:t>
      </w:r>
    </w:p>
    <w:p>
      <w:pPr>
        <w:spacing w:after="70" w:line="250"/>
        <w:ind w:left="360" w:hanging="360"/>
      </w:pPr>
      <w:r>
        <w:rPr>
          <w:sz w:val="19"/>
          <w:szCs w:val="19"/>
        </w:rPr>
        <w:t xml:space="preserve">Gitelson, A.A., Merzlyak, M.N., Chivkunova, O.B. (2001). Optical properties and nondestructive estimation of anthocyanin content in plant leaves. Photochem. Photobiol. 74, 38–45.</w:t>
      </w:r>
    </w:p>
    <w:p>
      <w:pPr>
        <w:spacing w:after="70" w:line="250"/>
        <w:ind w:left="360" w:hanging="360"/>
      </w:pPr>
      <w:r>
        <w:rPr>
          <w:sz w:val="19"/>
          <w:szCs w:val="19"/>
        </w:rPr>
        <w:t xml:space="preserve">Gitelson, A.A., Zur, Y., Chivkunova, O.B., Merzlyak, M.N. (2002). Assessing carotenoid content in plant leaves with reflectance spectroscopy. Photochem. Photobiol. 75, 272–281.</w:t>
      </w:r>
    </w:p>
    <w:p>
      <w:pPr>
        <w:spacing w:after="70" w:line="250"/>
        <w:ind w:left="360" w:hanging="360"/>
      </w:pPr>
      <w:r>
        <w:rPr>
          <w:sz w:val="19"/>
          <w:szCs w:val="19"/>
        </w:rPr>
        <w:t xml:space="preserve">Gitelson, A.A., Gritz, Y., Merzlyak, M.N. (2003). Relationships between leaf chlorophyll content and spectral reflectance. J. Plant Physiol. 160, 271–282.</w:t>
      </w:r>
    </w:p>
    <w:p>
      <w:pPr>
        <w:spacing w:after="70" w:line="250"/>
        <w:ind w:left="360" w:hanging="360"/>
      </w:pPr>
      <w:r>
        <w:rPr>
          <w:sz w:val="19"/>
          <w:szCs w:val="19"/>
        </w:rPr>
        <w:t xml:space="preserve">Gogoi, N.K., Deka, B., Bora, L.C. (2018). Remote sensing and its use in detection and monitoring plant diseases: a review. Agricultural Reviews 39(4), 307–313.</w:t>
      </w:r>
    </w:p>
    <w:p>
      <w:pPr>
        <w:spacing w:after="70" w:line="250"/>
        <w:ind w:left="360" w:hanging="360"/>
      </w:pPr>
      <w:r>
        <w:rPr>
          <w:sz w:val="19"/>
          <w:szCs w:val="19"/>
        </w:rPr>
        <w:t xml:space="preserve">Guyot, G., Baret, F. (1988). Utilisation de la haute résolution spectrale pour suivre l'état des couverts végétaux. Proc. 4th Int. Colloq. Spectral Signatures of Objects in Remote Sensing, ESA SP-287, 279–286.</w:t>
      </w:r>
    </w:p>
    <w:p>
      <w:pPr>
        <w:spacing w:after="70" w:line="250"/>
        <w:ind w:left="360" w:hanging="360"/>
      </w:pPr>
      <w:r>
        <w:rPr>
          <w:sz w:val="19"/>
          <w:szCs w:val="19"/>
        </w:rPr>
        <w:t xml:space="preserve">Hunt, E.R., Rock, B.N. (1989). Detection of changes in leaf water content using near- and middle-infrared reflectances. Remote Sens. Environ. 30, 43–54.</w:t>
      </w:r>
    </w:p>
    <w:p>
      <w:pPr>
        <w:spacing w:after="70" w:line="250"/>
        <w:ind w:left="360" w:hanging="360"/>
      </w:pPr>
      <w:r>
        <w:rPr>
          <w:sz w:val="19"/>
          <w:szCs w:val="19"/>
        </w:rPr>
        <w:t xml:space="preserve">Lindenthal, M., Steiner, U., Dehne, H.W., Oerke, E.C. (2005). Effect of downy mildew development on transpiration of cucumber leaves visualized by digital infrared thermography. Phytopathology 95(3), 233–240.</w:t>
      </w:r>
    </w:p>
    <w:p>
      <w:pPr>
        <w:spacing w:after="70" w:line="250"/>
        <w:ind w:left="360" w:hanging="360"/>
      </w:pPr>
      <w:r>
        <w:rPr>
          <w:sz w:val="19"/>
          <w:szCs w:val="19"/>
        </w:rPr>
        <w:t xml:space="preserve">Liu, F.T., Ting, K.M., Zhou, Z.H. (2008). Isolation forest. Proc. IEEE ICDM, 413–422.</w:t>
      </w:r>
    </w:p>
    <w:p>
      <w:pPr>
        <w:spacing w:after="70" w:line="250"/>
        <w:ind w:left="360" w:hanging="360"/>
      </w:pPr>
      <w:r>
        <w:rPr>
          <w:sz w:val="19"/>
          <w:szCs w:val="19"/>
        </w:rPr>
        <w:t xml:space="preserve">Mandal, N., Das, D.K., Sahoo, R.N., Adak, S., Kumar, A., Viswanathan, C., Mukherjee, J., Rajashekar, Ranjan, R., Das, B. (2022). Assessing rice blast disease severity through hyperspectral remote sensing. J. Agrometeorol. 24(3), 241–248.</w:t>
      </w:r>
    </w:p>
    <w:p>
      <w:pPr>
        <w:spacing w:after="70" w:line="250"/>
        <w:ind w:left="360" w:hanging="360"/>
      </w:pPr>
      <w:r>
        <w:rPr>
          <w:sz w:val="19"/>
          <w:szCs w:val="19"/>
        </w:rPr>
        <w:t xml:space="preserve">Martens, H., Næs, T. (1992). Multivariate Calibration. Wiley, Chichester.</w:t>
      </w:r>
    </w:p>
    <w:p>
      <w:pPr>
        <w:spacing w:after="70" w:line="250"/>
        <w:ind w:left="360" w:hanging="360"/>
      </w:pPr>
      <w:r>
        <w:rPr>
          <w:sz w:val="19"/>
          <w:szCs w:val="19"/>
        </w:rPr>
        <w:t xml:space="preserve">Merzlyak, M.N., Gitelson, A.A., Chivkunova, O.B., Rakitin, V.Y. (1999). Non-destructive optical detection of pigment changes during leaf senescence and fruit ripening. Physiol. Plant. 106, 135–141.</w:t>
      </w:r>
    </w:p>
    <w:p>
      <w:pPr>
        <w:spacing w:after="70" w:line="250"/>
        <w:ind w:left="360" w:hanging="360"/>
      </w:pPr>
      <w:r>
        <w:rPr>
          <w:sz w:val="19"/>
          <w:szCs w:val="19"/>
        </w:rPr>
        <w:t xml:space="preserve">Peñuelas, J., Piñol, J., Ogaya, R., Filella, I. (1997). Estimation of plant water concentration by the reflectance water index WI (R900/R970). Int. J. Remote Sens. 18, 2869–2875.</w:t>
      </w:r>
    </w:p>
    <w:p>
      <w:pPr>
        <w:spacing w:after="70" w:line="250"/>
        <w:ind w:left="360" w:hanging="360"/>
      </w:pPr>
      <w:r>
        <w:rPr>
          <w:sz w:val="19"/>
          <w:szCs w:val="19"/>
        </w:rPr>
        <w:t xml:space="preserve">Savitzky, A., Golay, M.J.E. (1964). Smoothing and differentiation of data by simplified least squares procedures. Anal. Chem. 36(8), 1627–1639.</w:t>
      </w:r>
    </w:p>
    <w:p>
      <w:pPr>
        <w:spacing w:after="70" w:line="250"/>
        <w:ind w:left="360" w:hanging="360"/>
      </w:pPr>
      <w:r>
        <w:rPr>
          <w:sz w:val="19"/>
          <w:szCs w:val="19"/>
        </w:rPr>
        <w:t xml:space="preserve">Selvaprakash, R., Sahoo, R.N., Kumar, A., Ranjan, R., Chinnasamy, V. (2026). Early detection of rice blast disease using hyperspectral remote sensing. Plant Science Today 13(1), 1–10.</w:t>
      </w:r>
    </w:p>
    <w:p>
      <w:pPr>
        <w:spacing w:after="70" w:line="250"/>
        <w:ind w:left="360" w:hanging="360"/>
      </w:pPr>
      <w:r>
        <w:rPr>
          <w:sz w:val="19"/>
          <w:szCs w:val="19"/>
        </w:rPr>
        <w:t xml:space="preserve">Sims, D.A., Gamon, J.A. (2002). Relationships between leaf pigment content and spectral reflectance across a wide range of species, leaf structures and developmental stages. Remote Sens. Environ. 81, 337–354.</w:t>
      </w:r>
    </w:p>
    <w:p>
      <w:pPr>
        <w:spacing w:after="70" w:line="250"/>
        <w:ind w:left="360" w:hanging="360"/>
      </w:pPr>
      <w:r>
        <w:rPr>
          <w:sz w:val="19"/>
          <w:szCs w:val="19"/>
        </w:rPr>
        <w:t xml:space="preserve">Varma, S., Simon, R. (2006). Bias in error estimation when using cross-validation for model selection. BMC Bioinformatics 7, 91.</w:t>
      </w:r>
    </w:p>
    <w:p>
      <w:pPr>
        <w:spacing w:before="120"/>
      </w:pPr>
      <w:r>
        <w:rPr>
          <w:i/>
          <w:iCs/>
          <w:color w:val="5E7A7E"/>
          <w:sz w:val="18"/>
          <w:szCs w:val="18"/>
        </w:rPr>
        <w:t xml:space="preserve">The three source papers were read in full. Index formulas and the other method references are standard and given from the original publications as commonly cited; check volume and page details before submission.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7A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E7A7E"/>
        <w:sz w:val="16"/>
        <w:szCs w:val="16"/>
      </w:rPr>
      <w:t xml:space="preserve">MuDAS-AI · ASD spectroradiometer protocol for white rust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3A40"/>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1C7C78"/>
      <w:sz w:val="26"/>
      <w:szCs w:val="26"/>
    </w:rPr>
  </w:style>
  <w:style w:type="paragraph" w:styleId="Heading3">
    <w:name w:val="Heading 3"/>
    <w:basedOn w:val="Normal"/>
    <w:next w:val="Normal"/>
    <w:qFormat/>
    <w:pPr>
      <w:keepNext/>
      <w:spacing w:after="70" w:before="160"/>
      <w:outlineLvl w:val="2"/>
    </w:pPr>
    <w:rPr>
      <w:rFonts w:ascii="Calibri" w:cs="Calibri" w:eastAsia="Calibri" w:hAnsi="Calibri"/>
      <w:b/>
      <w:bCs/>
      <w:color w:val="1F3A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566594d0440f5ffed3e805935272da50d938c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ASD spectroradiometer protocol for white rust</dc:title>
  <dc:creator>Animesh Panda</dc:creator>
  <cp:lastModifiedBy>Un-named</cp:lastModifiedBy>
  <cp:revision>1</cp:revision>
  <dcterms:created xsi:type="dcterms:W3CDTF">2026-10-12T08:46:11.337Z</dcterms:created>
  <dcterms:modified xsi:type="dcterms:W3CDTF">2026-10-12T08:46:11.337Z</dcterms:modified>
</cp:coreProperties>
</file>

<file path=docProps/custom.xml><?xml version="1.0" encoding="utf-8"?>
<Properties xmlns="http://schemas.openxmlformats.org/officeDocument/2006/custom-properties" xmlns:vt="http://schemas.openxmlformats.org/officeDocument/2006/docPropsVTypes"/>
</file>