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55555"/>
          <w:sz w:val="20"/>
          <w:szCs w:val="20"/>
        </w:rPr>
        <w:t xml:space="preserve">ITU  |  FAO  |  IFAD  |  WFP</w:t>
      </w:r>
    </w:p>
    <w:p>
      <w:pPr>
        <w:pStyle w:val="Heading1"/>
        <w:spacing w:after="200" w:before="120"/>
      </w:pPr>
      <w:r>
        <w:rPr>
          <w:b/>
          <w:bCs/>
          <w:sz w:val="36"/>
          <w:szCs w:val="36"/>
        </w:rPr>
        <w:t xml:space="preserve">Hackathon on AI for Agri-Food Systems — 8-9 October 2026, New Delhi- Application Form</w:t>
      </w:r>
    </w:p>
    <w:p>
      <w:pPr>
        <w:spacing w:after="120"/>
      </w:pPr>
      <w:r>
        <w:rPr>
          <w:color w:val="444444"/>
          <w:sz w:val="20"/>
          <w:szCs w:val="20"/>
        </w:rPr>
        <w:t xml:space="preserve">Apply to the International Hackathon on AI for Agri-Food Systems, focused on innovation for sustainable and resilient agri-food systems. Please provide accurate information about your team, proposed solution, technical approach, expected impact, and participation requirements.</w:t>
      </w:r>
    </w:p>
    <w:p>
      <w:pPr>
        <w:spacing w:after="120"/>
      </w:pPr>
      <w:r>
        <w:rPr>
          <w:color w:val="444444"/>
          <w:sz w:val="20"/>
          <w:szCs w:val="20"/>
        </w:rPr>
        <w:t xml:space="preserve">This Hackathon is being organized under the umbrella of the Global Initiative on AI for Agri-Food Systems (GI-AI4AFS), which is lead by the International Telecommunication Union (ITU), United Nations World Food Programme (WFP), Food and Agriculture Organization of the United Nations (FAO) and International Fund for Agricultural Development (IFAD).</w:t>
      </w:r>
    </w:p>
    <w:p>
      <w:pPr>
        <w:spacing w:after="120"/>
      </w:pPr>
      <w:r>
        <w:rPr>
          <w:color w:val="444444"/>
          <w:sz w:val="20"/>
          <w:szCs w:val="20"/>
        </w:rPr>
        <w:t xml:space="preserve">It is being co-organized with the Department of Telecommunications (DoT) (India), the Indian Council for Agricultural Research (ICAR), Fraunhofer HHI, Balarama AgriTech, AgHub and the Accelerating Climate Resilient Agriculture in Telangana, India through Data Driven Agro Ecological TestHubs (ACRAT) Project, with support from the Federal Ministry of Agriculture, Food and Regional Identity (Germany).</w:t>
      </w:r>
    </w:p>
    <w:p>
      <w:pPr>
        <w:spacing w:after="120"/>
      </w:pPr>
      <w:r>
        <w:rPr>
          <w:color w:val="444444"/>
          <w:sz w:val="20"/>
          <w:szCs w:val="20"/>
        </w:rPr>
        <w:t xml:space="preserve">The Hackathon will be take place on 8-9 October 2026 and will be hosted at NASC Complex, Indian Council for Agricultural Research, 124 Dev Prakash Shastri Marg, New Delhi 110012, India</w:t>
      </w:r>
    </w:p>
    <w:p>
      <w:pPr>
        <w:spacing w:after="80"/>
      </w:pPr>
      <w:r>
        <w:rPr>
          <w:i/>
          <w:iCs/>
          <w:color w:val="888888"/>
          <w:sz w:val="18"/>
          <w:szCs w:val="18"/>
        </w:rPr>
        <w:t xml:space="preserve">When you submit this form, it will not automatically collect your details like name and email address unless you provide it yourself.</w:t>
      </w:r>
    </w:p>
    <w:p>
      <w:pPr>
        <w:spacing w:after="200"/>
      </w:pPr>
      <w:r>
        <w:rPr>
          <w:color w:val="CC0000"/>
          <w:sz w:val="18"/>
          <w:szCs w:val="18"/>
        </w:rPr>
        <w:t xml:space="preserve">* Required</w:t>
      </w:r>
    </w:p>
    <w:p>
      <w:pPr>
        <w:pBdr>
          <w:bottom w:val="single" w:color="DDDDDD" w:sz="1"/>
        </w:pBdr>
        <w:spacing w:after="200" w:before="200"/>
      </w:pPr>
    </w:p>
    <w:p>
      <w:pPr>
        <w:spacing w:after="120" w:before="360"/>
      </w:pPr>
      <w:r>
        <w:rPr>
          <w:b/>
          <w:bCs/>
          <w:sz w:val="22"/>
          <w:szCs w:val="22"/>
        </w:rPr>
        <w:t xml:space="preserve">1. Team Name</w:t>
      </w:r>
      <w:r>
        <w:rPr>
          <w:b/>
          <w:bCs/>
          <w:color w:val="CC0000"/>
          <w:sz w:val="22"/>
          <w:szCs w:val="22"/>
        </w:rPr>
        <w:t xml:space="preserve"> *</w:t>
      </w:r>
    </w:p>
    <w:p>
      <w:pPr>
        <w:spacing w:after="60" w:before="60"/>
        <w:ind w:left="360"/>
      </w:pPr>
      <w:r>
        <w:rPr>
          <w:color w:val="333333"/>
          <w:sz w:val="21"/>
          <w:szCs w:val="21"/>
        </w:rPr>
        <w:t xml:space="preserve">NitroDose</w:t>
      </w:r>
    </w:p>
    <w:p>
      <w:pPr>
        <w:spacing w:after="120" w:before="360"/>
      </w:pPr>
      <w:r>
        <w:rPr>
          <w:b/>
          <w:bCs/>
          <w:sz w:val="22"/>
          <w:szCs w:val="22"/>
        </w:rPr>
        <w:t xml:space="preserve">2. Team Leader / Primary Contact – Full Name</w:t>
      </w:r>
      <w:r>
        <w:rPr>
          <w:b/>
          <w:bCs/>
          <w:color w:val="CC0000"/>
          <w:sz w:val="22"/>
          <w:szCs w:val="22"/>
        </w:rPr>
        <w:t xml:space="preserve"> *</w:t>
      </w:r>
    </w:p>
    <w:p>
      <w:pPr>
        <w:spacing w:after="60" w:before="60"/>
        <w:ind w:left="360"/>
      </w:pPr>
      <w:r>
        <w:rPr>
          <w:color w:val="333333"/>
          <w:sz w:val="21"/>
          <w:szCs w:val="21"/>
        </w:rPr>
        <w:t xml:space="preserve">Devanakonda Venkata Sai Chakradhar Reddy</w:t>
      </w:r>
    </w:p>
    <w:p>
      <w:pPr>
        <w:spacing w:after="120" w:before="360"/>
      </w:pPr>
      <w:r>
        <w:rPr>
          <w:b/>
          <w:bCs/>
          <w:sz w:val="22"/>
          <w:szCs w:val="22"/>
        </w:rPr>
        <w:t xml:space="preserve">3. Email Address</w:t>
      </w:r>
      <w:r>
        <w:rPr>
          <w:b/>
          <w:bCs/>
          <w:color w:val="CC0000"/>
          <w:sz w:val="22"/>
          <w:szCs w:val="22"/>
        </w:rPr>
        <w:t xml:space="preserve"> *</w:t>
      </w:r>
    </w:p>
    <w:p>
      <w:pPr>
        <w:spacing w:after="60" w:before="60"/>
        <w:ind w:left="360"/>
      </w:pPr>
      <w:r>
        <w:rPr>
          <w:color w:val="333333"/>
          <w:sz w:val="21"/>
          <w:szCs w:val="21"/>
        </w:rPr>
        <w:t xml:space="preserve">devanakonda.chakri9@gmail.com</w:t>
      </w:r>
    </w:p>
    <w:p>
      <w:pPr>
        <w:spacing w:after="120" w:before="360"/>
      </w:pPr>
      <w:r>
        <w:rPr>
          <w:b/>
          <w:bCs/>
          <w:sz w:val="22"/>
          <w:szCs w:val="22"/>
        </w:rPr>
        <w:t xml:space="preserve">4. Organization, University, Startup, or Institution</w:t>
      </w:r>
      <w:r>
        <w:rPr>
          <w:b/>
          <w:bCs/>
          <w:color w:val="CC0000"/>
          <w:sz w:val="22"/>
          <w:szCs w:val="22"/>
        </w:rPr>
        <w:t xml:space="preserve"> *</w:t>
      </w:r>
    </w:p>
    <w:p>
      <w:pPr>
        <w:spacing w:after="60" w:before="60"/>
        <w:ind w:left="360"/>
      </w:pPr>
      <w:r>
        <w:rPr>
          <w:color w:val="333333"/>
          <w:sz w:val="21"/>
          <w:szCs w:val="21"/>
        </w:rPr>
        <w:t xml:space="preserve">ICAR - Indian Agricultural Research Institute, New Delhi</w:t>
      </w:r>
    </w:p>
    <w:p>
      <w:pPr>
        <w:spacing w:after="120" w:before="360"/>
      </w:pPr>
      <w:r>
        <w:rPr>
          <w:b/>
          <w:bCs/>
          <w:sz w:val="22"/>
          <w:szCs w:val="22"/>
        </w:rPr>
        <w:t xml:space="preserve">5. Current Role / Position</w:t>
      </w:r>
      <w:r>
        <w:rPr>
          <w:b/>
          <w:bCs/>
          <w:color w:val="CC0000"/>
          <w:sz w:val="22"/>
          <w:szCs w:val="22"/>
        </w:rPr>
        <w:t xml:space="preserve"> *</w:t>
      </w:r>
    </w:p>
    <w:p>
      <w:pPr>
        <w:spacing w:after="60" w:before="60"/>
        <w:ind w:left="360"/>
      </w:pPr>
      <w:r>
        <w:rPr>
          <w:color w:val="333333"/>
          <w:sz w:val="21"/>
          <w:szCs w:val="21"/>
        </w:rPr>
        <w:t xml:space="preserve">PhD Scholar</w:t>
      </w:r>
    </w:p>
    <w:p>
      <w:pPr>
        <w:spacing w:after="120" w:before="360"/>
      </w:pPr>
      <w:r>
        <w:rPr>
          <w:b/>
          <w:bCs/>
          <w:sz w:val="22"/>
          <w:szCs w:val="22"/>
        </w:rPr>
        <w:t xml:space="preserve">6. Applicant Category</w:t>
      </w:r>
      <w:r>
        <w:rPr>
          <w:b/>
          <w:bCs/>
          <w:color w:val="CC0000"/>
          <w:sz w:val="22"/>
          <w:szCs w:val="22"/>
        </w:rPr>
        <w:t xml:space="preserve"> *</w:t>
      </w:r>
    </w:p>
    <w:p>
      <w:pPr>
        <w:spacing w:after="40" w:before="40"/>
        <w:ind w:left="360"/>
      </w:pPr>
      <w:r>
        <w:rPr>
          <w:sz w:val="21"/>
          <w:szCs w:val="21"/>
        </w:rPr>
        <w:t xml:space="preserve">☑  Student</w:t>
      </w:r>
    </w:p>
    <w:p>
      <w:pPr>
        <w:spacing w:after="40" w:before="40"/>
        <w:ind w:left="360"/>
      </w:pPr>
      <w:r>
        <w:rPr>
          <w:sz w:val="21"/>
          <w:szCs w:val="21"/>
        </w:rPr>
        <w:t xml:space="preserve">☐  Researcher / Academic</w:t>
      </w:r>
    </w:p>
    <w:p>
      <w:pPr>
        <w:spacing w:after="40" w:before="40"/>
        <w:ind w:left="360"/>
      </w:pPr>
      <w:r>
        <w:rPr>
          <w:sz w:val="21"/>
          <w:szCs w:val="21"/>
        </w:rPr>
        <w:t xml:space="preserve">☐  Startup / Entrepreneur</w:t>
      </w:r>
    </w:p>
    <w:p>
      <w:pPr>
        <w:spacing w:after="40" w:before="40"/>
        <w:ind w:left="360"/>
      </w:pPr>
      <w:r>
        <w:rPr>
          <w:sz w:val="21"/>
          <w:szCs w:val="21"/>
        </w:rPr>
        <w:t xml:space="preserve">☐  Software Developer / AI Engineer</w:t>
      </w:r>
    </w:p>
    <w:p>
      <w:pPr>
        <w:spacing w:after="40" w:before="40"/>
        <w:ind w:left="360"/>
      </w:pPr>
      <w:r>
        <w:rPr>
          <w:sz w:val="21"/>
          <w:szCs w:val="21"/>
        </w:rPr>
        <w:t xml:space="preserve">☐  Agricultural Scientist</w:t>
      </w:r>
    </w:p>
    <w:p>
      <w:pPr>
        <w:spacing w:after="40" w:before="40"/>
        <w:ind w:left="360"/>
      </w:pPr>
      <w:r>
        <w:rPr>
          <w:sz w:val="21"/>
          <w:szCs w:val="21"/>
        </w:rPr>
        <w:t xml:space="preserve">☐  Farmer / Farmer Producer Organization (FPO)</w:t>
      </w:r>
    </w:p>
    <w:p>
      <w:pPr>
        <w:spacing w:after="40" w:before="40"/>
        <w:ind w:left="360"/>
      </w:pPr>
      <w:r>
        <w:rPr>
          <w:sz w:val="21"/>
          <w:szCs w:val="21"/>
        </w:rPr>
        <w:t xml:space="preserve">☐  Industry Professional</w:t>
      </w:r>
    </w:p>
    <w:p>
      <w:pPr>
        <w:spacing w:after="40" w:before="40"/>
        <w:ind w:left="360"/>
      </w:pPr>
      <w:r>
        <w:rPr>
          <w:sz w:val="21"/>
          <w:szCs w:val="21"/>
        </w:rPr>
        <w:t xml:space="preserve">☐  NGO / Development Practitioner</w:t>
      </w:r>
    </w:p>
    <w:p>
      <w:pPr>
        <w:spacing w:after="120" w:before="360"/>
      </w:pPr>
      <w:r>
        <w:rPr>
          <w:b/>
          <w:bCs/>
          <w:sz w:val="22"/>
          <w:szCs w:val="22"/>
        </w:rPr>
        <w:t xml:space="preserve">7. Number of Team Members</w:t>
      </w:r>
      <w:r>
        <w:rPr>
          <w:b/>
          <w:bCs/>
          <w:color w:val="CC0000"/>
          <w:sz w:val="22"/>
          <w:szCs w:val="22"/>
        </w:rPr>
        <w:t xml:space="preserve"> *</w:t>
      </w:r>
    </w:p>
    <w:p>
      <w:pPr>
        <w:spacing w:after="40" w:before="40"/>
        <w:ind w:left="360"/>
      </w:pPr>
      <w:r>
        <w:rPr>
          <w:sz w:val="21"/>
          <w:szCs w:val="21"/>
        </w:rPr>
        <w:t xml:space="preserve">○  1</w:t>
      </w:r>
    </w:p>
    <w:p>
      <w:pPr>
        <w:spacing w:after="40" w:before="40"/>
        <w:ind w:left="360"/>
      </w:pPr>
      <w:r>
        <w:rPr>
          <w:sz w:val="21"/>
          <w:szCs w:val="21"/>
        </w:rPr>
        <w:t xml:space="preserve">○  2</w:t>
      </w:r>
    </w:p>
    <w:p>
      <w:pPr>
        <w:spacing w:after="40" w:before="40"/>
        <w:ind w:left="360"/>
      </w:pPr>
      <w:r>
        <w:rPr>
          <w:sz w:val="21"/>
          <w:szCs w:val="21"/>
        </w:rPr>
        <w:t xml:space="preserve">○  3</w:t>
      </w:r>
    </w:p>
    <w:p>
      <w:pPr>
        <w:spacing w:after="40" w:before="40"/>
        <w:ind w:left="360"/>
      </w:pPr>
      <w:r>
        <w:rPr>
          <w:sz w:val="21"/>
          <w:szCs w:val="21"/>
        </w:rPr>
        <w:t xml:space="preserve">○  4</w:t>
      </w:r>
    </w:p>
    <w:p>
      <w:pPr>
        <w:spacing w:after="40" w:before="40"/>
        <w:ind w:left="360"/>
      </w:pPr>
      <w:r>
        <w:rPr>
          <w:sz w:val="21"/>
          <w:szCs w:val="21"/>
        </w:rPr>
        <w:t xml:space="preserve">○  5</w:t>
      </w:r>
    </w:p>
    <w:p>
      <w:pPr>
        <w:spacing w:after="40" w:before="40"/>
        <w:ind w:left="360"/>
      </w:pPr>
      <w:r>
        <w:rPr>
          <w:sz w:val="21"/>
          <w:szCs w:val="21"/>
        </w:rPr>
        <w:t xml:space="preserve">◉  6</w:t>
      </w:r>
    </w:p>
    <w:p>
      <w:pPr>
        <w:spacing w:after="120" w:before="360"/>
      </w:pPr>
      <w:r>
        <w:rPr>
          <w:b/>
          <w:bCs/>
          <w:sz w:val="22"/>
          <w:szCs w:val="22"/>
        </w:rPr>
        <w:t xml:space="preserve">8. Which expertise is represented within your team?</w:t>
      </w:r>
      <w:r>
        <w:rPr>
          <w:b/>
          <w:bCs/>
          <w:color w:val="CC0000"/>
          <w:sz w:val="22"/>
          <w:szCs w:val="22"/>
        </w:rPr>
        <w:t xml:space="preserve"> *</w:t>
      </w:r>
    </w:p>
    <w:p>
      <w:pPr>
        <w:spacing w:after="40" w:before="40"/>
        <w:ind w:left="360"/>
      </w:pPr>
      <w:r>
        <w:rPr>
          <w:sz w:val="21"/>
          <w:szCs w:val="21"/>
        </w:rPr>
        <w:t xml:space="preserve">☑  Artificial Intelligence / Machine Learning</w:t>
      </w:r>
    </w:p>
    <w:p>
      <w:pPr>
        <w:spacing w:after="40" w:before="40"/>
        <w:ind w:left="360"/>
      </w:pPr>
      <w:r>
        <w:rPr>
          <w:sz w:val="21"/>
          <w:szCs w:val="21"/>
        </w:rPr>
        <w:t xml:space="preserve">☑  Software Development</w:t>
      </w:r>
    </w:p>
    <w:p>
      <w:pPr>
        <w:spacing w:after="40" w:before="40"/>
        <w:ind w:left="360"/>
      </w:pPr>
      <w:r>
        <w:rPr>
          <w:sz w:val="21"/>
          <w:szCs w:val="21"/>
        </w:rPr>
        <w:t xml:space="preserve">☑  Agriculture / Agronomy</w:t>
      </w:r>
    </w:p>
    <w:p>
      <w:pPr>
        <w:spacing w:after="40" w:before="40"/>
        <w:ind w:left="360"/>
      </w:pPr>
      <w:r>
        <w:rPr>
          <w:sz w:val="21"/>
          <w:szCs w:val="21"/>
        </w:rPr>
        <w:t xml:space="preserve">☐  Agricultural Economics</w:t>
      </w:r>
    </w:p>
    <w:p>
      <w:pPr>
        <w:spacing w:after="40" w:before="40"/>
        <w:ind w:left="360"/>
      </w:pPr>
      <w:r>
        <w:rPr>
          <w:sz w:val="21"/>
          <w:szCs w:val="21"/>
        </w:rPr>
        <w:t xml:space="preserve">☐  Agricultural Engineering</w:t>
      </w:r>
    </w:p>
    <w:p>
      <w:pPr>
        <w:spacing w:after="40" w:before="40"/>
        <w:ind w:left="360"/>
      </w:pPr>
      <w:r>
        <w:rPr>
          <w:sz w:val="21"/>
          <w:szCs w:val="21"/>
        </w:rPr>
        <w:t xml:space="preserve">☐  Food Science / Post-Harvest</w:t>
      </w:r>
    </w:p>
    <w:p>
      <w:pPr>
        <w:spacing w:after="40" w:before="40"/>
        <w:ind w:left="360"/>
      </w:pPr>
      <w:r>
        <w:rPr>
          <w:sz w:val="21"/>
          <w:szCs w:val="21"/>
        </w:rPr>
        <w:t xml:space="preserve">☑  Remote Sensing / GIS</w:t>
      </w:r>
    </w:p>
    <w:p>
      <w:pPr>
        <w:spacing w:after="40" w:before="40"/>
        <w:ind w:left="360"/>
      </w:pPr>
      <w:r>
        <w:rPr>
          <w:sz w:val="21"/>
          <w:szCs w:val="21"/>
        </w:rPr>
        <w:t xml:space="preserve">☐  IoT / Robotics</w:t>
      </w:r>
    </w:p>
    <w:p>
      <w:pPr>
        <w:pBdr>
          <w:bottom w:val="single" w:color="DDDDDD" w:sz="1"/>
        </w:pBdr>
        <w:spacing w:after="200" w:before="200"/>
      </w:pPr>
    </w:p>
    <w:p>
      <w:pPr>
        <w:spacing w:after="120" w:before="360"/>
      </w:pPr>
      <w:r>
        <w:rPr>
          <w:b/>
          <w:bCs/>
          <w:sz w:val="22"/>
          <w:szCs w:val="22"/>
        </w:rPr>
        <w:t xml:space="preserve">9. What specific agri-food system problem are you addressing? Clearly describe the problem, its causes, and why existing approaches are insufficient.</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Wheat farmers decide how much urea to top-dress without knowing whether their crop actually needs it. Recommendations are usually fixed doses per hectare, the same for every field and every part of a field, regardless of how much nitrogen the crop has already taken up. Worldwide, only about one-third of the nitrogen applied to cereals is used by the crop; the rest is lost as ammonia, nitrous oxide and nitrate in groundwater, costing farmers money and governments that subsidize fertilizer.
The scientifically sound way to judge crop nitrogen status is the critical nitrogen dilution curve: the minimum plant nitrogen concentration needed for maximum growth at a given biomass. Comparing actual plant nitrogen with this critical value gives the Nitrogen Nutrition Index (NNI), which shows whether a crop is deficient, optimal or over-supplied. However, this concept is rarely used in practice because: (1) it requires destructive plant sampling and laboratory analysis; (2) existing remote-sensing proxies give an index, not a dose; and (3) no simple tool translates the NNI into a field-ready urea prescription.</w:t>
      </w:r>
    </w:p>
    <w:p>
      <w:pPr>
        <w:spacing w:after="120" w:before="360"/>
      </w:pPr>
      <w:r>
        <w:rPr>
          <w:b/>
          <w:bCs/>
          <w:sz w:val="22"/>
          <w:szCs w:val="22"/>
        </w:rPr>
        <w:t xml:space="preserve">10. Which Hackathon Challenge Theme are you applying under?</w:t>
      </w:r>
      <w:r>
        <w:rPr>
          <w:b/>
          <w:bCs/>
          <w:color w:val="CC0000"/>
          <w:sz w:val="22"/>
          <w:szCs w:val="22"/>
        </w:rPr>
        <w:t xml:space="preserve"> *</w:t>
      </w:r>
    </w:p>
    <w:p>
      <w:pPr>
        <w:spacing w:after="40" w:before="40"/>
        <w:ind w:left="360"/>
      </w:pPr>
      <w:r>
        <w:rPr>
          <w:sz w:val="21"/>
          <w:szCs w:val="21"/>
        </w:rPr>
        <w:t xml:space="preserve">◉  Smart and Climate-Resilient Agriculture</w:t>
      </w:r>
    </w:p>
    <w:p>
      <w:pPr>
        <w:spacing w:after="40" w:before="40"/>
        <w:ind w:left="360"/>
      </w:pPr>
      <w:r>
        <w:rPr>
          <w:sz w:val="21"/>
          <w:szCs w:val="21"/>
        </w:rPr>
        <w:t xml:space="preserve">○  Crop Intelligence and Decision Support</w:t>
      </w:r>
    </w:p>
    <w:p>
      <w:pPr>
        <w:spacing w:after="40" w:before="40"/>
        <w:ind w:left="360"/>
      </w:pPr>
      <w:r>
        <w:rPr>
          <w:sz w:val="21"/>
          <w:szCs w:val="21"/>
        </w:rPr>
        <w:t xml:space="preserve">○  Post-Harvest Management and Value Addition</w:t>
      </w:r>
    </w:p>
    <w:p>
      <w:pPr>
        <w:spacing w:after="40" w:before="40"/>
        <w:ind w:left="360"/>
      </w:pPr>
      <w:r>
        <w:rPr>
          <w:sz w:val="21"/>
          <w:szCs w:val="21"/>
        </w:rPr>
        <w:t xml:space="preserve">○  Digital Agricultural Supply Chains</w:t>
      </w:r>
    </w:p>
    <w:p>
      <w:pPr>
        <w:spacing w:after="40" w:before="40"/>
        <w:ind w:left="360"/>
      </w:pPr>
      <w:r>
        <w:rPr>
          <w:sz w:val="21"/>
          <w:szCs w:val="21"/>
        </w:rPr>
        <w:t xml:space="preserve">○  Farmer-Centric Digital Services</w:t>
      </w:r>
    </w:p>
    <w:p>
      <w:pPr>
        <w:spacing w:after="40" w:before="40"/>
        <w:ind w:left="360"/>
      </w:pPr>
      <w:r>
        <w:rPr>
          <w:sz w:val="21"/>
          <w:szCs w:val="21"/>
        </w:rPr>
        <w:t xml:space="preserve">○  Sustainable and Circular Agri-Food Systems</w:t>
      </w:r>
    </w:p>
    <w:p>
      <w:pPr>
        <w:spacing w:after="120" w:before="360"/>
      </w:pPr>
      <w:r>
        <w:rPr>
          <w:b/>
          <w:bCs/>
          <w:sz w:val="22"/>
          <w:szCs w:val="22"/>
        </w:rPr>
        <w:t xml:space="preserve">11. Does your solution also address another challenge theme?</w:t>
      </w:r>
      <w:r>
        <w:rPr>
          <w:b/>
          <w:bCs/>
          <w:color w:val="CC0000"/>
          <w:sz w:val="22"/>
          <w:szCs w:val="22"/>
        </w:rPr>
        <w:t xml:space="preserve"> *</w:t>
      </w:r>
    </w:p>
    <w:p>
      <w:pPr>
        <w:spacing w:after="40" w:before="40"/>
        <w:ind w:left="360"/>
      </w:pPr>
      <w:r>
        <w:rPr>
          <w:sz w:val="21"/>
          <w:szCs w:val="21"/>
        </w:rPr>
        <w:t xml:space="preserve">○  Smart and Climate-Resilient Agriculture</w:t>
      </w:r>
    </w:p>
    <w:p>
      <w:pPr>
        <w:spacing w:after="40" w:before="40"/>
        <w:ind w:left="360"/>
      </w:pPr>
      <w:r>
        <w:rPr>
          <w:sz w:val="21"/>
          <w:szCs w:val="21"/>
        </w:rPr>
        <w:t xml:space="preserve">◉  Crop Intelligence and Decision Support</w:t>
      </w:r>
    </w:p>
    <w:p>
      <w:pPr>
        <w:spacing w:after="40" w:before="40"/>
        <w:ind w:left="360"/>
      </w:pPr>
      <w:r>
        <w:rPr>
          <w:sz w:val="21"/>
          <w:szCs w:val="21"/>
        </w:rPr>
        <w:t xml:space="preserve">○  Post-Harvest Management and Value Addition</w:t>
      </w:r>
    </w:p>
    <w:p>
      <w:pPr>
        <w:spacing w:after="40" w:before="40"/>
        <w:ind w:left="360"/>
      </w:pPr>
      <w:r>
        <w:rPr>
          <w:sz w:val="21"/>
          <w:szCs w:val="21"/>
        </w:rPr>
        <w:t xml:space="preserve">○  Digital Agricultural Supply Chains</w:t>
      </w:r>
    </w:p>
    <w:p>
      <w:pPr>
        <w:spacing w:after="40" w:before="40"/>
        <w:ind w:left="360"/>
      </w:pPr>
      <w:r>
        <w:rPr>
          <w:sz w:val="21"/>
          <w:szCs w:val="21"/>
        </w:rPr>
        <w:t xml:space="preserve">○  Farmer-Centric Digital Services</w:t>
      </w:r>
    </w:p>
    <w:p>
      <w:pPr>
        <w:spacing w:after="40" w:before="40"/>
        <w:ind w:left="360"/>
      </w:pPr>
      <w:r>
        <w:rPr>
          <w:sz w:val="21"/>
          <w:szCs w:val="21"/>
        </w:rPr>
        <w:t xml:space="preserve">○  Sustainable and Circular Agri-Food Systems</w:t>
      </w:r>
    </w:p>
    <w:p>
      <w:pPr>
        <w:spacing w:after="40" w:before="40"/>
        <w:ind w:left="360"/>
      </w:pPr>
      <w:r>
        <w:rPr>
          <w:sz w:val="21"/>
          <w:szCs w:val="21"/>
        </w:rPr>
        <w:t xml:space="preserve">○  No other theme</w:t>
      </w:r>
    </w:p>
    <w:p>
      <w:pPr>
        <w:spacing w:after="120" w:before="360"/>
      </w:pPr>
      <w:r>
        <w:rPr>
          <w:b/>
          <w:bCs/>
          <w:sz w:val="22"/>
          <w:szCs w:val="22"/>
        </w:rPr>
        <w:t xml:space="preserve">12. Who are the primary beneficiaries or users?</w:t>
      </w:r>
      <w:r>
        <w:rPr>
          <w:b/>
          <w:bCs/>
          <w:color w:val="CC0000"/>
          <w:sz w:val="22"/>
          <w:szCs w:val="22"/>
        </w:rPr>
        <w:t xml:space="preserve"> *</w:t>
      </w:r>
    </w:p>
    <w:p>
      <w:pPr>
        <w:spacing w:after="40" w:before="40"/>
        <w:ind w:left="360"/>
      </w:pPr>
      <w:r>
        <w:rPr>
          <w:sz w:val="21"/>
          <w:szCs w:val="21"/>
        </w:rPr>
        <w:t xml:space="preserve">☑  Small and marginal farmers</w:t>
      </w:r>
    </w:p>
    <w:p>
      <w:pPr>
        <w:spacing w:after="40" w:before="40"/>
        <w:ind w:left="360"/>
      </w:pPr>
      <w:r>
        <w:rPr>
          <w:sz w:val="21"/>
          <w:szCs w:val="21"/>
        </w:rPr>
        <w:t xml:space="preserve">☐  Women farmers</w:t>
      </w:r>
    </w:p>
    <w:p>
      <w:pPr>
        <w:spacing w:after="40" w:before="40"/>
        <w:ind w:left="360"/>
      </w:pPr>
      <w:r>
        <w:rPr>
          <w:sz w:val="21"/>
          <w:szCs w:val="21"/>
        </w:rPr>
        <w:t xml:space="preserve">☑  Farmer organizations / FPOs / Cooperatives</w:t>
      </w:r>
    </w:p>
    <w:p>
      <w:pPr>
        <w:spacing w:after="40" w:before="40"/>
        <w:ind w:left="360"/>
      </w:pPr>
      <w:r>
        <w:rPr>
          <w:sz w:val="21"/>
          <w:szCs w:val="21"/>
        </w:rPr>
        <w:t xml:space="preserve">☑  Extension and advisory services</w:t>
      </w:r>
    </w:p>
    <w:p>
      <w:pPr>
        <w:spacing w:after="40" w:before="40"/>
        <w:ind w:left="360"/>
      </w:pPr>
      <w:r>
        <w:rPr>
          <w:sz w:val="21"/>
          <w:szCs w:val="21"/>
        </w:rPr>
        <w:t xml:space="preserve">☐  Agri-food SMEs</w:t>
      </w:r>
    </w:p>
    <w:p>
      <w:pPr>
        <w:spacing w:after="40" w:before="40"/>
        <w:ind w:left="360"/>
      </w:pPr>
      <w:r>
        <w:rPr>
          <w:sz w:val="21"/>
          <w:szCs w:val="21"/>
        </w:rPr>
        <w:t xml:space="preserve">☐  Processors</w:t>
      </w:r>
    </w:p>
    <w:p>
      <w:pPr>
        <w:spacing w:after="40" w:before="40"/>
        <w:ind w:left="360"/>
      </w:pPr>
      <w:r>
        <w:rPr>
          <w:sz w:val="21"/>
          <w:szCs w:val="21"/>
        </w:rPr>
        <w:t xml:space="preserve">☐  Traders / Supply-chain actors</w:t>
      </w:r>
    </w:p>
    <w:p>
      <w:pPr>
        <w:spacing w:after="40" w:before="40"/>
        <w:ind w:left="360"/>
      </w:pPr>
      <w:r>
        <w:rPr>
          <w:sz w:val="21"/>
          <w:szCs w:val="21"/>
        </w:rPr>
        <w:t xml:space="preserve">☐  Consumers</w:t>
      </w:r>
    </w:p>
    <w:p>
      <w:pPr>
        <w:spacing w:after="40" w:before="40"/>
        <w:ind w:left="360"/>
      </w:pPr>
      <w:r>
        <w:rPr>
          <w:sz w:val="21"/>
          <w:szCs w:val="21"/>
        </w:rPr>
        <w:t xml:space="preserve">☑  Government / Policymakers</w:t>
      </w:r>
    </w:p>
    <w:p>
      <w:pPr>
        <w:pBdr>
          <w:bottom w:val="single" w:color="DDDDDD" w:sz="1"/>
        </w:pBdr>
        <w:spacing w:after="200" w:before="200"/>
      </w:pPr>
    </w:p>
    <w:p>
      <w:pPr>
        <w:spacing w:after="120" w:before="360"/>
      </w:pPr>
      <w:r>
        <w:rPr>
          <w:b/>
          <w:bCs/>
          <w:sz w:val="22"/>
          <w:szCs w:val="22"/>
        </w:rPr>
        <w:t xml:space="preserve">13. Project / Solution Title</w:t>
      </w:r>
      <w:r>
        <w:rPr>
          <w:b/>
          <w:bCs/>
          <w:color w:val="CC0000"/>
          <w:sz w:val="22"/>
          <w:szCs w:val="22"/>
        </w:rPr>
        <w:t xml:space="preserve"> *</w:t>
      </w:r>
    </w:p>
    <w:p>
      <w:pPr>
        <w:spacing w:after="60" w:before="60"/>
        <w:ind w:left="360"/>
      </w:pPr>
      <w:r>
        <w:rPr>
          <w:color w:val="333333"/>
          <w:sz w:val="21"/>
          <w:szCs w:val="21"/>
        </w:rPr>
        <w:t xml:space="preserve">NitroDose Mapper: Turning the Critical Nitrogen Dilution Curve into Field-Ready Urea Prescriptions</w:t>
      </w:r>
    </w:p>
    <w:p>
      <w:pPr>
        <w:spacing w:after="120" w:before="360"/>
      </w:pPr>
      <w:r>
        <w:rPr>
          <w:b/>
          <w:bCs/>
          <w:sz w:val="22"/>
          <w:szCs w:val="22"/>
        </w:rPr>
        <w:t xml:space="preserve">14. Where is this problem most relevant? Specify countries, regions, production systems, or value chains as applicable.</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Most relevant to irrigated and semi-irrigated spring wheat where urea is applied in split doses, especially the Indo-Gangetic Plain of South Asia (India, Pakistan, Nepal, Bangladesh) and its rice–wheat system, where smallholdings dominate and uniform fertilizer doses are standard. Because the critical nitrogen dilution concept is used internationally for wheat and other cereals, the software can be adapted, with locally fitted curves, to wheat production in North Africa and the Middle East, East Africa, and Central Asia.</w:t>
      </w:r>
    </w:p>
    <w:p>
      <w:pPr>
        <w:spacing w:after="120" w:before="360"/>
      </w:pPr>
      <w:r>
        <w:rPr>
          <w:b/>
          <w:bCs/>
          <w:sz w:val="22"/>
          <w:szCs w:val="22"/>
        </w:rPr>
        <w:t xml:space="preserve">15. Describe your proposed solution, including what you propose to develop, how it works, the role of AI, intended users, and expected outcomes.</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NitroDose Mapper is a desktop software that tells farmers how much nitrogen and urea their wheat crop needs, and where in the field to apply it.
How it works: The user loads either plant test results from the lab (plant nitrogen and biomass) or drone images of the field. The software compares the crop's nitrogen with the amount the crop should have at that stage of growth.
Role of AI: Machine learning models read the drone images and estimate the crop's nitrogen status.
Users: Agronomists, extension officers, drone service providers and farmer groups (FPOs), who can deliver per-acre nitrogen advice as a low-cost service.
Expected outcomes: Each field gets a site-specific urea recommendation rather than a blanket dose, reducing over-application where the crop is already well-fed and boosting it where the crop is hungry.</w:t>
      </w:r>
    </w:p>
    <w:p>
      <w:pPr>
        <w:spacing w:after="120" w:before="360"/>
      </w:pPr>
      <w:r>
        <w:rPr>
          <w:b/>
          <w:bCs/>
          <w:sz w:val="22"/>
          <w:szCs w:val="22"/>
        </w:rPr>
        <w:t xml:space="preserve">16. What is the current stage of your solution?</w:t>
      </w:r>
      <w:r>
        <w:rPr>
          <w:b/>
          <w:bCs/>
          <w:color w:val="CC0000"/>
          <w:sz w:val="22"/>
          <w:szCs w:val="22"/>
        </w:rPr>
        <w:t xml:space="preserve"> *</w:t>
      </w:r>
    </w:p>
    <w:p>
      <w:pPr>
        <w:spacing w:after="40" w:before="40"/>
        <w:ind w:left="360"/>
      </w:pPr>
      <w:r>
        <w:rPr>
          <w:sz w:val="21"/>
          <w:szCs w:val="21"/>
        </w:rPr>
        <w:t xml:space="preserve">○  Idea / Concept</w:t>
      </w:r>
    </w:p>
    <w:p>
      <w:pPr>
        <w:spacing w:after="40" w:before="40"/>
        <w:ind w:left="360"/>
      </w:pPr>
      <w:r>
        <w:rPr>
          <w:sz w:val="21"/>
          <w:szCs w:val="21"/>
        </w:rPr>
        <w:t xml:space="preserve">○  Early-stage development</w:t>
      </w:r>
    </w:p>
    <w:p>
      <w:pPr>
        <w:spacing w:after="40" w:before="40"/>
        <w:ind w:left="360"/>
      </w:pPr>
      <w:r>
        <w:rPr>
          <w:sz w:val="21"/>
          <w:szCs w:val="21"/>
        </w:rPr>
        <w:t xml:space="preserve">○  Proof of concept</w:t>
      </w:r>
    </w:p>
    <w:p>
      <w:pPr>
        <w:spacing w:after="40" w:before="40"/>
        <w:ind w:left="360"/>
      </w:pPr>
      <w:r>
        <w:rPr>
          <w:sz w:val="21"/>
          <w:szCs w:val="21"/>
        </w:rPr>
        <w:t xml:space="preserve">○  Prototype</w:t>
      </w:r>
    </w:p>
    <w:p>
      <w:pPr>
        <w:spacing w:after="40" w:before="40"/>
        <w:ind w:left="360"/>
      </w:pPr>
      <w:r>
        <w:rPr>
          <w:sz w:val="21"/>
          <w:szCs w:val="21"/>
        </w:rPr>
        <w:t xml:space="preserve">◉  Tested prototype</w:t>
      </w:r>
    </w:p>
    <w:p>
      <w:pPr>
        <w:spacing w:after="40" w:before="40"/>
        <w:ind w:left="360"/>
      </w:pPr>
      <w:r>
        <w:rPr>
          <w:sz w:val="21"/>
          <w:szCs w:val="21"/>
        </w:rPr>
        <w:t xml:space="preserve">○  Existing solution to be adapted for the Hackathon</w:t>
      </w:r>
    </w:p>
    <w:p>
      <w:pPr>
        <w:spacing w:after="120" w:before="360"/>
      </w:pPr>
      <w:r>
        <w:rPr>
          <w:b/>
          <w:bCs/>
          <w:sz w:val="22"/>
          <w:szCs w:val="22"/>
        </w:rPr>
        <w:t xml:space="preserve">17. Briefly describe your proposed technical approach.</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NitroDose Mapper is a Python-based desktop application with a simple graphical interface for Windows. At its core is a critical nitrogen dilution curve fitted to our field data for Indian spring wheat. The software works in two modes. In laboratory mode, the user enters plant nitrogen concentration and biomass from field samples. In image mode, the user loads UAV multispectral or hyperspectral images; the software calculates vegetation indices from them, and a trained machine learning model (Random Forest) predicts the crop's nitrogen status. In both modes, the software calculates the Nitrogen Nutrition Index and classifies the crop as deficient, optimal or excess in nitrogen. It then converts the nitrogen deficit into a top-dress dose in kg N/ha, capped at a safe maximum, and into the equivalent amount of urea (46% N) in kg and bags. The outputs are NNI and nitrogen status maps, zone-wise prescription maps, and a printable summary for each field.</w:t>
      </w:r>
    </w:p>
    <w:p>
      <w:pPr>
        <w:spacing w:after="120" w:before="360"/>
      </w:pPr>
      <w:r>
        <w:rPr>
          <w:b/>
          <w:bCs/>
          <w:sz w:val="22"/>
          <w:szCs w:val="22"/>
        </w:rPr>
        <w:t xml:space="preserve">18. What data will your solution require?</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(1) Laboratory plant data: plant nitrogen concentration (e.g. by CHNS dry combustion) and above-ground dry biomass from field samples. (2) UAV imagery: multispectral (Blue, Green, Red, Red-Edge, NIR) or hyperspectral reflectance images, radiometrically calibrated, with georeferencing. (3) Crop information: variety, sowing date, growth stage and nitrogen already applied. (4) Field boundaries for prescription maps. (5) For fitting new dilution curves: multi-rate nitrogen experiment data (biomass and plant nitrogen at multiple growth stages under several nitrogen levels).</w:t>
      </w:r>
    </w:p>
    <w:p>
      <w:pPr>
        <w:spacing w:after="120" w:before="360"/>
      </w:pPr>
      <w:r>
        <w:rPr>
          <w:b/>
          <w:bCs/>
          <w:sz w:val="22"/>
          <w:szCs w:val="22"/>
        </w:rPr>
        <w:t xml:space="preserve">19. Are you interested in building your solution on or integrating it with the GI-AI4AFS Open Reference Architecture?</w:t>
      </w:r>
      <w:r>
        <w:rPr>
          <w:b/>
          <w:bCs/>
          <w:color w:val="CC0000"/>
          <w:sz w:val="22"/>
          <w:szCs w:val="22"/>
        </w:rPr>
        <w:t xml:space="preserve"> *</w:t>
      </w:r>
    </w:p>
    <w:p>
      <w:pPr>
        <w:spacing w:after="40" w:before="40"/>
        <w:ind w:left="360"/>
      </w:pPr>
      <w:r>
        <w:rPr>
          <w:sz w:val="21"/>
          <w:szCs w:val="21"/>
        </w:rPr>
        <w:t xml:space="preserve">◉  Yes</w:t>
      </w:r>
    </w:p>
    <w:p>
      <w:pPr>
        <w:spacing w:after="40" w:before="40"/>
        <w:ind w:left="360"/>
      </w:pPr>
      <w:r>
        <w:rPr>
          <w:sz w:val="21"/>
          <w:szCs w:val="21"/>
        </w:rPr>
        <w:t xml:space="preserve">○  Possibly – I would like to learn more</w:t>
      </w:r>
    </w:p>
    <w:p>
      <w:pPr>
        <w:spacing w:after="40" w:before="40"/>
        <w:ind w:left="360"/>
      </w:pPr>
      <w:r>
        <w:rPr>
          <w:sz w:val="21"/>
          <w:szCs w:val="21"/>
        </w:rPr>
        <w:t xml:space="preserve">○  No / Not applicable</w:t>
      </w:r>
    </w:p>
    <w:p>
      <w:pPr>
        <w:spacing w:after="120" w:before="360"/>
      </w:pPr>
      <w:r>
        <w:rPr>
          <w:b/>
          <w:bCs/>
          <w:sz w:val="22"/>
          <w:szCs w:val="22"/>
        </w:rPr>
        <w:t xml:space="preserve">20. Do you have any specific technical questions or support requirements regarding the GI-AI4AFS Open Reference Architecture?</w:t>
      </w:r>
    </w:p>
    <w:p>
      <w:pPr>
        <w:spacing w:after="60" w:before="60"/>
        <w:ind w:left="360"/>
      </w:pPr>
      <w:r>
        <w:rPr>
          <w:color w:val="333333"/>
          <w:sz w:val="21"/>
          <w:szCs w:val="21"/>
        </w:rPr>
        <w:t xml:space="preserve">Enter your answer</w:t>
      </w:r>
    </w:p>
    <w:p>
      <w:pPr>
        <w:spacing w:after="120" w:before="360"/>
      </w:pPr>
      <w:r>
        <w:rPr>
          <w:b/>
          <w:bCs/>
          <w:sz w:val="22"/>
          <w:szCs w:val="22"/>
        </w:rPr>
        <w:t xml:space="preserve">21. What impact could your solution create?</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For farmers: a urea dose based on the crop's actual nitrogen status rather than a fixed recommendation, so fertilizer is not wasted where the crop already has enough and deficient zones are corrected in time to protect yield.
Science to practice: puts a well-established crop-physiology diagnostic, the critical nitrogen dilution curve, into a tool that non-specialists can use in minutes.
Environment and climate: lower nitrous oxide, ammonia and nitrate losses, supporting lower-emission wheat and cleaner groundwater.
Fertilizer policy: field- and village-level nitrogen requirement data can support better Fertilizer supply-chain planning and subsidy targeting.</w:t>
      </w:r>
    </w:p>
    <w:p>
      <w:pPr>
        <w:spacing w:after="120" w:before="360"/>
      </w:pPr>
      <w:r>
        <w:rPr>
          <w:b/>
          <w:bCs/>
          <w:sz w:val="22"/>
          <w:szCs w:val="22"/>
        </w:rPr>
        <w:t xml:space="preserve">22. How will your solution benefit small and marginal farmers and/or other underserved actors in agri-food systems?</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Small farmers cannot do nitrogen calculations or use GIS software, and most cannot afford their own drone. NitroDose Mapper is designed to be used by the intermediaries who serve them: drone service providers, FPOs, KVKs and extension agents, who can offer nitrogen diagnosis as a low-cost service. The final output is not a scientific index but a simple instruction: how much urea to apply, in kg or bags, and where. At the hackathon, we will add plain-language advice in local languages that the intermediary can hand directly to the farmer.</w:t>
      </w:r>
    </w:p>
    <w:p>
      <w:pPr>
        <w:spacing w:after="120" w:before="360"/>
      </w:pPr>
      <w:r>
        <w:rPr>
          <w:b/>
          <w:bCs/>
          <w:sz w:val="22"/>
          <w:szCs w:val="22"/>
        </w:rPr>
        <w:t xml:space="preserve">23. How could the solution be scaled or replicated across other regions, countries, commodities, or value chains?</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Geographic: the dilution curve concept is used internationally; with the planned curve-fitting module, any region can fit its own curve from a standard nitrogen-rate trial and use the same software. Crops: the approach extends to other cereals with published dilution curves, such as rice and maize. Sensors: it accepts both multispectral and hyperspectral UAV imagery, and can be extended to satellite data for district-scale mapping. Users: one desktop tool can serve many farms through drone service providers and FPOs, and its data capability enables aggregation for district-scale monitoring.</w:t>
      </w:r>
    </w:p>
    <w:p>
      <w:pPr>
        <w:spacing w:after="120" w:before="360"/>
      </w:pPr>
      <w:r>
        <w:rPr>
          <w:b/>
          <w:bCs/>
          <w:sz w:val="22"/>
          <w:szCs w:val="22"/>
        </w:rPr>
        <w:t xml:space="preserve">24. How could the solution be sustained beyond the Hackathon?</w:t>
      </w:r>
      <w:r>
        <w:rPr>
          <w:b/>
          <w:bCs/>
          <w:color w:val="CC0000"/>
          <w:sz w:val="22"/>
          <w:szCs w:val="22"/>
        </w:rPr>
        <w:t xml:space="preserve"> *</w:t>
      </w:r>
    </w:p>
    <w:p>
      <w:pPr>
        <w:pBdr>
          <w:top w:val="single" w:color="CCCCCC" w:sz="1"/>
          <w:bottom w:val="single" w:color="CCCCCC" w:sz="1"/>
          <w:left w:val="single" w:color="CCCCCC" w:sz="1"/>
          <w:right w:val="single" w:color="CCCCCC" w:sz="1"/>
        </w:pBdr>
        <w:spacing w:after="120" w:before="60"/>
        <w:ind w:left="360" w:right="360"/>
      </w:pPr>
      <w:r>
        <w:rPr>
          <w:color w:val="333333"/>
          <w:sz w:val="20"/>
          <w:szCs w:val="20"/>
        </w:rPr>
        <w:t xml:space="preserve">(1) Research continuity: the software is part of ongoing PhD and institutional research at ICAR-IARI on precision nitrogen management, with further multi-season and multi-location validation planned. (2) Service model: drone service providers and FPOs can offer per-acre nitrogen diagnosis and prescription as a paid service. (3) Institutional adoption: training for KVKs, extension agencies and state agriculture departments to embed nitrogen diagnosis into fertilizer advisory services, furthered by the ICAR knowledge ecosystem. (4) Open-source release under a permissive licence, enabling adaptation by other research groups and AgriTech developers.</w:t>
      </w:r>
    </w:p>
    <w:p>
      <w:pPr>
        <w:pBdr>
          <w:bottom w:val="single" w:color="DDDDDD" w:sz="1"/>
        </w:pBdr>
        <w:spacing w:after="200" w:before="200"/>
      </w:pPr>
    </w:p>
    <w:p>
      <w:pPr>
        <w:spacing w:after="120" w:before="360"/>
      </w:pPr>
      <w:r>
        <w:rPr>
          <w:b/>
          <w:bCs/>
          <w:sz w:val="22"/>
          <w:szCs w:val="22"/>
        </w:rPr>
        <w:t xml:space="preserve">25. If selected, can you participate in the two-day International Hackathon Boot Camp in New Delhi, India?</w:t>
      </w:r>
      <w:r>
        <w:rPr>
          <w:b/>
          <w:bCs/>
          <w:color w:val="CC0000"/>
          <w:sz w:val="22"/>
          <w:szCs w:val="22"/>
        </w:rPr>
        <w:t xml:space="preserve"> *</w:t>
      </w:r>
    </w:p>
    <w:p>
      <w:pPr>
        <w:spacing w:after="40" w:before="40"/>
        <w:ind w:left="360"/>
      </w:pPr>
      <w:r>
        <w:rPr>
          <w:sz w:val="21"/>
          <w:szCs w:val="21"/>
        </w:rPr>
        <w:t xml:space="preserve">◉  Yes</w:t>
      </w:r>
    </w:p>
    <w:p>
      <w:pPr>
        <w:spacing w:after="40" w:before="40"/>
        <w:ind w:left="360"/>
      </w:pPr>
      <w:r>
        <w:rPr>
          <w:sz w:val="21"/>
          <w:szCs w:val="21"/>
        </w:rPr>
        <w:t xml:space="preserve">○  No</w:t>
      </w:r>
    </w:p>
    <w:p>
      <w:pPr>
        <w:spacing w:after="40" w:before="40"/>
        <w:ind w:left="360"/>
      </w:pPr>
      <w:r>
        <w:rPr>
          <w:sz w:val="21"/>
          <w:szCs w:val="21"/>
        </w:rPr>
        <w:t xml:space="preserve">○  Subject to travel / visa arrangements</w:t>
      </w:r>
    </w:p>
    <w:p>
      <w:pPr>
        <w:spacing w:after="120" w:before="360"/>
      </w:pPr>
      <w:r>
        <w:rPr>
          <w:b/>
          <w:bCs/>
          <w:sz w:val="22"/>
          <w:szCs w:val="22"/>
        </w:rPr>
        <w:t xml:space="preserve">26. Would you require a visa invitation or support letter?</w:t>
      </w:r>
      <w:r>
        <w:rPr>
          <w:b/>
          <w:bCs/>
          <w:color w:val="CC0000"/>
          <w:sz w:val="22"/>
          <w:szCs w:val="22"/>
        </w:rPr>
        <w:t xml:space="preserve"> *</w:t>
      </w:r>
    </w:p>
    <w:p>
      <w:pPr>
        <w:spacing w:after="40" w:before="40"/>
        <w:ind w:left="360"/>
      </w:pPr>
      <w:r>
        <w:rPr>
          <w:sz w:val="21"/>
          <w:szCs w:val="21"/>
        </w:rPr>
        <w:t xml:space="preserve">○  Yes</w:t>
      </w:r>
    </w:p>
    <w:p>
      <w:pPr>
        <w:spacing w:after="40" w:before="40"/>
        <w:ind w:left="360"/>
      </w:pPr>
      <w:r>
        <w:rPr>
          <w:sz w:val="21"/>
          <w:szCs w:val="21"/>
        </w:rPr>
        <w:t xml:space="preserve">◉  No</w:t>
      </w:r>
    </w:p>
    <w:p>
      <w:pPr>
        <w:spacing w:after="120" w:before="360"/>
      </w:pPr>
      <w:r>
        <w:rPr>
          <w:b/>
          <w:bCs/>
          <w:sz w:val="22"/>
          <w:szCs w:val="22"/>
        </w:rPr>
        <w:t xml:space="preserve">27. If remote participation becomes available, would you be interested?</w:t>
      </w:r>
      <w:r>
        <w:rPr>
          <w:b/>
          <w:bCs/>
          <w:color w:val="CC0000"/>
          <w:sz w:val="22"/>
          <w:szCs w:val="22"/>
        </w:rPr>
        <w:t xml:space="preserve"> *</w:t>
      </w:r>
    </w:p>
    <w:p>
      <w:pPr>
        <w:spacing w:after="40" w:before="40"/>
        <w:ind w:left="360"/>
      </w:pPr>
      <w:r>
        <w:rPr>
          <w:sz w:val="21"/>
          <w:szCs w:val="21"/>
        </w:rPr>
        <w:t xml:space="preserve">◉  Yes</w:t>
      </w:r>
    </w:p>
    <w:p>
      <w:pPr>
        <w:spacing w:after="40" w:before="40"/>
        <w:ind w:left="360"/>
      </w:pPr>
      <w:r>
        <w:rPr>
          <w:sz w:val="21"/>
          <w:szCs w:val="21"/>
        </w:rPr>
        <w:t xml:space="preserve">○  No</w:t>
      </w:r>
    </w:p>
    <w:p>
      <w:pPr>
        <w:pBdr>
          <w:bottom w:val="single" w:color="DDDDDD" w:sz="1"/>
        </w:pBdr>
        <w:spacing w:after="200" w:before="200"/>
      </w:pPr>
    </w:p>
    <w:p>
      <w:pPr>
        <w:spacing w:after="120" w:before="360"/>
      </w:pPr>
      <w:r>
        <w:rPr>
          <w:b/>
          <w:bCs/>
          <w:sz w:val="22"/>
          <w:szCs w:val="22"/>
        </w:rPr>
        <w:t xml:space="preserve">28. Applicant Declaration</w:t>
      </w:r>
      <w:r>
        <w:rPr>
          <w:b/>
          <w:bCs/>
          <w:color w:val="CC0000"/>
          <w:sz w:val="22"/>
          <w:szCs w:val="22"/>
        </w:rPr>
        <w:t xml:space="preserve"> *</w:t>
      </w:r>
    </w:p>
    <w:p>
      <w:pPr>
        <w:spacing w:after="40" w:before="40"/>
        <w:ind w:left="360"/>
      </w:pPr>
      <w:r>
        <w:rPr>
          <w:sz w:val="21"/>
          <w:szCs w:val="21"/>
        </w:rPr>
        <w:t xml:space="preserve">☑  I confirm that the information provided in this application is accurate.</w:t>
      </w:r>
    </w:p>
    <w:p>
      <w:pPr>
        <w:spacing w:after="40" w:before="40"/>
        <w:ind w:left="360"/>
      </w:pPr>
      <w:r>
        <w:rPr>
          <w:sz w:val="21"/>
          <w:szCs w:val="21"/>
        </w:rPr>
        <w:t xml:space="preserve">☑  I confirm that I am authorized to submit this application on behalf of the team, where applicable.</w:t>
      </w:r>
    </w:p>
    <w:p>
      <w:pPr>
        <w:spacing w:after="40" w:before="40"/>
        <w:ind w:left="360"/>
      </w:pPr>
      <w:r>
        <w:rPr>
          <w:sz w:val="21"/>
          <w:szCs w:val="21"/>
        </w:rPr>
        <w:t xml:space="preserve">☑  I understand that submission of an application does not guarantee selection.</w:t>
      </w:r>
    </w:p>
    <w:p>
      <w:pPr>
        <w:spacing w:after="40" w:before="40"/>
        <w:ind w:left="360"/>
      </w:pPr>
      <w:r>
        <w:rPr>
          <w:sz w:val="21"/>
          <w:szCs w:val="21"/>
        </w:rPr>
        <w:t xml:space="preserve">☑  I understand that selected participants will be expected to comply with the Hackathon rules and Code of Conduct.</w:t>
      </w:r>
    </w:p>
    <w:p>
      <w:pPr>
        <w:spacing w:after="40" w:before="40"/>
        <w:ind w:left="360"/>
      </w:pPr>
      <w:r>
        <w:rPr>
          <w:sz w:val="21"/>
          <w:szCs w:val="21"/>
        </w:rPr>
        <w:t xml:space="preserve">☑  I confirm that, to the best of my knowledge, the proposed submission does not infringe third-party intellectual property rights.</w:t>
      </w:r>
    </w:p>
    <w:p>
      <w:pPr>
        <w:spacing w:after="120" w:before="360"/>
      </w:pPr>
      <w:r>
        <w:rPr>
          <w:b/>
          <w:bCs/>
          <w:sz w:val="22"/>
          <w:szCs w:val="22"/>
        </w:rPr>
        <w:t xml:space="preserve">29. Open Licence Acknowledgement</w:t>
      </w:r>
      <w:r>
        <w:rPr>
          <w:b/>
          <w:bCs/>
          <w:color w:val="CC0000"/>
          <w:sz w:val="22"/>
          <w:szCs w:val="22"/>
        </w:rPr>
        <w:t xml:space="preserve"> *</w:t>
      </w:r>
    </w:p>
    <w:p>
      <w:pPr>
        <w:spacing w:after="40" w:before="40"/>
        <w:ind w:left="360"/>
      </w:pPr>
      <w:r>
        <w:rPr>
          <w:sz w:val="21"/>
          <w:szCs w:val="21"/>
        </w:rPr>
        <w:t xml:space="preserve">◉  I understand that solutions considered for piloting through the Global Initiative may be expected to be made available under an open licence, subject to applicable terms and agreements.</w:t>
      </w:r>
    </w:p>
    <w:p>
      <w:pPr>
        <w:spacing w:after="120" w:before="360"/>
      </w:pPr>
      <w:r>
        <w:rPr>
          <w:b/>
          <w:bCs/>
          <w:sz w:val="22"/>
          <w:szCs w:val="22"/>
        </w:rPr>
        <w:t xml:space="preserve">30. Data Privacy / Processing Consent</w:t>
      </w:r>
      <w:r>
        <w:rPr>
          <w:b/>
          <w:bCs/>
          <w:color w:val="CC0000"/>
          <w:sz w:val="22"/>
          <w:szCs w:val="22"/>
        </w:rPr>
        <w:t xml:space="preserve"> *</w:t>
      </w:r>
    </w:p>
    <w:p>
      <w:pPr>
        <w:spacing w:after="40" w:before="40"/>
        <w:ind w:left="360"/>
      </w:pPr>
      <w:r>
        <w:rPr>
          <w:sz w:val="21"/>
          <w:szCs w:val="21"/>
        </w:rPr>
        <w:t xml:space="preserve">◉  I acknowledge and consent to the processing of the information provided for the purposes of administering and evaluating this Hackathon application.</w:t>
      </w:r>
    </w:p>
    <w:p>
      <w:pPr>
        <w:spacing w:after="120" w:before="360"/>
      </w:pPr>
      <w:r>
        <w:rPr>
          <w:b/>
          <w:bCs/>
          <w:sz w:val="22"/>
          <w:szCs w:val="22"/>
        </w:rPr>
        <w:t xml:space="preserve">31. How did you hear about this Hackathon?</w:t>
      </w:r>
      <w:r>
        <w:rPr>
          <w:b/>
          <w:bCs/>
          <w:color w:val="CC0000"/>
          <w:sz w:val="22"/>
          <w:szCs w:val="22"/>
        </w:rPr>
        <w:t xml:space="preserve"> *</w:t>
      </w:r>
    </w:p>
    <w:p>
      <w:pPr>
        <w:spacing w:after="40" w:before="40"/>
        <w:ind w:left="360"/>
      </w:pPr>
      <w:r>
        <w:rPr>
          <w:sz w:val="21"/>
          <w:szCs w:val="21"/>
        </w:rPr>
        <w:t xml:space="preserve">○  ITU</w:t>
      </w:r>
    </w:p>
    <w:p>
      <w:pPr>
        <w:spacing w:after="40" w:before="40"/>
        <w:ind w:left="360"/>
      </w:pPr>
      <w:r>
        <w:rPr>
          <w:sz w:val="21"/>
          <w:szCs w:val="21"/>
        </w:rPr>
        <w:t xml:space="preserve">○  FAO</w:t>
      </w:r>
    </w:p>
    <w:p>
      <w:pPr>
        <w:spacing w:after="40" w:before="40"/>
        <w:ind w:left="360"/>
      </w:pPr>
      <w:r>
        <w:rPr>
          <w:sz w:val="21"/>
          <w:szCs w:val="21"/>
        </w:rPr>
        <w:t xml:space="preserve">○  IFAD</w:t>
      </w:r>
    </w:p>
    <w:p>
      <w:pPr>
        <w:spacing w:after="40" w:before="40"/>
        <w:ind w:left="360"/>
      </w:pPr>
      <w:r>
        <w:rPr>
          <w:sz w:val="21"/>
          <w:szCs w:val="21"/>
        </w:rPr>
        <w:t xml:space="preserve">○  WFP</w:t>
      </w:r>
    </w:p>
    <w:p>
      <w:pPr>
        <w:spacing w:after="40" w:before="40"/>
        <w:ind w:left="360"/>
      </w:pPr>
      <w:r>
        <w:rPr>
          <w:sz w:val="21"/>
          <w:szCs w:val="21"/>
        </w:rPr>
        <w:t xml:space="preserve">◉  ICAR</w:t>
      </w:r>
    </w:p>
    <w:p>
      <w:pPr>
        <w:spacing w:after="40" w:before="40"/>
        <w:ind w:left="360"/>
      </w:pPr>
      <w:r>
        <w:rPr>
          <w:sz w:val="21"/>
          <w:szCs w:val="21"/>
        </w:rPr>
        <w:t xml:space="preserve">○  GIZ</w:t>
      </w:r>
    </w:p>
    <w:p>
      <w:pPr>
        <w:spacing w:after="40" w:before="40"/>
        <w:ind w:left="360"/>
      </w:pPr>
      <w:r>
        <w:rPr>
          <w:sz w:val="21"/>
          <w:szCs w:val="21"/>
        </w:rPr>
        <w:t xml:space="preserve">○  Fraunhofer HHI</w:t>
      </w:r>
    </w:p>
    <w:p>
      <w:pPr>
        <w:spacing w:after="40" w:before="40"/>
        <w:ind w:left="360"/>
      </w:pPr>
      <w:r>
        <w:rPr>
          <w:sz w:val="21"/>
          <w:szCs w:val="21"/>
        </w:rPr>
        <w:t xml:space="preserve">○  Social media</w:t>
      </w:r>
    </w:p>
    <w:p>
      <w:pPr>
        <w:spacing w:after="40" w:before="40"/>
        <w:ind w:left="360"/>
      </w:pPr>
      <w:r>
        <w:rPr>
          <w:sz w:val="21"/>
          <w:szCs w:val="21"/>
        </w:rPr>
        <w:t xml:space="preserve">○  Professional network</w:t>
      </w:r>
    </w:p>
    <w:p>
      <w:pPr>
        <w:spacing w:after="120" w:before="360"/>
      </w:pPr>
      <w:r>
        <w:rPr>
          <w:b/>
          <w:bCs/>
          <w:sz w:val="22"/>
          <w:szCs w:val="22"/>
        </w:rPr>
        <w:t xml:space="preserve">32. Participants are encouraged to build on or integrate their solutions with the Global Initiative on AI for Agri-Food Systems (GI-AI4AFS) Open Reference Architecture, which provides a common technical foundation for developing interoperable and scalable AI-enabled solutions for agri-food systems. The Reference Architecture provides a framework through which solutions can connect as services, data sources, or applications, helping teams avoid rebuilding common infrastructure and enabling interoperability across different use cases, value chains, and geographies. Participants are encouraged to review the Reference Architecture documentation before submitting their application.</w:t>
      </w:r>
    </w:p>
    <w:p>
      <w:pPr>
        <w:spacing w:after="60" w:before="60"/>
        <w:ind w:left="360"/>
      </w:pPr>
      <w:r>
        <w:rPr>
          <w:sz w:val="20"/>
          <w:szCs w:val="20"/>
        </w:rPr>
        <w:t xml:space="preserve">Reference Architecture Documentation: </w:t>
      </w:r>
      <w:r>
        <w:rPr>
          <w:color w:val="0563C1"/>
          <w:sz w:val="20"/>
          <w:szCs w:val="20"/>
        </w:rPr>
        <w:t xml:space="preserve">https://nalamki.github.io</w:t>
      </w:r>
    </w:p>
    <w:p>
      <w:pPr>
        <w:spacing w:after="60" w:before="120"/>
        <w:ind w:left="360"/>
      </w:pPr>
      <w:r>
        <w:rPr>
          <w:b/>
          <w:bCs/>
          <w:sz w:val="20"/>
          <w:szCs w:val="20"/>
        </w:rPr>
        <w:t xml:space="preserve">I have read the information provided above. </w:t>
      </w:r>
      <w:r>
        <w:rPr>
          <w:b/>
          <w:bCs/>
          <w:color w:val="CC0000"/>
          <w:sz w:val="20"/>
          <w:szCs w:val="20"/>
        </w:rPr>
        <w:t xml:space="preserve">*</w:t>
      </w:r>
    </w:p>
    <w:p>
      <w:pPr>
        <w:spacing w:after="40" w:before="40"/>
        <w:ind w:left="360"/>
      </w:pPr>
      <w:r>
        <w:rPr>
          <w:sz w:val="21"/>
          <w:szCs w:val="21"/>
        </w:rPr>
        <w:t xml:space="preserve">◉  Yes</w:t>
      </w:r>
    </w:p>
    <w:p>
      <w:pPr>
        <w:spacing w:after="40" w:before="40"/>
        <w:ind w:left="360"/>
      </w:pPr>
      <w:r>
        <w:rPr>
          <w:sz w:val="21"/>
          <w:szCs w:val="21"/>
        </w:rPr>
        <w:t xml:space="preserve">○  No</w:t>
      </w:r>
    </w:p>
    <w:p>
      <w:pPr>
        <w:pBdr>
          <w:bottom w:val="single" w:color="DDDDDD" w:sz="1"/>
        </w:pBdr>
        <w:spacing w:after="200" w:before="200"/>
      </w:pPr>
    </w:p>
    <w:p>
      <w:pPr>
        <w:spacing w:after="60" w:before="200"/>
      </w:pPr>
      <w:r>
        <w:rPr>
          <w:i/>
          <w:iCs/>
          <w:color w:val="888888"/>
          <w:sz w:val="16"/>
          <w:szCs w:val="16"/>
        </w:rPr>
        <w:t xml:space="preserve">This content is created by the owner of the form. The data you submit will be sent to the form owner. Microsoft is not responsible for the privacy or security practices of its customers, including those of this form owner. Never give out your password.</w:t>
      </w:r>
    </w:p>
    <w:p>
      <w:pPr>
        <w:spacing w:after="60" w:before="60"/>
      </w:pPr>
      <w:r>
        <w:rPr>
          <w:b/>
          <w:bCs/>
          <w:color w:val="888888"/>
          <w:sz w:val="16"/>
          <w:szCs w:val="16"/>
        </w:rPr>
        <w:t xml:space="preserve">Microsoft Forms</w:t>
      </w:r>
      <w:r>
        <w:rPr>
          <w:color w:val="888888"/>
          <w:sz w:val="16"/>
          <w:szCs w:val="16"/>
        </w:rPr>
        <w:t xml:space="preserve"> | AI-Powered surveys, quizzes and polls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2026-10-04T08:28:54.639Z</dcterms:created>
  <dcterms:modified xsi:type="dcterms:W3CDTF">2026-10-04T08:28:54.650Z</dcterms:modified>
</cp:coreProperties>
</file>

<file path=docProps/custom.xml><?xml version="1.0" encoding="utf-8"?>
<Properties xmlns="http://schemas.openxmlformats.org/officeDocument/2006/custom-properties" xmlns:vt="http://schemas.openxmlformats.org/officeDocument/2006/docPropsVTypes"/>
</file>