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b/>
          <w:bCs/>
          <w:color w:val="1C7C78"/>
          <w:sz w:val="24"/>
          <w:szCs w:val="24"/>
        </w:rPr>
        <w:t xml:space="preserve">Experimental Protocol</w:t>
      </w:r>
    </w:p>
    <w:p>
      <w:pPr>
        <w:pStyle w:val="Title"/>
      </w:pPr>
      <w:r>
        <w:t xml:space="preserve">Multimodal sensing of white rust (Albugo candida) in mustard: glasshouse pot experiment</w:t>
      </w:r>
    </w:p>
    <w:p>
      <w:pPr>
        <w:spacing w:after="120"/>
      </w:pPr>
      <w:r>
        <w:rPr>
          <w:color w:val="4A5A5E"/>
        </w:rPr>
        <w:t xml:space="preserve">MuDAS-AI · ICAR-IARI · Version 1.0 (draft for supervisor review)</w:t>
      </w:r>
    </w:p>
    <w:p>
      <w:pPr>
        <w:spacing w:after="120"/>
      </w:pPr>
      <w:r>
        <w:rPr>
          <w:b/>
          <w:bCs/>
        </w:rPr>
        <w:t xml:space="preserve">Purpose of this document.</w:t>
      </w:r>
      <w:r>
        <w:t xml:space="preserve"> A step-by-step protocol for collecting RGB, multispectral, hyperspectral, thermal and chlorophyll-fluorescence data from inoculated and mock-inoculated mustard plants under glasshouse conditions, together with the reference measurements and data organisation needed for the existing analysis pipeline (Phases 1–3). Items marked </w:t>
      </w:r>
      <w:r>
        <w:rPr>
          <w:b/>
          <w:bCs/>
        </w:rPr>
        <w:t xml:space="preserve">[confirm]</w:t>
      </w:r>
      <w:r>
        <w:t xml:space="preserve"> must be agreed with the plant pathology co-supervisor or ICAR-DRMR guidelines before the experiment starts.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Early detection:</w:t>
      </w:r>
      <w:r>
        <w:t xml:space="preserve"> identify the first day after inoculation (dpi) at which each sensor separates inoculated from mock-inoculated plants, before visible symptoms (Mahlein et al., 2019; Terentev et al., 2023).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White rust signature:</w:t>
      </w:r>
      <w:r>
        <w:t xml:space="preserve"> describe the spectral and thermal response at leaf and plant level, on the </w:t>
      </w:r>
      <w:r>
        <w:rPr>
          <w:b/>
          <w:bCs/>
        </w:rPr>
        <w:t xml:space="preserve">upper and lower (abaxial) leaf surface</w:t>
      </w:r>
      <w:r>
        <w:t xml:space="preserve">, where pustules develop.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Physiological explanation:</w:t>
      </w:r>
      <w:r>
        <w:t xml:space="preserve"> relate sensor features to chlorophyll content, photosystem II efficiency (Fv/Fm) and transpiration.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Disease-specific features and sensor combinations:</w:t>
      </w:r>
      <w:r>
        <w:t xml:space="preserve"> apply Phase 1 (feature screening), Phase 2 (single-sensor ML-SFFS models) and Phase 3 (feature-level fusion).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Scale bridge:</w:t>
      </w:r>
      <w:r>
        <w:t xml:space="preserve"> compare glasshouse-selected features with UAV-selected features, and simulate MicaSense and Sentinel-2 bands from glasshouse hyperspectral data.</w:t>
      </w:r>
    </w:p>
    <w:p>
      <w:pPr>
        <w:pStyle w:val="Heading1"/>
        <w:spacing w:after="160" w:before="320"/>
      </w:pPr>
      <w:r>
        <w:t xml:space="preserve">2. Experimental design</w:t>
      </w:r>
    </w:p>
    <w:p>
      <w:pPr>
        <w:pStyle w:val="Heading2"/>
        <w:spacing w:after="120" w:before="240"/>
      </w:pPr>
      <w:r>
        <w:t xml:space="preserve">2.1 Treatments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337"/>
        <w:gridCol w:w="3373"/>
      </w:tblGrid>
      <w:tr>
        <w:trPr>
          <w:cantSplit/>
          <w:tblHeader/>
        </w:trPr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4337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Levels</w:t>
            </w:r>
          </w:p>
        </w:tc>
        <w:tc>
          <w:tcPr>
            <w:tcW w:type="dxa" w:w="337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Genotype</w:t>
            </w:r>
          </w:p>
        </w:tc>
        <w:tc>
          <w:tcPr>
            <w:tcW w:type="dxa" w:w="4337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 = susceptible B. juncea variety; R = resistant / tolerant variety [confirm varieties]</w:t>
            </w:r>
          </w:p>
        </w:tc>
        <w:tc>
          <w:tcPr>
            <w:tcW w:type="dxa" w:w="337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Separate the disease signal from genotype differences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Inoculation</w:t>
            </w:r>
          </w:p>
        </w:tc>
        <w:tc>
          <w:tcPr>
            <w:tcW w:type="dxa" w:w="4337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 = mock (sterile water, identical handling); I = inoculated with A. candida</w:t>
            </w:r>
          </w:p>
        </w:tc>
        <w:tc>
          <w:tcPr>
            <w:tcW w:type="dxa" w:w="337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Healthy reference on every measurement day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Inoculum dose (optional)</w:t>
            </w:r>
          </w:p>
        </w:tc>
        <w:tc>
          <w:tcPr>
            <w:tcW w:type="dxa" w:w="4337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Low / medium / high sporangial concentration</w:t>
            </w:r>
          </w:p>
        </w:tc>
        <w:tc>
          <w:tcPr>
            <w:tcW w:type="dxa" w:w="337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Creates a severity gradient for regression and severity classes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4337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 1, 2, 3, 4, 5, 6, 7, 8, 10, 12, 14, 21 dpi</w:t>
            </w:r>
          </w:p>
        </w:tc>
        <w:tc>
          <w:tcPr>
            <w:tcW w:type="dxa" w:w="337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Follows latent → symptomatic → severe stages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2.2 Replication and layout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Pots:</w:t>
      </w:r>
      <w:r>
        <w:t xml:space="preserve"> 15–20 cm diameter, </w:t>
      </w:r>
      <w:r>
        <w:rPr>
          <w:b/>
          <w:bCs/>
        </w:rPr>
        <w:t xml:space="preserve">one plant per pot</w:t>
      </w:r>
      <w:r>
        <w:t xml:space="preserve"> for imaging (three-plant pots are possible, with one tagged plant imaged).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Imaging pots:</w:t>
      </w:r>
      <w:r>
        <w:t xml:space="preserve"> 10 per genotype × inoculation combination = </w:t>
      </w:r>
      <w:r>
        <w:rPr>
          <w:b/>
          <w:bCs/>
        </w:rPr>
        <w:t xml:space="preserve">40 pots per run</w:t>
      </w:r>
      <w:r>
        <w:t xml:space="preserve"> (non-destructive, followed every day).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Destructive pots:</w:t>
      </w:r>
      <w:r>
        <w:t xml:space="preserve"> additional pots for pigments, microscopy and PCR, e.g. 3 pots per combination per sampling day [confirm sampling days].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Design:</w:t>
      </w:r>
      <w:r>
        <w:t xml:space="preserve"> randomised complete block design (RCBD) with 5 benches (blocks) of 8 pots; each block holds 2 pots of each combination (layout in Appendix 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Independent repetition:</w:t>
      </w:r>
      <w:r>
        <w:t xml:space="preserve"> run the whole experiment </w:t>
      </w:r>
      <w:r>
        <w:rPr>
          <w:b/>
          <w:bCs/>
        </w:rPr>
        <w:t xml:space="preserve">twice</w:t>
      </w:r>
      <w:r>
        <w:t xml:space="preserve">, at least two weeks apart, with a fresh inoculum batch. This allows training on run 1 and testing on run 2, and the reverse (Terentev et al., 2023).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Tagging:</w:t>
      </w:r>
      <w:r>
        <w:t xml:space="preserve"> label every pot (P01–P40) and tag two leaves per plant (e.g. leaves 3 and 4 from the base) with a coloured thread. The same leaves are measured every day.</w:t>
      </w:r>
    </w:p>
    <w:p>
      <w:pPr>
        <w:pStyle w:val="Heading2"/>
        <w:spacing w:after="120" w:before="240"/>
      </w:pPr>
      <w:r>
        <w:t xml:space="preserve">2.3 Growth conditions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/ night temperature about </w:t>
      </w:r>
      <w:r>
        <w:rPr>
          <w:b/>
          <w:bCs/>
        </w:rPr>
        <w:t xml:space="preserve">20 / 15 °C</w:t>
      </w:r>
      <w:r>
        <w:t xml:space="preserve">; relative humidity 60–70 %; photoperiod 12–14 h [confirm with glasshouse facility].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Same potting mix, irrigation and fertiliser for all pots; </w:t>
      </w:r>
      <w:r>
        <w:rPr>
          <w:b/>
          <w:bCs/>
        </w:rPr>
        <w:t xml:space="preserve">no fungicide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b/>
          <w:bCs/>
        </w:rPr>
        <w:t xml:space="preserve">temperature / RH data logger</w:t>
      </w:r>
      <w:r>
        <w:t xml:space="preserve"> at plant height, recording every 5–10 min for the whole experiment.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Rotate pot positions within each block after each measurement day, or keep the layout fixed and record bench effects; state which in the methods.</w:t>
      </w:r>
    </w:p>
    <w:p>
      <w:pPr>
        <w:pStyle w:val="Heading1"/>
        <w:spacing w:after="160" w:before="320"/>
      </w:pPr>
      <w:r>
        <w:t xml:space="preserve">3. Inoculation protocol</w:t>
      </w:r>
    </w:p>
    <w:p>
      <w:pPr>
        <w:spacing w:after="120"/>
      </w:pPr>
      <w:r>
        <w:rPr>
          <w:i/>
          <w:iCs/>
          <w:color w:val="4A5A5E"/>
          <w:sz w:val="18"/>
          <w:szCs w:val="18"/>
        </w:rPr>
        <w:t xml:space="preserve">General practice for white rust of crucifers; adjust dose, timing and incubation to the lab's standard procedure [confirm] (Saharan et al., 2014; ICAR-DRMR guidelines).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Plant stage:</w:t>
      </w:r>
      <w:r>
        <w:t xml:space="preserve"> inoculate at the 3–4 true-leaf stage (record the date as 0 dpi).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Inoculum:</w:t>
      </w:r>
      <w:r>
        <w:t xml:space="preserve"> collect fresh sporangia from infected mustard leaves (field isolate or maintained culture); record source and date.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Zoospore release:</w:t>
      </w:r>
      <w:r>
        <w:t xml:space="preserve"> suspend sporangia in sterile distilled water and keep at about 10–15 °C for a few hours.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Concentration:</w:t>
      </w:r>
      <w:r>
        <w:t xml:space="preserve"> count with a haemocytometer and adjust (commonly in the order of 10⁴–10⁵ sporangia per mL) [confirm]. Record the exact value for each run.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Application:</w:t>
      </w:r>
      <w:r>
        <w:t xml:space="preserve"> apply the suspension to </w:t>
      </w:r>
      <w:r>
        <w:rPr>
          <w:b/>
          <w:bCs/>
        </w:rPr>
        <w:t xml:space="preserve">both leaf surfaces</w:t>
      </w:r>
      <w:r>
        <w:t xml:space="preserve"> of the tagged leaves (drop inoculation or fine atomiser). Mock plants receive sterile water applied in the same way.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Incubation:</w:t>
      </w:r>
      <w:r>
        <w:t xml:space="preserve"> keep inoculated and mock plants at near-saturated humidity, in darkness, at about 15–20 °C for 24–48 h (humid chamber or polythene cover).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Return</w:t>
      </w:r>
      <w:r>
        <w:t xml:space="preserve"> plants to the benches in the randomised layout. Record the first day of visible symptoms on each plant.</w:t>
      </w:r>
    </w:p>
    <w:p>
      <w:pPr>
        <w:pStyle w:val="Heading1"/>
        <w:spacing w:after="160" w:before="320"/>
      </w:pPr>
      <w:r>
        <w:t xml:space="preserve">4. Sensors and data capture</w:t>
      </w:r>
    </w:p>
    <w:p>
      <w:pPr>
        <w:pStyle w:val="Heading2"/>
        <w:spacing w:after="120" w:before="240"/>
      </w:pPr>
      <w:r>
        <w:t xml:space="preserve">4.1 Sensor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313"/>
        <w:gridCol w:w="3084"/>
        <w:gridCol w:w="2506"/>
      </w:tblGrid>
      <w:tr>
        <w:trPr>
          <w:cantSplit/>
          <w:tblHeader/>
        </w:trPr>
        <w:tc>
          <w:tcPr>
            <w:tcW w:type="dxa" w:w="173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Sensor</w:t>
            </w:r>
          </w:p>
        </w:tc>
        <w:tc>
          <w:tcPr>
            <w:tcW w:type="dxa" w:w="231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 instrument</w:t>
            </w:r>
          </w:p>
        </w:tc>
        <w:tc>
          <w:tcPr>
            <w:tcW w:type="dxa" w:w="308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Set-up</w:t>
            </w:r>
          </w:p>
        </w:tc>
        <w:tc>
          <w:tcPr>
            <w:tcW w:type="dxa" w:w="250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Main outputs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RGB</w:t>
            </w:r>
          </w:p>
        </w:tc>
        <w:tc>
          <w:tcPr>
            <w:tcW w:type="dxa" w:w="231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DSLR / mirrorless or phenotyping camera</w:t>
            </w:r>
          </w:p>
        </w:tc>
        <w:tc>
          <w:tcPr>
            <w:tcW w:type="dxa" w:w="308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Nadir + side view; fixed distance; colour checker in every image</w:t>
            </w:r>
          </w:p>
        </w:tc>
        <w:tc>
          <w:tcPr>
            <w:tcW w:type="dxa" w:w="250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Colour indices, texture, % pustule area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Multispectral</w:t>
            </w:r>
          </w:p>
        </w:tc>
        <w:tc>
          <w:tcPr>
            <w:tcW w:type="dxa" w:w="231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Same MicaSense camera as the UAV</w:t>
            </w:r>
          </w:p>
        </w:tc>
        <w:tc>
          <w:tcPr>
            <w:tcW w:type="dxa" w:w="308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Tripod / gantry, nadir, about 1–1.5 m; reflectance panel; band co-registration</w:t>
            </w:r>
          </w:p>
        </w:tc>
        <w:tc>
          <w:tcPr>
            <w:tcW w:type="dxa" w:w="250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Same indices as the UAV (NDVI, NDRE, CIre…)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Hyperspectral imaging</w:t>
            </w:r>
          </w:p>
        </w:tc>
        <w:tc>
          <w:tcPr>
            <w:tcW w:type="dxa" w:w="231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Push-broom (e.g. Specim FX10 on linear stage) or snapshot (e.g. Cubert, Specim IQ)</w:t>
            </w:r>
          </w:p>
        </w:tc>
        <w:tc>
          <w:tcPr>
            <w:tcW w:type="dxa" w:w="308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Dark box, halogen lamps, white and dark reference</w:t>
            </w:r>
          </w:p>
        </w:tc>
        <w:tc>
          <w:tcPr>
            <w:tcW w:type="dxa" w:w="250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Pixel spectra 400–1000 nm; indices, derivatives, SPA bands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Thermal</w:t>
            </w:r>
          </w:p>
        </w:tc>
        <w:tc>
          <w:tcPr>
            <w:tcW w:type="dxa" w:w="231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Radiometric FLIR camera</w:t>
            </w:r>
          </w:p>
        </w:tc>
        <w:tc>
          <w:tcPr>
            <w:tcW w:type="dxa" w:w="308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Nadir; equilibrated plants; wet and dry references</w:t>
            </w:r>
          </w:p>
        </w:tc>
        <w:tc>
          <w:tcPr>
            <w:tcW w:type="dxa" w:w="250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Leaf T, ΔT, MTD, CWSI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Chlorophyll fluorescence imaging</w:t>
            </w:r>
          </w:p>
        </w:tc>
        <w:tc>
          <w:tcPr>
            <w:tcW w:type="dxa" w:w="231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PAM imager (e.g. FluorCam, Imaging-PAM)</w:t>
            </w:r>
          </w:p>
        </w:tc>
        <w:tc>
          <w:tcPr>
            <w:tcW w:type="dxa" w:w="308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20–30 min dark adaptation; saturating pulse</w:t>
            </w:r>
          </w:p>
        </w:tc>
        <w:tc>
          <w:tcPr>
            <w:tcW w:type="dxa" w:w="250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Fv/Fm, ΦPSII, NPQ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Leaf spectroradiometer (optional)</w:t>
            </w:r>
          </w:p>
        </w:tc>
        <w:tc>
          <w:tcPr>
            <w:tcW w:type="dxa" w:w="231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ASD FieldSpec with leaf clip</w:t>
            </w:r>
          </w:p>
        </w:tc>
        <w:tc>
          <w:tcPr>
            <w:tcW w:type="dxa" w:w="308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Upper and lower surface; 3–5 spots per leaf</w:t>
            </w:r>
          </w:p>
        </w:tc>
        <w:tc>
          <w:tcPr>
            <w:tcW w:type="dxa" w:w="250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High-quality leaf spectra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4.2 Fixed measurement order on every imaging day</w:t>
      </w:r>
    </w:p>
    <w:p>
      <w:pPr>
        <w:spacing w:after="120"/>
      </w:pPr>
      <w:r>
        <w:t xml:space="preserve">Use the same order and the same time window (e.g. 09:00–12:00) every day, because handling and lamps change leaf temperature and stomatal behaviour.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Thermal</w:t>
      </w:r>
      <w:r>
        <w:t xml:space="preserve"> (plants undisturbed, before any lamps or handling).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RGB</w:t>
      </w:r>
      <w:r>
        <w:t xml:space="preserve"> (with colour checker).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Multispectral</w:t>
      </w:r>
      <w:r>
        <w:t xml:space="preserve"> (with reflectance panel).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Hyperspectral</w:t>
      </w:r>
      <w:r>
        <w:t xml:space="preserve">: whole plant top view, then tagged leaves (upper and lower surface).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Leaf spectroradiometer, SPAD / Dualex</w:t>
      </w:r>
      <w:r>
        <w:t xml:space="preserve"> on tagged leaves.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Dark adaptation 20–30 min</w:t>
      </w:r>
      <w:r>
        <w:t xml:space="preserve">, then </w:t>
      </w:r>
      <w:r>
        <w:rPr>
          <w:b/>
          <w:bCs/>
        </w:rPr>
        <w:t xml:space="preserve">chlorophyll fluorescence</w:t>
      </w:r>
      <w:r>
        <w:t xml:space="preserve"> imaging.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Visual disease scoring</w:t>
      </w:r>
      <w:r>
        <w:t xml:space="preserve"> (both leaf surfaces).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Destructive sampling</w:t>
      </w:r>
      <w:r>
        <w:t xml:space="preserve"> (separate destructive pots only).</w:t>
      </w:r>
    </w:p>
    <w:p>
      <w:pPr>
        <w:pStyle w:val="Heading2"/>
        <w:spacing w:after="120" w:before="240"/>
      </w:pPr>
      <w:r>
        <w:t xml:space="preserve">4.3 Sensor-specific procedures</w:t>
      </w:r>
    </w:p>
    <w:p>
      <w:pPr>
        <w:pStyle w:val="Heading3"/>
        <w:spacing w:after="100" w:before="180"/>
      </w:pPr>
      <w:r>
        <w:t xml:space="preserve">Thermal imaging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Move plants to the imaging position </w:t>
      </w:r>
      <w:r>
        <w:rPr>
          <w:b/>
          <w:bCs/>
        </w:rPr>
        <w:t xml:space="preserve">at least 30 min before</w:t>
      </w:r>
      <w:r>
        <w:t xml:space="preserve"> imaging; avoid drafts, direct sun and lamps (Jones, 2004).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emissivity </w:t>
      </w:r>
      <w:r>
        <w:rPr>
          <w:b/>
          <w:bCs/>
        </w:rPr>
        <w:t xml:space="preserve">0.95–0.98</w:t>
      </w:r>
      <w:r>
        <w:t xml:space="preserve">; record air temperature and RH at the time of each image.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Include </w:t>
      </w:r>
      <w:r>
        <w:rPr>
          <w:b/>
          <w:bCs/>
        </w:rPr>
        <w:t xml:space="preserve">reference surfaces</w:t>
      </w:r>
      <w:r>
        <w:t xml:space="preserve"> in the field of view: a wet reference (wet filter paper or a leaf sprayed with water) and a dry reference (a leaf coated with petroleum jelly), for CWSI (Leinonen &amp; Jones, 2004).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Features: mean leaf temperature; </w:t>
      </w:r>
      <w:r>
        <w:rPr>
          <w:b/>
          <w:bCs/>
        </w:rPr>
        <w:t xml:space="preserve">ΔT = T_air − T_leaf</w:t>
      </w:r>
      <w:r>
        <w:t xml:space="preserve">; </w:t>
      </w:r>
      <w:r>
        <w:rPr>
          <w:b/>
          <w:bCs/>
        </w:rPr>
        <w:t xml:space="preserve">MTD = maximum − minimum temperature within a leaf</w:t>
      </w:r>
      <w:r>
        <w:t xml:space="preserve"> (Oerke et al., 2006; Mahlein et al., 2019); standard deviation and percentiles.</w:t>
      </w:r>
    </w:p>
    <w:p>
      <w:pPr>
        <w:pStyle w:val="Heading3"/>
        <w:spacing w:after="100" w:before="180"/>
      </w:pPr>
      <w:r>
        <w:t xml:space="preserve">RGB imaging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Fixed height, manual exposure and white balance; colour checker in every frame.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Tagged leaves are also imaged flat on a matt background, </w:t>
      </w:r>
      <w:r>
        <w:rPr>
          <w:b/>
          <w:bCs/>
        </w:rPr>
        <w:t xml:space="preserve">upper and lower surface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Features: chromatic coordinates (r, g, b), ExG, VARI, GLI, GLCM texture, and </w:t>
      </w:r>
      <w:r>
        <w:rPr>
          <w:b/>
          <w:bCs/>
        </w:rPr>
        <w:t xml:space="preserve">% pustule area</w:t>
      </w:r>
      <w:r>
        <w:t xml:space="preserve"> from segmentation of white pustules (objective severity measure).</w:t>
      </w:r>
    </w:p>
    <w:p>
      <w:pPr>
        <w:pStyle w:val="Heading3"/>
        <w:spacing w:after="100" w:before="180"/>
      </w:pPr>
      <w:r>
        <w:t xml:space="preserve">Multispectral imaging (MicaSense)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Nadir at about 1–1.5 m; photograph the reflectance panel at the start and end of each session; keep illumination constant.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 close range the five lenses are offset (parallax): </w:t>
      </w:r>
      <w:r>
        <w:rPr>
          <w:b/>
          <w:bCs/>
        </w:rPr>
        <w:t xml:space="preserve">co-register the bands</w:t>
      </w:r>
      <w:r>
        <w:t xml:space="preserve"> before computing indices.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Compute the </w:t>
      </w:r>
      <w:r>
        <w:rPr>
          <w:b/>
          <w:bCs/>
        </w:rPr>
        <w:t xml:space="preserve">same indices as the UAV pipeline</w:t>
      </w:r>
      <w:r>
        <w:t xml:space="preserve">, so glasshouse and field features can be compared directly.</w:t>
      </w:r>
    </w:p>
    <w:p>
      <w:pPr>
        <w:pStyle w:val="Heading3"/>
        <w:spacing w:after="100" w:before="180"/>
      </w:pPr>
      <w:r>
        <w:t xml:space="preserve">Hyperspectral imaging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Dark imaging box with </w:t>
      </w:r>
      <w:r>
        <w:rPr>
          <w:b/>
          <w:bCs/>
        </w:rPr>
        <w:t xml:space="preserve">halogen lamps</w:t>
      </w:r>
      <w:r>
        <w:t xml:space="preserve"> (continuous VNIR spectrum) at about 45° from two sides; warm up the lamps for 15–20 min (Thomas et al., 2018).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White reference</w:t>
      </w:r>
      <w:r>
        <w:t xml:space="preserve"> (≥ 95 % reflectance panel) and </w:t>
      </w:r>
      <w:r>
        <w:rPr>
          <w:b/>
          <w:bCs/>
        </w:rPr>
        <w:t xml:space="preserve">dark reference</w:t>
      </w:r>
      <w:r>
        <w:t xml:space="preserve"> (lens cap) at the start of each session and every 20–30 min. Reflectance R = (raw − dark) / (white − dark).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camera distance, focus, integration time and spectral binning identical on all days.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Image the </w:t>
      </w:r>
      <w:r>
        <w:rPr>
          <w:b/>
          <w:bCs/>
        </w:rPr>
        <w:t xml:space="preserve">whole plant (top view)</w:t>
      </w:r>
      <w:r>
        <w:t xml:space="preserve"> and the </w:t>
      </w:r>
      <w:r>
        <w:rPr>
          <w:b/>
          <w:bCs/>
        </w:rPr>
        <w:t xml:space="preserve">tagged leaves laid flat, upper and lower surface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Processing: remove noisy edge bands, Savitzky–Golay smoothing, leaf mask (NDVI threshold), SNV for geometry effects. At this resolution pustules are visible, so </w:t>
      </w:r>
      <w:r>
        <w:rPr>
          <w:b/>
          <w:bCs/>
        </w:rPr>
        <w:t xml:space="preserve">pixels can be annotated</w:t>
      </w:r>
      <w:r>
        <w:t xml:space="preserve"> (healthy, chlorotic, pustule) for pixel-level models (Bohnenkamp et al., 2019; Behmann et al., 2018).</w:t>
      </w:r>
    </w:p>
    <w:p>
      <w:pPr>
        <w:pStyle w:val="Heading3"/>
        <w:spacing w:after="100" w:before="180"/>
      </w:pPr>
      <w:r>
        <w:t xml:space="preserve">Chlorophyll fluorescence imaging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Dark-adapt plants or leaves for </w:t>
      </w:r>
      <w:r>
        <w:rPr>
          <w:b/>
          <w:bCs/>
        </w:rPr>
        <w:t xml:space="preserve">20–30 min</w:t>
      </w:r>
      <w:r>
        <w:t xml:space="preserve">; measure F0 and Fm with a saturating pulse → </w:t>
      </w:r>
      <w:r>
        <w:rPr>
          <w:b/>
          <w:bCs/>
        </w:rPr>
        <w:t xml:space="preserve">Fv/Fm</w:t>
      </w:r>
      <w:r>
        <w:t xml:space="preserve"> (Maxwell &amp; Johnson, 2000).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Light-adapted protocol (actinic light) → </w:t>
      </w:r>
      <w:r>
        <w:rPr>
          <w:b/>
          <w:bCs/>
        </w:rPr>
        <w:t xml:space="preserve">ΦPSII (Y(II)), NPQ, qP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Features: leaf means and </w:t>
      </w:r>
      <w:r>
        <w:rPr>
          <w:b/>
          <w:bCs/>
        </w:rPr>
        <w:t xml:space="preserve">% leaf area with Fv/Fm below 0.75</w:t>
      </w:r>
      <w:r>
        <w:t xml:space="preserve"> (early stress patches) (Rousseau et al., 2013).</w:t>
      </w:r>
    </w:p>
    <w:p>
      <w:pPr>
        <w:pStyle w:val="Heading3"/>
        <w:spacing w:after="100" w:before="180"/>
      </w:pPr>
      <w:r>
        <w:t xml:space="preserve">Leaf spectroradiometer (optional)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Leaf clip with internal light source; 3–5 spots per leaf on </w:t>
      </w:r>
      <w:r>
        <w:rPr>
          <w:b/>
          <w:bCs/>
        </w:rPr>
        <w:t xml:space="preserve">both surfaces</w:t>
      </w:r>
      <w:r>
        <w:t xml:space="preserve">, avoiding the midrib; white reference every 10 readings (Tian et al., 2021; Zhang et al., 2012).</w:t>
      </w:r>
    </w:p>
    <w:p>
      <w:pPr>
        <w:pStyle w:val="Heading1"/>
        <w:spacing w:after="160" w:before="320"/>
      </w:pPr>
      <w:r>
        <w:t xml:space="preserve">5. Reference (ground-truth) measurements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3855"/>
        <w:gridCol w:w="2409"/>
      </w:tblGrid>
      <w:tr>
        <w:trPr>
          <w:cantSplit/>
          <w:tblHeader/>
        </w:trPr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85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240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Visual disease severity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 imaging day</w:t>
            </w:r>
          </w:p>
        </w:tc>
        <w:tc>
          <w:tcPr>
            <w:tcW w:type="dxa" w:w="385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% symptomatic leaf area on both surfaces per tagged leaf; plant grade on the 0–5 scale (Appendix D)</w:t>
            </w:r>
          </w:p>
        </w:tc>
        <w:tc>
          <w:tcPr>
            <w:tcW w:type="dxa" w:w="240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 labels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Disease index (DI)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 imaging day</w:t>
            </w:r>
          </w:p>
        </w:tc>
        <w:tc>
          <w:tcPr>
            <w:tcW w:type="dxa" w:w="385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 = Σ(grade × number of leaves) / (total leaves × maximum grade) × 100 (McKinney, 1923)</w:t>
            </w:r>
          </w:p>
        </w:tc>
        <w:tc>
          <w:tcPr>
            <w:tcW w:type="dxa" w:w="240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Same index as the field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Image-based pustule %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 imaging day</w:t>
            </w:r>
          </w:p>
        </w:tc>
        <w:tc>
          <w:tcPr>
            <w:tcW w:type="dxa" w:w="385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Segmentation of RGB / hyperspectral leaf images</w:t>
            </w:r>
          </w:p>
        </w:tc>
        <w:tc>
          <w:tcPr>
            <w:tcW w:type="dxa" w:w="240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Objective cross-check of visual scores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Chlorophyll (non-destructive)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 imaging day</w:t>
            </w:r>
          </w:p>
        </w:tc>
        <w:tc>
          <w:tcPr>
            <w:tcW w:type="dxa" w:w="385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SPAD-502 or Dualex (chlorophyll, flavonols, anthocyanins)</w:t>
            </w:r>
          </w:p>
        </w:tc>
        <w:tc>
          <w:tcPr>
            <w:tcW w:type="dxa" w:w="240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Explain spectral changes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Pigments (destructive)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Selected days</w:t>
            </w:r>
          </w:p>
        </w:tc>
        <w:tc>
          <w:tcPr>
            <w:tcW w:type="dxa" w:w="385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Acetone or ethanol extraction → Chl a, Chl b, carotenoids (Lichtenthaler &amp; Buschmann, 2001)</w:t>
            </w:r>
          </w:p>
        </w:tc>
        <w:tc>
          <w:tcPr>
            <w:tcW w:type="dxa" w:w="240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Validate pigment indices (PSSR, CARI, MCARI)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Gas exchange (optional)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Selected days</w:t>
            </w:r>
          </w:p>
        </w:tc>
        <w:tc>
          <w:tcPr>
            <w:tcW w:type="dxa" w:w="385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Portable photosynthesis system: Pn, gs, E</w:t>
            </w:r>
          </w:p>
        </w:tc>
        <w:tc>
          <w:tcPr>
            <w:tcW w:type="dxa" w:w="240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Explain the thermal response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Relative water content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Selected days</w:t>
            </w:r>
          </w:p>
        </w:tc>
        <w:tc>
          <w:tcPr>
            <w:tcW w:type="dxa" w:w="385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Fresh, turgid and dry weight</w:t>
            </w:r>
          </w:p>
        </w:tc>
        <w:tc>
          <w:tcPr>
            <w:tcW w:type="dxa" w:w="240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Water-related indices (WI, NDWI)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Latent infection check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1–6 dpi</w:t>
            </w:r>
          </w:p>
        </w:tc>
        <w:tc>
          <w:tcPr>
            <w:tcW w:type="dxa" w:w="385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Microscopy of stained leaf discs, or PCR / qPCR for A. candida [confirm assay]</w:t>
            </w:r>
          </w:p>
        </w:tc>
        <w:tc>
          <w:tcPr>
            <w:tcW w:type="dxa" w:w="240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Prove infection before symptoms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Environment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Continuous</w:t>
            </w:r>
          </w:p>
        </w:tc>
        <w:tc>
          <w:tcPr>
            <w:tcW w:type="dxa" w:w="385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 logger: air T, RH, light</w:t>
            </w:r>
          </w:p>
        </w:tc>
        <w:tc>
          <w:tcPr>
            <w:tcW w:type="dxa" w:w="240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Thermal normalisation and reproducibility</w:t>
            </w:r>
          </w:p>
        </w:tc>
      </w:tr>
    </w:tbl>
    <w:p>
      <w:pPr>
        <w:pStyle w:val="Heading1"/>
        <w:spacing w:after="160" w:before="320"/>
      </w:pPr>
      <w:r>
        <w:t xml:space="preserve">6. Measurement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928"/>
        <w:gridCol w:w="1446"/>
        <w:gridCol w:w="1349"/>
        <w:gridCol w:w="1638"/>
        <w:gridCol w:w="1639"/>
      </w:tblGrid>
      <w:tr>
        <w:trPr>
          <w:cantSplit/>
          <w:tblHeader/>
        </w:trPr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 (dpi)</w:t>
            </w:r>
          </w:p>
        </w:tc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Imaging (all sensors)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 score / DI</w:t>
            </w:r>
          </w:p>
        </w:tc>
        <w:tc>
          <w:tcPr>
            <w:tcW w:type="dxa" w:w="134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SPAD / Dualex</w:t>
            </w:r>
          </w:p>
        </w:tc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Destructive sampling</w:t>
            </w:r>
          </w:p>
        </w:tc>
        <w:tc>
          <w:tcPr>
            <w:tcW w:type="dxa" w:w="163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Latent-infection check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−1 (baseline)</w:t>
            </w:r>
          </w:p>
        </w:tc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63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(inoculation)</w:t>
            </w:r>
          </w:p>
        </w:tc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 (before inoculation)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4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3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1, 2, 3</w:t>
            </w:r>
          </w:p>
        </w:tc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Day 2</w:t>
            </w:r>
          </w:p>
        </w:tc>
        <w:tc>
          <w:tcPr>
            <w:tcW w:type="dxa" w:w="163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4, 5, 6</w:t>
            </w:r>
          </w:p>
        </w:tc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Day 5</w:t>
            </w:r>
          </w:p>
        </w:tc>
        <w:tc>
          <w:tcPr>
            <w:tcW w:type="dxa" w:w="163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7, 8</w:t>
            </w:r>
          </w:p>
        </w:tc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3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63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12, 14</w:t>
            </w:r>
          </w:p>
        </w:tc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Day 14</w:t>
            </w:r>
          </w:p>
        </w:tc>
        <w:tc>
          <w:tcPr>
            <w:tcW w:type="dxa" w:w="163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 (final)</w:t>
            </w:r>
          </w:p>
        </w:tc>
        <w:tc>
          <w:tcPr>
            <w:tcW w:type="dxa" w:w="19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63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63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  <w:color w:val="4A5A5E"/>
          <w:sz w:val="18"/>
          <w:szCs w:val="18"/>
        </w:rPr>
        <w:t xml:space="preserve">Destructive days are suggestions; choose them so that the latent, first-symptom and severe stages are each sampled at least once [confirm].</w:t>
      </w:r>
    </w:p>
    <w:p>
      <w:pPr>
        <w:pStyle w:val="Heading1"/>
        <w:spacing w:after="160" w:before="320"/>
      </w:pPr>
      <w:r>
        <w:t xml:space="preserve">7. Data organisation</w:t>
      </w:r>
    </w:p>
    <w:p>
      <w:pPr>
        <w:pStyle w:val="Heading2"/>
        <w:spacing w:after="120" w:before="240"/>
      </w:pPr>
      <w:r>
        <w:t xml:space="preserve">7.1 File naming</w:t>
      </w:r>
    </w:p>
    <w:p>
      <w:pPr>
        <w:spacing w:after="120"/>
      </w:pPr>
      <w:r>
        <w:t xml:space="preserve">run{1|2}/dpi{NN}/{sensor}/{genotype}_{treatment}_{pot}_{leaf}_{side}.{ext}</w:t>
      </w:r>
    </w:p>
    <w:p>
      <w:pPr>
        <w:spacing w:after="120"/>
      </w:pPr>
      <w:r>
        <w:t xml:space="preserve">Example: run1/dpi05/HS/S_I_P07_L3_abaxial.hdr</w:t>
      </w:r>
    </w:p>
    <w:p>
      <w:pPr>
        <w:pStyle w:val="Heading2"/>
        <w:spacing w:after="120" w:before="240"/>
      </w:pPr>
      <w:r>
        <w:t xml:space="preserve">7.2 Feature table (one row per plant or tagged leaf per day)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 group</w:t>
            </w:r>
          </w:p>
        </w:tc>
        <w:tc>
          <w:tcPr>
            <w:tcW w:type="dxa" w:w="72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Identifiers</w:t>
            </w:r>
          </w:p>
        </w:tc>
        <w:tc>
          <w:tcPr>
            <w:tcW w:type="dxa" w:w="72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run, pot_id, block, genotype, treatment, dose, dpi, leaf, side, date, time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Labels</w:t>
            </w:r>
          </w:p>
        </w:tc>
        <w:tc>
          <w:tcPr>
            <w:tcW w:type="dxa" w:w="72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DI, severity class (0–5), pustule %, first-symptom day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Physiology</w:t>
            </w:r>
          </w:p>
        </w:tc>
        <w:tc>
          <w:tcPr>
            <w:tcW w:type="dxa" w:w="72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SPAD, Dualex Chl / Flav / Anth, Fv/Fm, ΦPSII, NPQ, pigments, RWC, Pn, gs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Sensor features</w:t>
            </w:r>
          </w:p>
        </w:tc>
        <w:tc>
          <w:tcPr>
            <w:tcW w:type="dxa" w:w="72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RGB_*, MS_*, HS_*, TIR_*, CF_* (same prefixes as the UAV pipeline)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Environment</w:t>
            </w:r>
          </w:p>
        </w:tc>
        <w:tc>
          <w:tcPr>
            <w:tcW w:type="dxa" w:w="7228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T_air, RH at imaging time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Sample unit:</w:t>
      </w:r>
      <w:r>
        <w:t xml:space="preserve"> plant × day (plant models) or leaf × day (leaf models).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Group for cross-validation:</w:t>
      </w:r>
      <w:r>
        <w:t xml:space="preserve"> pot (all days of a pot are correlated); </w:t>
      </w:r>
      <w:r>
        <w:rPr>
          <w:b/>
          <w:bCs/>
        </w:rPr>
        <w:t xml:space="preserve">run</w:t>
      </w:r>
      <w:r>
        <w:t xml:space="preserve"> for the cross-run test.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 up raw data daily to two locations; keep a session metadata sheet (Appendix C) for every day.</w:t>
      </w:r>
    </w:p>
    <w:p>
      <w:pPr>
        <w:pStyle w:val="Heading1"/>
        <w:spacing w:after="160" w:before="320"/>
      </w:pPr>
      <w:r>
        <w:t xml:space="preserve">8. Analysis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819"/>
        <w:gridCol w:w="2699"/>
      </w:tblGrid>
      <w:tr>
        <w:trPr>
          <w:cantSplit/>
          <w:tblHeader/>
        </w:trPr>
        <w:tc>
          <w:tcPr>
            <w:tcW w:type="dxa" w:w="21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81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9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Early-detection test</w:t>
            </w:r>
          </w:p>
        </w:tc>
        <w:tc>
          <w:tcPr>
            <w:tcW w:type="dxa" w:w="481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Inoculated vs mock within genotype and day: Mann–Whitney or Welch t-test with FDR; mixed model feature ~ treatment × dpi + (1 | pot)</w:t>
            </w:r>
          </w:p>
        </w:tc>
        <w:tc>
          <w:tcPr>
            <w:tcW w:type="dxa" w:w="269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Earliest dpi detected by each feature and sensor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Phase 1: disease-specific features</w:t>
            </w:r>
          </w:p>
        </w:tc>
        <w:tc>
          <w:tcPr>
            <w:tcW w:type="dxa" w:w="481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Kruskal–Wallis + FDR, JM distance, ReliefF, Boruta, stability</w:t>
            </w:r>
          </w:p>
        </w:tc>
        <w:tc>
          <w:tcPr>
            <w:tcW w:type="dxa" w:w="269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Disease-specific feature list per sensor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Phase 2: single-sensor models</w:t>
            </w:r>
          </w:p>
        </w:tc>
        <w:tc>
          <w:tcPr>
            <w:tcW w:type="dxa" w:w="481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VIF / SPA → ML-SFFS → RF, SVM, KNN; binary (per dpi) and severity classes</w:t>
            </w:r>
          </w:p>
        </w:tc>
        <w:tc>
          <w:tcPr>
            <w:tcW w:type="dxa" w:w="269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Best features and model per sensor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Phase 3: fusion</w:t>
            </w:r>
          </w:p>
        </w:tc>
        <w:tc>
          <w:tcPr>
            <w:tcW w:type="dxa" w:w="481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Concatenate selected features → VIF → SFFS → models; 15 combinations of RGB, MS, HS, TIR (+ fluorescence as a lab-only modality)</w:t>
            </w:r>
          </w:p>
        </w:tc>
        <w:tc>
          <w:tcPr>
            <w:tcW w:type="dxa" w:w="269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Best sensor combination and earliest fused detection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481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Nested CV grouped by pot; cross-run test (train run 1 → test run 2, and reverse)</w:t>
            </w:r>
          </w:p>
        </w:tc>
        <w:tc>
          <w:tcPr>
            <w:tcW w:type="dxa" w:w="269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Unbiased accuracy, transfer between runs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Pixel level (optional)</w:t>
            </w:r>
          </w:p>
        </w:tc>
        <w:tc>
          <w:tcPr>
            <w:tcW w:type="dxa" w:w="481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Annotated hyperspectral / RGB pixels → pixel classifier or U-Net</w:t>
            </w:r>
          </w:p>
        </w:tc>
        <w:tc>
          <w:tcPr>
            <w:tcW w:type="dxa" w:w="269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Pustule and chlorosis maps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Scale bridge</w:t>
            </w:r>
          </w:p>
        </w:tc>
        <w:tc>
          <w:tcPr>
            <w:tcW w:type="dxa" w:w="481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Resample hyperspectral to MicaSense and Sentinel-2 bands; compare glasshouse and UAV feature sets</w:t>
            </w:r>
          </w:p>
        </w:tc>
        <w:tc>
          <w:tcPr>
            <w:tcW w:type="dxa" w:w="269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Transferability across scales</w:t>
            </w:r>
          </w:p>
        </w:tc>
      </w:tr>
    </w:tbl>
    <w:p>
      <w:pPr>
        <w:pStyle w:val="Heading1"/>
        <w:spacing w:after="160" w:before="320"/>
      </w:pPr>
      <w:r>
        <w:t xml:space="preserve">9. Pre-experiment checklist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Varieties, inoculum dose and incubation conditions confirmed with the co-supervisor.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Calibration targets ready: reflectance panels, colour checker, white and dark references, thermal wet / dry references.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Imaging distances marked; camera settings written down and fixed.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Measurement order and daily time window agreed by all operators.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Mock plants handled exactly like inoculated plants (same humid chamber).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Pots labelled P01–P40; tagged leaves marked; layout (Appendix A) placed on benches.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Data logger installed and recording.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Daily data sheets (Appendix B) and session sheets (Appendix C) printed.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Storage for raw data with daily backup (two copies).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Dates for the second independent run reserved.</w:t>
      </w:r>
    </w:p>
    <w:p>
      <w:pPr>
        <w:pStyle w:val="Heading1"/>
        <w:spacing w:after="160" w:before="320"/>
      </w:pPr>
      <w:r>
        <w:t xml:space="preserve">10. Limitations to report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Controlled light and geometry give higher accuracy than in the field; test transfer to UAV data before generalising.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Chlorophyll fluorescence imaging needs dark adaptation and active light, so it cannot be used from a UAV; use it to explain physiology, with PRI as the field proxy.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Young potted plants differ from field canopies (no flowering, less leaf overlap); features may change at canopy scale.</w:t>
      </w:r>
    </w:p>
    <w:p>
      <w:pPr>
        <w:pStyle w:val="Heading1"/>
        <w:spacing w:after="160" w:before="320"/>
      </w:pPr>
      <w:r>
        <w:t xml:space="preserve">References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Behmann, J., et al. (2018). Specim IQ: evaluation of a new, miniaturized handheld hyperspectral camera and its application for plant phenotyping and disease detection. Sensors, 18(2), 441. https://doi.org/10.3390/s18020441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Bohnenkamp, D., Behmann, J., &amp; Mahlein, A.-K. (2019). In-field detection of yellow rust in wheat on the ground canopy and UAV scale. Remote Sensing, 11(21), 2495. https://doi.org/10.3390/rs11212495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Jones, H. G. (2004). Application of thermal imaging and infrared sensing in plant physiology and ecophysiology. Advances in Botanical Research, 41, 107–163. https://doi.org/10.1016/S0065-2296(04)41003-9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Leinonen, I., &amp; Jones, H. G. (2004). Combining thermal and visible imagery for estimating canopy temperature and identifying plant stress. Journal of Experimental Botany, 55(401), 1423–1431. https://doi.org/10.1093/jxb/erh146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Lichtenthaler, H. K., &amp; Buschmann, C. (2001). Chlorophylls and carotenoids: measurement and characterization by UV-VIS spectroscopy. Current Protocols in Food Analytical Chemistry, F4.3.1–F4.3.8. https://doi.org/10.1002/0471142913.faf0403s01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Mahlein, A.-K. (2016). Plant disease detection by imaging sensors – parallels and specific demands for precision agriculture and plant phenotyping. Plant Disease, 100(2), 241–251. https://doi.org/10.1094/PDIS-03-15-0340-FE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Mahlein, A.-K., Alisaac, E., Al Masri, A., Behmann, J., Dehne, H.-W., &amp; Oerke, E.-C. (2019). Comparison and combination of thermal, fluorescence, and hyperspectral imaging for monitoring Fusarium head blight of wheat on spikelet scale. Sensors, 19(10), 2281. https://doi.org/10.3390/s19102281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Maxwell, K., &amp; Johnson, G. N. (2000). Chlorophyll fluorescence — a practical guide. Journal of Experimental Botany, 51(345), 659–668. https://doi.org/10.1093/jexbot/51.345.659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McKinney, H. H. (1923). Influence of soil temperature and moisture on infection of wheat seedlings by Helminthosporium sativum. Journal of Agricultural Research, 26, 195–218.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Mustafa, G., et al. (2023). Fusarium head blight monitoring in wheat ears using machine learning and multimodal data from asymptomatic to symptomatic periods. Frontiers in Plant Science, 13, 1102341. https://doi.org/10.3389/fpls.2022.1102341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Oerke, E.-C., Steiner, U., Dehne, H.-W., &amp; Lindenthal, M. (2006). Thermal imaging of cucumber leaves affected by downy mildew and environmental conditions. Journal of Experimental Botany, 57(9), 2121–2132. https://doi.org/10.1093/jxb/erj170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Rousseau, C., et al. (2013). High throughput quantitative phenotyping of plant resistance using chlorophyll fluorescence image analysis. Plant Methods, 9, 17. https://doi.org/10.1186/1746-4811-9-17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Saharan, G. S., Verma, P. R., Meena, P. D., &amp; Kumar, A. (2014). White Rust of Crucifers: Biology, Ecology and Management. Springer, New Delhi.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Terentev, A., et al. (2023). Hyperspectral remote sensing for early detection of wheat leaf rust caused by Puccinia triticina. Agriculture, 13(6), 1186. https://doi.org/10.3390/agriculture13061186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Thomas, S., Kuska, M. T., Bohnenkamp, D., et al. (2018). Benefits of hyperspectral imaging for plant disease detection and plant protection: a technical perspective. Journal of Plant Diseases and Protection, 125, 5–20. https://doi.org/10.1007/s41348-017-0124-6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Tian, L., et al. (2021). Spectroscopic detection of rice leaf blast infection from asymptomatic to mild stages with integrated machine learning and feature selection. Remote Sensing of Environment, 257, 112350. https://doi.org/10.1016/j.rse.2021.112350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Zarco-Tejada, P. J., et al. (2018). Previsual symptoms of Xylella fastidiosa infection revealed in spectral plant-trait alterations. Nature Plants, 4, 432–439. https://doi.org/10.1038/s41477-018-0189-7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Zhang, J.-C., Pu, R., Wang, J., Huang, W., Yuan, L., &amp; Luo, J. (2012). Detecting powdery mildew of winter wheat using leaf level hyperspectral measurements. Computers and Electronics in Agriculture, 85, 13–23. https://doi.org/10.1016/j.compag.2012.03.006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Zhu, H., et al. (2017). Hyperspectral imaging for presymptomatic detection of tobacco disease with successive projections algorithm and machine-learning classifiers. Scientific Reports, 7, 4125. https://doi.org/10.1038/s41598-017-04501-2</w:t>
      </w:r>
    </w:p>
    <w:p>
      <w:pPr>
        <w:spacing w:after="120"/>
      </w:pPr>
      <w:r>
        <w:rPr>
          <w:i/>
          <w:iCs/>
          <w:color w:val="4A5A5E"/>
          <w:sz w:val="18"/>
          <w:szCs w:val="18"/>
        </w:rPr>
        <w:t xml:space="preserve">Verify volume, page and DOI details of all references before submission; those not taken from the papers provided were compiled from memory.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Appendix A. Randomised pot layout (one run)</w:t>
      </w:r>
    </w:p>
    <w:p>
      <w:pPr>
        <w:spacing w:after="120"/>
      </w:pPr>
      <w:r>
        <w:t xml:space="preserve">RCBD: 5 benches (blocks) × 8 positions = 40 imaging pots. Each block contains 2 pots of each combination. Codes: </w:t>
      </w:r>
      <w:r>
        <w:rPr>
          <w:b/>
          <w:bCs/>
        </w:rPr>
        <w:t xml:space="preserve">S</w:t>
      </w:r>
      <w:r>
        <w:t xml:space="preserve"> = susceptible, </w:t>
      </w:r>
      <w:r>
        <w:rPr>
          <w:b/>
          <w:bCs/>
        </w:rPr>
        <w:t xml:space="preserve">R</w:t>
      </w:r>
      <w:r>
        <w:t xml:space="preserve"> = resistant genotype; </w:t>
      </w:r>
      <w:r>
        <w:rPr>
          <w:b/>
          <w:bCs/>
        </w:rPr>
        <w:t xml:space="preserve">M</w:t>
      </w:r>
      <w:r>
        <w:t xml:space="preserve"> = mock, </w:t>
      </w:r>
      <w:r>
        <w:rPr>
          <w:b/>
          <w:bCs/>
        </w:rPr>
        <w:t xml:space="preserve">I</w:t>
      </w:r>
      <w:r>
        <w:t xml:space="preserve"> = inoculated. Generated with a fixed random seed; re-randomise for run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060"/>
        <w:gridCol w:w="1060"/>
        <w:gridCol w:w="1060"/>
        <w:gridCol w:w="1060"/>
        <w:gridCol w:w="1060"/>
        <w:gridCol w:w="1060"/>
        <w:gridCol w:w="1060"/>
        <w:gridCol w:w="1061"/>
      </w:tblGrid>
      <w:tr>
        <w:trPr>
          <w:cantSplit/>
          <w:tblHeader/>
        </w:trPr>
        <w:tc>
          <w:tcPr>
            <w:tcW w:type="dxa" w:w="1157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Bench / block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 1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 2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 3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 4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 5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 6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 7</w:t>
            </w:r>
          </w:p>
        </w:tc>
        <w:tc>
          <w:tcPr>
            <w:tcW w:type="dxa" w:w="1061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 8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Block 1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P01</w:t>
            </w:r>
          </w:p>
          <w:p>
            <w:r>
              <w:rPr>
                <w:sz w:val="18"/>
                <w:szCs w:val="18"/>
              </w:rPr>
              <w:t xml:space="preserve">R-M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P02</w:t>
            </w:r>
          </w:p>
          <w:p>
            <w:r>
              <w:rPr>
                <w:sz w:val="18"/>
                <w:szCs w:val="18"/>
              </w:rPr>
              <w:t xml:space="preserve">S-I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P03</w:t>
            </w:r>
          </w:p>
          <w:p>
            <w:r>
              <w:rPr>
                <w:sz w:val="18"/>
                <w:szCs w:val="18"/>
              </w:rPr>
              <w:t xml:space="preserve">S-M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P04</w:t>
            </w:r>
          </w:p>
          <w:p>
            <w:r>
              <w:rPr>
                <w:sz w:val="18"/>
                <w:szCs w:val="18"/>
              </w:rPr>
              <w:t xml:space="preserve">S-M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P05</w:t>
            </w:r>
          </w:p>
          <w:p>
            <w:r>
              <w:rPr>
                <w:sz w:val="18"/>
                <w:szCs w:val="18"/>
              </w:rPr>
              <w:t xml:space="preserve">S-I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P06</w:t>
            </w:r>
          </w:p>
          <w:p>
            <w:r>
              <w:rPr>
                <w:sz w:val="18"/>
                <w:szCs w:val="18"/>
              </w:rPr>
              <w:t xml:space="preserve">R-I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P07</w:t>
            </w:r>
          </w:p>
          <w:p>
            <w:r>
              <w:rPr>
                <w:sz w:val="18"/>
                <w:szCs w:val="18"/>
              </w:rPr>
              <w:t xml:space="preserve">R-M</w:t>
            </w:r>
          </w:p>
        </w:tc>
        <w:tc>
          <w:tcPr>
            <w:tcW w:type="dxa" w:w="1061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P08</w:t>
            </w:r>
          </w:p>
          <w:p>
            <w:r>
              <w:rPr>
                <w:sz w:val="18"/>
                <w:szCs w:val="18"/>
              </w:rPr>
              <w:t xml:space="preserve">R-I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Block 2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P09</w:t>
            </w:r>
          </w:p>
          <w:p>
            <w:r>
              <w:rPr>
                <w:sz w:val="18"/>
                <w:szCs w:val="18"/>
              </w:rPr>
              <w:t xml:space="preserve">R-I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P10</w:t>
            </w:r>
          </w:p>
          <w:p>
            <w:r>
              <w:rPr>
                <w:sz w:val="18"/>
                <w:szCs w:val="18"/>
              </w:rPr>
              <w:t xml:space="preserve">S-M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P11</w:t>
            </w:r>
          </w:p>
          <w:p>
            <w:r>
              <w:rPr>
                <w:sz w:val="18"/>
                <w:szCs w:val="18"/>
              </w:rPr>
              <w:t xml:space="preserve">S-I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P12</w:t>
            </w:r>
          </w:p>
          <w:p>
            <w:r>
              <w:rPr>
                <w:sz w:val="18"/>
                <w:szCs w:val="18"/>
              </w:rPr>
              <w:t xml:space="preserve">R-I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  <w:p>
            <w:r>
              <w:rPr>
                <w:sz w:val="18"/>
                <w:szCs w:val="18"/>
              </w:rPr>
              <w:t xml:space="preserve">S-I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P14</w:t>
            </w:r>
          </w:p>
          <w:p>
            <w:r>
              <w:rPr>
                <w:sz w:val="18"/>
                <w:szCs w:val="18"/>
              </w:rPr>
              <w:t xml:space="preserve">S-M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P15</w:t>
            </w:r>
          </w:p>
          <w:p>
            <w:r>
              <w:rPr>
                <w:sz w:val="18"/>
                <w:szCs w:val="18"/>
              </w:rPr>
              <w:t xml:space="preserve">R-M</w:t>
            </w:r>
          </w:p>
        </w:tc>
        <w:tc>
          <w:tcPr>
            <w:tcW w:type="dxa" w:w="1061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P16</w:t>
            </w:r>
          </w:p>
          <w:p>
            <w:r>
              <w:rPr>
                <w:sz w:val="18"/>
                <w:szCs w:val="18"/>
              </w:rPr>
              <w:t xml:space="preserve">R-M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Block 3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P17</w:t>
            </w:r>
          </w:p>
          <w:p>
            <w:r>
              <w:rPr>
                <w:sz w:val="18"/>
                <w:szCs w:val="18"/>
              </w:rPr>
              <w:t xml:space="preserve">R-I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P18</w:t>
            </w:r>
          </w:p>
          <w:p>
            <w:r>
              <w:rPr>
                <w:sz w:val="18"/>
                <w:szCs w:val="18"/>
              </w:rPr>
              <w:t xml:space="preserve">R-I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P19</w:t>
            </w:r>
          </w:p>
          <w:p>
            <w:r>
              <w:rPr>
                <w:sz w:val="18"/>
                <w:szCs w:val="18"/>
              </w:rPr>
              <w:t xml:space="preserve">S-M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P20</w:t>
            </w:r>
          </w:p>
          <w:p>
            <w:r>
              <w:rPr>
                <w:sz w:val="18"/>
                <w:szCs w:val="18"/>
              </w:rPr>
              <w:t xml:space="preserve">S-I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P21</w:t>
            </w:r>
          </w:p>
          <w:p>
            <w:r>
              <w:rPr>
                <w:sz w:val="18"/>
                <w:szCs w:val="18"/>
              </w:rPr>
              <w:t xml:space="preserve">S-M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P22</w:t>
            </w:r>
          </w:p>
          <w:p>
            <w:r>
              <w:rPr>
                <w:sz w:val="18"/>
                <w:szCs w:val="18"/>
              </w:rPr>
              <w:t xml:space="preserve">R-M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P23</w:t>
            </w:r>
          </w:p>
          <w:p>
            <w:r>
              <w:rPr>
                <w:sz w:val="18"/>
                <w:szCs w:val="18"/>
              </w:rPr>
              <w:t xml:space="preserve">R-M</w:t>
            </w:r>
          </w:p>
        </w:tc>
        <w:tc>
          <w:tcPr>
            <w:tcW w:type="dxa" w:w="1061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P24</w:t>
            </w:r>
          </w:p>
          <w:p>
            <w:r>
              <w:rPr>
                <w:sz w:val="18"/>
                <w:szCs w:val="18"/>
              </w:rPr>
              <w:t xml:space="preserve">S-I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Block 4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P25</w:t>
            </w:r>
          </w:p>
          <w:p>
            <w:r>
              <w:rPr>
                <w:sz w:val="18"/>
                <w:szCs w:val="18"/>
              </w:rPr>
              <w:t xml:space="preserve">S-I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P26</w:t>
            </w:r>
          </w:p>
          <w:p>
            <w:r>
              <w:rPr>
                <w:sz w:val="18"/>
                <w:szCs w:val="18"/>
              </w:rPr>
              <w:t xml:space="preserve">R-I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P27</w:t>
            </w:r>
          </w:p>
          <w:p>
            <w:r>
              <w:rPr>
                <w:sz w:val="18"/>
                <w:szCs w:val="18"/>
              </w:rPr>
              <w:t xml:space="preserve">S-M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P28</w:t>
            </w:r>
          </w:p>
          <w:p>
            <w:r>
              <w:rPr>
                <w:sz w:val="18"/>
                <w:szCs w:val="18"/>
              </w:rPr>
              <w:t xml:space="preserve">R-I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P29</w:t>
            </w:r>
          </w:p>
          <w:p>
            <w:r>
              <w:rPr>
                <w:sz w:val="18"/>
                <w:szCs w:val="18"/>
              </w:rPr>
              <w:t xml:space="preserve">S-M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P30</w:t>
            </w:r>
          </w:p>
          <w:p>
            <w:r>
              <w:rPr>
                <w:sz w:val="18"/>
                <w:szCs w:val="18"/>
              </w:rPr>
              <w:t xml:space="preserve">R-M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P31</w:t>
            </w:r>
          </w:p>
          <w:p>
            <w:r>
              <w:rPr>
                <w:sz w:val="18"/>
                <w:szCs w:val="18"/>
              </w:rPr>
              <w:t xml:space="preserve">S-I</w:t>
            </w:r>
          </w:p>
        </w:tc>
        <w:tc>
          <w:tcPr>
            <w:tcW w:type="dxa" w:w="1061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P32</w:t>
            </w:r>
          </w:p>
          <w:p>
            <w:r>
              <w:rPr>
                <w:sz w:val="18"/>
                <w:szCs w:val="18"/>
              </w:rPr>
              <w:t xml:space="preserve">R-M</w:t>
            </w:r>
          </w:p>
        </w:tc>
      </w:tr>
      <w:tr>
        <w:trPr>
          <w:cantSplit/>
          <w:tblHeader w:val="false"/>
        </w:trPr>
        <w:tc>
          <w:tcPr>
            <w:tcW w:type="dxa" w:w="1157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Block 5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P33</w:t>
            </w:r>
          </w:p>
          <w:p>
            <w:r>
              <w:rPr>
                <w:sz w:val="18"/>
                <w:szCs w:val="18"/>
              </w:rPr>
              <w:t xml:space="preserve">S-I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P34</w:t>
            </w:r>
          </w:p>
          <w:p>
            <w:r>
              <w:rPr>
                <w:sz w:val="18"/>
                <w:szCs w:val="18"/>
              </w:rPr>
              <w:t xml:space="preserve">S-M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P35</w:t>
            </w:r>
          </w:p>
          <w:p>
            <w:r>
              <w:rPr>
                <w:sz w:val="18"/>
                <w:szCs w:val="18"/>
              </w:rPr>
              <w:t xml:space="preserve">R-M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P36</w:t>
            </w:r>
          </w:p>
          <w:p>
            <w:r>
              <w:rPr>
                <w:sz w:val="18"/>
                <w:szCs w:val="18"/>
              </w:rPr>
              <w:t xml:space="preserve">S-I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P37</w:t>
            </w:r>
          </w:p>
          <w:p>
            <w:r>
              <w:rPr>
                <w:sz w:val="18"/>
                <w:szCs w:val="18"/>
              </w:rPr>
              <w:t xml:space="preserve">S-M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P38</w:t>
            </w:r>
          </w:p>
          <w:p>
            <w:r>
              <w:rPr>
                <w:sz w:val="18"/>
                <w:szCs w:val="18"/>
              </w:rPr>
              <w:t xml:space="preserve">R-I</w:t>
            </w:r>
          </w:p>
        </w:tc>
        <w:tc>
          <w:tcPr>
            <w:tcW w:type="dxa" w:w="106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P39</w:t>
            </w:r>
          </w:p>
          <w:p>
            <w:r>
              <w:rPr>
                <w:sz w:val="18"/>
                <w:szCs w:val="18"/>
              </w:rPr>
              <w:t xml:space="preserve">R-M</w:t>
            </w:r>
          </w:p>
        </w:tc>
        <w:tc>
          <w:tcPr>
            <w:tcW w:type="dxa" w:w="1061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P40</w:t>
            </w:r>
          </w:p>
          <w:p>
            <w:r>
              <w:rPr>
                <w:sz w:val="18"/>
                <w:szCs w:val="18"/>
              </w:rPr>
              <w:t xml:space="preserve">R-I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Destructive-sampling pots are placed in a separate, equally randomised block on the same bench system.</w:t>
      </w:r>
    </w:p>
    <w:p>
      <w:pPr>
        <w:pStyle w:val="Heading1"/>
        <w:spacing w:after="160" w:before="320"/>
      </w:pPr>
      <w:r>
        <w:t xml:space="preserve">Appendix D. Severity scale and disease index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410"/>
        <w:gridCol w:w="5782"/>
      </w:tblGrid>
      <w:tr>
        <w:trPr>
          <w:cantSplit/>
          <w:tblHeader/>
        </w:trPr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241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5782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Symptomatic leaf area (both surfaces)</w:t>
            </w:r>
          </w:p>
        </w:tc>
      </w:tr>
      <w:tr>
        <w:trPr>
          <w:cantSplit/>
          <w:tblHeader w:val="false"/>
        </w:trPr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Healthy</w:t>
            </w:r>
          </w:p>
        </w:tc>
        <w:tc>
          <w:tcPr>
            <w:tcW w:type="dxa" w:w="5782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0 %</w:t>
            </w:r>
          </w:p>
        </w:tc>
      </w:tr>
      <w:tr>
        <w:trPr>
          <w:cantSplit/>
          <w:tblHeader w:val="false"/>
        </w:trPr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1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Very low</w:t>
            </w:r>
          </w:p>
        </w:tc>
        <w:tc>
          <w:tcPr>
            <w:tcW w:type="dxa" w:w="5782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1–5 %</w:t>
            </w:r>
          </w:p>
        </w:tc>
      </w:tr>
      <w:tr>
        <w:trPr>
          <w:cantSplit/>
          <w:tblHeader w:val="false"/>
        </w:trPr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1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5782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6–10 %</w:t>
            </w:r>
          </w:p>
        </w:tc>
      </w:tr>
      <w:tr>
        <w:trPr>
          <w:cantSplit/>
          <w:tblHeader w:val="false"/>
        </w:trPr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1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Moderate</w:t>
            </w:r>
          </w:p>
        </w:tc>
        <w:tc>
          <w:tcPr>
            <w:tcW w:type="dxa" w:w="5782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11–25 %</w:t>
            </w:r>
          </w:p>
        </w:tc>
      </w:tr>
      <w:tr>
        <w:trPr>
          <w:cantSplit/>
          <w:tblHeader w:val="false"/>
        </w:trPr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1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5782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26–50 %</w:t>
            </w:r>
          </w:p>
        </w:tc>
      </w:tr>
      <w:tr>
        <w:trPr>
          <w:cantSplit/>
          <w:tblHeader w:val="false"/>
        </w:trPr>
        <w:tc>
          <w:tcPr>
            <w:tcW w:type="dxa" w:w="1446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1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Very high</w:t>
            </w:r>
          </w:p>
        </w:tc>
        <w:tc>
          <w:tcPr>
            <w:tcW w:type="dxa" w:w="5782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&gt; 50 %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Disease index:</w:t>
      </w:r>
      <w:r>
        <w:t xml:space="preserve"> DI (%) = Σ (grade × number of leaves in that grade) / (total leaves scored × 5) × 100 (McKinney, 1923). The same classes are used in the field study; adjust if the plant pathology team uses a 0–9 scale [confirm].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Appendix B. Daily data sheet</w:t>
      </w:r>
    </w:p>
    <w:p>
      <w:pPr>
        <w:spacing w:after="120"/>
      </w:pPr>
      <w:r>
        <w:t xml:space="preserve">Run: ____   dpi: ____   Date: ____________   Operator: ____________   Page ___ of ___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9"/>
        <w:gridCol w:w="729"/>
        <w:gridCol w:w="583"/>
        <w:gridCol w:w="583"/>
        <w:gridCol w:w="729"/>
        <w:gridCol w:w="1020"/>
        <w:gridCol w:w="1020"/>
        <w:gridCol w:w="1020"/>
        <w:gridCol w:w="874"/>
        <w:gridCol w:w="1020"/>
        <w:gridCol w:w="874"/>
        <w:gridCol w:w="2914"/>
        <w:gridCol w:w="2475"/>
      </w:tblGrid>
      <w:tr>
        <w:trPr>
          <w:cantSplit/>
          <w:tblHeader/>
        </w:trPr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Pot</w:t>
            </w:r>
          </w:p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Geno.</w:t>
            </w:r>
          </w:p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Trt</w:t>
            </w:r>
          </w:p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Leaf</w:t>
            </w:r>
          </w:p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Side</w:t>
            </w:r>
          </w:p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Sympt. %</w:t>
            </w:r>
          </w:p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Grade 0–5</w:t>
            </w:r>
          </w:p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Pustule? (Y/N)</w:t>
            </w:r>
          </w:p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SPAD</w:t>
            </w:r>
          </w:p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Dualex Chl</w:t>
            </w:r>
          </w:p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Fv/Fm</w:t>
            </w:r>
          </w:p>
        </w:tc>
        <w:tc>
          <w:tcPr>
            <w:tcW w:type="dxa" w:w="291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Image IDs (RGB / MS / HS / TIR)</w:t>
            </w:r>
          </w:p>
        </w:tc>
        <w:tc>
          <w:tcPr>
            <w:tcW w:type="dxa" w:w="247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1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7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1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7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1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7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1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7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1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7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1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7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1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7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1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7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1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7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1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7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1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7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1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7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1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7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20" w:hRule="atLeast"/>
        </w:trPr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3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729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02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87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14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7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Appendix C. Session metadata sheet (one per imaging day)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3205"/>
        <w:gridCol w:w="4080"/>
        <w:gridCol w:w="3205"/>
      </w:tblGrid>
      <w:tr>
        <w:trPr>
          <w:cantSplit/>
          <w:tblHeader/>
        </w:trPr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1F3A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Run / dpi / date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Operator(s)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Start / end time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Air T / RH at start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Air T / RH at end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Glasshouse light conditions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Thermal: equilibration time, emissivity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Thermal wet / dry references used (Y/N)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RGB: colour checker in every image (Y/N)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Camera settings (ISO, shutter, f-number)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MS: panel images start / end (Y/N)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MS: height (m)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HS: lamp warm-up (min)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HS: white / dark reference times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HS: integration time, binning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HS: distance (cm)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CF: dark adaptation (min)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CF: protocol name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Destructive samples taken (pot IDs)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 backed up (2 copies) (Y/N)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shd w:fill="EE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  <w:tblHeader w:val="false"/>
          <w:trHeight w:val="480" w:hRule="atLeast"/>
        </w:trPr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Problems / deviations</w:t>
            </w:r>
          </w:p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80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3205"/>
            <w:tcBorders>
              <w:top w:val="single" w:color="B7C7CA" w:sz="4"/>
              <w:left w:val="single" w:color="B7C7CA" w:sz="4"/>
              <w:bottom w:val="single" w:color="B7C7CA" w:sz="4"/>
              <w:right w:val="single" w:color="B7C7C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sectPr>
      <w:footerReference w:type="default" r:id="rId8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C80"/>
        <w:sz w:val="16"/>
        <w:szCs w:val="16"/>
      </w:rPr>
      <w:t xml:space="preserve">MuDAS-AI glasshouse protocol · page </w:t>
    </w:r>
    <w:r>
      <w:rPr>
        <w:color w:val="6B7C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C80"/>
        <w:sz w:val="16"/>
        <w:szCs w:val="16"/>
      </w:rPr>
      <w:t xml:space="preserve">MuDAS-AI glasshouse protocol · page </w:t>
    </w:r>
    <w:r>
      <w:rPr>
        <w:color w:val="6B7C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0D1B1F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C7C7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F3A40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1F3A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Glasshouse protocol: multimodal sensing of white rust in mustard</dc:title>
  <dc:creator>Animesh Panda</dc:creator>
  <cp:lastModifiedBy>Un-named</cp:lastModifiedBy>
  <cp:revision>1</cp:revision>
  <dcterms:created xsi:type="dcterms:W3CDTF">2026-10-11T15:06:03.319Z</dcterms:created>
  <dcterms:modified xsi:type="dcterms:W3CDTF">2026-10-11T15:06:03.326Z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