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C7C78"/>
          <w:sz w:val="28"/>
          <w:szCs w:val="28"/>
        </w:rPr>
        <w:t xml:space="preserve">MuDAS-AI</w:t>
      </w:r>
    </w:p>
    <w:p>
      <w:pPr>
        <w:spacing w:after="300"/>
      </w:pPr>
      <w:r>
        <w:rPr>
          <w:b/>
          <w:bCs/>
          <w:color w:val="1F3A40"/>
          <w:sz w:val="48"/>
          <w:szCs w:val="48"/>
        </w:rPr>
        <w:t xml:space="preserve">Multimodal Image Fusion for UAV-Based Disease Severity Assessment</w:t>
      </w:r>
    </w:p>
    <w:p>
      <w:pPr>
        <w:spacing w:after="600"/>
      </w:pPr>
      <w:r>
        <w:rPr>
          <w:color w:val="5E7A7E"/>
          <w:sz w:val="26"/>
          <w:szCs w:val="26"/>
        </w:rPr>
        <w:t xml:space="preserve">Data, pixel, feature and decision/model-level fusion with machine learning and deep learning: concepts, methods, case studies and a step-by-step workflow for white rust (Albugo candida) in Indian mustard</w:t>
      </w:r>
    </w:p>
    <w:p>
      <w:pPr>
        <w:spacing w:after="80"/>
      </w:pPr>
      <w:r>
        <w:rPr>
          <w:sz w:val="22"/>
          <w:szCs w:val="22"/>
        </w:rPr>
        <w:t xml:space="preserve">Companion document to the 50-slide deck</w:t>
      </w:r>
    </w:p>
    <w:p>
      <w:pPr>
        <w:spacing w:after="80"/>
      </w:pPr>
      <w:r>
        <w:rPr>
          <w:sz w:val="22"/>
          <w:szCs w:val="22"/>
        </w:rPr>
        <w:t xml:space="preserve">Animesh Panda · ICAR-Indian Agricultural Research Institute, New Delhi</w:t>
      </w:r>
    </w:p>
    <w:p>
      <w:pPr>
        <w:spacing w:after="80"/>
      </w:pPr>
      <w:r>
        <w:rPr>
          <w:sz w:val="22"/>
          <w:szCs w:val="22"/>
        </w:rPr>
        <w:t xml:space="preserve">October 2026</w:t>
      </w:r>
    </w:p>
    <w:p>
      <w:pPr>
        <w:spacing w:before="1600"/>
      </w:pPr>
      <w:r>
        <w:rPr>
          <w:i/>
          <w:iCs/>
          <w:color w:val="5E7A7E"/>
          <w:sz w:val="20"/>
          <w:szCs w:val="20"/>
        </w:rPr>
        <w:t xml:space="preserve">Status: methods and plan. The study is at the feature-extraction stage; no fusion results of MuDAS-AI are reported in this document.</w:t>
      </w:r>
    </w:p>
    <w:p>
      <w:pPr>
        <w:pStyle w:val="Heading1"/>
        <w:pageBreakBefore/>
      </w:pPr>
      <w:r>
        <w:t xml:space="preserve">How to use this document</w:t>
      </w:r>
    </w:p>
    <w:p>
      <w:pPr>
        <w:spacing w:after="100" w:line="259"/>
        <w:jc w:val="both"/>
      </w:pPr>
      <w:r>
        <w:t xml:space="preserve">The document follows the order of the slide deck. Chapters 1–10 explain the concepts and methods slide by slide; each section ends with a green </w:t>
      </w:r>
      <w:r>
        <w:rPr>
          <w:b/>
          <w:bCs/>
        </w:rPr>
        <w:t xml:space="preserve">In MuDAS-AI</w:t>
      </w:r>
      <w:r>
        <w:t xml:space="preserve"> box that states how the concept is used in the study, and a line of key sources. Chapter 11 presents nineteen case studies from published research, describing what was done, what was obtained and the limitations. Chapter 12 documents the cross-check of every number and method, including corrections made to the deck.</w:t>
      </w:r>
    </w:p>
    <w:p>
      <w:pPr>
        <w:keepNext/>
        <w:spacing w:after="80" w:before="160"/>
      </w:pPr>
      <w:r>
        <w:rPr>
          <w:b/>
          <w:bCs/>
          <w:color w:val="1C7C78"/>
          <w:sz w:val="20"/>
          <w:szCs w:val="20"/>
        </w:rPr>
        <w:t xml:space="preserve">Table 1. </w:t>
      </w:r>
      <w:r>
        <w:rPr>
          <w:color w:val="1F3A40"/>
          <w:sz w:val="20"/>
          <w:szCs w:val="20"/>
        </w:rPr>
        <w:t xml:space="preserve">Map between the deck and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1"/>
        <w:gridCol w:w="6195"/>
        <w:gridCol w:w="1722"/>
      </w:tblGrid>
      <w:tr>
        <w:trPr>
          <w:cantSplit/>
          <w:tblHeader/>
        </w:trPr>
        <w:tc>
          <w:tcPr>
            <w:tcW w:type="dxa" w:w="172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Deck slides</w:t>
            </w:r>
          </w:p>
        </w:tc>
        <w:tc>
          <w:tcPr>
            <w:tcW w:type="dxa" w:w="619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Topic</w:t>
            </w:r>
          </w:p>
        </w:tc>
        <w:tc>
          <w:tcPr>
            <w:tcW w:type="dxa" w:w="172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Chapter</w:t>
            </w:r>
          </w:p>
        </w:tc>
      </w:tr>
      <w:tr>
        <w:trPr>
          <w:cantSplit/>
          <w:tblHeader w:val="false"/>
        </w:trPr>
        <w:tc>
          <w:tcPr>
            <w:tcW w:type="dxa" w:w="172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1–6</w:t>
            </w:r>
          </w:p>
        </w:tc>
        <w:tc>
          <w:tcPr>
            <w:tcW w:type="dxa" w:w="619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Study, why fuse, taxonomy, terminology, preconditions</w:t>
            </w:r>
          </w:p>
        </w:tc>
        <w:tc>
          <w:tcPr>
            <w:tcW w:type="dxa" w:w="17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w:t>
            </w:r>
          </w:p>
        </w:tc>
      </w:tr>
      <w:tr>
        <w:trPr>
          <w:cantSplit/>
          <w:tblHeader w:val="false"/>
        </w:trPr>
        <w:tc>
          <w:tcPr>
            <w:tcW w:type="dxa" w:w="172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7–9</w:t>
            </w:r>
          </w:p>
        </w:tc>
        <w:tc>
          <w:tcPr>
            <w:tcW w:type="dxa" w:w="619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Acquisition: flights, calibration, ground truth</w:t>
            </w:r>
          </w:p>
        </w:tc>
        <w:tc>
          <w:tcPr>
            <w:tcW w:type="dxa" w:w="17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2</w:t>
            </w:r>
          </w:p>
        </w:tc>
      </w:tr>
      <w:tr>
        <w:trPr>
          <w:cantSplit/>
          <w:tblHeader w:val="false"/>
        </w:trPr>
        <w:tc>
          <w:tcPr>
            <w:tcW w:type="dxa" w:w="172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10–12</w:t>
            </w:r>
          </w:p>
        </w:tc>
        <w:tc>
          <w:tcPr>
            <w:tcW w:type="dxa" w:w="619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Level 0: co-registration, harmonisation, layer stack</w:t>
            </w:r>
          </w:p>
        </w:tc>
        <w:tc>
          <w:tcPr>
            <w:tcW w:type="dxa" w:w="17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3</w:t>
            </w:r>
          </w:p>
        </w:tc>
      </w:tr>
      <w:tr>
        <w:trPr>
          <w:cantSplit/>
          <w:tblHeader w:val="false"/>
        </w:trPr>
        <w:tc>
          <w:tcPr>
            <w:tcW w:type="dxa" w:w="172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13–17</w:t>
            </w:r>
          </w:p>
        </w:tc>
        <w:tc>
          <w:tcPr>
            <w:tcW w:type="dxa" w:w="619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Level 1: pixel-level fusion</w:t>
            </w:r>
          </w:p>
        </w:tc>
        <w:tc>
          <w:tcPr>
            <w:tcW w:type="dxa" w:w="17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4</w:t>
            </w:r>
          </w:p>
        </w:tc>
      </w:tr>
      <w:tr>
        <w:trPr>
          <w:cantSplit/>
          <w:tblHeader w:val="false"/>
        </w:trPr>
        <w:tc>
          <w:tcPr>
            <w:tcW w:type="dxa" w:w="172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18–26</w:t>
            </w:r>
          </w:p>
        </w:tc>
        <w:tc>
          <w:tcPr>
            <w:tcW w:type="dxa" w:w="619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Level 2: feature-level fusion with ML</w:t>
            </w:r>
          </w:p>
        </w:tc>
        <w:tc>
          <w:tcPr>
            <w:tcW w:type="dxa" w:w="17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5</w:t>
            </w:r>
          </w:p>
        </w:tc>
      </w:tr>
      <w:tr>
        <w:trPr>
          <w:cantSplit/>
          <w:tblHeader w:val="false"/>
        </w:trPr>
        <w:tc>
          <w:tcPr>
            <w:tcW w:type="dxa" w:w="172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27–33</w:t>
            </w:r>
          </w:p>
        </w:tc>
        <w:tc>
          <w:tcPr>
            <w:tcW w:type="dxa" w:w="619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Deep-learning fusion</w:t>
            </w:r>
          </w:p>
        </w:tc>
        <w:tc>
          <w:tcPr>
            <w:tcW w:type="dxa" w:w="17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6</w:t>
            </w:r>
          </w:p>
        </w:tc>
      </w:tr>
      <w:tr>
        <w:trPr>
          <w:cantSplit/>
          <w:tblHeader w:val="false"/>
        </w:trPr>
        <w:tc>
          <w:tcPr>
            <w:tcW w:type="dxa" w:w="172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34–37</w:t>
            </w:r>
          </w:p>
        </w:tc>
        <w:tc>
          <w:tcPr>
            <w:tcW w:type="dxa" w:w="619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Level 3: decision-level and hybrid fusion</w:t>
            </w:r>
          </w:p>
        </w:tc>
        <w:tc>
          <w:tcPr>
            <w:tcW w:type="dxa" w:w="17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7</w:t>
            </w:r>
          </w:p>
        </w:tc>
      </w:tr>
      <w:tr>
        <w:trPr>
          <w:cantSplit/>
          <w:tblHeader w:val="false"/>
        </w:trPr>
        <w:tc>
          <w:tcPr>
            <w:tcW w:type="dxa" w:w="172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38–39</w:t>
            </w:r>
          </w:p>
        </w:tc>
        <w:tc>
          <w:tcPr>
            <w:tcW w:type="dxa" w:w="619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Comparison of levels; lessons from the evidence</w:t>
            </w:r>
          </w:p>
        </w:tc>
        <w:tc>
          <w:tcPr>
            <w:tcW w:type="dxa" w:w="17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8</w:t>
            </w:r>
          </w:p>
        </w:tc>
      </w:tr>
      <w:tr>
        <w:trPr>
          <w:cantSplit/>
          <w:tblHeader w:val="false"/>
        </w:trPr>
        <w:tc>
          <w:tcPr>
            <w:tcW w:type="dxa" w:w="172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40–41</w:t>
            </w:r>
          </w:p>
        </w:tc>
        <w:tc>
          <w:tcPr>
            <w:tcW w:type="dxa" w:w="619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Validation, ablation, interpretation</w:t>
            </w:r>
          </w:p>
        </w:tc>
        <w:tc>
          <w:tcPr>
            <w:tcW w:type="dxa" w:w="17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9</w:t>
            </w:r>
          </w:p>
        </w:tc>
      </w:tr>
      <w:tr>
        <w:trPr>
          <w:cantSplit/>
          <w:tblHeader w:val="false"/>
        </w:trPr>
        <w:tc>
          <w:tcPr>
            <w:tcW w:type="dxa" w:w="172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42–46</w:t>
            </w:r>
          </w:p>
        </w:tc>
        <w:tc>
          <w:tcPr>
            <w:tcW w:type="dxa" w:w="619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Practical workflow, recipe, experiments, outputs, checklist</w:t>
            </w:r>
          </w:p>
        </w:tc>
        <w:tc>
          <w:tcPr>
            <w:tcW w:type="dxa" w:w="17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10</w:t>
            </w:r>
          </w:p>
        </w:tc>
      </w:tr>
      <w:tr>
        <w:trPr>
          <w:cantSplit/>
          <w:tblHeader w:val="false"/>
        </w:trPr>
        <w:tc>
          <w:tcPr>
            <w:tcW w:type="dxa" w:w="172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w:t>
            </w:r>
          </w:p>
        </w:tc>
        <w:tc>
          <w:tcPr>
            <w:tcW w:type="dxa" w:w="619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Case studies from published research</w:t>
            </w:r>
          </w:p>
        </w:tc>
        <w:tc>
          <w:tcPr>
            <w:tcW w:type="dxa" w:w="17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w:t>
            </w:r>
          </w:p>
        </w:tc>
      </w:tr>
      <w:tr>
        <w:trPr>
          <w:cantSplit/>
          <w:tblHeader w:val="false"/>
        </w:trPr>
        <w:tc>
          <w:tcPr>
            <w:tcW w:type="dxa" w:w="172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47–50</w:t>
            </w:r>
          </w:p>
        </w:tc>
        <w:tc>
          <w:tcPr>
            <w:tcW w:type="dxa" w:w="619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References; cross-check</w:t>
            </w:r>
          </w:p>
        </w:tc>
        <w:tc>
          <w:tcPr>
            <w:tcW w:type="dxa" w:w="17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12, References</w:t>
            </w:r>
          </w:p>
        </w:tc>
      </w:tr>
    </w:tbl>
    <w:p>
      <w:pPr>
        <w:spacing w:after="120"/>
      </w:pPr>
    </w:p>
    <w:p>
      <w:pPr>
        <w:keepNext/>
        <w:spacing w:after="80" w:before="160"/>
      </w:pPr>
      <w:r>
        <w:rPr>
          <w:b/>
          <w:bCs/>
          <w:color w:val="1C7C78"/>
          <w:sz w:val="20"/>
          <w:szCs w:val="20"/>
        </w:rPr>
        <w:t xml:space="preserve">Table 2. </w:t>
      </w:r>
      <w:r>
        <w:rPr>
          <w:color w:val="1F3A40"/>
          <w:sz w:val="20"/>
          <w:szCs w:val="20"/>
        </w:rPr>
        <w:t xml:space="preserve">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3313"/>
        <w:gridCol w:w="1505"/>
        <w:gridCol w:w="3315"/>
      </w:tblGrid>
      <w:tr>
        <w:trPr>
          <w:cantSplit/>
          <w:tblHeader/>
        </w:trPr>
        <w:tc>
          <w:tcPr>
            <w:tcW w:type="dxa" w:w="150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Abbreviation</w:t>
            </w:r>
          </w:p>
        </w:tc>
        <w:tc>
          <w:tcPr>
            <w:tcW w:type="dxa" w:w="3313"/>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Meaning</w:t>
            </w:r>
          </w:p>
        </w:tc>
        <w:tc>
          <w:tcPr>
            <w:tcW w:type="dxa" w:w="150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Abbreviation</w:t>
            </w:r>
          </w:p>
        </w:tc>
        <w:tc>
          <w:tcPr>
            <w:tcW w:type="dxa" w:w="331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Meaning</w:t>
            </w:r>
          </w:p>
        </w:tc>
      </w:tr>
      <w:tr>
        <w:trPr>
          <w:cantSplit/>
          <w:tblHeader w:val="false"/>
        </w:trPr>
        <w:tc>
          <w:tcPr>
            <w:tcW w:type="dxa" w:w="150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AA / OA</w:t>
            </w:r>
          </w:p>
        </w:tc>
        <w:tc>
          <w:tcPr>
            <w:tcW w:type="dxa" w:w="331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Average / overall accuracy</w:t>
            </w:r>
          </w:p>
        </w:tc>
        <w:tc>
          <w:tcPr>
            <w:tcW w:type="dxa" w:w="150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MI</w:t>
            </w:r>
          </w:p>
        </w:tc>
        <w:tc>
          <w:tcPr>
            <w:tcW w:type="dxa" w:w="33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Mutual information</w:t>
            </w:r>
          </w:p>
        </w:tc>
      </w:tr>
      <w:tr>
        <w:trPr>
          <w:cantSplit/>
          <w:tblHeader w:val="false"/>
        </w:trPr>
        <w:tc>
          <w:tcPr>
            <w:tcW w:type="dxa" w:w="150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CFI</w:t>
            </w:r>
          </w:p>
        </w:tc>
        <w:tc>
          <w:tcPr>
            <w:tcW w:type="dxa" w:w="331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Chlorophyll fluorescence imaging</w:t>
            </w:r>
          </w:p>
        </w:tc>
        <w:tc>
          <w:tcPr>
            <w:tcW w:type="dxa" w:w="150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MIL</w:t>
            </w:r>
          </w:p>
        </w:tc>
        <w:tc>
          <w:tcPr>
            <w:tcW w:type="dxa" w:w="33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Multiple-instance learning</w:t>
            </w:r>
          </w:p>
        </w:tc>
      </w:tr>
      <w:tr>
        <w:trPr>
          <w:cantSplit/>
          <w:tblHeader w:val="false"/>
        </w:trPr>
        <w:tc>
          <w:tcPr>
            <w:tcW w:type="dxa" w:w="150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CNN</w:t>
            </w:r>
          </w:p>
        </w:tc>
        <w:tc>
          <w:tcPr>
            <w:tcW w:type="dxa" w:w="331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Convolutional neural network</w:t>
            </w:r>
          </w:p>
        </w:tc>
        <w:tc>
          <w:tcPr>
            <w:tcW w:type="dxa" w:w="150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MKL</w:t>
            </w:r>
          </w:p>
        </w:tc>
        <w:tc>
          <w:tcPr>
            <w:tcW w:type="dxa" w:w="33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Multiple kernel learning</w:t>
            </w:r>
          </w:p>
        </w:tc>
      </w:tr>
      <w:tr>
        <w:trPr>
          <w:cantSplit/>
          <w:tblHeader w:val="false"/>
        </w:trPr>
        <w:tc>
          <w:tcPr>
            <w:tcW w:type="dxa" w:w="150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CS / MRA</w:t>
            </w:r>
          </w:p>
        </w:tc>
        <w:tc>
          <w:tcPr>
            <w:tcW w:type="dxa" w:w="331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Component substitution / multiresolution analysis</w:t>
            </w:r>
          </w:p>
        </w:tc>
        <w:tc>
          <w:tcPr>
            <w:tcW w:type="dxa" w:w="150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MS / HS</w:t>
            </w:r>
          </w:p>
        </w:tc>
        <w:tc>
          <w:tcPr>
            <w:tcW w:type="dxa" w:w="33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Multispectral / hyperspectral</w:t>
            </w:r>
          </w:p>
        </w:tc>
      </w:tr>
      <w:tr>
        <w:trPr>
          <w:cantSplit/>
          <w:tblHeader w:val="false"/>
        </w:trPr>
        <w:tc>
          <w:tcPr>
            <w:tcW w:type="dxa" w:w="150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CTD</w:t>
            </w:r>
          </w:p>
        </w:tc>
        <w:tc>
          <w:tcPr>
            <w:tcW w:type="dxa" w:w="331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Canopy temperature depression</w:t>
            </w:r>
          </w:p>
        </w:tc>
        <w:tc>
          <w:tcPr>
            <w:tcW w:type="dxa" w:w="150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NRCT</w:t>
            </w:r>
          </w:p>
        </w:tc>
        <w:tc>
          <w:tcPr>
            <w:tcW w:type="dxa" w:w="33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Normalised relative canopy temperature</w:t>
            </w:r>
          </w:p>
        </w:tc>
      </w:tr>
      <w:tr>
        <w:trPr>
          <w:cantSplit/>
          <w:tblHeader w:val="false"/>
        </w:trPr>
        <w:tc>
          <w:tcPr>
            <w:tcW w:type="dxa" w:w="150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CV</w:t>
            </w:r>
          </w:p>
        </w:tc>
        <w:tc>
          <w:tcPr>
            <w:tcW w:type="dxa" w:w="331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Cross-validation</w:t>
            </w:r>
          </w:p>
        </w:tc>
        <w:tc>
          <w:tcPr>
            <w:tcW w:type="dxa" w:w="150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PLS(R)</w:t>
            </w:r>
          </w:p>
        </w:tc>
        <w:tc>
          <w:tcPr>
            <w:tcW w:type="dxa" w:w="33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Partial least squares (regression)</w:t>
            </w:r>
          </w:p>
        </w:tc>
      </w:tr>
      <w:tr>
        <w:trPr>
          <w:cantSplit/>
          <w:tblHeader w:val="false"/>
        </w:trPr>
        <w:tc>
          <w:tcPr>
            <w:tcW w:type="dxa" w:w="150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dai</w:t>
            </w:r>
          </w:p>
        </w:tc>
        <w:tc>
          <w:tcPr>
            <w:tcW w:type="dxa" w:w="331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Days after inoculation</w:t>
            </w:r>
          </w:p>
        </w:tc>
        <w:tc>
          <w:tcPr>
            <w:tcW w:type="dxa" w:w="150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RF</w:t>
            </w:r>
          </w:p>
        </w:tc>
        <w:tc>
          <w:tcPr>
            <w:tcW w:type="dxa" w:w="33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Random forest</w:t>
            </w:r>
          </w:p>
        </w:tc>
      </w:tr>
      <w:tr>
        <w:trPr>
          <w:cantSplit/>
          <w:tblHeader w:val="false"/>
        </w:trPr>
        <w:tc>
          <w:tcPr>
            <w:tcW w:type="dxa" w:w="150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DI</w:t>
            </w:r>
          </w:p>
        </w:tc>
        <w:tc>
          <w:tcPr>
            <w:tcW w:type="dxa" w:w="331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Disease index</w:t>
            </w:r>
          </w:p>
        </w:tc>
        <w:tc>
          <w:tcPr>
            <w:tcW w:type="dxa" w:w="150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SFFS</w:t>
            </w:r>
          </w:p>
        </w:tc>
        <w:tc>
          <w:tcPr>
            <w:tcW w:type="dxa" w:w="33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Sequential floating forward selection</w:t>
            </w:r>
          </w:p>
        </w:tc>
      </w:tr>
      <w:tr>
        <w:trPr>
          <w:cantSplit/>
          <w:tblHeader w:val="false"/>
        </w:trPr>
        <w:tc>
          <w:tcPr>
            <w:tcW w:type="dxa" w:w="150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DL / ML</w:t>
            </w:r>
          </w:p>
        </w:tc>
        <w:tc>
          <w:tcPr>
            <w:tcW w:type="dxa" w:w="331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Deep / machine learning</w:t>
            </w:r>
          </w:p>
        </w:tc>
        <w:tc>
          <w:tcPr>
            <w:tcW w:type="dxa" w:w="150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SVM</w:t>
            </w:r>
          </w:p>
        </w:tc>
        <w:tc>
          <w:tcPr>
            <w:tcW w:type="dxa" w:w="33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Support vector machine</w:t>
            </w:r>
          </w:p>
        </w:tc>
      </w:tr>
      <w:tr>
        <w:trPr>
          <w:cantSplit/>
          <w:tblHeader w:val="false"/>
        </w:trPr>
        <w:tc>
          <w:tcPr>
            <w:tcW w:type="dxa" w:w="150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DSF</w:t>
            </w:r>
          </w:p>
        </w:tc>
        <w:tc>
          <w:tcPr>
            <w:tcW w:type="dxa" w:w="331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Disease-specific feature</w:t>
            </w:r>
          </w:p>
        </w:tc>
        <w:tc>
          <w:tcPr>
            <w:tcW w:type="dxa" w:w="150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TIR / IRT</w:t>
            </w:r>
          </w:p>
        </w:tc>
        <w:tc>
          <w:tcPr>
            <w:tcW w:type="dxa" w:w="33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Thermal infrared / infrared thermography</w:t>
            </w:r>
          </w:p>
        </w:tc>
      </w:tr>
      <w:tr>
        <w:trPr>
          <w:cantSplit/>
          <w:tblHeader w:val="false"/>
        </w:trPr>
        <w:tc>
          <w:tcPr>
            <w:tcW w:type="dxa" w:w="150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GCP</w:t>
            </w:r>
          </w:p>
        </w:tc>
        <w:tc>
          <w:tcPr>
            <w:tcW w:type="dxa" w:w="331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Ground control point</w:t>
            </w:r>
          </w:p>
        </w:tc>
        <w:tc>
          <w:tcPr>
            <w:tcW w:type="dxa" w:w="150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VI</w:t>
            </w:r>
          </w:p>
        </w:tc>
        <w:tc>
          <w:tcPr>
            <w:tcW w:type="dxa" w:w="33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Vegetation index</w:t>
            </w:r>
          </w:p>
        </w:tc>
      </w:tr>
      <w:tr>
        <w:trPr>
          <w:cantSplit/>
          <w:tblHeader w:val="false"/>
        </w:trPr>
        <w:tc>
          <w:tcPr>
            <w:tcW w:type="dxa" w:w="150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GLCM</w:t>
            </w:r>
          </w:p>
        </w:tc>
        <w:tc>
          <w:tcPr>
            <w:tcW w:type="dxa" w:w="331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Grey-level co-occurrence matrix</w:t>
            </w:r>
          </w:p>
        </w:tc>
        <w:tc>
          <w:tcPr>
            <w:tcW w:type="dxa" w:w="150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VIF</w:t>
            </w:r>
          </w:p>
        </w:tc>
        <w:tc>
          <w:tcPr>
            <w:tcW w:type="dxa" w:w="33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Variance inflation factor</w:t>
            </w:r>
          </w:p>
        </w:tc>
      </w:tr>
      <w:tr>
        <w:trPr>
          <w:cantSplit/>
          <w:tblHeader w:val="false"/>
        </w:trPr>
        <w:tc>
          <w:tcPr>
            <w:tcW w:type="dxa" w:w="150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GSD</w:t>
            </w:r>
          </w:p>
        </w:tc>
        <w:tc>
          <w:tcPr>
            <w:tcW w:type="dxa" w:w="331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Ground sampling distance</w:t>
            </w:r>
          </w:p>
        </w:tc>
        <w:tc>
          <w:tcPr>
            <w:tcW w:type="dxa" w:w="150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κ</w:t>
            </w:r>
          </w:p>
        </w:tc>
        <w:tc>
          <w:tcPr>
            <w:tcW w:type="dxa" w:w="33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Cohen's kappa</w:t>
            </w:r>
          </w:p>
        </w:tc>
      </w:tr>
    </w:tbl>
    <w:p>
      <w:pPr>
        <w:spacing w:after="120"/>
      </w:pP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E7A7E"/>
          <w:sz w:val="18"/>
          <w:szCs w:val="18"/>
        </w:rPr>
        <w:t xml:space="preserve">If the page numbers are missing, right-click the table and choose Update Field (Word updates it on opening if prompted).</w:t>
      </w:r>
    </w:p>
    <w:p>
      <w:pPr>
        <w:pStyle w:val="Heading1"/>
        <w:pageBreakBefore/>
      </w:pPr>
      <w:r>
        <w:t xml:space="preserve">1. Introduction: the study and why fusion is needed</w:t>
      </w:r>
    </w:p>
    <w:p>
      <w:pPr>
        <w:spacing w:after="100" w:line="259"/>
        <w:jc w:val="both"/>
      </w:pPr>
      <w:r>
        <w:t xml:space="preserve">This document is the written companion to the 50-slide deck </w:t>
      </w:r>
      <w:r>
        <w:rPr>
          <w:i/>
          <w:iCs/>
        </w:rPr>
        <w:t xml:space="preserve">Multimodal image fusion for UAV-based disease severity assessment</w:t>
      </w:r>
      <w:r>
        <w:t xml:space="preserve">. Each chapter expands a block of slides, explains the reasoning behind every method, gives the equations where they help, and links each concept to the MuDAS-AI study of white rust (</w:t>
      </w:r>
      <w:r>
        <w:rPr>
          <w:i/>
          <w:iCs/>
        </w:rPr>
        <w:t xml:space="preserve">Albugo candida</w:t>
      </w:r>
      <w:r>
        <w:t xml:space="preserve">) in Indian mustard. Chapter 11 then presents published case studies that used the same methods, what they obtained, and what their limitations teach us. Chapter 12 cross-checks every methodological claim against its source.</w:t>
      </w:r>
    </w:p>
    <w:p>
      <w:pPr>
        <w:spacing w:after="100" w:line="259"/>
        <w:jc w:val="both"/>
      </w:pPr>
      <w:r>
        <w:t xml:space="preserve">Two rules apply throughout. First, a fusion method is only useful if it improves severity classification on plots that the model has never seen, at an acceptable cost. Second, every number quoted from the literature is reported with the conditions under which it was obtained (crop, scale, sensor, validation), because accuracies from a glasshouse leaf study and from a UAV field trial are not comparable.</w:t>
      </w:r>
    </w:p>
    <w:p>
      <w:pPr>
        <w:pStyle w:val="Heading2"/>
      </w:pPr>
      <w:r>
        <w:t xml:space="preserve">1.1 The MuDAS-AI study in brief</w:t>
      </w:r>
    </w:p>
    <w:p>
      <w:pPr>
        <w:keepNext/>
        <w:spacing w:after="80" w:before="160"/>
      </w:pPr>
      <w:r>
        <w:rPr>
          <w:b/>
          <w:bCs/>
          <w:color w:val="1C7C78"/>
          <w:sz w:val="20"/>
          <w:szCs w:val="20"/>
        </w:rPr>
        <w:t xml:space="preserve">Table 3. </w:t>
      </w:r>
      <w:r>
        <w:rPr>
          <w:color w:val="1F3A40"/>
          <w:sz w:val="20"/>
          <w:szCs w:val="20"/>
        </w:rPr>
        <w:t xml:space="preserve">Study elements that every fusion decision must respect (deck slide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915"/>
        <w:gridCol w:w="3916"/>
      </w:tblGrid>
      <w:tr>
        <w:trPr>
          <w:cantSplit/>
          <w:tblHeader/>
        </w:trPr>
        <w:tc>
          <w:tcPr>
            <w:tcW w:type="dxa" w:w="18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Element</w:t>
            </w:r>
          </w:p>
        </w:tc>
        <w:tc>
          <w:tcPr>
            <w:tcW w:type="dxa" w:w="391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MuDAS-AI design</w:t>
            </w:r>
          </w:p>
        </w:tc>
        <w:tc>
          <w:tcPr>
            <w:tcW w:type="dxa" w:w="391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Consequence for fusion</w:t>
            </w:r>
          </w:p>
        </w:tc>
      </w:tr>
      <w:tr>
        <w:trPr>
          <w:cantSplit/>
          <w:tblHeader w:val="false"/>
        </w:trPr>
        <w:tc>
          <w:tcPr>
            <w:tcW w:type="dxa" w:w="18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Field trial</w:t>
            </w:r>
          </w:p>
        </w:tc>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IARI, 48 plots (12 healthy controls, 36 inoculated), 4 flight dates</w:t>
            </w:r>
          </w:p>
        </w:tc>
        <w:tc>
          <w:tcPr>
            <w:tcW w:type="dxa" w:w="391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192 plot-date observations; few samples, so model complexity must be controlled</w:t>
            </w:r>
          </w:p>
        </w:tc>
      </w:tr>
      <w:tr>
        <w:trPr>
          <w:cantSplit/>
          <w:tblHeader w:val="false"/>
        </w:trPr>
        <w:tc>
          <w:tcPr>
            <w:tcW w:type="dxa" w:w="18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w:t>
            </w:r>
          </w:p>
        </w:tc>
        <w:tc>
          <w:tcPr>
            <w:tcW w:type="dxa" w:w="39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RGB, multispectral (MicaSense, 5 bands), hyperspectral (VNIR), thermal</w:t>
            </w:r>
          </w:p>
        </w:tc>
        <w:tc>
          <w:tcPr>
            <w:tcW w:type="dxa" w:w="391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Four modalities with different resolution, physics and noise</w:t>
            </w:r>
          </w:p>
        </w:tc>
      </w:tr>
      <w:tr>
        <w:trPr>
          <w:cantSplit/>
          <w:tblHeader w:val="false"/>
        </w:trPr>
        <w:tc>
          <w:tcPr>
            <w:tcW w:type="dxa" w:w="18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Labels</w:t>
            </w:r>
          </w:p>
        </w:tc>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Plot disease index (DI), grouped into 6 ordered classes (0 healthy … 5 very high)</w:t>
            </w:r>
          </w:p>
        </w:tc>
        <w:tc>
          <w:tcPr>
            <w:tcW w:type="dxa" w:w="391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Labels exist per plot and date, not per pixel; classes are ordinal</w:t>
            </w:r>
          </w:p>
        </w:tc>
      </w:tr>
      <w:tr>
        <w:trPr>
          <w:cantSplit/>
          <w:tblHeader w:val="false"/>
        </w:trPr>
        <w:tc>
          <w:tcPr>
            <w:tcW w:type="dxa" w:w="18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Validation</w:t>
            </w:r>
          </w:p>
        </w:tc>
        <w:tc>
          <w:tcPr>
            <w:tcW w:type="dxa" w:w="39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IARI held-out plots → IIRMR Bharatpur → farmers' fields</w:t>
            </w:r>
          </w:p>
        </w:tc>
        <w:tc>
          <w:tcPr>
            <w:tcW w:type="dxa" w:w="391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Three-tier testing; the model must transfer across sites</w:t>
            </w:r>
          </w:p>
        </w:tc>
      </w:tr>
      <w:tr>
        <w:trPr>
          <w:cantSplit/>
          <w:tblHeader w:val="false"/>
        </w:trPr>
        <w:tc>
          <w:tcPr>
            <w:tcW w:type="dxa" w:w="18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Complement</w:t>
            </w:r>
          </w:p>
        </w:tc>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Glasshouse pot experiment (leaf and plant scale)</w:t>
            </w:r>
          </w:p>
        </w:tc>
        <w:tc>
          <w:tcPr>
            <w:tcW w:type="dxa" w:w="391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Controlled data for mechanism and early detection</w:t>
            </w:r>
          </w:p>
        </w:tc>
      </w:tr>
    </w:tbl>
    <w:p>
      <w:pPr>
        <w:spacing w:after="120"/>
      </w:pPr>
    </w:p>
    <w:p>
      <w:pPr>
        <w:spacing w:after="100" w:line="259"/>
        <w:jc w:val="both"/>
      </w:pPr>
      <w:r>
        <w:t xml:space="preserve">The objectives can be written as five linked questions:</w:t>
      </w:r>
    </w:p>
    <w:p>
      <w:pPr>
        <w:pStyle w:val="ListParagraph"/>
        <w:numPr>
          <w:ilvl w:val="0"/>
          <w:numId w:val="2"/>
        </w:numPr>
        <w:spacing w:after="50" w:line="252"/>
      </w:pPr>
      <w:r>
        <w:rPr>
          <w:b/>
          <w:bCs/>
        </w:rPr>
        <w:t xml:space="preserve">O1:</w:t>
      </w:r>
      <w:r>
        <w:t xml:space="preserve"> which features of each sensor respond specifically to white rust (disease-specific features, single-sensor level)?</w:t>
      </w:r>
    </w:p>
    <w:p>
      <w:pPr>
        <w:pStyle w:val="ListParagraph"/>
        <w:numPr>
          <w:ilvl w:val="0"/>
          <w:numId w:val="2"/>
        </w:numPr>
        <w:spacing w:after="50" w:line="252"/>
      </w:pPr>
      <w:r>
        <w:rPr>
          <w:b/>
          <w:bCs/>
        </w:rPr>
        <w:t xml:space="preserve">O2:</w:t>
      </w:r>
      <w:r>
        <w:t xml:space="preserve"> how well does the best single-sensor model classify severity (the baseline that fusion must beat)?</w:t>
      </w:r>
    </w:p>
    <w:p>
      <w:pPr>
        <w:pStyle w:val="ListParagraph"/>
        <w:numPr>
          <w:ilvl w:val="0"/>
          <w:numId w:val="2"/>
        </w:numPr>
        <w:spacing w:after="50" w:line="252"/>
      </w:pPr>
      <w:r>
        <w:rPr>
          <w:b/>
          <w:bCs/>
        </w:rPr>
        <w:t xml:space="preserve">O3:</w:t>
      </w:r>
      <w:r>
        <w:t xml:space="preserve"> does fusion improve classification, and at which level (data/pixel, feature with ML or DL, decision/model)?</w:t>
      </w:r>
    </w:p>
    <w:p>
      <w:pPr>
        <w:pStyle w:val="ListParagraph"/>
        <w:numPr>
          <w:ilvl w:val="0"/>
          <w:numId w:val="2"/>
        </w:numPr>
        <w:spacing w:after="50" w:line="252"/>
      </w:pPr>
      <w:r>
        <w:rPr>
          <w:b/>
          <w:bCs/>
        </w:rPr>
        <w:t xml:space="preserve">O4:</w:t>
      </w:r>
      <w:r>
        <w:t xml:space="preserve"> what is the smallest sensor set that is accurate enough (cost and operational simplicity)?</w:t>
      </w:r>
    </w:p>
    <w:p>
      <w:pPr>
        <w:pStyle w:val="ListParagraph"/>
        <w:numPr>
          <w:ilvl w:val="0"/>
          <w:numId w:val="2"/>
        </w:numPr>
        <w:spacing w:after="50" w:line="252"/>
      </w:pPr>
      <w:r>
        <w:rPr>
          <w:b/>
          <w:bCs/>
        </w:rPr>
        <w:t xml:space="preserve">O5:</w:t>
      </w:r>
      <w:r>
        <w:t xml:space="preserve"> can the validated model produce a severity map and spray zones?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every method in this document is judged against O3 and O4: it must show a fusion gain over the best single sensor, measured on unseen plots, using the same folds for all models.</w:t>
            </w:r>
          </w:p>
        </w:tc>
      </w:tr>
    </w:tbl>
    <w:p>
      <w:pPr>
        <w:spacing w:after="120"/>
      </w:pPr>
    </w:p>
    <w:p>
      <w:pPr>
        <w:pStyle w:val="Heading2"/>
      </w:pPr>
      <w:r>
        <w:t xml:space="preserve">1.2 Why fuse? Each sensor measures a different physical property</w:t>
      </w:r>
    </w:p>
    <w:p>
      <w:pPr>
        <w:spacing w:after="100" w:line="259"/>
        <w:jc w:val="both"/>
      </w:pPr>
      <w:r>
        <w:t xml:space="preserve">A </w:t>
      </w:r>
      <w:r>
        <w:rPr>
          <w:i/>
          <w:iCs/>
        </w:rPr>
        <w:t xml:space="preserve">modality</w:t>
      </w:r>
      <w:r>
        <w:t xml:space="preserve"> is defined by its sensing principle, not by the file format. In medicine, MRI, CT and PET are all images, yet they measure proton relaxation, X-ray attenuation and tracer uptake; combining them is called multimodal imaging (Baltrušaitis et al., 2019). The same logic applies to UAV sensors. RGB and multispectral cameras record reflected sunlight in broad bands; a hyperspectral imager records a near-continuous reflectance spectrum; a thermal camera records emitted long-wave radiation, which depends on the canopy energy balance and therefore on transpiration. Structure (canopy height from photogrammetry) is a geometric property derived from overlapping RGB images.</w:t>
      </w:r>
    </w:p>
    <w:p>
      <w:pPr>
        <w:keepNext/>
        <w:spacing w:after="80" w:before="160"/>
      </w:pPr>
      <w:r>
        <w:rPr>
          <w:b/>
          <w:bCs/>
          <w:color w:val="1C7C78"/>
          <w:sz w:val="20"/>
          <w:szCs w:val="20"/>
        </w:rPr>
        <w:t xml:space="preserve">Table 4. </w:t>
      </w:r>
      <w:r>
        <w:rPr>
          <w:color w:val="1F3A40"/>
          <w:sz w:val="20"/>
          <w:szCs w:val="20"/>
        </w:rPr>
        <w:t xml:space="preserve">Sensor physics and the white rust symptoms each sensor can capture (deck slide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6"/>
        <w:gridCol w:w="3011"/>
        <w:gridCol w:w="1355"/>
        <w:gridCol w:w="3616"/>
      </w:tblGrid>
      <w:tr>
        <w:trPr>
          <w:cantSplit/>
          <w:tblHeader/>
        </w:trPr>
        <w:tc>
          <w:tcPr>
            <w:tcW w:type="dxa" w:w="165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Sensor</w:t>
            </w:r>
          </w:p>
        </w:tc>
        <w:tc>
          <w:tcPr>
            <w:tcW w:type="dxa" w:w="301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Physical principle</w:t>
            </w:r>
          </w:p>
        </w:tc>
        <w:tc>
          <w:tcPr>
            <w:tcW w:type="dxa" w:w="135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Typical UAV GSD</w:t>
            </w:r>
          </w:p>
        </w:tc>
        <w:tc>
          <w:tcPr>
            <w:tcW w:type="dxa" w:w="361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White rust signal it can capture</w:t>
            </w:r>
          </w:p>
        </w:tc>
      </w:tr>
      <w:tr>
        <w:trPr>
          <w:cantSplit/>
          <w:tblHeader w:val="false"/>
        </w:trPr>
        <w:tc>
          <w:tcPr>
            <w:tcW w:type="dxa" w:w="165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RGB</w:t>
            </w:r>
          </w:p>
        </w:tc>
        <w:tc>
          <w:tcPr>
            <w:tcW w:type="dxa" w:w="301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Reflected visible light, 3 broad bands, very high spatial detail</w:t>
            </w:r>
          </w:p>
        </w:tc>
        <w:tc>
          <w:tcPr>
            <w:tcW w:type="dxa" w:w="135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 1 cm</w:t>
            </w:r>
          </w:p>
        </w:tc>
        <w:tc>
          <w:tcPr>
            <w:tcW w:type="dxa" w:w="361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Texture of white pustules, chlorotic spots, stagheads, leaf distortion</w:t>
            </w:r>
          </w:p>
        </w:tc>
      </w:tr>
      <w:tr>
        <w:trPr>
          <w:cantSplit/>
          <w:tblHeader w:val="false"/>
        </w:trPr>
        <w:tc>
          <w:tcPr>
            <w:tcW w:type="dxa" w:w="165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Multispectral</w:t>
            </w:r>
          </w:p>
        </w:tc>
        <w:tc>
          <w:tcPr>
            <w:tcW w:type="dxa" w:w="301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Reflected light in 5 broad bands including red edge and NIR</w:t>
            </w:r>
          </w:p>
        </w:tc>
        <w:tc>
          <w:tcPr>
            <w:tcW w:type="dxa" w:w="135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 3–5 cm</w:t>
            </w:r>
          </w:p>
        </w:tc>
        <w:tc>
          <w:tcPr>
            <w:tcW w:type="dxa" w:w="361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Canopy vigour and chlorophyll loss (NDVI, NDRE, CIre)</w:t>
            </w:r>
          </w:p>
        </w:tc>
      </w:tr>
      <w:tr>
        <w:trPr>
          <w:cantSplit/>
          <w:tblHeader w:val="false"/>
        </w:trPr>
        <w:tc>
          <w:tcPr>
            <w:tcW w:type="dxa" w:w="165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Hyperspectral</w:t>
            </w:r>
          </w:p>
        </w:tc>
        <w:tc>
          <w:tcPr>
            <w:tcW w:type="dxa" w:w="301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Spectroscopy with ~100+ narrow contiguous bands</w:t>
            </w:r>
          </w:p>
        </w:tc>
        <w:tc>
          <w:tcPr>
            <w:tcW w:type="dxa" w:w="135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 2–5 cm</w:t>
            </w:r>
          </w:p>
        </w:tc>
        <w:tc>
          <w:tcPr>
            <w:tcW w:type="dxa" w:w="361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Pigments, red-edge shift, water bands, subtle early changes</w:t>
            </w:r>
          </w:p>
        </w:tc>
      </w:tr>
      <w:tr>
        <w:trPr>
          <w:cantSplit/>
          <w:tblHeader w:val="false"/>
        </w:trPr>
        <w:tc>
          <w:tcPr>
            <w:tcW w:type="dxa" w:w="165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Thermal</w:t>
            </w:r>
          </w:p>
        </w:tc>
        <w:tc>
          <w:tcPr>
            <w:tcW w:type="dxa" w:w="301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Emitted long-wave radiation (energy balance)</w:t>
            </w:r>
          </w:p>
        </w:tc>
        <w:tc>
          <w:tcPr>
            <w:tcW w:type="dxa" w:w="135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 5–10 cm</w:t>
            </w:r>
          </w:p>
        </w:tc>
        <w:tc>
          <w:tcPr>
            <w:tcW w:type="dxa" w:w="361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Reduced transpiration → warmer canopy (CTD, NRCT)</w:t>
            </w:r>
          </w:p>
        </w:tc>
      </w:tr>
      <w:tr>
        <w:trPr>
          <w:cantSplit/>
          <w:tblHeader w:val="false"/>
        </w:trPr>
        <w:tc>
          <w:tcPr>
            <w:tcW w:type="dxa" w:w="165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Structure (from RGB)</w:t>
            </w:r>
          </w:p>
        </w:tc>
        <w:tc>
          <w:tcPr>
            <w:tcW w:type="dxa" w:w="301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Photogrammetric 3-D surface (DSM − DTM)</w:t>
            </w:r>
          </w:p>
        </w:tc>
        <w:tc>
          <w:tcPr>
            <w:tcW w:type="dxa" w:w="135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 1–2 cm</w:t>
            </w:r>
          </w:p>
        </w:tc>
        <w:tc>
          <w:tcPr>
            <w:tcW w:type="dxa" w:w="361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Stunting, staghead deformation, canopy height and cover</w:t>
            </w:r>
          </w:p>
        </w:tc>
      </w:tr>
    </w:tbl>
    <w:p>
      <w:pPr>
        <w:spacing w:after="120"/>
      </w:pPr>
    </w:p>
    <w:p>
      <w:pPr>
        <w:spacing w:after="100" w:line="259"/>
        <w:jc w:val="both"/>
      </w:pPr>
      <w:r>
        <w:t xml:space="preserve">Plant pathology gives a mechanistic reason to expect complementarity. </w:t>
      </w:r>
      <w:r>
        <w:rPr>
          <w:i/>
          <w:iCs/>
        </w:rPr>
        <w:t xml:space="preserve">Albugo candida</w:t>
      </w:r>
      <w:r>
        <w:t xml:space="preserve"> forms white pustules (sori) mainly on the abaxial leaf surface; local chlorophyll is lost around infection sites; systemic infection causes hypertrophy and hyperplasia (stagheads) in inflorescences; and pathogen activity changes leaf water relations and stomatal behaviour. Chlorophyll loss is seen best in the red edge (multispectral and hyperspectral), pustules and deformation in high-resolution texture (RGB), and altered transpiration in canopy temperature (thermal). Mahlein (2016) reviews these sensor–symptom links for plant disease in general, and Zarco-Tejada et al. (2018) showed in olive that thermal and hyperspectral plant traits together reveal infection before visual symptoms.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4557A" w:sz="24"/>
              <w:bottom w:val="none" w:color="FFFFFF" w:sz="0"/>
              <w:right w:val="none" w:color="FFFFFF" w:sz="0"/>
            </w:tcBorders>
            <w:shd w:fill="EEF2F7" w:color="auto" w:val="clear"/>
            <w:tcMar>
              <w:top w:type="dxa" w:w="100"/>
              <w:left w:type="dxa" w:w="180"/>
              <w:bottom w:type="dxa" w:w="100"/>
              <w:right w:type="dxa" w:w="180"/>
            </w:tcMar>
          </w:tcPr>
          <w:p>
            <w:pPr>
              <w:spacing w:after="60"/>
            </w:pPr>
            <w:r>
              <w:rPr>
                <w:b/>
                <w:bCs/>
                <w:color w:val="34557A"/>
                <w:sz w:val="21"/>
                <w:szCs w:val="21"/>
              </w:rPr>
              <w:t xml:space="preserve">Why this matters for the jury</w:t>
            </w:r>
          </w:p>
          <w:p>
            <w:pPr>
              <w:spacing w:after="60" w:line="264"/>
            </w:pPr>
            <w:r>
              <w:rPr>
                <w:sz w:val="21"/>
                <w:szCs w:val="21"/>
              </w:rPr>
              <w:t xml:space="preserve">Reviewers sometimes argue that a study using only images is not multimodal. The answer is the table above: the four sensors measure four different physical quantities (broad-band reflectance, spectral reflectance, emitted radiance, geometry). The study is multimodal in the same sense as MRI + PET. The proof that the modalities are complementary is empirical: low cross-sensor correlation of the selected features and a positive fusion gain in the ablation (Chapter 9).</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show the correlation matrix between the selected features of different sensors. If the best thermal feature (e.g. CTD) correlates weakly with the best spectral feature (e.g. NDRE), the sensors carry complementary information and fusion is justified.</w:t>
            </w:r>
          </w:p>
        </w:tc>
      </w:tr>
    </w:tbl>
    <w:p>
      <w:pPr>
        <w:spacing w:after="120"/>
      </w:pPr>
    </w:p>
    <w:p>
      <w:pPr>
        <w:spacing w:after="160"/>
      </w:pPr>
      <w:r>
        <w:rPr>
          <w:i/>
          <w:iCs/>
          <w:color w:val="5E7A7E"/>
          <w:sz w:val="18"/>
          <w:szCs w:val="18"/>
        </w:rPr>
        <w:t xml:space="preserve">Key sources: Mahlein (2016); Zarco-Tejada et al. (2018); Maimaitijiang et al. (2020); Baltrušaitis et al. (2019).</w:t>
      </w:r>
    </w:p>
    <w:p>
      <w:pPr>
        <w:pStyle w:val="Heading2"/>
      </w:pPr>
      <w:r>
        <w:t xml:space="preserve">1.3 Fusion levels: a taxonomy</w:t>
      </w:r>
    </w:p>
    <w:p>
      <w:pPr>
        <w:spacing w:after="100" w:line="259"/>
        <w:jc w:val="both"/>
      </w:pPr>
      <w:r>
        <w:t xml:space="preserve">Data fusion is defined by Hall and Llinas (1997) as combining data from multiple sensors to obtain more specific inferences than a single sensor could achieve. In remote sensing, Pohl and Van Genderen (1998) distinguished three processing levels (pixel, feature, decision); later reviews (Castanedo, 2013; Gómez-Chova et al., 2015; Lahat et al., 2015) and deep-learning surveys (Ramachandram &amp; Taylor, 2017; Baltrušaitis et al., 2019) refined these into the scheme used in this document.</w:t>
      </w:r>
    </w:p>
    <w:p>
      <w:pPr>
        <w:keepNext/>
        <w:spacing w:after="60" w:before="120"/>
        <w:jc w:val="center"/>
      </w:pPr>
      <w:r>
        <w:drawing>
          <wp:inline distT="0" distB="0" distL="0" distR="0">
            <wp:extent cx="5120640" cy="2880432"/>
            <wp:effectExtent t="0" r="0" b="0" l="0"/>
            <wp:docPr id="1" name="fig1" descr="Fusion levels L0–L3 and hybrid, as presented on deck slide 4." title="Fusion levels L0–L3 and hybrid, as presented on deck 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2880432"/>
                    </a:xfrm>
                    <a:prstGeom prst="rect">
                      <a:avLst/>
                    </a:prstGeom>
                  </pic:spPr>
                </pic:pic>
              </a:graphicData>
            </a:graphic>
          </wp:inline>
        </w:drawing>
      </w:r>
    </w:p>
    <w:p>
      <w:pPr>
        <w:spacing w:after="160"/>
        <w:jc w:val="center"/>
      </w:pPr>
      <w:r>
        <w:rPr>
          <w:b/>
          <w:bCs/>
          <w:color w:val="1C7C78"/>
          <w:sz w:val="20"/>
          <w:szCs w:val="20"/>
        </w:rPr>
        <w:t xml:space="preserve">Figure 1. </w:t>
      </w:r>
      <w:r>
        <w:rPr>
          <w:color w:val="1F3A40"/>
          <w:sz w:val="20"/>
          <w:szCs w:val="20"/>
        </w:rPr>
        <w:t xml:space="preserve">Fusion levels L0–L3 and hybrid, as presented on deck slide 4.</w:t>
      </w:r>
    </w:p>
    <w:p>
      <w:pPr>
        <w:keepNext/>
        <w:spacing w:after="80" w:before="160"/>
      </w:pPr>
      <w:r>
        <w:rPr>
          <w:b/>
          <w:bCs/>
          <w:color w:val="1C7C78"/>
          <w:sz w:val="20"/>
          <w:szCs w:val="20"/>
        </w:rPr>
        <w:t xml:space="preserve">Table 5. </w:t>
      </w:r>
      <w:r>
        <w:rPr>
          <w:color w:val="1F3A40"/>
          <w:sz w:val="20"/>
          <w:szCs w:val="20"/>
        </w:rPr>
        <w:t xml:space="preserve">The fusion levels used in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9"/>
        <w:gridCol w:w="2834"/>
        <w:gridCol w:w="2126"/>
        <w:gridCol w:w="3119"/>
      </w:tblGrid>
      <w:tr>
        <w:trPr>
          <w:cantSplit/>
          <w:tblHeader/>
        </w:trPr>
        <w:tc>
          <w:tcPr>
            <w:tcW w:type="dxa" w:w="155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Level</w:t>
            </w:r>
          </w:p>
        </w:tc>
        <w:tc>
          <w:tcPr>
            <w:tcW w:type="dxa" w:w="2834"/>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What is combined</w:t>
            </w:r>
          </w:p>
        </w:tc>
        <w:tc>
          <w:tcPr>
            <w:tcW w:type="dxa" w:w="212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Output</w:t>
            </w:r>
          </w:p>
        </w:tc>
        <w:tc>
          <w:tcPr>
            <w:tcW w:type="dxa" w:w="311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Typical methods</w:t>
            </w:r>
          </w:p>
        </w:tc>
      </w:tr>
      <w:tr>
        <w:trPr>
          <w:cantSplit/>
          <w:tblHeader w:val="false"/>
        </w:trPr>
        <w:tc>
          <w:tcPr>
            <w:tcW w:type="dxa" w:w="155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L0 Data (signal)</w:t>
            </w:r>
          </w:p>
        </w:tc>
        <w:tc>
          <w:tcPr>
            <w:tcW w:type="dxa" w:w="283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Raw or calibrated measurements put on a common geometry and radiometry</w:t>
            </w:r>
          </w:p>
        </w:tc>
        <w:tc>
          <w:tcPr>
            <w:tcW w:type="dxa" w:w="212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Co-registered, harmonised layer stack</w:t>
            </w:r>
          </w:p>
        </w:tc>
        <w:tc>
          <w:tcPr>
            <w:tcW w:type="dxa" w:w="31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Calibration, co-registration, resampling, stacking</w:t>
            </w:r>
          </w:p>
        </w:tc>
      </w:tr>
      <w:tr>
        <w:trPr>
          <w:cantSplit/>
          <w:tblHeader w:val="false"/>
        </w:trPr>
        <w:tc>
          <w:tcPr>
            <w:tcW w:type="dxa" w:w="155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L1 Pixel</w:t>
            </w:r>
          </w:p>
        </w:tc>
        <w:tc>
          <w:tcPr>
            <w:tcW w:type="dxa" w:w="283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Pixel values of co-registered images</w:t>
            </w:r>
          </w:p>
        </w:tc>
        <w:tc>
          <w:tcPr>
            <w:tcW w:type="dxa" w:w="212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A fused image, or a per-pixel joint vector</w:t>
            </w:r>
          </w:p>
        </w:tc>
        <w:tc>
          <w:tcPr>
            <w:tcW w:type="dxa" w:w="31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Pansharpening (CS, MRA), HS–MS fusion, IR–visible fusion, early-fusion CNN</w:t>
            </w:r>
          </w:p>
        </w:tc>
      </w:tr>
      <w:tr>
        <w:trPr>
          <w:cantSplit/>
          <w:tblHeader w:val="false"/>
        </w:trPr>
        <w:tc>
          <w:tcPr>
            <w:tcW w:type="dxa" w:w="155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L2 Feature</w:t>
            </w:r>
          </w:p>
        </w:tc>
        <w:tc>
          <w:tcPr>
            <w:tcW w:type="dxa" w:w="283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Descriptors extracted separately from each sensor</w:t>
            </w:r>
          </w:p>
        </w:tc>
        <w:tc>
          <w:tcPr>
            <w:tcW w:type="dxa" w:w="212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Joint feature vector or learned joint representation</w:t>
            </w:r>
          </w:p>
        </w:tc>
        <w:tc>
          <w:tcPr>
            <w:tcW w:type="dxa" w:w="31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Concatenation + selection, PCA/PLS/CCA, multiple kernels, multi-branch DL</w:t>
            </w:r>
          </w:p>
        </w:tc>
      </w:tr>
      <w:tr>
        <w:trPr>
          <w:cantSplit/>
          <w:tblHeader w:val="false"/>
        </w:trPr>
        <w:tc>
          <w:tcPr>
            <w:tcW w:type="dxa" w:w="155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L3 Decision / model</w:t>
            </w:r>
          </w:p>
        </w:tc>
        <w:tc>
          <w:tcPr>
            <w:tcW w:type="dxa" w:w="283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Outputs of separate sensor-specific models</w:t>
            </w:r>
          </w:p>
        </w:tc>
        <w:tc>
          <w:tcPr>
            <w:tcW w:type="dxa" w:w="212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Combined class or probability</w:t>
            </w:r>
          </w:p>
        </w:tc>
        <w:tc>
          <w:tcPr>
            <w:tcW w:type="dxa" w:w="31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Voting, weighted averaging, stacking, Dempster–Shafer, DL late fusion</w:t>
            </w:r>
          </w:p>
        </w:tc>
      </w:tr>
      <w:tr>
        <w:trPr>
          <w:cantSplit/>
          <w:tblHeader w:val="false"/>
        </w:trPr>
        <w:tc>
          <w:tcPr>
            <w:tcW w:type="dxa" w:w="155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Hybrid</w:t>
            </w:r>
          </w:p>
        </w:tc>
        <w:tc>
          <w:tcPr>
            <w:tcW w:type="dxa" w:w="283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More than one level</w:t>
            </w:r>
          </w:p>
        </w:tc>
        <w:tc>
          <w:tcPr>
            <w:tcW w:type="dxa" w:w="212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Combined</w:t>
            </w:r>
          </w:p>
        </w:tc>
        <w:tc>
          <w:tcPr>
            <w:tcW w:type="dxa" w:w="31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Feature fusion within groups + decision fusion across groups; multi-stage DL</w:t>
            </w:r>
          </w:p>
        </w:tc>
      </w:tr>
    </w:tbl>
    <w:p>
      <w:pPr>
        <w:spacing w:after="120"/>
      </w:pPr>
    </w:p>
    <w:p>
      <w:pPr>
        <w:spacing w:after="100" w:line="259"/>
        <w:jc w:val="both"/>
      </w:pPr>
      <w:r>
        <w:t xml:space="preserve">The levels form a hierarchy of abstraction. Moving from L0 to L3, the requirement for precise geometric alignment decreases, the information that can interact across sensors decreases, and robustness to a missing or faulty sensor increases. No level is universally best: the choice depends on resolution differences, label type, sample size and the need for interpretability. Section 8.1 compares them for UAV disease severity.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the thesis compares Level 2 (feature fusion with ML, then intermediate DL) and Level 3 (decision fusion). Level 0 is a prerequisite for every analysis; Level 1 is an optional enhancement (e.g. thermal sharpening for within-plot hotspot maps).</w:t>
            </w:r>
          </w:p>
        </w:tc>
      </w:tr>
    </w:tbl>
    <w:p>
      <w:pPr>
        <w:spacing w:after="120"/>
      </w:pPr>
    </w:p>
    <w:p>
      <w:pPr>
        <w:spacing w:after="160"/>
      </w:pPr>
      <w:r>
        <w:rPr>
          <w:i/>
          <w:iCs/>
          <w:color w:val="5E7A7E"/>
          <w:sz w:val="18"/>
          <w:szCs w:val="18"/>
        </w:rPr>
        <w:t xml:space="preserve">Key sources: Hall &amp; Llinas (1997); Pohl &amp; Van Genderen (1998); Castanedo (2013); Gómez-Chova et al. (2015); Lahat et al. (2015); Ramachandram &amp; Taylor (2017); Baltrušaitis et al. (2019).</w:t>
      </w:r>
    </w:p>
    <w:p>
      <w:pPr>
        <w:pStyle w:val="Heading2"/>
      </w:pPr>
      <w:r>
        <w:t xml:space="preserve">1.4 Terminology: the same idea has different names</w:t>
      </w:r>
    </w:p>
    <w:p>
      <w:pPr>
        <w:spacing w:after="100" w:line="259"/>
        <w:jc w:val="both"/>
      </w:pPr>
      <w:r>
        <w:t xml:space="preserve">The fusion literature comes from remote sensing, signal processing, computer vision and machine learning, and each field names the levels differently. A thesis should define its terms once, in the Methods chapter, and then use them consistently.</w:t>
      </w:r>
    </w:p>
    <w:p>
      <w:pPr>
        <w:keepNext/>
        <w:spacing w:after="80" w:before="160"/>
      </w:pPr>
      <w:r>
        <w:rPr>
          <w:b/>
          <w:bCs/>
          <w:color w:val="1C7C78"/>
          <w:sz w:val="20"/>
          <w:szCs w:val="20"/>
        </w:rPr>
        <w:t xml:space="preserve">Table 6. </w:t>
      </w:r>
      <w:r>
        <w:rPr>
          <w:color w:val="1F3A40"/>
          <w:sz w:val="20"/>
          <w:szCs w:val="20"/>
        </w:rPr>
        <w:t xml:space="preserve">Equivalent terms in the literature (deck slide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6"/>
        <w:gridCol w:w="3730"/>
        <w:gridCol w:w="3732"/>
      </w:tblGrid>
      <w:tr>
        <w:trPr>
          <w:cantSplit/>
          <w:tblHeader/>
        </w:trPr>
        <w:tc>
          <w:tcPr>
            <w:tcW w:type="dxa" w:w="217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Term used here</w:t>
            </w:r>
          </w:p>
        </w:tc>
        <w:tc>
          <w:tcPr>
            <w:tcW w:type="dxa" w:w="373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Synonyms in the literature</w:t>
            </w:r>
          </w:p>
        </w:tc>
        <w:tc>
          <w:tcPr>
            <w:tcW w:type="dxa" w:w="373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Note</w:t>
            </w:r>
          </w:p>
        </w:tc>
      </w:tr>
      <w:tr>
        <w:trPr>
          <w:cantSplit/>
          <w:tblHeader w:val="false"/>
        </w:trPr>
        <w:tc>
          <w:tcPr>
            <w:tcW w:type="dxa" w:w="217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Data-level fusion</w:t>
            </w:r>
          </w:p>
        </w:tc>
        <w:tc>
          <w:tcPr>
            <w:tcW w:type="dxa" w:w="373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Signal-level, low-level, raw-data fusion</w:t>
            </w:r>
          </w:p>
        </w:tc>
        <w:tc>
          <w:tcPr>
            <w:tcW w:type="dxa" w:w="373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Sometimes includes pixel-level fusion</w:t>
            </w:r>
          </w:p>
        </w:tc>
      </w:tr>
      <w:tr>
        <w:trPr>
          <w:cantSplit/>
          <w:tblHeader w:val="false"/>
        </w:trPr>
        <w:tc>
          <w:tcPr>
            <w:tcW w:type="dxa" w:w="217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Pixel-level fusion</w:t>
            </w:r>
          </w:p>
        </w:tc>
        <w:tc>
          <w:tcPr>
            <w:tcW w:type="dxa" w:w="373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Image fusion, early fusion (in DL), input-level fusion</w:t>
            </w:r>
          </w:p>
        </w:tc>
        <w:tc>
          <w:tcPr>
            <w:tcW w:type="dxa" w:w="373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Requires accurate co-registration and a common grid</w:t>
            </w:r>
          </w:p>
        </w:tc>
      </w:tr>
      <w:tr>
        <w:trPr>
          <w:cantSplit/>
          <w:tblHeader w:val="false"/>
        </w:trPr>
        <w:tc>
          <w:tcPr>
            <w:tcW w:type="dxa" w:w="217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Feature-level fusion</w:t>
            </w:r>
          </w:p>
        </w:tc>
        <w:tc>
          <w:tcPr>
            <w:tcW w:type="dxa" w:w="373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Intermediate fusion, mid-level fusion, representation fusion</w:t>
            </w:r>
          </w:p>
        </w:tc>
        <w:tc>
          <w:tcPr>
            <w:tcW w:type="dxa" w:w="373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In DL: fusion of learned feature maps or embeddings</w:t>
            </w:r>
          </w:p>
        </w:tc>
      </w:tr>
      <w:tr>
        <w:trPr>
          <w:cantSplit/>
          <w:tblHeader w:val="false"/>
        </w:trPr>
        <w:tc>
          <w:tcPr>
            <w:tcW w:type="dxa" w:w="217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Decision-level fusion</w:t>
            </w:r>
          </w:p>
        </w:tc>
        <w:tc>
          <w:tcPr>
            <w:tcW w:type="dxa" w:w="373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Late fusion, classifier fusion, ensemble of sensor models</w:t>
            </w:r>
          </w:p>
        </w:tc>
        <w:tc>
          <w:tcPr>
            <w:tcW w:type="dxa" w:w="373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Combines predictions, not features</w:t>
            </w:r>
          </w:p>
        </w:tc>
      </w:tr>
      <w:tr>
        <w:trPr>
          <w:cantSplit/>
          <w:tblHeader w:val="false"/>
        </w:trPr>
        <w:tc>
          <w:tcPr>
            <w:tcW w:type="dxa" w:w="217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Model-level fusion</w:t>
            </w:r>
          </w:p>
        </w:tc>
        <w:tc>
          <w:tcPr>
            <w:tcW w:type="dxa" w:w="373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Used in two ways: (a) = decision/late fusion; (b) a joint model that fuses inside its architecture</w:t>
            </w:r>
          </w:p>
        </w:tc>
        <w:tc>
          <w:tcPr>
            <w:tcW w:type="dxa" w:w="373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State which meaning you use</w:t>
            </w:r>
          </w:p>
        </w:tc>
      </w:tr>
      <w:tr>
        <w:trPr>
          <w:cantSplit/>
          <w:tblHeader w:val="false"/>
        </w:trPr>
        <w:tc>
          <w:tcPr>
            <w:tcW w:type="dxa" w:w="217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Joint vs coordinated representation</w:t>
            </w:r>
          </w:p>
        </w:tc>
        <w:tc>
          <w:tcPr>
            <w:tcW w:type="dxa" w:w="373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Baltrušaitis et al. (2019)</w:t>
            </w:r>
          </w:p>
        </w:tc>
        <w:tc>
          <w:tcPr>
            <w:tcW w:type="dxa" w:w="373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Joint: one shared space; coordinated: separate spaces linked by constraints (e.g. CCA)</w:t>
            </w:r>
          </w:p>
        </w:tc>
      </w:tr>
    </w:tbl>
    <w:p>
      <w:pPr>
        <w:spacing w:after="120"/>
      </w:pPr>
    </w:p>
    <w:p>
      <w:pPr>
        <w:spacing w:after="100" w:line="259"/>
        <w:jc w:val="both"/>
      </w:pPr>
      <w:r>
        <w:t xml:space="preserve">Two confusions are common. First, </w:t>
      </w:r>
      <w:r>
        <w:rPr>
          <w:i/>
          <w:iCs/>
        </w:rPr>
        <w:t xml:space="preserve">early fusion</w:t>
      </w:r>
      <w:r>
        <w:t xml:space="preserve"> in deep learning (stacking sensor channels at the network input) is the DL counterpart of pixel-level fusion, not of data-level calibration. Second, </w:t>
      </w:r>
      <w:r>
        <w:rPr>
          <w:i/>
          <w:iCs/>
        </w:rPr>
        <w:t xml:space="preserve">model-level fusion</w:t>
      </w:r>
      <w:r>
        <w:t xml:space="preserve"> is ambiguous; Snoek et al. (2005) used early vs late fusion, while some authors call a multi-branch network a model-level fusion. In this document, decision level means combining outputs of separate models, and intermediate fusion means combining learned features inside one network.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in the thesis Methods, use the left column of the table and add one sentence defining 'intermediate (feature-level) DL fusion' so that examiners do not confuse it with decision fusion.</w:t>
            </w:r>
          </w:p>
        </w:tc>
      </w:tr>
    </w:tbl>
    <w:p>
      <w:pPr>
        <w:spacing w:after="120"/>
      </w:pPr>
    </w:p>
    <w:p>
      <w:pPr>
        <w:pStyle w:val="Heading2"/>
      </w:pPr>
      <w:r>
        <w:t xml:space="preserve">1.5 Preconditions: what must be true before any fusion works</w:t>
      </w:r>
    </w:p>
    <w:p>
      <w:pPr>
        <w:spacing w:after="100" w:line="259"/>
        <w:jc w:val="both"/>
      </w:pPr>
      <w:r>
        <w:t xml:space="preserve">Fusion multiplies errors as well as information. Six conditions must hold before features from different sensors are combined; they become the per-flight checklist.</w:t>
      </w:r>
    </w:p>
    <w:p>
      <w:pPr>
        <w:keepNext/>
        <w:spacing w:after="80" w:before="160"/>
      </w:pPr>
      <w:r>
        <w:rPr>
          <w:b/>
          <w:bCs/>
          <w:color w:val="1C7C78"/>
          <w:sz w:val="20"/>
          <w:szCs w:val="20"/>
        </w:rPr>
        <w:t xml:space="preserve">Table 7. </w:t>
      </w:r>
      <w:r>
        <w:rPr>
          <w:color w:val="1F3A40"/>
          <w:sz w:val="20"/>
          <w:szCs w:val="20"/>
        </w:rPr>
        <w:t xml:space="preserve">Six preconditions for valid multi-sensor fusion (deck slide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3977"/>
        <w:gridCol w:w="3367"/>
      </w:tblGrid>
      <w:tr>
        <w:trPr>
          <w:cantSplit/>
          <w:tblHeader/>
        </w:trPr>
        <w:tc>
          <w:tcPr>
            <w:tcW w:type="dxa" w:w="2294"/>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Condition</w:t>
            </w:r>
          </w:p>
        </w:tc>
        <w:tc>
          <w:tcPr>
            <w:tcW w:type="dxa" w:w="397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Requirement</w:t>
            </w:r>
          </w:p>
        </w:tc>
        <w:tc>
          <w:tcPr>
            <w:tcW w:type="dxa" w:w="336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How it is checked</w:t>
            </w:r>
          </w:p>
        </w:tc>
      </w:tr>
      <w:tr>
        <w:trPr>
          <w:cantSplit/>
          <w:tblHeader w:val="false"/>
        </w:trPr>
        <w:tc>
          <w:tcPr>
            <w:tcW w:type="dxa" w:w="229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1. Same object, same time</w:t>
            </w:r>
          </w:p>
        </w:tc>
        <w:tc>
          <w:tcPr>
            <w:tcW w:type="dxa" w:w="397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All sensors flown on the same day within a fixed solar window (e.g. ±1.5 h of solar noon)</w:t>
            </w:r>
          </w:p>
        </w:tc>
        <w:tc>
          <w:tcPr>
            <w:tcW w:type="dxa" w:w="336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Flight log with times; same plots in all orthomosaics</w:t>
            </w:r>
          </w:p>
        </w:tc>
      </w:tr>
      <w:tr>
        <w:trPr>
          <w:cantSplit/>
          <w:tblHeader w:val="false"/>
        </w:trPr>
        <w:tc>
          <w:tcPr>
            <w:tcW w:type="dxa" w:w="229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2. Geometric agreement</w:t>
            </w:r>
          </w:p>
        </w:tc>
        <w:tc>
          <w:tcPr>
            <w:tcW w:type="dxa" w:w="397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Co-registration error well below one pixel of the coarsest sensor used</w:t>
            </w:r>
          </w:p>
        </w:tc>
        <w:tc>
          <w:tcPr>
            <w:tcW w:type="dxa" w:w="336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RMSE on independent check points (Section 3.2)</w:t>
            </w:r>
          </w:p>
        </w:tc>
      </w:tr>
      <w:tr>
        <w:trPr>
          <w:cantSplit/>
          <w:tblHeader w:val="false"/>
        </w:trPr>
        <w:tc>
          <w:tcPr>
            <w:tcW w:type="dxa" w:w="229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3. Radiometric consistency</w:t>
            </w:r>
          </w:p>
        </w:tc>
        <w:tc>
          <w:tcPr>
            <w:tcW w:type="dxa" w:w="397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Reflectance (RGB/MS/HS) and °C (thermal) calibrated per flight</w:t>
            </w:r>
          </w:p>
        </w:tc>
        <w:tc>
          <w:tcPr>
            <w:tcW w:type="dxa" w:w="336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Panel and blackbody checks; reference-target values</w:t>
            </w:r>
          </w:p>
        </w:tc>
      </w:tr>
      <w:tr>
        <w:trPr>
          <w:cantSplit/>
          <w:tblHeader w:val="false"/>
        </w:trPr>
        <w:tc>
          <w:tcPr>
            <w:tcW w:type="dxa" w:w="229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4. Common support</w:t>
            </w:r>
          </w:p>
        </w:tc>
        <w:tc>
          <w:tcPr>
            <w:tcW w:type="dxa" w:w="397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Same canopy mask and plot inset for all sensors</w:t>
            </w:r>
          </w:p>
        </w:tc>
        <w:tc>
          <w:tcPr>
            <w:tcW w:type="dxa" w:w="336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Overlay of masks; identical plot polygons</w:t>
            </w:r>
          </w:p>
        </w:tc>
      </w:tr>
      <w:tr>
        <w:trPr>
          <w:cantSplit/>
          <w:tblHeader w:val="false"/>
        </w:trPr>
        <w:tc>
          <w:tcPr>
            <w:tcW w:type="dxa" w:w="229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5. Matched labels</w:t>
            </w:r>
          </w:p>
        </w:tc>
        <w:tc>
          <w:tcPr>
            <w:tcW w:type="dxa" w:w="397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DI scored on the flight day, on the same plot area the sensors see</w:t>
            </w:r>
          </w:p>
        </w:tc>
        <w:tc>
          <w:tcPr>
            <w:tcW w:type="dxa" w:w="336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Scoring date = flight date; inset documented</w:t>
            </w:r>
          </w:p>
        </w:tc>
      </w:tr>
      <w:tr>
        <w:trPr>
          <w:cantSplit/>
          <w:tblHeader w:val="false"/>
        </w:trPr>
        <w:tc>
          <w:tcPr>
            <w:tcW w:type="dxa" w:w="229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6. Leak-free evaluation</w:t>
            </w:r>
          </w:p>
        </w:tc>
        <w:tc>
          <w:tcPr>
            <w:tcW w:type="dxa" w:w="397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Any step that uses labels runs inside plot-grouped training folds</w:t>
            </w:r>
          </w:p>
        </w:tc>
        <w:tc>
          <w:tcPr>
            <w:tcW w:type="dxa" w:w="336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Code review; nested CV design (Chapter 9)</w:t>
            </w:r>
          </w:p>
        </w:tc>
      </w:tr>
    </w:tbl>
    <w:p>
      <w:pPr>
        <w:spacing w:after="120"/>
      </w:pPr>
    </w:p>
    <w:p>
      <w:pPr>
        <w:spacing w:after="100" w:line="259"/>
        <w:jc w:val="both"/>
      </w:pPr>
      <w:r>
        <w:t xml:space="preserve">Condition 6 deserves emphasis. Feature selection, scaling parameters, hyper-parameter tuning and even the choice of which features are 'disease-specific' all use labels or the data distribution. If any of these steps sees the test plots, the reported accuracy is optimistically biased (Varma &amp; Simon, 2006). Roberts et al. (2017) showed that ignoring spatial or hierarchical structure in cross-validation (e.g. splitting pixels of one plot between training and test) inflates accuracy.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these six conditions are checked for every flight date before feature extraction; failed dates or sensors are documented and excluded rather than silently used.</w:t>
            </w:r>
          </w:p>
        </w:tc>
      </w:tr>
    </w:tbl>
    <w:p>
      <w:pPr>
        <w:spacing w:after="120"/>
      </w:pPr>
    </w:p>
    <w:p>
      <w:pPr>
        <w:spacing w:after="160"/>
      </w:pPr>
      <w:r>
        <w:rPr>
          <w:i/>
          <w:iCs/>
          <w:color w:val="5E7A7E"/>
          <w:sz w:val="18"/>
          <w:szCs w:val="18"/>
        </w:rPr>
        <w:t xml:space="preserve">Key sources: Zitová &amp; Flusser (2003); Pohl &amp; Van Genderen (1998); Varma &amp; Simon (2006); Roberts et al. (2017).</w:t>
      </w:r>
    </w:p>
    <w:p>
      <w:pPr>
        <w:pStyle w:val="Heading1"/>
      </w:pPr>
      <w:r>
        <w:t xml:space="preserve">2. Multi-sensor data acquisition (Steps 1–3)</w:t>
      </w:r>
    </w:p>
    <w:p>
      <w:pPr>
        <w:spacing w:after="100" w:line="259"/>
        <w:jc w:val="both"/>
      </w:pPr>
      <w:r>
        <w:t xml:space="preserve">Fusion quality is decided in the field. Errors in timing, geometry or radiometry cannot be removed later by a clever algorithm; at best they can be detected. This chapter covers flight planning, ground control and radiometric calibration, and ground-truth design (deck slides 7–9).</w:t>
      </w:r>
    </w:p>
    <w:p>
      <w:pPr>
        <w:pStyle w:val="Heading2"/>
      </w:pPr>
      <w:r>
        <w:t xml:space="preserve">2.1 Step 1: multi-sensor flight planning</w:t>
      </w:r>
    </w:p>
    <w:p>
      <w:pPr>
        <w:spacing w:after="100" w:line="259"/>
        <w:jc w:val="both"/>
      </w:pPr>
      <w:r>
        <w:t xml:space="preserve">All sensors must observe the same canopy state. Because canopy temperature responds within minutes to radiation, wind and cloud, thermal flights are the most time-sensitive and should be flown closest to solar noon on clear or uniformly overcast days. Multispectral and hyperspectral flights should also be close to noon to minimise changes in sun angle and shadow fraction; RGB flights for texture and structure are less sensitive.</w:t>
      </w:r>
    </w:p>
    <w:p>
      <w:pPr>
        <w:pStyle w:val="ListParagraph"/>
        <w:numPr>
          <w:ilvl w:val="0"/>
          <w:numId w:val="3"/>
        </w:numPr>
        <w:spacing w:after="50" w:line="252"/>
      </w:pPr>
      <w:r>
        <w:rPr>
          <w:b/>
          <w:bCs/>
        </w:rPr>
        <w:t xml:space="preserve">Same day, all sensors:</w:t>
      </w:r>
      <w:r>
        <w:t xml:space="preserve"> a fixed time window around solar noon; record start and end time of each flight.</w:t>
      </w:r>
    </w:p>
    <w:p>
      <w:pPr>
        <w:pStyle w:val="ListParagraph"/>
        <w:numPr>
          <w:ilvl w:val="0"/>
          <w:numId w:val="3"/>
        </w:numPr>
        <w:spacing w:after="50" w:line="252"/>
      </w:pPr>
      <w:r>
        <w:rPr>
          <w:b/>
          <w:bCs/>
        </w:rPr>
        <w:t xml:space="preserve">Order:</w:t>
      </w:r>
      <w:r>
        <w:t xml:space="preserve"> thermal and MS/HS close to noon; RGB slightly earlier or later if only one UAV is available.</w:t>
      </w:r>
    </w:p>
    <w:p>
      <w:pPr>
        <w:pStyle w:val="ListParagraph"/>
        <w:numPr>
          <w:ilvl w:val="0"/>
          <w:numId w:val="3"/>
        </w:numPr>
        <w:spacing w:after="50" w:line="252"/>
      </w:pPr>
      <w:r>
        <w:rPr>
          <w:b/>
          <w:bCs/>
        </w:rPr>
        <w:t xml:space="preserve">Weather:</w:t>
      </w:r>
      <w:r>
        <w:t xml:space="preserve"> clear sky or uniform overcast; wind below about 3–4 m/s; avoid broken clouds, which change irradiance between images.</w:t>
      </w:r>
    </w:p>
    <w:p>
      <w:pPr>
        <w:pStyle w:val="ListParagraph"/>
        <w:numPr>
          <w:ilvl w:val="0"/>
          <w:numId w:val="3"/>
        </w:numPr>
        <w:spacing w:after="50" w:line="252"/>
      </w:pPr>
      <w:r>
        <w:rPr>
          <w:b/>
          <w:bCs/>
        </w:rPr>
        <w:t xml:space="preserve">Overlap:</w:t>
      </w:r>
      <w:r>
        <w:t xml:space="preserve"> about 80% forward and 75% side for photogrammetric sensors (frame cameras); a push-broom hyperspectral sensor needs straight flight lines, stable speed and an IMU/GNSS for geometric correction.</w:t>
      </w:r>
    </w:p>
    <w:p>
      <w:pPr>
        <w:pStyle w:val="ListParagraph"/>
        <w:numPr>
          <w:ilvl w:val="0"/>
          <w:numId w:val="3"/>
        </w:numPr>
        <w:spacing w:after="50" w:line="252"/>
      </w:pPr>
      <w:r>
        <w:rPr>
          <w:b/>
          <w:bCs/>
        </w:rPr>
        <w:t xml:space="preserve">Height:</w:t>
      </w:r>
      <w:r>
        <w:t xml:space="preserve"> chosen so each sensor resolves the canopy; compute ground sampling distance (GSD) as pixel pitch × height / focal length.</w:t>
      </w:r>
    </w:p>
    <w:p>
      <w:pPr>
        <w:pStyle w:val="ListParagraph"/>
        <w:numPr>
          <w:ilvl w:val="0"/>
          <w:numId w:val="3"/>
        </w:numPr>
        <w:spacing w:after="50" w:line="252"/>
      </w:pPr>
      <w:r>
        <w:rPr>
          <w:b/>
          <w:bCs/>
        </w:rPr>
        <w:t xml:space="preserve">Repeatability:</w:t>
      </w:r>
      <w:r>
        <w:t xml:space="preserve"> use identical flight plans on every date so that resolution and viewing geometry do not change over time.</w:t>
      </w:r>
    </w:p>
    <w:p>
      <w:pPr>
        <w:keepNext/>
        <w:spacing w:after="80" w:before="160"/>
      </w:pPr>
      <w:r>
        <w:rPr>
          <w:b/>
          <w:bCs/>
          <w:color w:val="1C7C78"/>
          <w:sz w:val="20"/>
          <w:szCs w:val="20"/>
        </w:rPr>
        <w:t xml:space="preserve">Table 8. </w:t>
      </w:r>
      <w:r>
        <w:rPr>
          <w:color w:val="1F3A40"/>
          <w:sz w:val="20"/>
          <w:szCs w:val="20"/>
        </w:rPr>
        <w:t xml:space="preserve">Typical UAV flight settings by sensor (deck slide 7). Values are typical ranges; compute your own GSD from camera specifications.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1835"/>
        <w:gridCol w:w="1835"/>
        <w:gridCol w:w="3980"/>
      </w:tblGrid>
      <w:tr>
        <w:trPr>
          <w:cantSplit/>
          <w:tblHeader/>
        </w:trPr>
        <w:tc>
          <w:tcPr>
            <w:tcW w:type="dxa" w:w="1988"/>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Sensor</w:t>
            </w:r>
          </w:p>
        </w:tc>
        <w:tc>
          <w:tcPr>
            <w:tcW w:type="dxa" w:w="183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Example height</w:t>
            </w:r>
          </w:p>
        </w:tc>
        <w:tc>
          <w:tcPr>
            <w:tcW w:type="dxa" w:w="183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GSD (typical)</w:t>
            </w:r>
          </w:p>
        </w:tc>
        <w:tc>
          <w:tcPr>
            <w:tcW w:type="dxa" w:w="398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Note</w:t>
            </w:r>
          </w:p>
        </w:tc>
      </w:tr>
      <w:tr>
        <w:trPr>
          <w:cantSplit/>
          <w:tblHeader w:val="false"/>
        </w:trPr>
        <w:tc>
          <w:tcPr>
            <w:tcW w:type="dxa" w:w="198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RGB</w:t>
            </w:r>
          </w:p>
        </w:tc>
        <w:tc>
          <w:tcPr>
            <w:tcW w:type="dxa" w:w="183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20–30 m</w:t>
            </w:r>
          </w:p>
        </w:tc>
        <w:tc>
          <w:tcPr>
            <w:tcW w:type="dxa" w:w="183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 0.5–1 cm</w:t>
            </w:r>
          </w:p>
        </w:tc>
        <w:tc>
          <w:tcPr>
            <w:tcW w:type="dxa" w:w="398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Texture and DSM; high overlap</w:t>
            </w:r>
          </w:p>
        </w:tc>
      </w:tr>
      <w:tr>
        <w:trPr>
          <w:cantSplit/>
          <w:tblHeader w:val="false"/>
        </w:trPr>
        <w:tc>
          <w:tcPr>
            <w:tcW w:type="dxa" w:w="198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Multispectral</w:t>
            </w:r>
          </w:p>
        </w:tc>
        <w:tc>
          <w:tcPr>
            <w:tcW w:type="dxa" w:w="183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20–40 m</w:t>
            </w:r>
          </w:p>
        </w:tc>
        <w:tc>
          <w:tcPr>
            <w:tcW w:type="dxa" w:w="183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 2–4 cm</w:t>
            </w:r>
          </w:p>
        </w:tc>
        <w:tc>
          <w:tcPr>
            <w:tcW w:type="dxa" w:w="398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Downwelling light sensor (DLS) + reflectance panel</w:t>
            </w:r>
          </w:p>
        </w:tc>
      </w:tr>
      <w:tr>
        <w:trPr>
          <w:cantSplit/>
          <w:tblHeader w:val="false"/>
        </w:trPr>
        <w:tc>
          <w:tcPr>
            <w:tcW w:type="dxa" w:w="198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Hyperspectral</w:t>
            </w:r>
          </w:p>
        </w:tc>
        <w:tc>
          <w:tcPr>
            <w:tcW w:type="dxa" w:w="183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30–50 m</w:t>
            </w:r>
          </w:p>
        </w:tc>
        <w:tc>
          <w:tcPr>
            <w:tcW w:type="dxa" w:w="183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 2–5 cm</w:t>
            </w:r>
          </w:p>
        </w:tc>
        <w:tc>
          <w:tcPr>
            <w:tcW w:type="dxa" w:w="398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Panels; stable speed; dark-current frames</w:t>
            </w:r>
          </w:p>
        </w:tc>
      </w:tr>
      <w:tr>
        <w:trPr>
          <w:cantSplit/>
          <w:tblHeader w:val="false"/>
        </w:trPr>
        <w:tc>
          <w:tcPr>
            <w:tcW w:type="dxa" w:w="198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Thermal</w:t>
            </w:r>
          </w:p>
        </w:tc>
        <w:tc>
          <w:tcPr>
            <w:tcW w:type="dxa" w:w="183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20–40 m</w:t>
            </w:r>
          </w:p>
        </w:tc>
        <w:tc>
          <w:tcPr>
            <w:tcW w:type="dxa" w:w="183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 3–8 cm</w:t>
            </w:r>
          </w:p>
        </w:tc>
        <w:tc>
          <w:tcPr>
            <w:tcW w:type="dxa" w:w="398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Camera warmed up and equilibrated before flight</w:t>
            </w:r>
          </w:p>
        </w:tc>
      </w:tr>
    </w:tbl>
    <w:p>
      <w:pPr>
        <w:spacing w:after="120"/>
      </w:pPr>
    </w:p>
    <w:p>
      <w:pPr>
        <w:spacing w:after="100" w:line="259"/>
        <w:jc w:val="both"/>
      </w:pPr>
      <w:r>
        <w:t xml:space="preserve">Published UAV disease studies follow the same principles. Su et al. (2018) flew a MicaSense RedEdge camera at 16–24 m above wheat, giving 1–1.5 cm/pixel. Guo et al. (2021) acquired hyperspectral images at 1.2 cm resolution and resampled them to 3–20 cm to test the effect of resolution. Maimaitijiang et al. (2020) flew RGB, multispectral and thermal cameras on a single low-cost UAV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fix one flight plan per sensor and reuse it on all four dates; record actual heights, times and weather (air temperature, relative humidity, wind, cloud) in the flight log because thermal features need them.</w:t>
            </w:r>
          </w:p>
        </w:tc>
      </w:tr>
    </w:tbl>
    <w:p>
      <w:pPr>
        <w:spacing w:after="120"/>
      </w:pPr>
    </w:p>
    <w:p>
      <w:pPr>
        <w:pStyle w:val="Heading2"/>
      </w:pPr>
      <w:r>
        <w:t xml:space="preserve">2.2 Step 2: ground control and radiometric calibration</w:t>
      </w:r>
    </w:p>
    <w:p>
      <w:pPr>
        <w:pStyle w:val="Heading3"/>
      </w:pPr>
      <w:r>
        <w:t xml:space="preserve">Ground control points (GCPs)</w:t>
      </w:r>
    </w:p>
    <w:p>
      <w:pPr>
        <w:spacing w:after="100" w:line="259"/>
        <w:jc w:val="both"/>
      </w:pPr>
      <w:r>
        <w:t xml:space="preserve">Co-registration across sensors is easiest when every orthomosaic is tied to the same ground coordinates. At least five GCPs spread over the field, plus independent check points, should be surveyed with RTK GNSS (centimetre accuracy). For thermal–visible alignment, the targets must be visible in the thermal band as well: materials with strong thermal contrast (e.g. aluminium foil next to a black panel) produce a sharp edge in both the visible and thermal images. Permanent plot-corner markers help when GCPs cannot be laid out on every date.</w:t>
      </w:r>
    </w:p>
    <w:p>
      <w:pPr>
        <w:pStyle w:val="Heading3"/>
      </w:pPr>
      <w:r>
        <w:t xml:space="preserve">Radiometric calibration by sensor</w:t>
      </w:r>
    </w:p>
    <w:p>
      <w:pPr>
        <w:pStyle w:val="ListParagraph"/>
        <w:numPr>
          <w:ilvl w:val="0"/>
          <w:numId w:val="3"/>
        </w:numPr>
        <w:spacing w:after="50" w:line="252"/>
      </w:pPr>
      <w:r>
        <w:rPr>
          <w:b/>
          <w:bCs/>
        </w:rPr>
        <w:t xml:space="preserve">RGB:</w:t>
      </w:r>
      <w:r>
        <w:t xml:space="preserve"> fixed exposure and white balance where possible; a grey card or colour checker allows colour normalisation between dates.</w:t>
      </w:r>
    </w:p>
    <w:p>
      <w:pPr>
        <w:pStyle w:val="ListParagraph"/>
        <w:numPr>
          <w:ilvl w:val="0"/>
          <w:numId w:val="3"/>
        </w:numPr>
        <w:spacing w:after="50" w:line="252"/>
      </w:pPr>
      <w:r>
        <w:rPr>
          <w:b/>
          <w:bCs/>
        </w:rPr>
        <w:t xml:space="preserve">Multispectral:</w:t>
      </w:r>
      <w:r>
        <w:t xml:space="preserve"> digital numbers → radiance (sensor calibration) → reflectance using a calibrated reflectance panel imaged before and after the flight plus the downwelling light sensor (DLS), which corrects for irradiance changes during the flight.</w:t>
      </w:r>
    </w:p>
    <w:p>
      <w:pPr>
        <w:pStyle w:val="ListParagraph"/>
        <w:numPr>
          <w:ilvl w:val="0"/>
          <w:numId w:val="3"/>
        </w:numPr>
        <w:spacing w:after="50" w:line="252"/>
      </w:pPr>
      <w:r>
        <w:rPr>
          <w:b/>
          <w:bCs/>
        </w:rPr>
        <w:t xml:space="preserve">Hyperspectral:</w:t>
      </w:r>
      <w:r>
        <w:t xml:space="preserve"> dark-current subtraction, radiometric calibration, and an empirical-line correction using panels of known reflectance; remove noisy bands at the sensor edges and in atmospheric water absorption regions; optional smoothing (e.g. Savitzky–Golay).</w:t>
      </w:r>
    </w:p>
    <w:p>
      <w:pPr>
        <w:pStyle w:val="ListParagraph"/>
        <w:numPr>
          <w:ilvl w:val="0"/>
          <w:numId w:val="3"/>
        </w:numPr>
        <w:spacing w:after="50" w:line="252"/>
      </w:pPr>
      <w:r>
        <w:rPr>
          <w:b/>
          <w:bCs/>
        </w:rPr>
        <w:t xml:space="preserve">Thermal:</w:t>
      </w:r>
      <w:r>
        <w:t xml:space="preserve"> raw values → radiometric temperature (°C); check against ground reference surfaces measured with a handheld IR thermometer; record air temperature and relative humidity at flight time to compute canopy-temperature depression (CTD = Tc − Tair) and other normalised indices (Jones, 2004; Leinonen &amp; Jones, 2004).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the same GCPs, visible in RGB, MS, HS and thermal, are the backbone of co-registration. Calibration logs (panel values, blackbody or reference-target temperatures) are what make IARI and Bharatpur data comparable.</w:t>
            </w:r>
          </w:p>
        </w:tc>
      </w:tr>
    </w:tbl>
    <w:p>
      <w:pPr>
        <w:spacing w:after="120"/>
      </w:pPr>
    </w:p>
    <w:p>
      <w:pPr>
        <w:spacing w:after="160"/>
      </w:pPr>
      <w:r>
        <w:rPr>
          <w:i/>
          <w:iCs/>
          <w:color w:val="5E7A7E"/>
          <w:sz w:val="18"/>
          <w:szCs w:val="18"/>
        </w:rPr>
        <w:t xml:space="preserve">Key sources: Maimaitijiang et al. (2020); Su et al. (2018); Jones (2004); Leinonen &amp; Jones (2004).</w:t>
      </w:r>
    </w:p>
    <w:p>
      <w:pPr>
        <w:pStyle w:val="Heading2"/>
      </w:pPr>
      <w:r>
        <w:t xml:space="preserve">2.3 Step 3: ground truth and metadata, designed for fusion</w:t>
      </w:r>
    </w:p>
    <w:p>
      <w:pPr>
        <w:spacing w:after="100" w:line="259"/>
        <w:jc w:val="both"/>
      </w:pPr>
      <w:r>
        <w:t xml:space="preserve">Labels must describe the same area that the sensors see, on the same day. For white rust, a plot disease index is computed from graded leaves. Because pustules develop mainly on the abaxial surface, both leaf surfaces should be scored, and leaves from upper, middle and lower canopy layers should be sampled; upper layers dominate what a nadir-viewing sensor sees.</w:t>
      </w:r>
    </w:p>
    <w:p>
      <w:pPr>
        <w:spacing w:after="20" w:before="100"/>
        <w:jc w:val="center"/>
      </w:pPr>
      <w:r>
        <w:rPr>
          <w:rFonts w:ascii="Cambria Math" w:cs="Cambria Math" w:eastAsia="Cambria Math" w:hAnsi="Cambria Math"/>
          <w:sz w:val="23"/>
          <w:szCs w:val="23"/>
        </w:rPr>
        <w:t xml:space="preserve">DI (%) = Σ (grade × number of leaves in that grade) / (total leaves scored × maximum grade) × 100</w:t>
      </w:r>
    </w:p>
    <w:p>
      <w:pPr>
        <w:spacing w:after="120"/>
        <w:jc w:val="center"/>
      </w:pPr>
      <w:r>
        <w:rPr>
          <w:i/>
          <w:iCs/>
          <w:color w:val="5E7A7E"/>
          <w:sz w:val="19"/>
          <w:szCs w:val="19"/>
        </w:rPr>
        <w:t xml:space="preserve">McKinney-type disease index (McKinney, 1923); DI is then grouped into 6 ordered classes.</w:t>
      </w:r>
    </w:p>
    <w:p>
      <w:pPr>
        <w:pStyle w:val="ListParagraph"/>
        <w:numPr>
          <w:ilvl w:val="0"/>
          <w:numId w:val="3"/>
        </w:numPr>
        <w:spacing w:after="50" w:line="252"/>
      </w:pPr>
      <w:r>
        <w:rPr>
          <w:b/>
          <w:bCs/>
        </w:rPr>
        <w:t xml:space="preserve">Plot DI on each flight day:</w:t>
      </w:r>
      <w:r>
        <w:t xml:space="preserve"> same central area as image analysis (after removing an inset from the plot edges) and plot corners recorded.</w:t>
      </w:r>
    </w:p>
    <w:p>
      <w:pPr>
        <w:pStyle w:val="ListParagraph"/>
        <w:numPr>
          <w:ilvl w:val="0"/>
          <w:numId w:val="3"/>
        </w:numPr>
        <w:spacing w:after="50" w:line="252"/>
      </w:pPr>
      <w:r>
        <w:rPr>
          <w:b/>
          <w:bCs/>
        </w:rPr>
        <w:t xml:space="preserve">Leaf layer and surface:</w:t>
      </w:r>
      <w:r>
        <w:t xml:space="preserve"> record upper, middle and lower layers and both surfaces, so that the sensor-visible layer can be analysed separately.</w:t>
      </w:r>
    </w:p>
    <w:p>
      <w:pPr>
        <w:pStyle w:val="ListParagraph"/>
        <w:numPr>
          <w:ilvl w:val="0"/>
          <w:numId w:val="3"/>
        </w:numPr>
        <w:spacing w:after="50" w:line="252"/>
      </w:pPr>
      <w:r>
        <w:rPr>
          <w:b/>
          <w:bCs/>
        </w:rPr>
        <w:t xml:space="preserve">Quadrats (0.5–1 m²), RTK-located:</w:t>
      </w:r>
      <w:r>
        <w:t xml:space="preserve"> optional sub-plot ground truth, needed if within-plot (pixel-level) severity maps are to be validated.</w:t>
      </w:r>
    </w:p>
    <w:p>
      <w:pPr>
        <w:pStyle w:val="ListParagraph"/>
        <w:numPr>
          <w:ilvl w:val="0"/>
          <w:numId w:val="3"/>
        </w:numPr>
        <w:spacing w:after="50" w:line="252"/>
      </w:pPr>
      <w:r>
        <w:rPr>
          <w:b/>
          <w:bCs/>
        </w:rPr>
        <w:t xml:space="preserve">Optional physiology:</w:t>
      </w:r>
      <w:r>
        <w:t xml:space="preserve"> SPAD or Dualex (chlorophyll), Fv/Fm (fluorescence), canopy height; these help interpret what the sensors detect.</w:t>
      </w:r>
    </w:p>
    <w:p>
      <w:pPr>
        <w:pStyle w:val="ListParagraph"/>
        <w:numPr>
          <w:ilvl w:val="0"/>
          <w:numId w:val="3"/>
        </w:numPr>
        <w:spacing w:after="50" w:line="252"/>
      </w:pPr>
      <w:r>
        <w:rPr>
          <w:b/>
          <w:bCs/>
        </w:rPr>
        <w:t xml:space="preserve">Metadata per flight:</w:t>
      </w:r>
      <w:r>
        <w:t xml:space="preserve"> date, time, sensor, height, speed, overlap, weather, calibration files, GCP coordinates, processing software and version.</w:t>
      </w:r>
    </w:p>
    <w:p>
      <w:pPr>
        <w:pStyle w:val="ListParagraph"/>
        <w:numPr>
          <w:ilvl w:val="0"/>
          <w:numId w:val="3"/>
        </w:numPr>
        <w:spacing w:after="50" w:line="252"/>
      </w:pPr>
      <w:r>
        <w:rPr>
          <w:b/>
          <w:bCs/>
        </w:rPr>
        <w:t xml:space="preserve">File naming:</w:t>
      </w:r>
      <w:r>
        <w:t xml:space="preserve"> {site}_{date}_{sensor}_{product}.tif and a data dictionary for every feature column.</w:t>
      </w:r>
    </w:p>
    <w:p>
      <w:pPr>
        <w:spacing w:after="100" w:line="259"/>
        <w:jc w:val="both"/>
      </w:pPr>
      <w:r>
        <w:t xml:space="preserve">Whetton et al. (2018) showed why the label method matters: for Fusarium head blight, PLSR models were more accurate against photo-interpreted disease assessment than against in-field visual assessment, while yellow rust was assessed in the field. Bohnenkamp et al. (2019) scored yellow rust per leaf level when comparing ground and UAV hyperspectral data. Olofsson et al. (2014) give general rules for reference data used in map accuracy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labels must be at the scale of the fused unit (plot, or quadrat for sub-plot maps). Score both leaf surfaces; record which canopy layer the DI describes.</w:t>
            </w:r>
          </w:p>
        </w:tc>
      </w:tr>
    </w:tbl>
    <w:p>
      <w:pPr>
        <w:spacing w:after="120"/>
      </w:pPr>
    </w:p>
    <w:p>
      <w:pPr>
        <w:spacing w:after="160"/>
      </w:pPr>
      <w:r>
        <w:rPr>
          <w:i/>
          <w:iCs/>
          <w:color w:val="5E7A7E"/>
          <w:sz w:val="18"/>
          <w:szCs w:val="18"/>
        </w:rPr>
        <w:t xml:space="preserve">Key sources: Whetton et al. (2018); Bohnenkamp et al. (2019); McKinney (1923); Olofsson et al. (2014).</w:t>
      </w:r>
    </w:p>
    <w:p>
      <w:pPr>
        <w:pStyle w:val="Heading1"/>
      </w:pPr>
      <w:r>
        <w:t xml:space="preserve">3. Level 0: data-level fusion (co-registration, harmonisation, layer stack)</w:t>
      </w:r>
    </w:p>
    <w:p>
      <w:pPr>
        <w:spacing w:after="100" w:line="259"/>
        <w:jc w:val="both"/>
      </w:pPr>
      <w:r>
        <w:t xml:space="preserve">Data-level fusion puts all sensor measurements onto a common geometry and a common physical scale. It does not by itself combine information, but every higher level depends on it. Errors here propagate directly into pixel-level fusion and, more weakly, into feature-level fusion.</w:t>
      </w:r>
    </w:p>
    <w:p>
      <w:pPr>
        <w:pStyle w:val="Heading2"/>
      </w:pPr>
      <w:r>
        <w:t xml:space="preserve">3.1 Co-registration: concepts and methods</w:t>
      </w:r>
    </w:p>
    <w:p>
      <w:pPr>
        <w:spacing w:after="100" w:line="259"/>
        <w:jc w:val="both"/>
      </w:pPr>
      <w:r>
        <w:t xml:space="preserve">Image registration finds the geometric transformation that maps one image (the </w:t>
      </w:r>
      <w:r>
        <w:rPr>
          <w:i/>
          <w:iCs/>
        </w:rPr>
        <w:t xml:space="preserve">sensed</w:t>
      </w:r>
      <w:r>
        <w:t xml:space="preserve"> image) onto another (the </w:t>
      </w:r>
      <w:r>
        <w:rPr>
          <w:i/>
          <w:iCs/>
        </w:rPr>
        <w:t xml:space="preserve">reference</w:t>
      </w:r>
      <w:r>
        <w:t xml:space="preserve"> image). Zitová and Flusser (2003) divide the process into four steps: feature detection, feature matching, transform model estimation, and image resampling. For UAV orthomosaics that were all georeferenced with the same GCPs, the residual misalignment is usually a small translation or affine distortion; a full non-rigid model is rarely needed.</w:t>
      </w:r>
    </w:p>
    <w:p>
      <w:pPr>
        <w:keepNext/>
        <w:spacing w:after="80" w:before="160"/>
      </w:pPr>
      <w:r>
        <w:rPr>
          <w:b/>
          <w:bCs/>
          <w:color w:val="1C7C78"/>
          <w:sz w:val="20"/>
          <w:szCs w:val="20"/>
        </w:rPr>
        <w:t xml:space="preserve">Table 9. </w:t>
      </w:r>
      <w:r>
        <w:rPr>
          <w:color w:val="1F3A40"/>
          <w:sz w:val="20"/>
          <w:szCs w:val="20"/>
        </w:rPr>
        <w:t xml:space="preserve">Co-registration options (deck slide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3915"/>
        <w:gridCol w:w="3615"/>
      </w:tblGrid>
      <w:tr>
        <w:trPr>
          <w:cantSplit/>
          <w:tblHeader/>
        </w:trPr>
        <w:tc>
          <w:tcPr>
            <w:tcW w:type="dxa" w:w="2108"/>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Component</w:t>
            </w:r>
          </w:p>
        </w:tc>
        <w:tc>
          <w:tcPr>
            <w:tcW w:type="dxa" w:w="391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Options</w:t>
            </w:r>
          </w:p>
        </w:tc>
        <w:tc>
          <w:tcPr>
            <w:tcW w:type="dxa" w:w="361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Comment</w:t>
            </w:r>
          </w:p>
        </w:tc>
      </w:tr>
      <w:tr>
        <w:trPr>
          <w:cantSplit/>
          <w:tblHeader w:val="false"/>
        </w:trPr>
        <w:tc>
          <w:tcPr>
            <w:tcW w:type="dxa" w:w="210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Transformation model</w:t>
            </w:r>
          </w:p>
        </w:tc>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Translation; affine; projective (homography); polynomial; elastic</w:t>
            </w:r>
          </w:p>
        </w:tc>
        <w:tc>
          <w:tcPr>
            <w:tcW w:type="dxa" w:w="36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GCP-based orthomosaics usually need only a small affine or translation correction</w:t>
            </w:r>
          </w:p>
        </w:tc>
      </w:tr>
      <w:tr>
        <w:trPr>
          <w:cantSplit/>
          <w:tblHeader w:val="false"/>
        </w:trPr>
        <w:tc>
          <w:tcPr>
            <w:tcW w:type="dxa" w:w="210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Feature-based matching</w:t>
            </w:r>
          </w:p>
        </w:tc>
        <w:tc>
          <w:tcPr>
            <w:tcW w:type="dxa" w:w="39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SIFT (Lowe, 2004) or ORB keypoints + RANSAC outlier rejection</w:t>
            </w:r>
          </w:p>
        </w:tc>
        <w:tc>
          <w:tcPr>
            <w:tcW w:type="dxa" w:w="36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Works between similar bands (RGB ↔ MS red/green); weak for thermal</w:t>
            </w:r>
          </w:p>
        </w:tc>
      </w:tr>
      <w:tr>
        <w:trPr>
          <w:cantSplit/>
          <w:tblHeader w:val="false"/>
        </w:trPr>
        <w:tc>
          <w:tcPr>
            <w:tcW w:type="dxa" w:w="210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Area / intensity-based</w:t>
            </w:r>
          </w:p>
        </w:tc>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Cross-correlation; enhanced correlation coefficient (ECC; Evangelidis &amp; Psarakis, 2008); mutual information (MI; Maes et al., 1997)</w:t>
            </w:r>
          </w:p>
        </w:tc>
        <w:tc>
          <w:tcPr>
            <w:tcW w:type="dxa" w:w="36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MI handles different modalities because it does not assume equal intensities</w:t>
            </w:r>
          </w:p>
        </w:tc>
      </w:tr>
      <w:tr>
        <w:trPr>
          <w:cantSplit/>
          <w:tblHeader w:val="false"/>
        </w:trPr>
        <w:tc>
          <w:tcPr>
            <w:tcW w:type="dxa" w:w="210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Structure-based</w:t>
            </w:r>
          </w:p>
        </w:tc>
        <w:tc>
          <w:tcPr>
            <w:tcW w:type="dxa" w:w="39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Match gradient or edge maps (plot borders, paths, GCP targets)</w:t>
            </w:r>
          </w:p>
        </w:tc>
        <w:tc>
          <w:tcPr>
            <w:tcW w:type="dxa" w:w="36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Robust option for NIR ↔ thermal</w:t>
            </w:r>
          </w:p>
        </w:tc>
      </w:tr>
      <w:tr>
        <w:trPr>
          <w:cantSplit/>
          <w:tblHeader w:val="false"/>
        </w:trPr>
        <w:tc>
          <w:tcPr>
            <w:tcW w:type="dxa" w:w="210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Iterative refinement</w:t>
            </w:r>
          </w:p>
        </w:tc>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Repeat keypoint detection and matching on the transformed image</w:t>
            </w:r>
          </w:p>
        </w:tc>
        <w:tc>
          <w:tcPr>
            <w:tcW w:type="dxa" w:w="36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Kerkech et al. (2020a) for visible ↔ infrared UAV images</w:t>
            </w:r>
          </w:p>
        </w:tc>
      </w:tr>
    </w:tbl>
    <w:p>
      <w:pPr>
        <w:spacing w:after="120"/>
      </w:pPr>
    </w:p>
    <w:p>
      <w:pPr>
        <w:spacing w:after="100" w:line="259"/>
        <w:jc w:val="both"/>
      </w:pPr>
      <w:r>
        <w:t xml:space="preserve">Mutual information is the standard criterion for multimodal registration. It measures how much knowing the intensity in one image reduces uncertainty about the intensity at the same location in the other image:</w:t>
      </w:r>
    </w:p>
    <w:p>
      <w:pPr>
        <w:spacing w:after="20" w:before="100"/>
        <w:jc w:val="center"/>
      </w:pPr>
      <w:r>
        <w:rPr>
          <w:rFonts w:ascii="Cambria Math" w:cs="Cambria Math" w:eastAsia="Cambria Math" w:hAnsi="Cambria Math"/>
          <w:sz w:val="23"/>
          <w:szCs w:val="23"/>
        </w:rPr>
        <w:t xml:space="preserve">MI(A, B) = H(A) + H(B) − H(A, B)</w:t>
      </w:r>
    </w:p>
    <w:p>
      <w:pPr>
        <w:spacing w:after="120"/>
        <w:jc w:val="center"/>
      </w:pPr>
      <w:r>
        <w:rPr>
          <w:i/>
          <w:iCs/>
          <w:color w:val="5E7A7E"/>
          <w:sz w:val="19"/>
          <w:szCs w:val="19"/>
        </w:rPr>
        <w:t xml:space="preserve">H(·) is Shannon entropy; H(A, B) is the joint entropy from the joint histogram. Registration maximises MI over the transform parameters.</w:t>
      </w:r>
    </w:p>
    <w:p>
      <w:pPr>
        <w:spacing w:after="100" w:line="259"/>
        <w:jc w:val="both"/>
      </w:pPr>
      <w:r>
        <w:t xml:space="preserve">MI does not require the two images to have similar brightness, only a consistent statistical relationship, which is why it works for thermal versus visible imagery. ECC maximises a normalised correlation and is robust to brightness and contrast changes but assumes a monotonic relationship between intensities.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thermal ↔ visible is the hardest pair (different physics, lower resolution). Use GCP-based orthorectification first, then refine with MI or edge-based matching on plot borders.</w:t>
            </w:r>
          </w:p>
        </w:tc>
      </w:tr>
    </w:tbl>
    <w:p>
      <w:pPr>
        <w:spacing w:after="120"/>
      </w:pPr>
    </w:p>
    <w:p>
      <w:pPr>
        <w:pStyle w:val="Heading2"/>
      </w:pPr>
      <w:r>
        <w:t xml:space="preserve">3.2 Co-registration workflow and accuracy check</w:t>
      </w:r>
    </w:p>
    <w:p>
      <w:pPr>
        <w:pStyle w:val="ListParagraph"/>
        <w:numPr>
          <w:ilvl w:val="0"/>
          <w:numId w:val="4"/>
        </w:numPr>
        <w:spacing w:after="50" w:line="252"/>
      </w:pPr>
      <w:r>
        <w:t xml:space="preserve">Produce each sensor's orthomosaic with the same GCPs.</w:t>
      </w:r>
    </w:p>
    <w:p>
      <w:pPr>
        <w:pStyle w:val="ListParagraph"/>
        <w:numPr>
          <w:ilvl w:val="0"/>
          <w:numId w:val="4"/>
        </w:numPr>
        <w:spacing w:after="50" w:line="252"/>
      </w:pPr>
      <w:r>
        <w:t xml:space="preserve">Reproject all products to one coordinate reference system (CRS), e.g. UTM.</w:t>
      </w:r>
    </w:p>
    <w:p>
      <w:pPr>
        <w:pStyle w:val="ListParagraph"/>
        <w:numPr>
          <w:ilvl w:val="0"/>
          <w:numId w:val="4"/>
        </w:numPr>
        <w:spacing w:after="50" w:line="252"/>
      </w:pPr>
      <w:r>
        <w:t xml:space="preserve">Choose a reference sensor: the multispectral orthomosaic is a good choice (good geometry, NIR edges visible in both directions).</w:t>
      </w:r>
    </w:p>
    <w:p>
      <w:pPr>
        <w:pStyle w:val="ListParagraph"/>
        <w:numPr>
          <w:ilvl w:val="0"/>
          <w:numId w:val="4"/>
        </w:numPr>
        <w:spacing w:after="50" w:line="252"/>
      </w:pPr>
      <w:r>
        <w:t xml:space="preserve">Fine alignment: estimate a small affine or translation shift using MI or edge maps on plot borders and GCP targets; apply as a geotransform.</w:t>
      </w:r>
    </w:p>
    <w:p>
      <w:pPr>
        <w:pStyle w:val="ListParagraph"/>
        <w:numPr>
          <w:ilvl w:val="0"/>
          <w:numId w:val="4"/>
        </w:numPr>
        <w:spacing w:after="50" w:line="252"/>
      </w:pPr>
      <w:r>
        <w:t xml:space="preserve">Resample to the target grid if pixel-level fusion is planned (Section 3.3).</w:t>
      </w:r>
    </w:p>
    <w:p>
      <w:pPr>
        <w:pStyle w:val="ListParagraph"/>
        <w:numPr>
          <w:ilvl w:val="0"/>
          <w:numId w:val="4"/>
        </w:numPr>
        <w:spacing w:after="50" w:line="252"/>
      </w:pPr>
      <w:r>
        <w:t xml:space="preserve">Check: compute RMSE on independent check points not used for fitting; visually overlay NDVI edges on thermal edges.</w:t>
      </w:r>
    </w:p>
    <w:p>
      <w:pPr>
        <w:spacing w:after="100" w:line="259"/>
        <w:jc w:val="both"/>
      </w:pPr>
      <w:r>
        <w:t xml:space="preserve">Accuracy targets depend on the fusion level. For pixel-level fusion, the error should be much smaller than one pixel of the coarsest sensor. For plot-level feature fusion, the tolerance is larger because features are averaged over the plot interior after an inset (e.g. 0.4 m) has been removed; a 5 cm misalignment then moves only edge pixels, which are excluded anyway.</w:t>
      </w:r>
    </w:p>
    <w:p>
      <w:pPr>
        <w:spacing w:after="20" w:before="100"/>
        <w:jc w:val="center"/>
      </w:pPr>
      <w:r>
        <w:rPr>
          <w:rFonts w:ascii="Cambria Math" w:cs="Cambria Math" w:eastAsia="Cambria Math" w:hAnsi="Cambria Math"/>
          <w:sz w:val="23"/>
          <w:szCs w:val="23"/>
        </w:rPr>
        <w:t xml:space="preserve">RMSE = √[ (1/n) Σ ((xᵢ − x̂ᵢ)² + (yᵢ − ŷᵢ)²) ]</w:t>
      </w:r>
    </w:p>
    <w:p>
      <w:pPr>
        <w:spacing w:after="120"/>
        <w:jc w:val="center"/>
      </w:pPr>
      <w:r>
        <w:rPr>
          <w:i/>
          <w:iCs/>
          <w:color w:val="5E7A7E"/>
          <w:sz w:val="19"/>
          <w:szCs w:val="19"/>
        </w:rPr>
        <w:t xml:space="preserve">Computed on n independent check points; report per sensor and 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report co-registration RMSE per sensor and date in the thesis. If the thermal error exceeds about half a thermal pixel, use plot-level features rather than pixel fusion for that date.</w:t>
            </w:r>
          </w:p>
        </w:tc>
      </w:tr>
    </w:tbl>
    <w:p>
      <w:pPr>
        <w:spacing w:after="120"/>
      </w:pPr>
    </w:p>
    <w:p>
      <w:pPr>
        <w:spacing w:after="160"/>
      </w:pPr>
      <w:r>
        <w:rPr>
          <w:i/>
          <w:iCs/>
          <w:color w:val="5E7A7E"/>
          <w:sz w:val="18"/>
          <w:szCs w:val="18"/>
        </w:rPr>
        <w:t xml:space="preserve">Key sources: Zitová &amp; Flusser (2003); Lowe (2004); Evangelidis &amp; Psarakis (2008); Maes et al. (1997); Kerkech et al. (2020a).</w:t>
      </w:r>
    </w:p>
    <w:p>
      <w:pPr>
        <w:pStyle w:val="Heading2"/>
      </w:pPr>
      <w:r>
        <w:t xml:space="preserve">3.3 Resolution harmonisation, masking and the layer stack</w:t>
      </w:r>
    </w:p>
    <w:p>
      <w:pPr>
        <w:pStyle w:val="Heading3"/>
      </w:pPr>
      <w:r>
        <w:t xml:space="preserve">Harmonising resolution</w:t>
      </w:r>
    </w:p>
    <w:p>
      <w:pPr>
        <w:spacing w:after="100" w:line="259"/>
        <w:jc w:val="both"/>
      </w:pPr>
      <w:r>
        <w:t xml:space="preserve">The four sensors have different GSDs. There are three options:</w:t>
      </w:r>
    </w:p>
    <w:p>
      <w:pPr>
        <w:pStyle w:val="ListParagraph"/>
        <w:numPr>
          <w:ilvl w:val="0"/>
          <w:numId w:val="3"/>
        </w:numPr>
        <w:spacing w:after="50" w:line="252"/>
      </w:pPr>
      <w:r>
        <w:rPr>
          <w:b/>
          <w:bCs/>
        </w:rPr>
        <w:t xml:space="preserve">Option A, aggregate:</w:t>
      </w:r>
      <w:r>
        <w:t xml:space="preserve"> resample fine sensors to the coarsest grid by area-weighted averaging (not nearest neighbour, which aliases fine texture). Simple and physically consistent for pixel-level fusion.</w:t>
      </w:r>
    </w:p>
    <w:p>
      <w:pPr>
        <w:pStyle w:val="ListParagraph"/>
        <w:numPr>
          <w:ilvl w:val="0"/>
          <w:numId w:val="3"/>
        </w:numPr>
        <w:spacing w:after="50" w:line="252"/>
      </w:pPr>
      <w:r>
        <w:rPr>
          <w:b/>
          <w:bCs/>
        </w:rPr>
        <w:t xml:space="preserve">Option B, keep native grids:</w:t>
      </w:r>
      <w:r>
        <w:t xml:space="preserve"> extract features per plot or per tile from each sensor at its own resolution, covering the same ground area. This is the natural choice for feature-level fusion and preserves RGB texture.</w:t>
      </w:r>
    </w:p>
    <w:p>
      <w:pPr>
        <w:pStyle w:val="ListParagraph"/>
        <w:numPr>
          <w:ilvl w:val="0"/>
          <w:numId w:val="3"/>
        </w:numPr>
        <w:spacing w:after="50" w:line="252"/>
      </w:pPr>
      <w:r>
        <w:rPr>
          <w:b/>
          <w:bCs/>
        </w:rPr>
        <w:t xml:space="preserve">Option C, super-resolve:</w:t>
      </w:r>
      <w:r>
        <w:t xml:space="preserve"> sharpen the coarse sensor using a fine one (pixel-level fusion, Chapter 4). Only worthwhile if the sharpened values are validated.</w:t>
      </w:r>
    </w:p>
    <w:p>
      <w:pPr>
        <w:spacing w:after="100" w:line="259"/>
        <w:jc w:val="both"/>
      </w:pPr>
      <w:r>
        <w:t xml:space="preserve">Resolution matters for disease detection. Guo et al. (2021) resampled 1.2 cm hyperspectral images to 3, 5, 7, 10, 15 and 20 cm and evaluated how model accuracy changed with resolution; Bohnenkamp et al. (2019) identified spatial resolution as a key parameter when moving from ground to UAV scale.</w:t>
      </w:r>
    </w:p>
    <w:p>
      <w:pPr>
        <w:pStyle w:val="Heading3"/>
      </w:pPr>
      <w:r>
        <w:t xml:space="preserve">Common masks</w:t>
      </w:r>
    </w:p>
    <w:p>
      <w:pPr>
        <w:pStyle w:val="ListParagraph"/>
        <w:numPr>
          <w:ilvl w:val="0"/>
          <w:numId w:val="3"/>
        </w:numPr>
        <w:spacing w:after="50" w:line="252"/>
      </w:pPr>
      <w:r>
        <w:rPr>
          <w:b/>
          <w:bCs/>
        </w:rPr>
        <w:t xml:space="preserve">Canopy mask:</w:t>
      </w:r>
      <w:r>
        <w:t xml:space="preserve"> NDVI or ExG thresholded with Otsu's method on the finest sensor, then resampled to the others.</w:t>
      </w:r>
    </w:p>
    <w:p>
      <w:pPr>
        <w:pStyle w:val="ListParagraph"/>
        <w:numPr>
          <w:ilvl w:val="0"/>
          <w:numId w:val="3"/>
        </w:numPr>
        <w:spacing w:after="50" w:line="252"/>
      </w:pPr>
      <w:r>
        <w:rPr>
          <w:b/>
          <w:bCs/>
        </w:rPr>
        <w:t xml:space="preserve">Shadow mask:</w:t>
      </w:r>
      <w:r>
        <w:t xml:space="preserve"> low NIR; flowers (mustard is bright yellow at flowering) may need a separate mask because they change reflectance strongly.</w:t>
      </w:r>
    </w:p>
    <w:p>
      <w:pPr>
        <w:pStyle w:val="ListParagraph"/>
        <w:numPr>
          <w:ilvl w:val="0"/>
          <w:numId w:val="3"/>
        </w:numPr>
        <w:spacing w:after="50" w:line="252"/>
      </w:pPr>
      <w:r>
        <w:rPr>
          <w:b/>
          <w:bCs/>
        </w:rPr>
        <w:t xml:space="preserve">Thermal mask:</w:t>
      </w:r>
      <w:r>
        <w:t xml:space="preserve"> use the visible/NIR mask to keep pure leaf pixels; mixed pixels containing hot soil bias canopy temperature upwards (Leinonen &amp; Jones, 2004).</w:t>
      </w:r>
    </w:p>
    <w:p>
      <w:pPr>
        <w:pStyle w:val="ListParagraph"/>
        <w:numPr>
          <w:ilvl w:val="0"/>
          <w:numId w:val="3"/>
        </w:numPr>
        <w:spacing w:after="50" w:line="252"/>
      </w:pPr>
      <w:r>
        <w:rPr>
          <w:b/>
          <w:bCs/>
        </w:rPr>
        <w:t xml:space="preserve">Plot inset:</w:t>
      </w:r>
      <w:r>
        <w:t xml:space="preserve"> remove e.g. 0.4 m from the plot edges to avoid border effects and misregistration.</w:t>
      </w:r>
    </w:p>
    <w:p>
      <w:pPr>
        <w:pStyle w:val="Heading3"/>
      </w:pPr>
      <w:r>
        <w:t xml:space="preserve">The layer stack (data cube)</w:t>
      </w:r>
    </w:p>
    <w:p>
      <w:pPr>
        <w:spacing w:after="100" w:line="259"/>
        <w:jc w:val="both"/>
      </w:pPr>
      <w:r>
        <w:t xml:space="preserve">If a common grid is used, the result is a co-registered data cube: RGB (3) + MS (5) + HS (n bands or principal components) + thermal (1) + canopy height (1). Store it as GeoTIFF/COG or an xarray dataset with band names, units, wavelength and date. This stack is the input to pixel-level fusion and to tile-based DL.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keep native resolutions for plot-level ML features; build a common ≈5 cm stack only for pixel or tile-based DL experiments.</w:t>
            </w:r>
          </w:p>
        </w:tc>
      </w:tr>
    </w:tbl>
    <w:p>
      <w:pPr>
        <w:spacing w:after="120"/>
      </w:pPr>
    </w:p>
    <w:p>
      <w:pPr>
        <w:spacing w:after="160"/>
      </w:pPr>
      <w:r>
        <w:rPr>
          <w:i/>
          <w:iCs/>
          <w:color w:val="5E7A7E"/>
          <w:sz w:val="18"/>
          <w:szCs w:val="18"/>
        </w:rPr>
        <w:t xml:space="preserve">Key sources: Pohl &amp; Van Genderen (1998); Guo et al. (2021); Bohnenkamp et al. (2019); Leinonen &amp; Jones (2004).</w:t>
      </w:r>
    </w:p>
    <w:p>
      <w:pPr>
        <w:pStyle w:val="Heading1"/>
      </w:pPr>
      <w:r>
        <w:t xml:space="preserve">4. Level 1: pixel-level fusion</w:t>
      </w:r>
    </w:p>
    <w:p>
      <w:pPr>
        <w:spacing w:after="100" w:line="259"/>
        <w:jc w:val="both"/>
      </w:pPr>
      <w:r>
        <w:t xml:space="preserve">Pixel-level fusion combines the values of co-registered pixels. It is the lowest level at which information from different sensors actually interacts, and the most demanding in terms of alignment and radiometric consistency (deck slides 13–17).</w:t>
      </w:r>
    </w:p>
    <w:p>
      <w:pPr>
        <w:pStyle w:val="Heading2"/>
      </w:pPr>
      <w:r>
        <w:t xml:space="preserve">4.1 Two meanings of pixel-level fusion</w:t>
      </w:r>
    </w:p>
    <w:p>
      <w:pPr>
        <w:pStyle w:val="ListParagraph"/>
        <w:numPr>
          <w:ilvl w:val="0"/>
          <w:numId w:val="3"/>
        </w:numPr>
        <w:spacing w:after="50" w:line="252"/>
      </w:pPr>
      <w:r>
        <w:rPr>
          <w:b/>
          <w:bCs/>
        </w:rPr>
        <w:t xml:space="preserve">(a) Image fusion:</w:t>
      </w:r>
      <w:r>
        <w:t xml:space="preserve"> create a new image that combines the spatial detail of one sensor with the spectral or thermal information of another, e.g. pansharpening a multispectral image with a high-resolution panchromatic or RGB band. The output is a fused image that can then be analysed.</w:t>
      </w:r>
    </w:p>
    <w:p>
      <w:pPr>
        <w:pStyle w:val="ListParagraph"/>
        <w:numPr>
          <w:ilvl w:val="0"/>
          <w:numId w:val="3"/>
        </w:numPr>
        <w:spacing w:after="50" w:line="252"/>
      </w:pPr>
      <w:r>
        <w:rPr>
          <w:b/>
          <w:bCs/>
        </w:rPr>
        <w:t xml:space="preserve">(b) Pixel stacking:</w:t>
      </w:r>
      <w:r>
        <w:t xml:space="preserve"> concatenate the co-registered values of all sensors at each pixel into one vector and feed it to a classifier (early fusion). In deep learning this is the stacked-channel CNN (Section 6.2).</w:t>
      </w:r>
    </w:p>
    <w:p>
      <w:pPr>
        <w:spacing w:after="100" w:line="259"/>
        <w:jc w:val="both"/>
      </w:pPr>
      <w:r>
        <w:t xml:space="preserve">Both meanings need accurate co-registration and a common grid. The method families are component substitution (CS), multiresolution analysis (MRA), model-based or variational/Bayesian methods, spectral unmixing, and deep learning (Ghassemian, 2016; Vivone et al., 2015).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pixel-level fusion is optional in MuDAS-AI: use it to sharpen thermal or hyperspectral data for within-plot hotspot maps, or to feed an early-fusion CNN. The main analysis stays at feature level, where small misregistration does little harm.</w:t>
            </w:r>
          </w:p>
        </w:tc>
      </w:tr>
    </w:tbl>
    <w:p>
      <w:pPr>
        <w:spacing w:after="120"/>
      </w:pPr>
    </w:p>
    <w:p>
      <w:pPr>
        <w:pStyle w:val="Heading2"/>
      </w:pPr>
      <w:r>
        <w:t xml:space="preserve">4.2 Component substitution versus multiresolution analysis</w:t>
      </w:r>
    </w:p>
    <w:p>
      <w:pPr>
        <w:spacing w:after="100" w:line="259"/>
        <w:jc w:val="both"/>
      </w:pPr>
      <w:r>
        <w:t xml:space="preserve">Vivone et al. (2015) compared the two classical pansharpening families on common datasets and showed that both can be written as </w:t>
      </w:r>
      <w:r>
        <w:rPr>
          <w:i/>
          <w:iCs/>
        </w:rPr>
        <w:t xml:space="preserve">detail injection</w:t>
      </w:r>
      <w:r>
        <w:t xml:space="preserve">: an upsampled low-resolution band M̃ₖ receives high-frequency detail from a high-resolution band P.</w:t>
      </w:r>
    </w:p>
    <w:p>
      <w:pPr>
        <w:spacing w:after="20" w:before="100"/>
        <w:jc w:val="center"/>
      </w:pPr>
      <w:r>
        <w:rPr>
          <w:rFonts w:ascii="Cambria Math" w:cs="Cambria Math" w:eastAsia="Cambria Math" w:hAnsi="Cambria Math"/>
          <w:sz w:val="23"/>
          <w:szCs w:val="23"/>
        </w:rPr>
        <w:t xml:space="preserve">CS:  Fₖ = M̃ₖ + gₖ · (P − I_L),    I_L = Σᵢ wᵢ M̃ᵢ</w:t>
      </w:r>
    </w:p>
    <w:p>
      <w:pPr>
        <w:spacing w:after="120"/>
        <w:jc w:val="center"/>
      </w:pPr>
      <w:r>
        <w:rPr>
          <w:i/>
          <w:iCs/>
          <w:color w:val="5E7A7E"/>
          <w:sz w:val="19"/>
          <w:szCs w:val="19"/>
        </w:rPr>
        <w:t xml:space="preserve">I_L is an intensity component synthesised from the upsampled low-resolution bands (IHS, PCA, Gram–Schmidt, Brovey differ in wᵢ and gₖ).</w:t>
      </w:r>
    </w:p>
    <w:p>
      <w:pPr>
        <w:spacing w:after="20" w:before="100"/>
        <w:jc w:val="center"/>
      </w:pPr>
      <w:r>
        <w:rPr>
          <w:rFonts w:ascii="Cambria Math" w:cs="Cambria Math" w:eastAsia="Cambria Math" w:hAnsi="Cambria Math"/>
          <w:sz w:val="23"/>
          <w:szCs w:val="23"/>
        </w:rPr>
        <w:t xml:space="preserve">MRA:  Fₖ = M̃ₖ + gₖ · (P − P_L)</w:t>
      </w:r>
    </w:p>
    <w:p>
      <w:pPr>
        <w:spacing w:after="120"/>
        <w:jc w:val="center"/>
      </w:pPr>
      <w:r>
        <w:rPr>
          <w:i/>
          <w:iCs/>
          <w:color w:val="5E7A7E"/>
          <w:sz w:val="19"/>
          <w:szCs w:val="19"/>
        </w:rPr>
        <w:t xml:space="preserve">P_L is a low-pass version of P (wavelet, Laplacian pyramid, high-pass filter).</w:t>
      </w:r>
    </w:p>
    <w:p>
      <w:pPr>
        <w:keepNext/>
        <w:spacing w:after="80" w:before="160"/>
      </w:pPr>
      <w:r>
        <w:rPr>
          <w:b/>
          <w:bCs/>
          <w:color w:val="1C7C78"/>
          <w:sz w:val="20"/>
          <w:szCs w:val="20"/>
        </w:rPr>
        <w:t xml:space="preserve">Table 10. </w:t>
      </w:r>
      <w:r>
        <w:rPr>
          <w:color w:val="1F3A40"/>
          <w:sz w:val="20"/>
          <w:szCs w:val="20"/>
        </w:rPr>
        <w:t xml:space="preserve">Pixel-level fusion families (deck slide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3579"/>
        <w:gridCol w:w="1652"/>
        <w:gridCol w:w="2342"/>
      </w:tblGrid>
      <w:tr>
        <w:trPr>
          <w:cantSplit/>
          <w:tblHeader/>
        </w:trPr>
        <w:tc>
          <w:tcPr>
            <w:tcW w:type="dxa" w:w="206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Family</w:t>
            </w:r>
          </w:p>
        </w:tc>
        <w:tc>
          <w:tcPr>
            <w:tcW w:type="dxa" w:w="357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How it works</w:t>
            </w:r>
          </w:p>
        </w:tc>
        <w:tc>
          <w:tcPr>
            <w:tcW w:type="dxa" w:w="165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Strength</w:t>
            </w:r>
          </w:p>
        </w:tc>
        <w:tc>
          <w:tcPr>
            <w:tcW w:type="dxa" w:w="234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Risk</w:t>
            </w:r>
          </w:p>
        </w:tc>
      </w:tr>
      <w:tr>
        <w:trPr>
          <w:cantSplit/>
          <w:tblHeader w:val="false"/>
        </w:trPr>
        <w:tc>
          <w:tcPr>
            <w:tcW w:type="dxa" w:w="206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CS: IHS / PCA / Gram–Schmidt</w:t>
            </w:r>
          </w:p>
        </w:tc>
        <w:tc>
          <w:tcPr>
            <w:tcW w:type="dxa" w:w="357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Transform the low-resolution image, replace the intensity or first component with the high-resolution band, invert</w:t>
            </w:r>
          </w:p>
        </w:tc>
        <w:tc>
          <w:tcPr>
            <w:tcW w:type="dxa" w:w="165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Sharp, simple, fast</w:t>
            </w:r>
          </w:p>
        </w:tc>
        <w:tc>
          <w:tcPr>
            <w:tcW w:type="dxa" w:w="234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Spectral distortion if the bands differ from the high-resolution band</w:t>
            </w:r>
          </w:p>
        </w:tc>
      </w:tr>
      <w:tr>
        <w:trPr>
          <w:cantSplit/>
          <w:tblHeader w:val="false"/>
        </w:trPr>
        <w:tc>
          <w:tcPr>
            <w:tcW w:type="dxa" w:w="206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MRA: wavelet / Laplacian / HPF</w:t>
            </w:r>
          </w:p>
        </w:tc>
        <w:tc>
          <w:tcPr>
            <w:tcW w:type="dxa" w:w="357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Extract high-frequency detail from the high-resolution band and inject it into each low-resolution band</w:t>
            </w:r>
          </w:p>
        </w:tc>
        <w:tc>
          <w:tcPr>
            <w:tcW w:type="dxa" w:w="165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Better spectral fidelity</w:t>
            </w:r>
          </w:p>
        </w:tc>
        <w:tc>
          <w:tcPr>
            <w:tcW w:type="dxa" w:w="234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Possible spatial artefacts (ringing)</w:t>
            </w:r>
          </w:p>
        </w:tc>
      </w:tr>
      <w:tr>
        <w:trPr>
          <w:cantSplit/>
          <w:tblHeader w:val="false"/>
        </w:trPr>
        <w:tc>
          <w:tcPr>
            <w:tcW w:type="dxa" w:w="206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Regression sharpening (e.g. TsHARP)</w:t>
            </w:r>
          </w:p>
        </w:tc>
        <w:tc>
          <w:tcPr>
            <w:tcW w:type="dxa" w:w="357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Fit a relation between coarse thermal and a fine index (e.g. NDVI); predict fine thermal</w:t>
            </w:r>
          </w:p>
        </w:tc>
        <w:tc>
          <w:tcPr>
            <w:tcW w:type="dxa" w:w="165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Physically motivated for thermal</w:t>
            </w:r>
          </w:p>
        </w:tc>
        <w:tc>
          <w:tcPr>
            <w:tcW w:type="dxa" w:w="234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Relation may differ for diseased canopy</w:t>
            </w:r>
          </w:p>
        </w:tc>
      </w:tr>
    </w:tbl>
    <w:p>
      <w:pPr>
        <w:spacing w:after="120"/>
      </w:pPr>
    </w:p>
    <w:p>
      <w:pPr>
        <w:pStyle w:val="Heading3"/>
      </w:pPr>
      <w:r>
        <w:t xml:space="preserve">Thermal sharpening (TsHARP)</w:t>
      </w:r>
    </w:p>
    <w:p>
      <w:pPr>
        <w:spacing w:after="100" w:line="259"/>
        <w:jc w:val="both"/>
      </w:pPr>
      <w:r>
        <w:t xml:space="preserve">Agam et al. (2007) proposed TsHARP, which sharpens land-surface temperature using the inverse relation between temperature and vegetation cover. At the coarse (thermal) resolution, a regression T = a + b · NDVI is fitted. It is then applied to the fine-resolution NDVI and the coarse residual is added back so that the sharpened image averages to the original temperature in each coarse pixel:</w:t>
      </w:r>
    </w:p>
    <w:p>
      <w:pPr>
        <w:spacing w:after="120" w:before="100"/>
        <w:jc w:val="center"/>
      </w:pPr>
      <w:r>
        <w:rPr>
          <w:rFonts w:ascii="Cambria Math" w:cs="Cambria Math" w:eastAsia="Cambria Math" w:hAnsi="Cambria Math"/>
          <w:sz w:val="23"/>
          <w:szCs w:val="23"/>
        </w:rPr>
        <w:t xml:space="preserve">T̂_fine = a + b · NDVI_fine + (T_coarse − T̂_coarse)</w:t>
      </w:r>
    </w:p>
    <w:p>
      <w:pPr>
        <w:spacing w:after="100" w:line="259"/>
        <w:jc w:val="both"/>
      </w:pPr>
      <w:r>
        <w:t xml:space="preserve">For disease studies the key risk is that diseased canopy may be warmer than its NDVI predicts (stomatal closure). A sharpening model calibrated on mixed healthy and diseased plots can therefore smooth out exactly the thermal anomaly of interest. Sharpened thermal maps should be used for visualisation and hotspot screening, with the original thermal values used for quantitative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if MS or thermal is sharpened with RGB detail, prefer MRA or regression methods, and check that the spectral and thermal values are preserved (Section 4.4).</w:t>
            </w:r>
          </w:p>
        </w:tc>
      </w:tr>
    </w:tbl>
    <w:p>
      <w:pPr>
        <w:spacing w:after="120"/>
      </w:pPr>
    </w:p>
    <w:p>
      <w:pPr>
        <w:spacing w:after="160"/>
      </w:pPr>
      <w:r>
        <w:rPr>
          <w:i/>
          <w:iCs/>
          <w:color w:val="5E7A7E"/>
          <w:sz w:val="18"/>
          <w:szCs w:val="18"/>
        </w:rPr>
        <w:t xml:space="preserve">Key sources: Vivone et al. (2015); Ghassemian (2016); Agam et al. (2007).</w:t>
      </w:r>
    </w:p>
    <w:p>
      <w:pPr>
        <w:pStyle w:val="Heading2"/>
      </w:pPr>
      <w:r>
        <w:t xml:space="preserve">4.3 Hyperspectral–multispectral and thermal–visible fusion</w:t>
      </w:r>
    </w:p>
    <w:p>
      <w:pPr>
        <w:pStyle w:val="Heading3"/>
      </w:pPr>
      <w:r>
        <w:t xml:space="preserve">HS + MS / RGB fusion</w:t>
      </w:r>
    </w:p>
    <w:p>
      <w:pPr>
        <w:spacing w:after="100" w:line="259"/>
        <w:jc w:val="both"/>
      </w:pPr>
      <w:r>
        <w:t xml:space="preserve">Hyperspectral sensors trade spatial resolution for spectral resolution. HS–MS fusion aims at an image with both. Yokoya et al. (2017) reviewed the main approaches: component substitution and MRA extended to many bands; unmixing-based methods such as coupled non-negative matrix factorisation (CNMF; Yokoya et al., 2012); Bayesian and sparse-representation methods; and, more recently, CNN super-resolution networks.</w:t>
      </w:r>
    </w:p>
    <w:p>
      <w:pPr>
        <w:spacing w:after="100" w:line="259"/>
        <w:jc w:val="both"/>
      </w:pPr>
      <w:r>
        <w:t xml:space="preserve">CNMF illustrates the logic. The hyperspectral image is factorised into endmember spectra W and abundances H, X_h ≈ W H_h, at low spatial resolution; the multispectral image is factorised as X_m ≈ (R W) H, where R is the spectral response of the MS bands. Alternating between the two factorisations yields high-resolution abundances H and full-resolution spectra W, whose product is the fused image.</w:t>
      </w:r>
    </w:p>
    <w:p>
      <w:pPr>
        <w:pStyle w:val="Heading3"/>
      </w:pPr>
      <w:r>
        <w:t xml:space="preserve">Thermal + visible fusion</w:t>
      </w:r>
    </w:p>
    <w:p>
      <w:pPr>
        <w:spacing w:after="100" w:line="259"/>
        <w:jc w:val="both"/>
      </w:pPr>
      <w:r>
        <w:t xml:space="preserve">Infrared–visible image fusion, reviewed by Ma et al. (2019), aims at one image showing both thermal targets and visible texture, using MRA, sparse representation or deep networks such as DenseFuse (Li &amp; Wu, 2019). These methods are designed for visual interpretation and surveillance; their output pixel values are no longer calibrated temperatures. For plant science, a more useful 'fusion' of thermal and visible data is the data-level use of the visible mask to select pure leaf pixels in the thermal image (Leinonen &amp; Jones, 2004).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HS–RGB fusion could give high-resolution spectral maps for within-plot hotspots; thermal–visible image fusion mainly helps visual interpretation. Neither replaces calibrated features for modelling.</w:t>
            </w:r>
          </w:p>
        </w:tc>
      </w:tr>
    </w:tbl>
    <w:p>
      <w:pPr>
        <w:spacing w:after="120"/>
      </w:pPr>
    </w:p>
    <w:p>
      <w:pPr>
        <w:spacing w:after="160"/>
      </w:pPr>
      <w:r>
        <w:rPr>
          <w:i/>
          <w:iCs/>
          <w:color w:val="5E7A7E"/>
          <w:sz w:val="18"/>
          <w:szCs w:val="18"/>
        </w:rPr>
        <w:t xml:space="preserve">Key sources: Yokoya et al. (2012, 2017); Ma et al. (2019); Li &amp; Wu (2019); Leinonen &amp; Jones (2004).</w:t>
      </w:r>
    </w:p>
    <w:p>
      <w:pPr>
        <w:pStyle w:val="Heading2"/>
      </w:pPr>
      <w:r>
        <w:t xml:space="preserve">4.4 Quality assessment of fused images</w:t>
      </w:r>
    </w:p>
    <w:p>
      <w:pPr>
        <w:spacing w:after="100" w:line="259"/>
        <w:jc w:val="both"/>
      </w:pPr>
      <w:r>
        <w:t xml:space="preserve">A fused image must be checked before its pixel values are used as features. Wald et al. (1997) proposed two properties: </w:t>
      </w:r>
      <w:r>
        <w:rPr>
          <w:i/>
          <w:iCs/>
        </w:rPr>
        <w:t xml:space="preserve">consistency</w:t>
      </w:r>
      <w:r>
        <w:t xml:space="preserve"> (the fused image, degraded back to the original resolution, should equal the original) and </w:t>
      </w:r>
      <w:r>
        <w:rPr>
          <w:i/>
          <w:iCs/>
        </w:rPr>
        <w:t xml:space="preserve">synthesis</w:t>
      </w:r>
      <w:r>
        <w:t xml:space="preserve"> (the fused image should be as close as possible to the image a real high-resolution sensor would have acquired). Because a true high-resolution reference rarely exists, the synthesis property is tested at reduced scale: both inputs are degraded, fused, and compared with the original low-resolution image.</w:t>
      </w:r>
    </w:p>
    <w:p>
      <w:pPr>
        <w:spacing w:after="20" w:before="100"/>
        <w:jc w:val="center"/>
      </w:pPr>
      <w:r>
        <w:rPr>
          <w:rFonts w:ascii="Cambria Math" w:cs="Cambria Math" w:eastAsia="Cambria Math" w:hAnsi="Cambria Math"/>
          <w:sz w:val="23"/>
          <w:szCs w:val="23"/>
        </w:rPr>
        <w:t xml:space="preserve">SAM(v, v̂) = arccos( ⟨v, v̂⟩ / (‖v‖ · ‖v̂‖) )</w:t>
      </w:r>
    </w:p>
    <w:p>
      <w:pPr>
        <w:spacing w:after="120"/>
        <w:jc w:val="center"/>
      </w:pPr>
      <w:r>
        <w:rPr>
          <w:i/>
          <w:iCs/>
          <w:color w:val="5E7A7E"/>
          <w:sz w:val="19"/>
          <w:szCs w:val="19"/>
        </w:rPr>
        <w:t xml:space="preserve">Spectral angle between true and fused spectra per pixel; 0° is ideal.</w:t>
      </w:r>
    </w:p>
    <w:p>
      <w:pPr>
        <w:spacing w:after="20" w:before="100"/>
        <w:jc w:val="center"/>
      </w:pPr>
      <w:r>
        <w:rPr>
          <w:rFonts w:ascii="Cambria Math" w:cs="Cambria Math" w:eastAsia="Cambria Math" w:hAnsi="Cambria Math"/>
          <w:sz w:val="23"/>
          <w:szCs w:val="23"/>
        </w:rPr>
        <w:t xml:space="preserve">ERGAS = 100 · (h / l) · √[ (1/N) Σₖ (RMSEₖ / μₖ)² ]</w:t>
      </w:r>
    </w:p>
    <w:p>
      <w:pPr>
        <w:spacing w:after="120"/>
        <w:jc w:val="center"/>
      </w:pPr>
      <w:r>
        <w:rPr>
          <w:i/>
          <w:iCs/>
          <w:color w:val="5E7A7E"/>
          <w:sz w:val="19"/>
          <w:szCs w:val="19"/>
        </w:rPr>
        <w:t xml:space="preserve">h/l: ratio of high to low pixel size; RMSEₖ and μₖ: error and mean of band k; lower is better.</w:t>
      </w:r>
    </w:p>
    <w:p>
      <w:pPr>
        <w:spacing w:after="20" w:before="100"/>
        <w:jc w:val="center"/>
      </w:pPr>
      <w:r>
        <w:rPr>
          <w:rFonts w:ascii="Cambria Math" w:cs="Cambria Math" w:eastAsia="Cambria Math" w:hAnsi="Cambria Math"/>
          <w:sz w:val="23"/>
          <w:szCs w:val="23"/>
        </w:rPr>
        <w:t xml:space="preserve">QNR = (1 − D_λ)^α · (1 − D_s)^β</w:t>
      </w:r>
    </w:p>
    <w:p>
      <w:pPr>
        <w:spacing w:after="120"/>
        <w:jc w:val="center"/>
      </w:pPr>
      <w:r>
        <w:rPr>
          <w:i/>
          <w:iCs/>
          <w:color w:val="5E7A7E"/>
          <w:sz w:val="19"/>
          <w:szCs w:val="19"/>
        </w:rPr>
        <w:t xml:space="preserve">No-reference index: D_λ spectral and D_s spatial distortion (Alparone et al., 2008); 1 is ideal.</w:t>
      </w:r>
    </w:p>
    <w:p>
      <w:pPr>
        <w:keepNext/>
        <w:spacing w:after="80" w:before="160"/>
      </w:pPr>
      <w:r>
        <w:rPr>
          <w:b/>
          <w:bCs/>
          <w:color w:val="1C7C78"/>
          <w:sz w:val="20"/>
          <w:szCs w:val="20"/>
        </w:rPr>
        <w:t xml:space="preserve">Table 11. </w:t>
      </w:r>
      <w:r>
        <w:rPr>
          <w:color w:val="1F3A40"/>
          <w:sz w:val="20"/>
          <w:szCs w:val="20"/>
        </w:rPr>
        <w:t xml:space="preserve">Quality metrics for fused images (deck slide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6104"/>
        <w:gridCol w:w="1446"/>
      </w:tblGrid>
      <w:tr>
        <w:trPr>
          <w:cantSplit/>
          <w:tblHeader/>
        </w:trPr>
        <w:tc>
          <w:tcPr>
            <w:tcW w:type="dxa" w:w="2088"/>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Metric</w:t>
            </w:r>
          </w:p>
        </w:tc>
        <w:tc>
          <w:tcPr>
            <w:tcW w:type="dxa" w:w="6104"/>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What it measures</w:t>
            </w:r>
          </w:p>
        </w:tc>
        <w:tc>
          <w:tcPr>
            <w:tcW w:type="dxa" w:w="144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Ideal</w:t>
            </w:r>
          </w:p>
        </w:tc>
      </w:tr>
      <w:tr>
        <w:trPr>
          <w:cantSplit/>
          <w:tblHeader w:val="false"/>
        </w:trPr>
        <w:tc>
          <w:tcPr>
            <w:tcW w:type="dxa" w:w="208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Wald protocol</w:t>
            </w:r>
          </w:p>
        </w:tc>
        <w:tc>
          <w:tcPr>
            <w:tcW w:type="dxa" w:w="61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Consistency (degrade back = original) and synthesis at reduced scale</w:t>
            </w:r>
          </w:p>
        </w:tc>
        <w:tc>
          <w:tcPr>
            <w:tcW w:type="dxa" w:w="144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Close agreement</w:t>
            </w:r>
          </w:p>
        </w:tc>
      </w:tr>
      <w:tr>
        <w:trPr>
          <w:cantSplit/>
          <w:tblHeader w:val="false"/>
        </w:trPr>
        <w:tc>
          <w:tcPr>
            <w:tcW w:type="dxa" w:w="208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SAM</w:t>
            </w:r>
          </w:p>
        </w:tc>
        <w:tc>
          <w:tcPr>
            <w:tcW w:type="dxa" w:w="61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Spectral distortion per pixel (angle between spectra)</w:t>
            </w:r>
          </w:p>
        </w:tc>
        <w:tc>
          <w:tcPr>
            <w:tcW w:type="dxa" w:w="144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0°</w:t>
            </w:r>
          </w:p>
        </w:tc>
      </w:tr>
      <w:tr>
        <w:trPr>
          <w:cantSplit/>
          <w:tblHeader w:val="false"/>
        </w:trPr>
        <w:tc>
          <w:tcPr>
            <w:tcW w:type="dxa" w:w="208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ERGAS</w:t>
            </w:r>
          </w:p>
        </w:tc>
        <w:tc>
          <w:tcPr>
            <w:tcW w:type="dxa" w:w="61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Relative global error across bands, scaled by resolution ratio</w:t>
            </w:r>
          </w:p>
        </w:tc>
        <w:tc>
          <w:tcPr>
            <w:tcW w:type="dxa" w:w="144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Low</w:t>
            </w:r>
          </w:p>
        </w:tc>
      </w:tr>
      <w:tr>
        <w:trPr>
          <w:cantSplit/>
          <w:tblHeader w:val="false"/>
        </w:trPr>
        <w:tc>
          <w:tcPr>
            <w:tcW w:type="dxa" w:w="208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SSIM</w:t>
            </w:r>
          </w:p>
        </w:tc>
        <w:tc>
          <w:tcPr>
            <w:tcW w:type="dxa" w:w="61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Structural similarity of images (Wang et al., 2004)</w:t>
            </w:r>
          </w:p>
        </w:tc>
        <w:tc>
          <w:tcPr>
            <w:tcW w:type="dxa" w:w="144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1</w:t>
            </w:r>
          </w:p>
        </w:tc>
      </w:tr>
      <w:tr>
        <w:trPr>
          <w:cantSplit/>
          <w:tblHeader w:val="false"/>
        </w:trPr>
        <w:tc>
          <w:tcPr>
            <w:tcW w:type="dxa" w:w="208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Q2ⁿ / Q4</w:t>
            </w:r>
          </w:p>
        </w:tc>
        <w:tc>
          <w:tcPr>
            <w:tcW w:type="dxa" w:w="61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Joint spectral–spatial quality index</w:t>
            </w:r>
          </w:p>
        </w:tc>
        <w:tc>
          <w:tcPr>
            <w:tcW w:type="dxa" w:w="144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1</w:t>
            </w:r>
          </w:p>
        </w:tc>
      </w:tr>
      <w:tr>
        <w:trPr>
          <w:cantSplit/>
          <w:tblHeader w:val="false"/>
        </w:trPr>
        <w:tc>
          <w:tcPr>
            <w:tcW w:type="dxa" w:w="208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QNR</w:t>
            </w:r>
          </w:p>
        </w:tc>
        <w:tc>
          <w:tcPr>
            <w:tcW w:type="dxa" w:w="61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Spectral and spatial distortion without a reference image</w:t>
            </w:r>
          </w:p>
        </w:tc>
        <w:tc>
          <w:tcPr>
            <w:tcW w:type="dxa" w:w="144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any fused image used for features must pass spectral-fidelity checks (SAM, ERGAS) against the original sensor; otherwise use the original bands.</w:t>
            </w:r>
          </w:p>
        </w:tc>
      </w:tr>
    </w:tbl>
    <w:p>
      <w:pPr>
        <w:spacing w:after="120"/>
      </w:pPr>
    </w:p>
    <w:p>
      <w:pPr>
        <w:pStyle w:val="Heading2"/>
      </w:pPr>
      <w:r>
        <w:t xml:space="preserve">4.5 Pixel-level classification with a stacked cube (ML and DL)</w:t>
      </w:r>
    </w:p>
    <w:p>
      <w:pPr>
        <w:spacing w:after="100" w:line="259"/>
        <w:jc w:val="both"/>
      </w:pPr>
      <w:r>
        <w:t xml:space="preserve">A stacked cube can be classified pixel by pixel with ML (RF, SVM, KNN on the joint pixel vector) or by patch-based DL (a CNN on small patches around each pixel, or a segmentation network such as U-Net, SegNet or PSPNet that labels every pixel at once). Kerkech et al. (2020a) used SegNet to segment registered visible and infrared vineyard images into shadow, ground, healthy and symptomatic classes; Pan et al. (2021) used PSPNet to segment UAV RGB images of wheat into healthy, yellow rust and bare soil.</w:t>
      </w:r>
    </w:p>
    <w:p>
      <w:pPr>
        <w:spacing w:after="100" w:line="259"/>
        <w:jc w:val="both"/>
      </w:pPr>
      <w:r>
        <w:t xml:space="preserve">The obstacle in MuDAS-AI is the label. A plot DI of 40% does not mean that every pixel has 40% severity: severity varies within the plot, and pixels include soil, flowers and shadow. Training a pixel classifier with the plot label assigned to every pixel teaches the model noise. Options are (i) annotate pixel or quadrat labels at mm-to-cm scale on RGB images, (ii) weak supervision, where the model learns from plot labels but predicts tiles or pixels (Section 6.7), and (iii) unmixing, which estimates the diseased fraction in each pixel.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4557A" w:sz="24"/>
              <w:bottom w:val="none" w:color="FFFFFF" w:sz="0"/>
              <w:right w:val="none" w:color="FFFFFF" w:sz="0"/>
            </w:tcBorders>
            <w:shd w:fill="EEF2F7" w:color="auto" w:val="clear"/>
            <w:tcMar>
              <w:top w:type="dxa" w:w="100"/>
              <w:left w:type="dxa" w:w="180"/>
              <w:bottom w:type="dxa" w:w="100"/>
              <w:right w:type="dxa" w:w="180"/>
            </w:tcMar>
          </w:tcPr>
          <w:p>
            <w:pPr>
              <w:spacing w:after="60"/>
            </w:pPr>
            <w:r>
              <w:rPr>
                <w:b/>
                <w:bCs/>
                <w:color w:val="34557A"/>
                <w:sz w:val="21"/>
                <w:szCs w:val="21"/>
              </w:rPr>
              <w:t xml:space="preserve">A common mistake: splitting pixels randomly</w:t>
            </w:r>
          </w:p>
          <w:p>
            <w:pPr>
              <w:spacing w:after="60" w:line="264"/>
            </w:pPr>
            <w:r>
              <w:rPr>
                <w:sz w:val="21"/>
                <w:szCs w:val="21"/>
              </w:rPr>
              <w:t xml:space="preserve">If pixels from the same plot appear in both training and test sets, neighbouring pixels are almost identical and the test is not independent. Accuracy is inflated, sometimes dramatically. Splits must be made by plot (or larger spatial blocks), as recommended by Roberts et al. (2017).</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labels are plot-level, so pixel classifiers need weak supervision (Section 6.7) or quadrat/pixel annotation. Never split pixels of one plot between training and test.</w:t>
            </w:r>
          </w:p>
        </w:tc>
      </w:tr>
    </w:tbl>
    <w:p>
      <w:pPr>
        <w:spacing w:after="120"/>
      </w:pPr>
    </w:p>
    <w:p>
      <w:pPr>
        <w:spacing w:after="160"/>
      </w:pPr>
      <w:r>
        <w:rPr>
          <w:i/>
          <w:iCs/>
          <w:color w:val="5E7A7E"/>
          <w:sz w:val="18"/>
          <w:szCs w:val="18"/>
        </w:rPr>
        <w:t xml:space="preserve">Key sources: Kerkech et al. (2020a); Pan et al. (2021); Ronneberger et al. (2015); Su et al. (2018); Roberts et al. (2017).</w:t>
      </w:r>
    </w:p>
    <w:p>
      <w:pPr>
        <w:pStyle w:val="Heading1"/>
      </w:pPr>
      <w:r>
        <w:t xml:space="preserve">5. Level 2: feature-level fusion with machine learning</w:t>
      </w:r>
    </w:p>
    <w:p>
      <w:pPr>
        <w:spacing w:after="100" w:line="259"/>
        <w:jc w:val="both"/>
      </w:pPr>
      <w:r>
        <w:t xml:space="preserve">Feature-level fusion is the core of MuDAS-AI. Each sensor is first summarised by physically meaningful features per plot; the features of all sensors are then combined, reduced and passed to a classifier (deck slides 18–26).</w:t>
      </w:r>
    </w:p>
    <w:p>
      <w:pPr>
        <w:pStyle w:val="Heading2"/>
      </w:pPr>
      <w:r>
        <w:t xml:space="preserve">5.1 Concept, advantages and challenges</w:t>
      </w:r>
    </w:p>
    <w:p>
      <w:pPr>
        <w:spacing w:after="100" w:line="259"/>
        <w:jc w:val="both"/>
      </w:pPr>
      <w:r>
        <w:t xml:space="preserve">The workflow is: calibrated and masked images → sensor-specific features → per-sensor normalisation → concatenation → selection or dimensionality reduction → classifier. Because each sensor is summarised over the same ground area before fusion, feature-level fusion tolerates different resolutions and small misregistration.</w:t>
      </w:r>
    </w:p>
    <w:p>
      <w:pPr>
        <w:keepNext/>
        <w:spacing w:after="80" w:before="160"/>
      </w:pPr>
      <w:r>
        <w:rPr>
          <w:b/>
          <w:bCs/>
          <w:color w:val="1C7C78"/>
          <w:sz w:val="20"/>
          <w:szCs w:val="20"/>
        </w:rPr>
        <w:t xml:space="preserve">Table 12. </w:t>
      </w:r>
      <w:r>
        <w:rPr>
          <w:color w:val="1F3A40"/>
          <w:sz w:val="20"/>
          <w:szCs w:val="20"/>
        </w:rPr>
        <w:t xml:space="preserve">Advantages and challenges of feature-level fusion (deck slide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Advantages</w:t>
            </w:r>
          </w:p>
        </w:tc>
        <w:tc>
          <w:tcPr>
            <w:tcW w:type="dxa" w:w="481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Challenges</w:t>
            </w:r>
          </w:p>
        </w:tc>
      </w:tr>
      <w:tr>
        <w:trPr>
          <w:cantSplit/>
          <w:tblHeader w:val="false"/>
        </w:trPr>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Sensors can keep their native resolutions</w:t>
            </w:r>
          </w:p>
        </w:tc>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High dimensionality (especially hyperspectral) versus few plots → feature selection needed</w:t>
            </w:r>
          </w:p>
        </w:tc>
      </w:tr>
      <w:tr>
        <w:trPr>
          <w:cantSplit/>
          <w:tblHeader w:val="false"/>
        </w:trPr>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Features are physically interpretable (indices, CTD, texture)</w:t>
            </w:r>
          </w:p>
        </w:tc>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Redundancy between sensors (e.g. MS NDRE ≈ HS red-edge features)</w:t>
            </w:r>
          </w:p>
        </w:tc>
      </w:tr>
      <w:tr>
        <w:trPr>
          <w:cantSplit/>
          <w:tblHeader w:val="false"/>
        </w:trPr>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Works with few samples when combined with feature selection</w:t>
            </w:r>
          </w:p>
        </w:tc>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Unequal feature counts: the sensor with most features can dominate</w:t>
            </w:r>
          </w:p>
        </w:tc>
      </w:tr>
      <w:tr>
        <w:trPr>
          <w:cantSplit/>
          <w:tblHeader w:val="false"/>
        </w:trPr>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Easy ablation: remove one sensor's features and re-test</w:t>
            </w:r>
          </w:p>
        </w:tc>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Hand-crafted features may miss patterns that DL could learn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this is the core of MuDAS-AI (Phases 1–3). It tolerates small misregistration and different resolutions because each sensor is summarised per plot first.</w:t>
            </w:r>
          </w:p>
        </w:tc>
      </w:tr>
    </w:tbl>
    <w:p>
      <w:pPr>
        <w:spacing w:after="120"/>
      </w:pPr>
    </w:p>
    <w:p>
      <w:pPr>
        <w:spacing w:after="160"/>
      </w:pPr>
      <w:r>
        <w:rPr>
          <w:i/>
          <w:iCs/>
          <w:color w:val="5E7A7E"/>
          <w:sz w:val="18"/>
          <w:szCs w:val="18"/>
        </w:rPr>
        <w:t xml:space="preserve">Key sources: Pohl &amp; Van Genderen (1998); Gómez-Chova et al. (2015); Maimaitijiang et al. (2020); Feng et al. (2022).</w:t>
      </w:r>
    </w:p>
    <w:p>
      <w:pPr>
        <w:pStyle w:val="Heading2"/>
      </w:pPr>
      <w:r>
        <w:t xml:space="preserve">5.2 Feature extraction per sensor</w:t>
      </w:r>
    </w:p>
    <w:p>
      <w:pPr>
        <w:keepNext/>
        <w:spacing w:after="80" w:before="160"/>
      </w:pPr>
      <w:r>
        <w:rPr>
          <w:b/>
          <w:bCs/>
          <w:color w:val="1C7C78"/>
          <w:sz w:val="20"/>
          <w:szCs w:val="20"/>
        </w:rPr>
        <w:t xml:space="preserve">Table 13. </w:t>
      </w:r>
      <w:r>
        <w:rPr>
          <w:color w:val="1F3A40"/>
          <w:sz w:val="20"/>
          <w:szCs w:val="20"/>
        </w:rPr>
        <w:t xml:space="preserve">Candidate features by sensor (deck slide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3463"/>
        <w:gridCol w:w="2861"/>
        <w:gridCol w:w="2110"/>
      </w:tblGrid>
      <w:tr>
        <w:trPr>
          <w:cantSplit/>
          <w:tblHeader/>
        </w:trPr>
        <w:tc>
          <w:tcPr>
            <w:tcW w:type="dxa" w:w="1204"/>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Sensor</w:t>
            </w:r>
          </w:p>
        </w:tc>
        <w:tc>
          <w:tcPr>
            <w:tcW w:type="dxa" w:w="3463"/>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Spectral / radiometric</w:t>
            </w:r>
          </w:p>
        </w:tc>
        <w:tc>
          <w:tcPr>
            <w:tcW w:type="dxa" w:w="286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Spatial / texture</w:t>
            </w:r>
          </w:p>
        </w:tc>
        <w:tc>
          <w:tcPr>
            <w:tcW w:type="dxa" w:w="211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Other</w:t>
            </w:r>
          </w:p>
        </w:tc>
      </w:tr>
      <w:tr>
        <w:trPr>
          <w:cantSplit/>
          <w:tblHeader w:val="false"/>
        </w:trPr>
        <w:tc>
          <w:tcPr>
            <w:tcW w:type="dxa" w:w="12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RGB</w:t>
            </w:r>
          </w:p>
        </w:tc>
        <w:tc>
          <w:tcPr>
            <w:tcW w:type="dxa" w:w="346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Chromatic coordinates r, g, b; ExG; VARI; GLI</w:t>
            </w:r>
          </w:p>
        </w:tc>
        <w:tc>
          <w:tcPr>
            <w:tcW w:type="dxa" w:w="286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GLCM contrast, entropy, homogeneity…; pustule-pixel fraction</w:t>
            </w:r>
          </w:p>
        </w:tc>
        <w:tc>
          <w:tcPr>
            <w:tcW w:type="dxa" w:w="21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Canopy height and cover (DSM − DTM)</w:t>
            </w:r>
          </w:p>
        </w:tc>
      </w:tr>
      <w:tr>
        <w:trPr>
          <w:cantSplit/>
          <w:tblHeader w:val="false"/>
        </w:trPr>
        <w:tc>
          <w:tcPr>
            <w:tcW w:type="dxa" w:w="12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MS</w:t>
            </w:r>
          </w:p>
        </w:tc>
        <w:tc>
          <w:tcPr>
            <w:tcW w:type="dxa" w:w="346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Bands; NDVI, NDRE, CIre, MTCI, OSAVI, PSRI; percentiles (10th–90th)</w:t>
            </w:r>
          </w:p>
        </w:tc>
        <w:tc>
          <w:tcPr>
            <w:tcW w:type="dxa" w:w="286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GLCM on bands</w:t>
            </w:r>
          </w:p>
        </w:tc>
        <w:tc>
          <w:tcPr>
            <w:tcW w:type="dxa" w:w="21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Within-plot standard deviation</w:t>
            </w:r>
          </w:p>
        </w:tc>
      </w:tr>
      <w:tr>
        <w:trPr>
          <w:cantSplit/>
          <w:tblHeader w:val="false"/>
        </w:trPr>
        <w:tc>
          <w:tcPr>
            <w:tcW w:type="dxa" w:w="120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HS</w:t>
            </w:r>
          </w:p>
        </w:tc>
        <w:tc>
          <w:tcPr>
            <w:tcW w:type="dxa" w:w="346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Bands; PRI, PSSR, CARI, MCARI, REP; derivatives; continuum removal; CWT; SNV bands</w:t>
            </w:r>
          </w:p>
        </w:tc>
        <w:tc>
          <w:tcPr>
            <w:tcW w:type="dxa" w:w="286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GLCM on principal components</w:t>
            </w:r>
          </w:p>
        </w:tc>
        <w:tc>
          <w:tcPr>
            <w:tcW w:type="dxa" w:w="21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Unmixing diseased fraction</w:t>
            </w:r>
          </w:p>
        </w:tc>
      </w:tr>
      <w:tr>
        <w:trPr>
          <w:cantSplit/>
          <w:tblHeader w:val="false"/>
        </w:trPr>
        <w:tc>
          <w:tcPr>
            <w:tcW w:type="dxa" w:w="120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Thermal</w:t>
            </w:r>
          </w:p>
        </w:tc>
        <w:tc>
          <w:tcPr>
            <w:tcW w:type="dxa" w:w="346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CT, CTD = CT − Tair, NRCT, CWSI</w:t>
            </w:r>
          </w:p>
        </w:tc>
        <w:tc>
          <w:tcPr>
            <w:tcW w:type="dxa" w:w="286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Thermal SD, MTD (max − min), GLCM</w:t>
            </w:r>
          </w:p>
        </w:tc>
        <w:tc>
          <w:tcPr>
            <w:tcW w:type="dxa" w:w="21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Percentiles</w:t>
            </w:r>
          </w:p>
        </w:tc>
      </w:tr>
    </w:tbl>
    <w:p>
      <w:pPr>
        <w:spacing w:after="120"/>
      </w:pPr>
    </w:p>
    <w:p>
      <w:pPr>
        <w:spacing w:after="100" w:line="259"/>
        <w:jc w:val="both"/>
      </w:pPr>
      <w:r>
        <w:t xml:space="preserve">Three types of features deserve explanation. </w:t>
      </w:r>
      <w:r>
        <w:rPr>
          <w:b/>
          <w:bCs/>
        </w:rPr>
        <w:t xml:space="preserve">Percentile features</w:t>
      </w:r>
      <w:r>
        <w:t xml:space="preserve"> (e.g. the 10th or 90th percentile of NDRE within a plot) capture the diseased tail of the distribution better than the mean when disease is patchy; Liu et al. (2024) found that spectral features derived by percentile methods, combined with texture and canopy temperature, gave the best severity estimates for wheat powdery mildew. </w:t>
      </w:r>
      <w:r>
        <w:rPr>
          <w:b/>
          <w:bCs/>
        </w:rPr>
        <w:t xml:space="preserve">Texture features</w:t>
      </w:r>
      <w:r>
        <w:t xml:space="preserve"> from the grey-level co-occurrence matrix (GLCM; contrast, entropy, homogeneity, correlation) describe spatial heterogeneity such as pustules and chlorotic spots; Guo et al. (2021) showed that combining vegetation indices with texture outperformed either alone for yellow rust. </w:t>
      </w:r>
      <w:r>
        <w:rPr>
          <w:b/>
          <w:bCs/>
        </w:rPr>
        <w:t xml:space="preserve">Thermal indices</w:t>
      </w:r>
      <w:r>
        <w:t xml:space="preserve"> normalise canopy temperature for weather: CTD subtracts air temperature, and NRCT scales temperature between the minimum and maximum of the flight,</w:t>
      </w:r>
    </w:p>
    <w:p>
      <w:pPr>
        <w:spacing w:after="20" w:before="100"/>
        <w:jc w:val="center"/>
      </w:pPr>
      <w:r>
        <w:rPr>
          <w:rFonts w:ascii="Cambria Math" w:cs="Cambria Math" w:eastAsia="Cambria Math" w:hAnsi="Cambria Math"/>
          <w:sz w:val="23"/>
          <w:szCs w:val="23"/>
        </w:rPr>
        <w:t xml:space="preserve">NRCT = (Tc − Tmin) / (Tmax − Tmin)</w:t>
      </w:r>
    </w:p>
    <w:p>
      <w:pPr>
        <w:spacing w:after="120"/>
        <w:jc w:val="center"/>
      </w:pPr>
      <w:r>
        <w:rPr>
          <w:i/>
          <w:iCs/>
          <w:color w:val="5E7A7E"/>
          <w:sz w:val="19"/>
          <w:szCs w:val="19"/>
        </w:rPr>
        <w:t xml:space="preserve">Normalised relative canopy temperature, computed within each flight.</w:t>
      </w:r>
    </w:p>
    <w:p>
      <w:pPr>
        <w:spacing w:after="100" w:line="259"/>
        <w:jc w:val="both"/>
      </w:pPr>
      <w:r>
        <w:t xml:space="preserve">so that features remain comparable across dates. Raw canopy temperature mainly reflects weather and date and can act as a shortcut variable that predicts the date rather than disease.</w:t>
      </w:r>
    </w:p>
    <w:p>
      <w:pPr>
        <w:spacing w:after="100" w:line="259"/>
        <w:jc w:val="both"/>
      </w:pPr>
      <w:r>
        <w:t xml:space="preserve">For hyperspectral data, continuous wavelet transform (CWT) coefficients, spectral derivatives and continuum-removed absorption features enhance subtle absorption changes (Zhang et al., 2012); Tian et al. (2021) extracted disease-specific spectral features (DSSFs) for rice leaf blast from such transformations.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all features are computed per plot (and per tile for DL) in the feature-extraction step; percentiles and texture are often more sensitive than plot means.</w:t>
            </w:r>
          </w:p>
        </w:tc>
      </w:tr>
    </w:tbl>
    <w:p>
      <w:pPr>
        <w:spacing w:after="120"/>
      </w:pPr>
    </w:p>
    <w:p>
      <w:pPr>
        <w:spacing w:after="160"/>
      </w:pPr>
      <w:r>
        <w:rPr>
          <w:i/>
          <w:iCs/>
          <w:color w:val="5E7A7E"/>
          <w:sz w:val="18"/>
          <w:szCs w:val="18"/>
        </w:rPr>
        <w:t xml:space="preserve">Key sources: Maimaitijiang et al. (2020); Liu et al. (2024); Feng et al. (2022); Zhang et al. (2012); Tian et al. (2021); Guo et al. (2021); Mahlein et al. (2019).</w:t>
      </w:r>
    </w:p>
    <w:p>
      <w:pPr>
        <w:pStyle w:val="Heading2"/>
      </w:pPr>
      <w:r>
        <w:t xml:space="preserve">5.3 Normalisation and scaling: where each belongs</w:t>
      </w:r>
    </w:p>
    <w:p>
      <w:pPr>
        <w:spacing w:after="100" w:line="259"/>
        <w:jc w:val="both"/>
      </w:pPr>
      <w:r>
        <w:t xml:space="preserve">Normalisation removes unwanted variation within a measurement (illumination, brightness, weather); scaling puts features with different units on comparable numerical ranges for the classifier. They belong to different stages of the pipeline, and confusing them causes leakage.</w:t>
      </w:r>
    </w:p>
    <w:p>
      <w:pPr>
        <w:keepNext/>
        <w:spacing w:after="80" w:before="160"/>
      </w:pPr>
      <w:r>
        <w:rPr>
          <w:b/>
          <w:bCs/>
          <w:color w:val="1C7C78"/>
          <w:sz w:val="20"/>
          <w:szCs w:val="20"/>
        </w:rPr>
        <w:t xml:space="preserve">Table 14. </w:t>
      </w:r>
      <w:r>
        <w:rPr>
          <w:color w:val="1F3A40"/>
          <w:sz w:val="20"/>
          <w:szCs w:val="20"/>
        </w:rPr>
        <w:t xml:space="preserve">Normalisation and scaling operations and their place in the pipeline (deck slide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2"/>
        <w:gridCol w:w="1700"/>
        <w:gridCol w:w="2126"/>
        <w:gridCol w:w="2267"/>
        <w:gridCol w:w="1703"/>
      </w:tblGrid>
      <w:tr>
        <w:trPr>
          <w:cantSplit/>
          <w:tblHeader/>
        </w:trPr>
        <w:tc>
          <w:tcPr>
            <w:tcW w:type="dxa" w:w="184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Operation</w:t>
            </w:r>
          </w:p>
        </w:tc>
        <w:tc>
          <w:tcPr>
            <w:tcW w:type="dxa" w:w="170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Acts on</w:t>
            </w:r>
          </w:p>
        </w:tc>
        <w:tc>
          <w:tcPr>
            <w:tcW w:type="dxa" w:w="212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Purpose</w:t>
            </w:r>
          </w:p>
        </w:tc>
        <w:tc>
          <w:tcPr>
            <w:tcW w:type="dxa" w:w="226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Stage</w:t>
            </w:r>
          </w:p>
        </w:tc>
        <w:tc>
          <w:tcPr>
            <w:tcW w:type="dxa" w:w="1703"/>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Leakage risk</w:t>
            </w:r>
          </w:p>
        </w:tc>
      </w:tr>
      <w:tr>
        <w:trPr>
          <w:cantSplit/>
          <w:tblHeader w:val="false"/>
        </w:trPr>
        <w:tc>
          <w:tcPr>
            <w:tcW w:type="dxa" w:w="184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Radiometric calibration</w:t>
            </w:r>
          </w:p>
        </w:tc>
        <w:tc>
          <w:tcPr>
            <w:tcW w:type="dxa" w:w="170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Image</w:t>
            </w:r>
          </w:p>
        </w:tc>
        <w:tc>
          <w:tcPr>
            <w:tcW w:type="dxa" w:w="212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Physical units (reflectance, °C)</w:t>
            </w:r>
          </w:p>
        </w:tc>
        <w:tc>
          <w:tcPr>
            <w:tcW w:type="dxa" w:w="226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Pre-processing, per flight</w:t>
            </w:r>
          </w:p>
        </w:tc>
        <w:tc>
          <w:tcPr>
            <w:tcW w:type="dxa" w:w="170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None</w:t>
            </w:r>
          </w:p>
        </w:tc>
      </w:tr>
      <w:tr>
        <w:trPr>
          <w:cantSplit/>
          <w:tblHeader w:val="false"/>
        </w:trPr>
        <w:tc>
          <w:tcPr>
            <w:tcW w:type="dxa" w:w="184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SNV, derivatives, indices</w:t>
            </w:r>
          </w:p>
        </w:tc>
        <w:tc>
          <w:tcPr>
            <w:tcW w:type="dxa" w:w="170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One spectrum (row)</w:t>
            </w:r>
          </w:p>
        </w:tc>
        <w:tc>
          <w:tcPr>
            <w:tcW w:type="dxa" w:w="212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Remove brightness or geometry effects</w:t>
            </w:r>
          </w:p>
        </w:tc>
        <w:tc>
          <w:tcPr>
            <w:tcW w:type="dxa" w:w="226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Feature extraction, per sensor</w:t>
            </w:r>
          </w:p>
        </w:tc>
        <w:tc>
          <w:tcPr>
            <w:tcW w:type="dxa" w:w="170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None (uses no labels or other samples)</w:t>
            </w:r>
          </w:p>
        </w:tc>
      </w:tr>
      <w:tr>
        <w:trPr>
          <w:cantSplit/>
          <w:tblHeader w:val="false"/>
        </w:trPr>
        <w:tc>
          <w:tcPr>
            <w:tcW w:type="dxa" w:w="184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CTD, NRCT, CWSI</w:t>
            </w:r>
          </w:p>
        </w:tc>
        <w:tc>
          <w:tcPr>
            <w:tcW w:type="dxa" w:w="170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Row / flight</w:t>
            </w:r>
          </w:p>
        </w:tc>
        <w:tc>
          <w:tcPr>
            <w:tcW w:type="dxa" w:w="212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Remove weather effect</w:t>
            </w:r>
          </w:p>
        </w:tc>
        <w:tc>
          <w:tcPr>
            <w:tcW w:type="dxa" w:w="226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Feature extraction, per flight</w:t>
            </w:r>
          </w:p>
        </w:tc>
        <w:tc>
          <w:tcPr>
            <w:tcW w:type="dxa" w:w="170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None</w:t>
            </w:r>
          </w:p>
        </w:tc>
      </w:tr>
      <w:tr>
        <w:trPr>
          <w:cantSplit/>
          <w:tblHeader w:val="false"/>
        </w:trPr>
        <w:tc>
          <w:tcPr>
            <w:tcW w:type="dxa" w:w="184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z-score or min–max</w:t>
            </w:r>
          </w:p>
        </w:tc>
        <w:tc>
          <w:tcPr>
            <w:tcW w:type="dxa" w:w="170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Column (one feature across samples)</w:t>
            </w:r>
          </w:p>
        </w:tc>
        <w:tc>
          <w:tcPr>
            <w:tcW w:type="dxa" w:w="212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Common scale for SVM, KNN, LASSO, NN</w:t>
            </w:r>
          </w:p>
        </w:tc>
        <w:tc>
          <w:tcPr>
            <w:tcW w:type="dxa" w:w="226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After concatenation, inside training folds</w:t>
            </w:r>
          </w:p>
        </w:tc>
        <w:tc>
          <w:tcPr>
            <w:tcW w:type="dxa" w:w="170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High if fitted on all data</w:t>
            </w:r>
          </w:p>
        </w:tc>
      </w:tr>
      <w:tr>
        <w:trPr>
          <w:cantSplit/>
          <w:tblHeader w:val="false"/>
        </w:trPr>
        <w:tc>
          <w:tcPr>
            <w:tcW w:type="dxa" w:w="184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Block scaling (÷√p per sensor)</w:t>
            </w:r>
          </w:p>
        </w:tc>
        <w:tc>
          <w:tcPr>
            <w:tcW w:type="dxa" w:w="170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Feature block</w:t>
            </w:r>
          </w:p>
        </w:tc>
        <w:tc>
          <w:tcPr>
            <w:tcW w:type="dxa" w:w="212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Equal weight per sensor</w:t>
            </w:r>
          </w:p>
        </w:tc>
        <w:tc>
          <w:tcPr>
            <w:tcW w:type="dxa" w:w="226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Optional, inside folds</w:t>
            </w:r>
          </w:p>
        </w:tc>
        <w:tc>
          <w:tcPr>
            <w:tcW w:type="dxa" w:w="170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Same as above</w:t>
            </w:r>
          </w:p>
        </w:tc>
      </w:tr>
    </w:tbl>
    <w:p>
      <w:pPr>
        <w:spacing w:after="120"/>
      </w:pPr>
    </w:p>
    <w:p>
      <w:pPr>
        <w:spacing w:after="20" w:before="100"/>
        <w:jc w:val="center"/>
      </w:pPr>
      <w:r>
        <w:rPr>
          <w:rFonts w:ascii="Cambria Math" w:cs="Cambria Math" w:eastAsia="Cambria Math" w:hAnsi="Cambria Math"/>
          <w:sz w:val="23"/>
          <w:szCs w:val="23"/>
        </w:rPr>
        <w:t xml:space="preserve">SNV(xᵢ) = (xᵢ − x̄) / s ,     z(f) = (f − μ_train) / σ_train</w:t>
      </w:r>
    </w:p>
    <w:p>
      <w:pPr>
        <w:spacing w:after="120"/>
        <w:jc w:val="center"/>
      </w:pPr>
      <w:r>
        <w:rPr>
          <w:i/>
          <w:iCs/>
          <w:color w:val="5E7A7E"/>
          <w:sz w:val="19"/>
          <w:szCs w:val="19"/>
        </w:rPr>
        <w:t xml:space="preserve">SNV uses the mean and SD of one spectrum (no other samples); the z-score uses the mean and SD of a feature computed on training plots only.</w:t>
      </w:r>
    </w:p>
    <w:p>
      <w:pPr>
        <w:spacing w:after="100" w:line="259"/>
        <w:jc w:val="both"/>
      </w:pPr>
      <w:r>
        <w:t xml:space="preserve">Row-wise operations such as SNV, ratios and CTD use only the sample itself (and the flight's air temperature), so they can be computed before splitting. Column-wise scaling uses statistics of many samples; if those statistics include test plots, information leaks. In scikit-learn, putting the scaler inside a Pipeline that is refitted in every training fold prevents this. Tree models (RF) do not need scaling; SVM, KNN and LASSO do. Block scaling divides each sensor's standardised features by the square root of the number of features in that block, so that a 30-feature hyperspectral block does not dominate a 3-feature thermal block in distance-based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SNV, indices and CTD are computed before concatenation (no leakage); the z-score is fitted on training plots only, after concatenation, inside the model pipeline.</w:t>
            </w:r>
          </w:p>
        </w:tc>
      </w:tr>
    </w:tbl>
    <w:p>
      <w:pPr>
        <w:spacing w:after="120"/>
      </w:pPr>
    </w:p>
    <w:p>
      <w:pPr>
        <w:spacing w:after="160"/>
      </w:pPr>
      <w:r>
        <w:rPr>
          <w:i/>
          <w:iCs/>
          <w:color w:val="5E7A7E"/>
          <w:sz w:val="18"/>
          <w:szCs w:val="18"/>
        </w:rPr>
        <w:t xml:space="preserve">Key sources: Bohnenkamp et al. (2019) SNV; Feng et al. (2022); Varma &amp; Simon (2006); scikit-learn Pipeline practice.</w:t>
      </w:r>
    </w:p>
    <w:p>
      <w:pPr>
        <w:pStyle w:val="Heading2"/>
      </w:pPr>
      <w:r>
        <w:t xml:space="preserve">5.4 Concatenation and selection: the MuDAS-AI Phases 1–3</w:t>
      </w:r>
    </w:p>
    <w:p>
      <w:pPr>
        <w:keepNext/>
        <w:spacing w:after="60" w:before="120"/>
        <w:jc w:val="center"/>
      </w:pPr>
      <w:r>
        <w:drawing>
          <wp:inline distT="0" distB="0" distL="0" distR="0">
            <wp:extent cx="5120640" cy="2880432"/>
            <wp:effectExtent t="0" r="0" b="0" l="0"/>
            <wp:docPr id="1" name="fig2" descr="Phases 1–3 of the feature-level ML fusion pipeline (deck slide 21)." title="Phases 1–3 of the feature-level ML fusion pipeline (deck sli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2880432"/>
                    </a:xfrm>
                    <a:prstGeom prst="rect">
                      <a:avLst/>
                    </a:prstGeom>
                  </pic:spPr>
                </pic:pic>
              </a:graphicData>
            </a:graphic>
          </wp:inline>
        </w:drawing>
      </w:r>
    </w:p>
    <w:p>
      <w:pPr>
        <w:spacing w:after="160"/>
        <w:jc w:val="center"/>
      </w:pPr>
      <w:r>
        <w:rPr>
          <w:b/>
          <w:bCs/>
          <w:color w:val="1C7C78"/>
          <w:sz w:val="20"/>
          <w:szCs w:val="20"/>
        </w:rPr>
        <w:t xml:space="preserve">Figure 2. </w:t>
      </w:r>
      <w:r>
        <w:rPr>
          <w:color w:val="1F3A40"/>
          <w:sz w:val="20"/>
          <w:szCs w:val="20"/>
        </w:rPr>
        <w:t xml:space="preserve">Phases 1–3 of the feature-level ML fusion pipeline (deck slide 21).</w:t>
      </w:r>
    </w:p>
    <w:p>
      <w:pPr>
        <w:pStyle w:val="Heading3"/>
      </w:pPr>
      <w:r>
        <w:t xml:space="preserve">Phase 1: disease-specific features per sensor (filter and embedded methods)</w:t>
      </w:r>
    </w:p>
    <w:p>
      <w:pPr>
        <w:spacing w:after="100" w:line="259"/>
        <w:jc w:val="both"/>
      </w:pPr>
      <w:r>
        <w:t xml:space="preserve">Phase 1 screens each sensor's candidate features for disease specificity, using only training plots. Several criteria vote, which makes the selection robust:</w:t>
      </w:r>
    </w:p>
    <w:p>
      <w:pPr>
        <w:pStyle w:val="ListParagraph"/>
        <w:numPr>
          <w:ilvl w:val="0"/>
          <w:numId w:val="3"/>
        </w:numPr>
        <w:spacing w:after="50" w:line="252"/>
      </w:pPr>
      <w:r>
        <w:rPr>
          <w:b/>
          <w:bCs/>
        </w:rPr>
        <w:t xml:space="preserve">Kruskal–Wallis test with false-discovery-rate (FDR) correction:</w:t>
      </w:r>
      <w:r>
        <w:t xml:space="preserve"> a non-parametric test of whether the feature differs between severity classes on each date; FDR (Benjamini–Hochberg) controls false positives across many features. A feature is retained if it is significant on at least two dates.</w:t>
      </w:r>
    </w:p>
    <w:p>
      <w:pPr>
        <w:pStyle w:val="ListParagraph"/>
        <w:numPr>
          <w:ilvl w:val="0"/>
          <w:numId w:val="3"/>
        </w:numPr>
        <w:spacing w:after="50" w:line="252"/>
      </w:pPr>
      <w:r>
        <w:rPr>
          <w:b/>
          <w:bCs/>
        </w:rPr>
        <w:t xml:space="preserve">Jeffries–Matusita (JM) distance:</w:t>
      </w:r>
      <w:r>
        <w:t xml:space="preserve"> a separability measure between classes, bounded between 0 and 2 (or 0 and √2 in another convention).</w:t>
      </w:r>
    </w:p>
    <w:p>
      <w:pPr>
        <w:pStyle w:val="ListParagraph"/>
        <w:numPr>
          <w:ilvl w:val="0"/>
          <w:numId w:val="3"/>
        </w:numPr>
        <w:spacing w:after="50" w:line="252"/>
      </w:pPr>
      <w:r>
        <w:rPr>
          <w:b/>
          <w:bCs/>
        </w:rPr>
        <w:t xml:space="preserve">ReliefF</w:t>
      </w:r>
      <w:r>
        <w:t xml:space="preserve"> (Kononenko, 1994): weights features by how well they separate near neighbours of different classes; it detects interactions that univariate tests miss.</w:t>
      </w:r>
    </w:p>
    <w:p>
      <w:pPr>
        <w:pStyle w:val="ListParagraph"/>
        <w:numPr>
          <w:ilvl w:val="0"/>
          <w:numId w:val="3"/>
        </w:numPr>
        <w:spacing w:after="50" w:line="252"/>
      </w:pPr>
      <w:r>
        <w:rPr>
          <w:b/>
          <w:bCs/>
        </w:rPr>
        <w:t xml:space="preserve">Random-forest permutation importance and Boruta</w:t>
      </w:r>
      <w:r>
        <w:t xml:space="preserve"> (Kursa &amp; Rudnicki, 2010): embedded measures of a feature's contribution to a model; Boruta compares each feature against randomly permuted 'shadow' features.</w:t>
      </w:r>
    </w:p>
    <w:p>
      <w:pPr>
        <w:pStyle w:val="ListParagraph"/>
        <w:numPr>
          <w:ilvl w:val="0"/>
          <w:numId w:val="3"/>
        </w:numPr>
        <w:spacing w:after="50" w:line="252"/>
      </w:pPr>
      <w:r>
        <w:rPr>
          <w:b/>
          <w:bCs/>
        </w:rPr>
        <w:t xml:space="preserve">Stability:</w:t>
      </w:r>
      <w:r>
        <w:t xml:space="preserve"> repeat the voting on many half-samples of the training plots (e.g. 50) and keep features selected in a large fraction of them (stability selection).</w:t>
      </w:r>
    </w:p>
    <w:p>
      <w:pPr>
        <w:spacing w:after="20" w:before="100"/>
        <w:jc w:val="center"/>
      </w:pPr>
      <w:r>
        <w:rPr>
          <w:rFonts w:ascii="Cambria Math" w:cs="Cambria Math" w:eastAsia="Cambria Math" w:hAnsi="Cambria Math"/>
          <w:sz w:val="23"/>
          <w:szCs w:val="23"/>
        </w:rPr>
        <w:t xml:space="preserve">JM = 2 (1 − e^(−B)),   B = ⅛ (μ₁ − μ₂)ᵀ Σ⁻¹ (μ₁ − μ₂) + ½ ln( |Σ| / √(|Σ₁||Σ₂|) ),   Σ = (Σ₁ + Σ₂)/2</w:t>
      </w:r>
    </w:p>
    <w:p>
      <w:pPr>
        <w:spacing w:after="120"/>
        <w:jc w:val="center"/>
      </w:pPr>
      <w:r>
        <w:rPr>
          <w:i/>
          <w:iCs/>
          <w:color w:val="5E7A7E"/>
          <w:sz w:val="19"/>
          <w:szCs w:val="19"/>
        </w:rPr>
        <w:t xml:space="preserve">Bhattacharyya distance B for Gaussian classes; JM saturates at 2 for fully separable classes.</w:t>
      </w:r>
    </w:p>
    <w:p>
      <w:pPr>
        <w:spacing w:after="100" w:line="259"/>
        <w:jc w:val="both"/>
      </w:pPr>
      <w:r>
        <w:t xml:space="preserve">Tian et al. (2021) used JM distance to identify disease-specific spectral features for rice leaf blast; Mustafa et al. (2023) used Boruta and VIF before SFFS for Fusarium head blight in wheat ears.</w:t>
      </w:r>
    </w:p>
    <w:p>
      <w:pPr>
        <w:pStyle w:val="Heading3"/>
      </w:pPr>
      <w:r>
        <w:t xml:space="preserve">Phase 2: redundancy removal and best single-sensor model</w:t>
      </w:r>
    </w:p>
    <w:p>
      <w:pPr>
        <w:spacing w:after="100" w:line="259"/>
        <w:jc w:val="both"/>
      </w:pPr>
      <w:r>
        <w:t xml:space="preserve">Disease-specific features within one sensor are often collinear (e.g. NDVI and OSAVI). The variance inflation factor measures how well feature j is predicted by the others:</w:t>
      </w:r>
    </w:p>
    <w:p>
      <w:pPr>
        <w:spacing w:after="20" w:before="100"/>
        <w:jc w:val="center"/>
      </w:pPr>
      <w:r>
        <w:rPr>
          <w:rFonts w:ascii="Cambria Math" w:cs="Cambria Math" w:eastAsia="Cambria Math" w:hAnsi="Cambria Math"/>
          <w:sz w:val="23"/>
          <w:szCs w:val="23"/>
        </w:rPr>
        <w:t xml:space="preserve">VIFⱼ = 1 / (1 − R²ⱼ)</w:t>
      </w:r>
    </w:p>
    <w:p>
      <w:pPr>
        <w:spacing w:after="120"/>
        <w:jc w:val="center"/>
      </w:pPr>
      <w:r>
        <w:rPr>
          <w:i/>
          <w:iCs/>
          <w:color w:val="5E7A7E"/>
          <w:sz w:val="19"/>
          <w:szCs w:val="19"/>
        </w:rPr>
        <w:t xml:space="preserve">R²ⱼ from regressing feature j on all other features; VIF &gt; 10 indicates strong multicollinearity.</w:t>
      </w:r>
    </w:p>
    <w:p>
      <w:pPr>
        <w:spacing w:after="100" w:line="259"/>
        <w:jc w:val="both"/>
      </w:pPr>
      <w:r>
        <w:t xml:space="preserve">Features are removed iteratively, starting with the highest VIF and lowest Phase-1 rank, until all VIF &lt; 10. For hundreds of narrow hyperspectral bands, VIF is not defined when bands outnumber samples, so the successive projections algorithm (SPA) is used to choose minimally collinear bands. The remaining features enter ML-SFFS: sequential floating forward selection (Pudil et al., 1994), wrapped around the classifier (RF, SVM or KNN) and scored by inner cross-validated macro-F1. SFFS adds the feature that most improves the score, then conditionally removes features if that improves the score of a smaller subset ('floating'), which avoids the nesting problem of plain forward selection. The final subset size is chosen by the one-standard-error rule: the smallest subset whose score is within one SE of the best.</w:t>
      </w:r>
    </w:p>
    <w:p>
      <w:pPr>
        <w:pStyle w:val="Heading3"/>
      </w:pPr>
      <w:r>
        <w:t xml:space="preserve">Phase 3: fusion</w:t>
      </w:r>
    </w:p>
    <w:p>
      <w:pPr>
        <w:spacing w:after="100" w:line="259"/>
        <w:jc w:val="both"/>
      </w:pPr>
      <w:r>
        <w:t xml:space="preserve">The selected features of the chosen sensors are concatenated, VIF is re-applied across sensors (to remove cross-sensor redundancy such as MS NDRE versus HS red-edge position), and ML-SFFS selects the optimal fused feature combination. This is repeated for every sensor combination (15 for four sensors, Section 9.2).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Phase 3 is the feature-level ML fusion model of MuDAS-AI. The same selected features also feed the decision-level and DL comparisons, so that the comparison between fusion levels is fair.</w:t>
            </w:r>
          </w:p>
        </w:tc>
      </w:tr>
    </w:tbl>
    <w:p>
      <w:pPr>
        <w:spacing w:after="120"/>
      </w:pPr>
    </w:p>
    <w:p>
      <w:pPr>
        <w:spacing w:after="160"/>
      </w:pPr>
      <w:r>
        <w:rPr>
          <w:i/>
          <w:iCs/>
          <w:color w:val="5E7A7E"/>
          <w:sz w:val="18"/>
          <w:szCs w:val="18"/>
        </w:rPr>
        <w:t xml:space="preserve">Key sources: Tian et al. (2021); Mustafa et al. (2023); Pudil et al. (1994); Kursa &amp; Rudnicki (2010); Kononenko (1994).</w:t>
      </w:r>
    </w:p>
    <w:p>
      <w:pPr>
        <w:pStyle w:val="Heading2"/>
      </w:pPr>
      <w:r>
        <w:t xml:space="preserve">5.5 Feature selection families: filter, wrapper and embedded</w:t>
      </w:r>
    </w:p>
    <w:p>
      <w:pPr>
        <w:keepNext/>
        <w:spacing w:after="80" w:before="160"/>
      </w:pPr>
      <w:r>
        <w:rPr>
          <w:b/>
          <w:bCs/>
          <w:color w:val="1C7C78"/>
          <w:sz w:val="20"/>
          <w:szCs w:val="20"/>
        </w:rPr>
        <w:t xml:space="preserve">Table 15. </w:t>
      </w:r>
      <w:r>
        <w:rPr>
          <w:color w:val="1F3A40"/>
          <w:sz w:val="20"/>
          <w:szCs w:val="20"/>
        </w:rPr>
        <w:t xml:space="preserve">Feature selection families (deck slide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2126"/>
        <w:gridCol w:w="2551"/>
        <w:gridCol w:w="1559"/>
        <w:gridCol w:w="2269"/>
      </w:tblGrid>
      <w:tr>
        <w:trPr>
          <w:cantSplit/>
          <w:tblHeader/>
        </w:trPr>
        <w:tc>
          <w:tcPr>
            <w:tcW w:type="dxa" w:w="1133"/>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Family</w:t>
            </w:r>
          </w:p>
        </w:tc>
        <w:tc>
          <w:tcPr>
            <w:tcW w:type="dxa" w:w="212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Principle</w:t>
            </w:r>
          </w:p>
        </w:tc>
        <w:tc>
          <w:tcPr>
            <w:tcW w:type="dxa" w:w="255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Examples</w:t>
            </w:r>
          </w:p>
        </w:tc>
        <w:tc>
          <w:tcPr>
            <w:tcW w:type="dxa" w:w="155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Pros</w:t>
            </w:r>
          </w:p>
        </w:tc>
        <w:tc>
          <w:tcPr>
            <w:tcW w:type="dxa" w:w="226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Cons</w:t>
            </w:r>
          </w:p>
        </w:tc>
      </w:tr>
      <w:tr>
        <w:trPr>
          <w:cantSplit/>
          <w:tblHeader w:val="false"/>
        </w:trPr>
        <w:tc>
          <w:tcPr>
            <w:tcW w:type="dxa" w:w="113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Filter</w:t>
            </w:r>
          </w:p>
        </w:tc>
        <w:tc>
          <w:tcPr>
            <w:tcW w:type="dxa" w:w="212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Score each feature with a statistic, no model</w:t>
            </w:r>
          </w:p>
        </w:tc>
        <w:tc>
          <w:tcPr>
            <w:tcW w:type="dxa" w:w="25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Kruskal–Wallis + FDR, JM distance, ReliefF, mutual information, VIF</w:t>
            </w:r>
          </w:p>
        </w:tc>
        <w:tc>
          <w:tcPr>
            <w:tcW w:type="dxa" w:w="155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Fast, model-independent</w:t>
            </w:r>
          </w:p>
        </w:tc>
        <w:tc>
          <w:tcPr>
            <w:tcW w:type="dxa" w:w="226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Ignores interactions (except ReliefF); not optimised for the classifier</w:t>
            </w:r>
          </w:p>
        </w:tc>
      </w:tr>
      <w:tr>
        <w:trPr>
          <w:cantSplit/>
          <w:tblHeader w:val="false"/>
        </w:trPr>
        <w:tc>
          <w:tcPr>
            <w:tcW w:type="dxa" w:w="113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Wrapper</w:t>
            </w:r>
          </w:p>
        </w:tc>
        <w:tc>
          <w:tcPr>
            <w:tcW w:type="dxa" w:w="212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Search subsets using a model's CV score</w:t>
            </w:r>
          </w:p>
        </w:tc>
        <w:tc>
          <w:tcPr>
            <w:tcW w:type="dxa" w:w="255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SFS, SFFS, RFE, genetic algorithms, SPA-LDA</w:t>
            </w:r>
          </w:p>
        </w:tc>
        <w:tc>
          <w:tcPr>
            <w:tcW w:type="dxa" w:w="155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Optimal subset for that model</w:t>
            </w:r>
          </w:p>
        </w:tc>
        <w:tc>
          <w:tcPr>
            <w:tcW w:type="dxa" w:w="226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Slow; overfits without nested CV</w:t>
            </w:r>
          </w:p>
        </w:tc>
      </w:tr>
      <w:tr>
        <w:trPr>
          <w:cantSplit/>
          <w:tblHeader w:val="false"/>
        </w:trPr>
        <w:tc>
          <w:tcPr>
            <w:tcW w:type="dxa" w:w="113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Embedded</w:t>
            </w:r>
          </w:p>
        </w:tc>
        <w:tc>
          <w:tcPr>
            <w:tcW w:type="dxa" w:w="212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Selection happens inside model training</w:t>
            </w:r>
          </w:p>
        </w:tc>
        <w:tc>
          <w:tcPr>
            <w:tcW w:type="dxa" w:w="25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LASSO, elastic net, RF importance, Boruta, L1-SVM</w:t>
            </w:r>
          </w:p>
        </w:tc>
        <w:tc>
          <w:tcPr>
            <w:tcW w:type="dxa" w:w="155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Fast; uses the model</w:t>
            </w:r>
          </w:p>
        </w:tc>
        <w:tc>
          <w:tcPr>
            <w:tcW w:type="dxa" w:w="226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Model-specific; unstable with correlated features</w:t>
            </w:r>
          </w:p>
        </w:tc>
      </w:tr>
    </w:tbl>
    <w:p>
      <w:pPr>
        <w:spacing w:after="120"/>
      </w:pPr>
    </w:p>
    <w:p>
      <w:pPr>
        <w:spacing w:after="100" w:line="259"/>
        <w:jc w:val="both"/>
      </w:pPr>
      <w:r>
        <w:t xml:space="preserve">Guyon and Elisseeff (2003) give the standard introduction. LASSO (Tibshirani, 1996) adds an L1 penalty λ Σ|βⱼ| that drives some coefficients exactly to zero; elastic net combines L1 and L2 penalties and handles groups of correlated features better. Shafiee et al. (2021) compared sequential forward selection with SVR against LASSO for UAV-based wheat yield prediction, a useful template for comparing wrapper and embedded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4557A" w:sz="24"/>
              <w:bottom w:val="none" w:color="FFFFFF" w:sz="0"/>
              <w:right w:val="none" w:color="FFFFFF" w:sz="0"/>
            </w:tcBorders>
            <w:shd w:fill="EEF2F7" w:color="auto" w:val="clear"/>
            <w:tcMar>
              <w:top w:type="dxa" w:w="100"/>
              <w:left w:type="dxa" w:w="180"/>
              <w:bottom w:type="dxa" w:w="100"/>
              <w:right w:type="dxa" w:w="180"/>
            </w:tcMar>
          </w:tcPr>
          <w:p>
            <w:pPr>
              <w:spacing w:after="60"/>
            </w:pPr>
            <w:r>
              <w:rPr>
                <w:b/>
                <w:bCs/>
                <w:color w:val="34557A"/>
                <w:sz w:val="21"/>
                <w:szCs w:val="21"/>
              </w:rPr>
              <w:t xml:space="preserve">Is SFFS supervised?</w:t>
            </w:r>
          </w:p>
          <w:p>
            <w:pPr>
              <w:spacing w:after="60" w:line="264"/>
            </w:pPr>
            <w:r>
              <w:rPr>
                <w:sz w:val="21"/>
                <w:szCs w:val="21"/>
              </w:rPr>
              <w:t xml:space="preserve">SFFS itself is only a search strategy. It becomes supervised because the score it maximises is the cross-validated accuracy (or F1) of a supervised classifier. Hence 'ML-SFFS': SFFS with a machine-learning model as its objective function. It is therefore part of model training and must run inside the training folds.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use filters first (fast), embedded methods for model-based relevance, and the ML-SFFS wrapper last; add LASSO or elastic net as a fast embedded baseline.</w:t>
            </w:r>
          </w:p>
        </w:tc>
      </w:tr>
    </w:tbl>
    <w:p>
      <w:pPr>
        <w:spacing w:after="120"/>
      </w:pPr>
    </w:p>
    <w:p>
      <w:pPr>
        <w:spacing w:after="160"/>
      </w:pPr>
      <w:r>
        <w:rPr>
          <w:i/>
          <w:iCs/>
          <w:color w:val="5E7A7E"/>
          <w:sz w:val="18"/>
          <w:szCs w:val="18"/>
        </w:rPr>
        <w:t xml:space="preserve">Key sources: Guyon &amp; Elisseeff (2003); Kononenko (1994); Pudil et al. (1994); Tibshirani (1996); Kursa &amp; Rudnicki (2010); Shafiee et al. (2021).</w:t>
      </w:r>
    </w:p>
    <w:p>
      <w:pPr>
        <w:pStyle w:val="Heading2"/>
      </w:pPr>
      <w:r>
        <w:t xml:space="preserve">5.6 Subspace fusion: PCA, PLS and canonical correlation</w:t>
      </w:r>
    </w:p>
    <w:p>
      <w:pPr>
        <w:spacing w:after="100" w:line="259"/>
        <w:jc w:val="both"/>
      </w:pPr>
      <w:r>
        <w:t xml:space="preserve">Instead of selecting original features, subspace methods project the concatenated features onto a few new variables.</w:t>
      </w:r>
    </w:p>
    <w:p>
      <w:pPr>
        <w:pStyle w:val="ListParagraph"/>
        <w:numPr>
          <w:ilvl w:val="0"/>
          <w:numId w:val="3"/>
        </w:numPr>
        <w:spacing w:after="50" w:line="252"/>
      </w:pPr>
      <w:r>
        <w:rPr>
          <w:b/>
          <w:bCs/>
        </w:rPr>
        <w:t xml:space="preserve">PCA (unsupervised):</w:t>
      </w:r>
      <w:r>
        <w:t xml:space="preserve"> finds orthogonal directions of maximal variance. It removes redundancy but its components may not relate to disease; fit it inside training folds or only on unlabelled data.</w:t>
      </w:r>
    </w:p>
    <w:p>
      <w:pPr>
        <w:pStyle w:val="ListParagraph"/>
        <w:numPr>
          <w:ilvl w:val="0"/>
          <w:numId w:val="3"/>
        </w:numPr>
        <w:spacing w:after="50" w:line="252"/>
      </w:pPr>
      <w:r>
        <w:rPr>
          <w:b/>
          <w:bCs/>
        </w:rPr>
        <w:t xml:space="preserve">PLS / PLS-DA (supervised):</w:t>
      </w:r>
      <w:r>
        <w:t xml:space="preserve"> finds latent variables that maximise covariance between features X and the response (DI or class indicators): max cov(Xw, y). It handles many correlated features with few samples and is classic in spectroscopy (Wold et al., 2001). Loadings show which sensor features matter.</w:t>
      </w:r>
    </w:p>
    <w:p>
      <w:pPr>
        <w:pStyle w:val="ListParagraph"/>
        <w:numPr>
          <w:ilvl w:val="0"/>
          <w:numId w:val="3"/>
        </w:numPr>
        <w:spacing w:after="50" w:line="252"/>
      </w:pPr>
      <w:r>
        <w:rPr>
          <w:b/>
          <w:bCs/>
        </w:rPr>
        <w:t xml:space="preserve">CCA (two sensors):</w:t>
      </w:r>
      <w:r>
        <w:t xml:space="preserve"> finds projections a and b that maximise correlation between sensor A and sensor B: max corr(Xₐa, X_b b) (Hotelling, 1936). Discriminant correlation analysis (DCA; Haghighat et al., 2016) adds class separation to CCA. The fused vector is the concatenation or sum of the projections; this is a coordinated representation in the sense of Baltrušaitis et al. (2019).</w:t>
      </w:r>
    </w:p>
    <w:p>
      <w:pPr>
        <w:spacing w:after="100" w:line="259"/>
        <w:jc w:val="both"/>
      </w:pPr>
      <w:r>
        <w:t xml:space="preserve">Zhang et al. (2012) used PLSR and Fisher's linear discriminant analysis on leaf hyperspectral features for powdery mildew of winter wheat; Feng et al. (2022) compared PLSR, SVR and RFR on single-source and fused features. PLS models are a strong, interpretable baseline for small data 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PLS-DA or PLSR on fused features is an interpretable baseline. CCA can show which MS/HS features co-vary with thermal features. Fit all transforms within training folds.</w:t>
            </w:r>
          </w:p>
        </w:tc>
      </w:tr>
    </w:tbl>
    <w:p>
      <w:pPr>
        <w:spacing w:after="120"/>
      </w:pPr>
    </w:p>
    <w:p>
      <w:pPr>
        <w:spacing w:after="160"/>
      </w:pPr>
      <w:r>
        <w:rPr>
          <w:i/>
          <w:iCs/>
          <w:color w:val="5E7A7E"/>
          <w:sz w:val="18"/>
          <w:szCs w:val="18"/>
        </w:rPr>
        <w:t xml:space="preserve">Key sources: Hotelling (1936); Haghighat et al. (2016); Wold et al. (2001); Zhang et al. (2012).</w:t>
      </w:r>
    </w:p>
    <w:p>
      <w:pPr>
        <w:pStyle w:val="Heading2"/>
      </w:pPr>
      <w:r>
        <w:t xml:space="preserve">5.7 Kernel-level fusion: composite kernels and multiple kernel learning</w:t>
      </w:r>
    </w:p>
    <w:p>
      <w:pPr>
        <w:spacing w:after="100" w:line="259"/>
        <w:jc w:val="both"/>
      </w:pPr>
      <w:r>
        <w:t xml:space="preserve">Kernel methods such as SVM compare samples through a kernel K(xᵢ, xⱼ), a similarity measure. With several sensors, a separate kernel can be computed on each sensor's features and the kernels combined:</w:t>
      </w:r>
    </w:p>
    <w:p>
      <w:pPr>
        <w:spacing w:after="120" w:before="100"/>
        <w:jc w:val="center"/>
      </w:pPr>
      <w:r>
        <w:rPr>
          <w:rFonts w:ascii="Cambria Math" w:cs="Cambria Math" w:eastAsia="Cambria Math" w:hAnsi="Cambria Math"/>
          <w:sz w:val="23"/>
          <w:szCs w:val="23"/>
        </w:rPr>
        <w:t xml:space="preserve">K_fused(xᵢ, xⱼ) = Σₛ μₛ · Kₛ(xᵢˢ, xⱼˢ),   μₛ ≥ 0,  Σₛ μₛ = 1,   s ∈ {RGB, MS, HS, TIR}</w:t>
      </w:r>
    </w:p>
    <w:p>
      <w:pPr>
        <w:spacing w:after="100" w:line="259"/>
        <w:jc w:val="both"/>
      </w:pPr>
      <w:r>
        <w:t xml:space="preserve">Camps-Valls et al. (2006) introduced composite kernels for hyperspectral classification, combining spectral and spatial kernels with fixed weights chosen by cross-validation. Multiple kernel learning (MKL; Gönen &amp; Alpaydın, 2011) learns the weights μₛ jointly with the SVM. Each sensor can use its own kernel width γₛ, which matters because features from different sensors have different spreads. The learned weights are interpretable as the relative contribution of each sensor, and the approach avoids the domination of one sensor by its number of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one kernel per sensor gives an SVM fusion model whose learned weights μₛ show each sensor's contribution. It is an alternative to plain concatenation for small samples.</w:t>
            </w:r>
          </w:p>
        </w:tc>
      </w:tr>
    </w:tbl>
    <w:p>
      <w:pPr>
        <w:spacing w:after="120"/>
      </w:pPr>
    </w:p>
    <w:p>
      <w:pPr>
        <w:spacing w:after="160"/>
      </w:pPr>
      <w:r>
        <w:rPr>
          <w:i/>
          <w:iCs/>
          <w:color w:val="5E7A7E"/>
          <w:sz w:val="18"/>
          <w:szCs w:val="18"/>
        </w:rPr>
        <w:t xml:space="preserve">Key sources: Camps-Valls et al. (2006); Gönen &amp; Alpaydın (2011); Cortes &amp; Vapnik (1995).</w:t>
      </w:r>
    </w:p>
    <w:p>
      <w:pPr>
        <w:pStyle w:val="Heading2"/>
      </w:pPr>
      <w:r>
        <w:t xml:space="preserve">5.8 ML classifiers for fused features</w:t>
      </w:r>
    </w:p>
    <w:p>
      <w:pPr>
        <w:keepNext/>
        <w:spacing w:after="80" w:before="160"/>
      </w:pPr>
      <w:r>
        <w:rPr>
          <w:b/>
          <w:bCs/>
          <w:color w:val="1C7C78"/>
          <w:sz w:val="20"/>
          <w:szCs w:val="20"/>
        </w:rPr>
        <w:t xml:space="preserve">Table 16. </w:t>
      </w:r>
      <w:r>
        <w:rPr>
          <w:color w:val="1F3A40"/>
          <w:sz w:val="20"/>
          <w:szCs w:val="20"/>
        </w:rPr>
        <w:t xml:space="preserve">Classifiers for fused features (deck slide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2"/>
        <w:gridCol w:w="2224"/>
        <w:gridCol w:w="2668"/>
        <w:gridCol w:w="2374"/>
      </w:tblGrid>
      <w:tr>
        <w:trPr>
          <w:cantSplit/>
          <w:tblHeader/>
        </w:trPr>
        <w:tc>
          <w:tcPr>
            <w:tcW w:type="dxa" w:w="237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Model</w:t>
            </w:r>
          </w:p>
        </w:tc>
        <w:tc>
          <w:tcPr>
            <w:tcW w:type="dxa" w:w="2224"/>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Type</w:t>
            </w:r>
          </w:p>
        </w:tc>
        <w:tc>
          <w:tcPr>
            <w:tcW w:type="dxa" w:w="2668"/>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Good for</w:t>
            </w:r>
          </w:p>
        </w:tc>
        <w:tc>
          <w:tcPr>
            <w:tcW w:type="dxa" w:w="2374"/>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Watch out</w:t>
            </w:r>
          </w:p>
        </w:tc>
      </w:tr>
      <w:tr>
        <w:trPr>
          <w:cantSplit/>
          <w:tblHeader w:val="false"/>
        </w:trPr>
        <w:tc>
          <w:tcPr>
            <w:tcW w:type="dxa" w:w="237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Random forest (Breiman, 2001)</w:t>
            </w:r>
          </w:p>
        </w:tc>
        <w:tc>
          <w:tcPr>
            <w:tcW w:type="dxa" w:w="222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Ensemble of decision trees on bootstrap samples</w:t>
            </w:r>
          </w:p>
        </w:tc>
        <w:tc>
          <w:tcPr>
            <w:tcW w:type="dxa" w:w="266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Mixed features, interactions, small data; built-in importance</w:t>
            </w:r>
          </w:p>
        </w:tc>
        <w:tc>
          <w:tcPr>
            <w:tcW w:type="dxa" w:w="237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Less smooth class boundaries; importance biased to correlated groups</w:t>
            </w:r>
          </w:p>
        </w:tc>
      </w:tr>
      <w:tr>
        <w:trPr>
          <w:cantSplit/>
          <w:tblHeader w:val="false"/>
        </w:trPr>
        <w:tc>
          <w:tcPr>
            <w:tcW w:type="dxa" w:w="237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SVM, RBF kernel (Cortes &amp; Vapnik, 1995)</w:t>
            </w:r>
          </w:p>
        </w:tc>
        <w:tc>
          <w:tcPr>
            <w:tcW w:type="dxa" w:w="222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Maximum-margin classifier in kernel space</w:t>
            </w:r>
          </w:p>
        </w:tc>
        <w:tc>
          <w:tcPr>
            <w:tcW w:type="dxa" w:w="266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High-dimensional data, few samples; one-vs-one for 6 classes</w:t>
            </w:r>
          </w:p>
        </w:tc>
        <w:tc>
          <w:tcPr>
            <w:tcW w:type="dxa" w:w="237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Needs scaling; tune C and γ</w:t>
            </w:r>
          </w:p>
        </w:tc>
      </w:tr>
      <w:tr>
        <w:trPr>
          <w:cantSplit/>
          <w:tblHeader w:val="false"/>
        </w:trPr>
        <w:tc>
          <w:tcPr>
            <w:tcW w:type="dxa" w:w="237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KNN</w:t>
            </w:r>
          </w:p>
        </w:tc>
        <w:tc>
          <w:tcPr>
            <w:tcW w:type="dxa" w:w="222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Instance-based voting of k nearest neighbours</w:t>
            </w:r>
          </w:p>
        </w:tc>
        <w:tc>
          <w:tcPr>
            <w:tcW w:type="dxa" w:w="266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Simple, local patterns</w:t>
            </w:r>
          </w:p>
        </w:tc>
        <w:tc>
          <w:tcPr>
            <w:tcW w:type="dxa" w:w="237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Needs scaling; sensitive to irrelevant features</w:t>
            </w:r>
          </w:p>
        </w:tc>
      </w:tr>
      <w:tr>
        <w:trPr>
          <w:cantSplit/>
          <w:tblHeader w:val="false"/>
        </w:trPr>
        <w:tc>
          <w:tcPr>
            <w:tcW w:type="dxa" w:w="237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XGBoost / LightGBM (Chen &amp; Guestrin, 2016)</w:t>
            </w:r>
          </w:p>
        </w:tc>
        <w:tc>
          <w:tcPr>
            <w:tcW w:type="dxa" w:w="222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Boosted trees</w:t>
            </w:r>
          </w:p>
        </w:tc>
        <w:tc>
          <w:tcPr>
            <w:tcW w:type="dxa" w:w="266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Strong on tabular data</w:t>
            </w:r>
          </w:p>
        </w:tc>
        <w:tc>
          <w:tcPr>
            <w:tcW w:type="dxa" w:w="237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Overfits with few plots; tune carefully</w:t>
            </w:r>
          </w:p>
        </w:tc>
      </w:tr>
      <w:tr>
        <w:trPr>
          <w:cantSplit/>
          <w:tblHeader w:val="false"/>
        </w:trPr>
        <w:tc>
          <w:tcPr>
            <w:tcW w:type="dxa" w:w="237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LDA / PLS-DA</w:t>
            </w:r>
          </w:p>
        </w:tc>
        <w:tc>
          <w:tcPr>
            <w:tcW w:type="dxa" w:w="222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Linear latent variables</w:t>
            </w:r>
          </w:p>
        </w:tc>
        <w:tc>
          <w:tcPr>
            <w:tcW w:type="dxa" w:w="266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Interpretable, collinear features</w:t>
            </w:r>
          </w:p>
        </w:tc>
        <w:tc>
          <w:tcPr>
            <w:tcW w:type="dxa" w:w="237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Linear boundaries only</w:t>
            </w:r>
          </w:p>
        </w:tc>
      </w:tr>
      <w:tr>
        <w:trPr>
          <w:cantSplit/>
          <w:tblHeader w:val="false"/>
        </w:trPr>
        <w:tc>
          <w:tcPr>
            <w:tcW w:type="dxa" w:w="237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Ordinal / regression (DI)</w:t>
            </w:r>
          </w:p>
        </w:tc>
        <w:tc>
          <w:tcPr>
            <w:tcW w:type="dxa" w:w="222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Cumulative logit, PLSR, SVR, RF regression</w:t>
            </w:r>
          </w:p>
        </w:tc>
        <w:tc>
          <w:tcPr>
            <w:tcW w:type="dxa" w:w="266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Ordered classes; continuous DI</w:t>
            </w:r>
          </w:p>
        </w:tc>
        <w:tc>
          <w:tcPr>
            <w:tcW w:type="dxa" w:w="237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Report R², RMSE for DI</w:t>
            </w:r>
          </w:p>
        </w:tc>
      </w:tr>
    </w:tbl>
    <w:p>
      <w:pPr>
        <w:spacing w:after="120"/>
      </w:pPr>
    </w:p>
    <w:p>
      <w:pPr>
        <w:spacing w:after="100" w:line="259"/>
        <w:jc w:val="both"/>
      </w:pPr>
      <w:r>
        <w:t xml:space="preserve">SVM is a binary classifier but extends to multiple classes through one-vs-one (a classifier for each pair of classes, 15 for 6 classes, with voting) or one-vs-rest schemes. Because severity classes are ordered, an error from class 1 to 5 is worse than from 1 to 2; this can be handled by ordinal models, by regression on DI followed by class thresholds, or at least by reporting quadratic-weighted kappa (Section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RF, SVM and KNN are the main classifiers; add PLS-DA or LDA and an ordinal or regression model as interpretable baselines.</w:t>
            </w:r>
          </w:p>
        </w:tc>
      </w:tr>
    </w:tbl>
    <w:p>
      <w:pPr>
        <w:spacing w:after="120"/>
      </w:pPr>
    </w:p>
    <w:p>
      <w:pPr>
        <w:spacing w:after="160"/>
      </w:pPr>
      <w:r>
        <w:rPr>
          <w:i/>
          <w:iCs/>
          <w:color w:val="5E7A7E"/>
          <w:sz w:val="18"/>
          <w:szCs w:val="18"/>
        </w:rPr>
        <w:t xml:space="preserve">Key sources: Breiman (2001); Cortes &amp; Vapnik (1995); Chen &amp; Guestrin (2016); Tibshirani (1996); Cao et al. (2020); Shafiee et al. (2021).</w:t>
      </w:r>
    </w:p>
    <w:p>
      <w:pPr>
        <w:pStyle w:val="Heading2"/>
      </w:pPr>
      <w:r>
        <w:t xml:space="preserve">5.9 What feature-level fusion studies found</w:t>
      </w:r>
    </w:p>
    <w:p>
      <w:pPr>
        <w:spacing w:after="100" w:line="259"/>
        <w:jc w:val="both"/>
      </w:pPr>
      <w:r>
        <w:t xml:space="preserve">The table below summarises studies that fused features from several sensors for plant disease or crop traits. Details and limitations are given in the case studies of Chapter 11.</w:t>
      </w:r>
    </w:p>
    <w:p>
      <w:pPr>
        <w:keepNext/>
        <w:spacing w:after="80" w:before="160"/>
      </w:pPr>
      <w:r>
        <w:rPr>
          <w:b/>
          <w:bCs/>
          <w:color w:val="1C7C78"/>
          <w:sz w:val="20"/>
          <w:szCs w:val="20"/>
        </w:rPr>
        <w:t xml:space="preserve">Table 17. </w:t>
      </w:r>
      <w:r>
        <w:rPr>
          <w:color w:val="1F3A40"/>
          <w:sz w:val="20"/>
          <w:szCs w:val="20"/>
        </w:rPr>
        <w:t xml:space="preserve">Evidence from feature-level fusion studies (deck slide 26; numbers cross-checked, see Chapter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8"/>
        <w:gridCol w:w="2336"/>
        <w:gridCol w:w="2482"/>
        <w:gridCol w:w="2922"/>
      </w:tblGrid>
      <w:tr>
        <w:trPr>
          <w:cantSplit/>
          <w:tblHeader/>
        </w:trPr>
        <w:tc>
          <w:tcPr>
            <w:tcW w:type="dxa" w:w="1898"/>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Study</w:t>
            </w:r>
          </w:p>
        </w:tc>
        <w:tc>
          <w:tcPr>
            <w:tcW w:type="dxa" w:w="233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Sensors / scale</w:t>
            </w:r>
          </w:p>
        </w:tc>
        <w:tc>
          <w:tcPr>
            <w:tcW w:type="dxa" w:w="248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Fusion and models</w:t>
            </w:r>
          </w:p>
        </w:tc>
        <w:tc>
          <w:tcPr>
            <w:tcW w:type="dxa" w:w="292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Key result</w:t>
            </w:r>
          </w:p>
        </w:tc>
      </w:tr>
      <w:tr>
        <w:trPr>
          <w:cantSplit/>
          <w:tblHeader w:val="false"/>
        </w:trPr>
        <w:tc>
          <w:tcPr>
            <w:tcW w:type="dxa" w:w="189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Maimaitijiang et al. 2020</w:t>
            </w:r>
          </w:p>
        </w:tc>
        <w:tc>
          <w:tcPr>
            <w:tcW w:type="dxa" w:w="23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UAV RGB + MS + thermal; soybean yield</w:t>
            </w:r>
          </w:p>
        </w:tc>
        <w:tc>
          <w:tcPr>
            <w:tcW w:type="dxa" w:w="2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Spectral, structure, thermal, texture features; PLSR, RFR, SVR, DNN-F1, DNN-F2</w:t>
            </w:r>
          </w:p>
        </w:tc>
        <w:tc>
          <w:tcPr>
            <w:tcW w:type="dxa" w:w="29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Fusion improved accuracy; best DNN-F2 (intermediate) R² = 0.720</w:t>
            </w:r>
          </w:p>
        </w:tc>
      </w:tr>
      <w:tr>
        <w:trPr>
          <w:cantSplit/>
          <w:tblHeader w:val="false"/>
        </w:trPr>
        <w:tc>
          <w:tcPr>
            <w:tcW w:type="dxa" w:w="189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Feng et al. 2022</w:t>
            </w:r>
          </w:p>
        </w:tc>
        <w:tc>
          <w:tcPr>
            <w:tcW w:type="dxa" w:w="233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Proximal HS + thermal + RGB; wheat powdery mildew</w:t>
            </w:r>
          </w:p>
        </w:tc>
        <w:tc>
          <w:tcPr>
            <w:tcW w:type="dxa" w:w="248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VI + temperature + texture; PLSR, SVR, RFR</w:t>
            </w:r>
          </w:p>
        </w:tc>
        <w:tc>
          <w:tcPr>
            <w:tcW w:type="dxa" w:w="29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RFR on fused VI + TP + TF best: R² = 0.872 (calibration), 0.862 (validation)</w:t>
            </w:r>
          </w:p>
        </w:tc>
      </w:tr>
      <w:tr>
        <w:trPr>
          <w:cantSplit/>
          <w:tblHeader w:val="false"/>
        </w:trPr>
        <w:tc>
          <w:tcPr>
            <w:tcW w:type="dxa" w:w="189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Liu et al. 2024</w:t>
            </w:r>
          </w:p>
        </w:tc>
        <w:tc>
          <w:tcPr>
            <w:tcW w:type="dxa" w:w="23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UAV MS + thermal; wheat powdery mildew</w:t>
            </w:r>
          </w:p>
        </w:tc>
        <w:tc>
          <w:tcPr>
            <w:tcW w:type="dxa" w:w="2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Percentile spectra + texture index + canopy temperature; MLR</w:t>
            </w:r>
          </w:p>
        </w:tc>
        <w:tc>
          <w:tcPr>
            <w:tcW w:type="dxa" w:w="29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Combined model best: R² = 0.90, RMSE = 8.28%; texture index detected disease 9–30 days earlier</w:t>
            </w:r>
          </w:p>
        </w:tc>
      </w:tr>
      <w:tr>
        <w:trPr>
          <w:cantSplit/>
          <w:tblHeader w:val="false"/>
        </w:trPr>
        <w:tc>
          <w:tcPr>
            <w:tcW w:type="dxa" w:w="189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Mahlein et al. 2019</w:t>
            </w:r>
          </w:p>
        </w:tc>
        <w:tc>
          <w:tcPr>
            <w:tcW w:type="dxa" w:w="233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Thermal + chlorophyll fluorescence + HS; wheat FHB spikelets</w:t>
            </w:r>
          </w:p>
        </w:tc>
        <w:tc>
          <w:tcPr>
            <w:tcW w:type="dxa" w:w="248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Combined parameters; SVM</w:t>
            </w:r>
          </w:p>
        </w:tc>
        <w:tc>
          <w:tcPr>
            <w:tcW w:type="dxa" w:w="29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Single sensors 78/56/78% (3 dai); IRT–HSI or CFI–HSI combination 89% (30 dai)</w:t>
            </w:r>
          </w:p>
        </w:tc>
      </w:tr>
      <w:tr>
        <w:trPr>
          <w:cantSplit/>
          <w:tblHeader w:val="false"/>
        </w:trPr>
        <w:tc>
          <w:tcPr>
            <w:tcW w:type="dxa" w:w="189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Mustafa et al. 2023</w:t>
            </w:r>
          </w:p>
        </w:tc>
        <w:tc>
          <w:tcPr>
            <w:tcW w:type="dxa" w:w="23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HS + fluorescence + phenotyping; wheat ears, FHB</w:t>
            </w:r>
          </w:p>
        </w:tc>
        <w:tc>
          <w:tcPr>
            <w:tcW w:type="dxa" w:w="2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Feature selection + SFFS; KNN, SVM</w:t>
            </w:r>
          </w:p>
        </w:tc>
        <w:tc>
          <w:tcPr>
            <w:tcW w:type="dxa" w:w="29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Fused features improved detection from asymptomatic to symptomatic stages</w:t>
            </w:r>
          </w:p>
        </w:tc>
      </w:tr>
      <w:tr>
        <w:trPr>
          <w:cantSplit/>
          <w:tblHeader w:val="false"/>
        </w:trPr>
        <w:tc>
          <w:tcPr>
            <w:tcW w:type="dxa" w:w="189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Calderón et al. 2015</w:t>
            </w:r>
          </w:p>
        </w:tc>
        <w:tc>
          <w:tcPr>
            <w:tcW w:type="dxa" w:w="233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Airborne HS + thermal; olive Verticillium wilt</w:t>
            </w:r>
          </w:p>
        </w:tc>
        <w:tc>
          <w:tcPr>
            <w:tcW w:type="dxa" w:w="248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Plant-trait indices; LDA, SVM</w:t>
            </w:r>
          </w:p>
        </w:tc>
        <w:tc>
          <w:tcPr>
            <w:tcW w:type="dxa" w:w="29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SVM OA 79.2% (κ 0.495); LDA better at initial/low severity</w:t>
            </w:r>
          </w:p>
        </w:tc>
      </w:tr>
      <w:tr>
        <w:trPr>
          <w:cantSplit/>
          <w:tblHeader w:val="false"/>
        </w:trPr>
        <w:tc>
          <w:tcPr>
            <w:tcW w:type="dxa" w:w="189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Zarco-Tejada et al. 2018</w:t>
            </w:r>
          </w:p>
        </w:tc>
        <w:tc>
          <w:tcPr>
            <w:tcW w:type="dxa" w:w="23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Airborne HS + thermal; olive Xylella</w:t>
            </w:r>
          </w:p>
        </w:tc>
        <w:tc>
          <w:tcPr>
            <w:tcW w:type="dxa" w:w="2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Plant traits (fluorescence, temperature, pigments); ML</w:t>
            </w:r>
          </w:p>
        </w:tc>
        <w:tc>
          <w:tcPr>
            <w:tcW w:type="dxa" w:w="29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Pre-visual detection, accuracy &gt; 80% (qPCR-confirmed)</w:t>
            </w:r>
          </w:p>
        </w:tc>
      </w:tr>
    </w:tbl>
    <w:p>
      <w:pPr>
        <w:spacing w:after="120"/>
      </w:pPr>
    </w:p>
    <w:p>
      <w:pPr>
        <w:spacing w:after="100" w:line="259"/>
        <w:jc w:val="both"/>
      </w:pPr>
      <w:r>
        <w:t xml:space="preserve">Three patterns stand out. First, fusion usually helps, but the gain over the best single sensor can be small and must be tested statistically. Second, thermal and texture features add the most when combined with spectral features, because they capture different symptoms. Third, more sensors are not automatically better: in Mahlein et al. (2019) the reported improvement came from specific sensor pairs (IRT–HSI or CFI–HSI), so each combination must be tested rather than assumed.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expect complementary gains from thermal and texture on top of spectral features, but test each addition; 'more sensors' is not automatically better.</w:t>
            </w:r>
          </w:p>
        </w:tc>
      </w:tr>
    </w:tbl>
    <w:p>
      <w:pPr>
        <w:spacing w:after="120"/>
      </w:pPr>
    </w:p>
    <w:p>
      <w:pPr>
        <w:spacing w:after="160"/>
      </w:pPr>
      <w:r>
        <w:rPr>
          <w:i/>
          <w:iCs/>
          <w:color w:val="5E7A7E"/>
          <w:sz w:val="18"/>
          <w:szCs w:val="18"/>
        </w:rPr>
        <w:t xml:space="preserve">Key sources: Maimaitijiang et al. (2020); Feng et al. (2022); Liu et al. (2024); Mustafa et al. (2023); Mahlein et al. (2019); Calderón et al. (2015); Zarco-Tejada et al. (2018).</w:t>
      </w:r>
    </w:p>
    <w:p>
      <w:pPr>
        <w:pStyle w:val="Heading1"/>
      </w:pPr>
      <w:r>
        <w:t xml:space="preserve">6. Deep-learning fusion</w:t>
      </w:r>
    </w:p>
    <w:p>
      <w:pPr>
        <w:spacing w:after="100" w:line="259"/>
        <w:jc w:val="both"/>
      </w:pPr>
      <w:r>
        <w:t xml:space="preserve">Deep learning (DL) learns features from data instead of relying on hand-crafted indices. In multimodal DL, the central design question is </w:t>
      </w:r>
      <w:r>
        <w:rPr>
          <w:i/>
          <w:iCs/>
        </w:rPr>
        <w:t xml:space="preserve">where</w:t>
      </w:r>
      <w:r>
        <w:t xml:space="preserve"> in the network the sensors meet. This chapter explains the three basic architectures (early, intermediate, late), attention-based fusion, sensor-specific encoders, training with few labelled plots, and how to learn from plot-level labels (deck slides 27–33).</w:t>
      </w:r>
    </w:p>
    <w:p>
      <w:pPr>
        <w:pStyle w:val="Heading2"/>
      </w:pPr>
      <w:r>
        <w:t xml:space="preserve">6.1 Early, intermediate and late fusion in neural networks</w:t>
      </w:r>
    </w:p>
    <w:p>
      <w:pPr>
        <w:keepNext/>
        <w:spacing w:after="80" w:before="160"/>
      </w:pPr>
      <w:r>
        <w:rPr>
          <w:b/>
          <w:bCs/>
          <w:color w:val="1C7C78"/>
          <w:sz w:val="20"/>
          <w:szCs w:val="20"/>
        </w:rPr>
        <w:t xml:space="preserve">Table 18. </w:t>
      </w:r>
      <w:r>
        <w:rPr>
          <w:color w:val="1F3A40"/>
          <w:sz w:val="20"/>
          <w:szCs w:val="20"/>
        </w:rPr>
        <w:t xml:space="preserve">DL fusion types (deck slide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1807"/>
        <w:gridCol w:w="3614"/>
        <w:gridCol w:w="2410"/>
      </w:tblGrid>
      <w:tr>
        <w:trPr>
          <w:cantSplit/>
          <w:tblHeader/>
        </w:trPr>
        <w:tc>
          <w:tcPr>
            <w:tcW w:type="dxa" w:w="18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DL fusion type</w:t>
            </w:r>
          </w:p>
        </w:tc>
        <w:tc>
          <w:tcPr>
            <w:tcW w:type="dxa" w:w="18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Where sensors meet</w:t>
            </w:r>
          </w:p>
        </w:tc>
        <w:tc>
          <w:tcPr>
            <w:tcW w:type="dxa" w:w="3614"/>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Architecture</w:t>
            </w:r>
          </w:p>
        </w:tc>
        <w:tc>
          <w:tcPr>
            <w:tcW w:type="dxa" w:w="241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Needs</w:t>
            </w:r>
          </w:p>
        </w:tc>
      </w:tr>
      <w:tr>
        <w:trPr>
          <w:cantSplit/>
          <w:tblHeader w:val="false"/>
        </w:trPr>
        <w:tc>
          <w:tcPr>
            <w:tcW w:type="dxa" w:w="18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Early (input)</w:t>
            </w:r>
          </w:p>
        </w:tc>
        <w:tc>
          <w:tcPr>
            <w:tcW w:type="dxa" w:w="18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At the first layer</w:t>
            </w:r>
          </w:p>
        </w:tc>
        <w:tc>
          <w:tcPr>
            <w:tcW w:type="dxa" w:w="361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Stacked channels → one CNN</w:t>
            </w:r>
          </w:p>
        </w:tc>
        <w:tc>
          <w:tcPr>
            <w:tcW w:type="dxa" w:w="24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Common grid, precise co-registration</w:t>
            </w:r>
          </w:p>
        </w:tc>
      </w:tr>
      <w:tr>
        <w:trPr>
          <w:cantSplit/>
          <w:tblHeader w:val="false"/>
        </w:trPr>
        <w:tc>
          <w:tcPr>
            <w:tcW w:type="dxa" w:w="18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Intermediate (feature)</w:t>
            </w:r>
          </w:p>
        </w:tc>
        <w:tc>
          <w:tcPr>
            <w:tcW w:type="dxa" w:w="18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Inside the network</w:t>
            </w:r>
          </w:p>
        </w:tc>
        <w:tc>
          <w:tcPr>
            <w:tcW w:type="dxa" w:w="361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One encoder per sensor → concatenation or attention → head</w:t>
            </w:r>
          </w:p>
        </w:tc>
        <w:tc>
          <w:tcPr>
            <w:tcW w:type="dxa" w:w="24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More parameters; staged training helps</w:t>
            </w:r>
          </w:p>
        </w:tc>
      </w:tr>
      <w:tr>
        <w:trPr>
          <w:cantSplit/>
          <w:tblHeader w:val="false"/>
        </w:trPr>
        <w:tc>
          <w:tcPr>
            <w:tcW w:type="dxa" w:w="18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Late (decision)</w:t>
            </w:r>
          </w:p>
        </w:tc>
        <w:tc>
          <w:tcPr>
            <w:tcW w:type="dxa" w:w="18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At the outputs</w:t>
            </w:r>
          </w:p>
        </w:tc>
        <w:tc>
          <w:tcPr>
            <w:tcW w:type="dxa" w:w="361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Separate networks → averaged or stacked predictions</w:t>
            </w:r>
          </w:p>
        </w:tc>
        <w:tc>
          <w:tcPr>
            <w:tcW w:type="dxa" w:w="24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Calibrated probabilities</w:t>
            </w:r>
          </w:p>
        </w:tc>
      </w:tr>
      <w:tr>
        <w:trPr>
          <w:cantSplit/>
          <w:tblHeader w:val="false"/>
        </w:trPr>
        <w:tc>
          <w:tcPr>
            <w:tcW w:type="dxa" w:w="18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 / attention</w:t>
            </w:r>
          </w:p>
        </w:tc>
        <w:tc>
          <w:tcPr>
            <w:tcW w:type="dxa" w:w="18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Repeatedly between branches</w:t>
            </w:r>
          </w:p>
        </w:tc>
        <w:tc>
          <w:tcPr>
            <w:tcW w:type="dxa" w:w="361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Cross-attention or feature exchange at several depths</w:t>
            </w:r>
          </w:p>
        </w:tc>
        <w:tc>
          <w:tcPr>
            <w:tcW w:type="dxa" w:w="24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More data or pre-training</w:t>
            </w:r>
          </w:p>
        </w:tc>
      </w:tr>
    </w:tbl>
    <w:p>
      <w:pPr>
        <w:spacing w:after="120"/>
      </w:pPr>
    </w:p>
    <w:p>
      <w:pPr>
        <w:spacing w:after="100" w:line="259"/>
        <w:jc w:val="both"/>
      </w:pPr>
      <w:r>
        <w:t xml:space="preserve">Ngiam et al. (2011) introduced multimodal deep learning with shared representations learned from audio and video. Ramachandram and Taylor (2017) and Baltrušaitis et al. (2019) surveyed the architectures and showed that the best fusion point depends on how strongly the modalities are correlated at the raw-data level: early fusion suits modalities with pixel-to-pixel correspondence, intermediate fusion suits modalities whose relationship emerges only at a more abstract level.</w:t>
      </w:r>
    </w:p>
    <w:p>
      <w:pPr>
        <w:spacing w:after="100" w:line="259"/>
        <w:jc w:val="both"/>
      </w:pPr>
      <w:r>
        <w:t xml:space="preserve">Hong et al. (2021) provide the most systematic remote-sensing comparison. In their multimodal deep learning framework (MDL-RS) they compared early, middle, late, encoder–decoder and cross fusion on hyperspectral–LiDAR (Houston2013) and multispectral–SAR (LCZ) data. Multimodal networks clearly outperformed single-modality networks (the authors report an average increase of about 10% in OA, AA and κ on the LCZ data), and the more interactive fusion strategies (middle and cross fusion) performed better than early fusion. They also studied cross-modality learning (CML), the case where one modality is available for training but missing at test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test all three DL fusion types on the same tiles and folds. Intermediate fusion with sensor-specific encoders is expected to be the main DL model.</w:t>
            </w:r>
          </w:p>
        </w:tc>
      </w:tr>
    </w:tbl>
    <w:p>
      <w:pPr>
        <w:spacing w:after="120"/>
      </w:pPr>
    </w:p>
    <w:p>
      <w:pPr>
        <w:spacing w:after="160"/>
      </w:pPr>
      <w:r>
        <w:rPr>
          <w:i/>
          <w:iCs/>
          <w:color w:val="5E7A7E"/>
          <w:sz w:val="18"/>
          <w:szCs w:val="18"/>
        </w:rPr>
        <w:t xml:space="preserve">Key sources: Ngiam et al. (2011); Ramachandram &amp; Taylor (2017); Baltrušaitis et al. (2019); Hong et al. (2021); Audebert et al. (2018).</w:t>
      </w:r>
    </w:p>
    <w:p>
      <w:pPr>
        <w:pStyle w:val="Heading2"/>
      </w:pPr>
      <w:r>
        <w:t xml:space="preserve">6.2 Early fusion: the stacked-channel CNN</w:t>
      </w:r>
    </w:p>
    <w:p>
      <w:pPr>
        <w:spacing w:after="120" w:before="100"/>
        <w:jc w:val="center"/>
      </w:pPr>
      <w:r>
        <w:rPr>
          <w:rFonts w:ascii="Cambria Math" w:cs="Cambria Math" w:eastAsia="Cambria Math" w:hAnsi="Cambria Math"/>
          <w:sz w:val="23"/>
          <w:szCs w:val="23"/>
        </w:rPr>
        <w:t xml:space="preserve">[ RGB(3) | MS(5) | HS-PCA(20) | TIR(1) ] → 29-channel tile → convolution layers → pooled features → ordinal head</w:t>
      </w:r>
    </w:p>
    <w:p>
      <w:pPr>
        <w:spacing w:after="100" w:line="259"/>
        <w:jc w:val="both"/>
      </w:pPr>
      <w:r>
        <w:t xml:space="preserve">All sensor layers are resampled to a common grid and stacked as channels; a single CNN processes the stack. Audebert et al. (2018) studied this design (FuseNet-type early fusion) for very-high-resolution aerial images with infrared–red–green and DSM channels, and found that early fusion learns joint features well but is sensitive to missing or ambiguous data. HybridSN (Roy et al., 2020) uses 3-D convolutions on hyperspectral cubes followed by 2-D convolutions and is a good early-fusion backbone when the stack contains many spectral channels.</w:t>
      </w:r>
    </w:p>
    <w:p>
      <w:pPr>
        <w:keepNext/>
        <w:spacing w:after="80" w:before="160"/>
      </w:pPr>
      <w:r>
        <w:rPr>
          <w:b/>
          <w:bCs/>
          <w:color w:val="1C7C78"/>
          <w:sz w:val="20"/>
          <w:szCs w:val="20"/>
        </w:rPr>
        <w:t xml:space="preserve">Table 19. </w:t>
      </w:r>
      <w:r>
        <w:rPr>
          <w:color w:val="1F3A40"/>
          <w:sz w:val="20"/>
          <w:szCs w:val="20"/>
        </w:rPr>
        <w:t xml:space="preserve">Pros and cons of early fusion.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Pros</w:t>
            </w:r>
          </w:p>
        </w:tc>
        <w:tc>
          <w:tcPr>
            <w:tcW w:type="dxa" w:w="481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Cons</w:t>
            </w:r>
          </w:p>
        </w:tc>
      </w:tr>
      <w:tr>
        <w:trPr>
          <w:cantSplit/>
          <w:tblHeader w:val="false"/>
        </w:trPr>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Simplest DL fusion: one network</w:t>
            </w:r>
          </w:p>
        </w:tc>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Forces all sensors to one resolution (loses RGB detail or upsamples thermal)</w:t>
            </w:r>
          </w:p>
        </w:tc>
      </w:tr>
      <w:tr>
        <w:trPr>
          <w:cantSplit/>
          <w:tblHeader w:val="false"/>
        </w:trPr>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Can learn pixel-level cross-sensor interactions</w:t>
            </w:r>
          </w:p>
        </w:tc>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Sensitive to misregistration</w:t>
            </w:r>
          </w:p>
        </w:tc>
      </w:tr>
      <w:tr>
        <w:trPr>
          <w:cantSplit/>
          <w:tblHeader w:val="false"/>
        </w:trPr>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Direct counterpart of pixel stacking (L1)</w:t>
            </w:r>
          </w:p>
        </w:tc>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Sensor with many channels (HS) can dominate; sensitive to missing data (Audebert et al., 2018)</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experiment: 64 × 64 tiles from the 5 cm common stack (RGB + MS + HS-PCA + TIR ≈ 29 channels) → small CNN or HybridSN → plot class via tile aggregation.</w:t>
            </w:r>
          </w:p>
        </w:tc>
      </w:tr>
    </w:tbl>
    <w:p>
      <w:pPr>
        <w:spacing w:after="120"/>
      </w:pPr>
    </w:p>
    <w:p>
      <w:pPr>
        <w:pStyle w:val="Heading2"/>
      </w:pPr>
      <w:r>
        <w:t xml:space="preserve">6.3 Intermediate fusion: multi-branch encoders</w:t>
      </w:r>
    </w:p>
    <w:p>
      <w:pPr>
        <w:keepNext/>
        <w:spacing w:after="60" w:before="120"/>
        <w:jc w:val="center"/>
      </w:pPr>
      <w:r>
        <w:drawing>
          <wp:inline distT="0" distB="0" distL="0" distR="0">
            <wp:extent cx="5120640" cy="2880432"/>
            <wp:effectExtent t="0" r="0" b="0" l="0"/>
            <wp:docPr id="1" name="fig3" descr="Intermediate (multi-branch) DL fusion, as on deck slide 29." title="Intermediate (multi-branch) DL fusion, as on deck sli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2880432"/>
                    </a:xfrm>
                    <a:prstGeom prst="rect">
                      <a:avLst/>
                    </a:prstGeom>
                  </pic:spPr>
                </pic:pic>
              </a:graphicData>
            </a:graphic>
          </wp:inline>
        </w:drawing>
      </w:r>
    </w:p>
    <w:p>
      <w:pPr>
        <w:spacing w:after="160"/>
        <w:jc w:val="center"/>
      </w:pPr>
      <w:r>
        <w:rPr>
          <w:b/>
          <w:bCs/>
          <w:color w:val="1C7C78"/>
          <w:sz w:val="20"/>
          <w:szCs w:val="20"/>
        </w:rPr>
        <w:t xml:space="preserve">Figure 3. </w:t>
      </w:r>
      <w:r>
        <w:rPr>
          <w:color w:val="1F3A40"/>
          <w:sz w:val="20"/>
          <w:szCs w:val="20"/>
        </w:rPr>
        <w:t xml:space="preserve">Intermediate (multi-branch) DL fusion, as on deck slide 29.</w:t>
      </w:r>
    </w:p>
    <w:p>
      <w:pPr>
        <w:spacing w:after="100" w:line="259"/>
        <w:jc w:val="both"/>
      </w:pPr>
      <w:r>
        <w:t xml:space="preserve">Each sensor has its own encoder suited to its data: a pre-trained ResNet-18 for high-resolution RGB, small 2-D CNNs for multispectral and thermal, and a 1-D or 3-D CNN for hyperspectral spectra. Each encoder outputs an embedding (a feature vector). The embeddings are concatenated or combined by attention and passed to a fusion head that predicts the severity class (and optionally DI as an auxiliary regression output).</w:t>
      </w:r>
    </w:p>
    <w:p>
      <w:pPr>
        <w:pStyle w:val="ListParagraph"/>
        <w:numPr>
          <w:ilvl w:val="0"/>
          <w:numId w:val="3"/>
        </w:numPr>
        <w:spacing w:after="50" w:line="252"/>
      </w:pPr>
      <w:r>
        <w:rPr>
          <w:b/>
          <w:bCs/>
        </w:rPr>
        <w:t xml:space="preserve">Why it works:</w:t>
      </w:r>
      <w:r>
        <w:t xml:space="preserve"> each sensor is processed at its native resolution by an appropriate architecture; fusion of learned features captures cross-sensor interactions; ablation is easy (drop a branch); single-sensor encoders trained first can be reused.</w:t>
      </w:r>
    </w:p>
    <w:p>
      <w:pPr>
        <w:pStyle w:val="ListParagraph"/>
        <w:numPr>
          <w:ilvl w:val="0"/>
          <w:numId w:val="3"/>
        </w:numPr>
        <w:spacing w:after="50" w:line="252"/>
      </w:pPr>
      <w:r>
        <w:rPr>
          <w:b/>
          <w:bCs/>
        </w:rPr>
        <w:t xml:space="preserve">Maimaitijiang et al. (2020):</w:t>
      </w:r>
      <w:r>
        <w:t xml:space="preserve"> for soybean yield from RGB, MS and thermal UAV data, the intermediate-level DNN (DNN-F2) achieved the best result (R² = 0.720), ahead of input-level fusion (DNN-F1) and the ML models; the gain over the best ML model was modest even with about 950 plots.</w:t>
      </w:r>
    </w:p>
    <w:p>
      <w:pPr>
        <w:pStyle w:val="ListParagraph"/>
        <w:numPr>
          <w:ilvl w:val="0"/>
          <w:numId w:val="3"/>
        </w:numPr>
        <w:spacing w:after="50" w:line="252"/>
      </w:pPr>
      <w:r>
        <w:rPr>
          <w:b/>
          <w:bCs/>
        </w:rPr>
        <w:t xml:space="preserve">Kerkech et al. (2020b), VddNet:</w:t>
      </w:r>
      <w:r>
        <w:t xml:space="preserve"> three parallel encoders for visible, near-infrared and depth (from 3-D photogrammetry) with features combined at several stages, for vine disease segmentation; it outperformed SegNet, U-Net, DeepLabv3+ and PSPNet in their evaluation.</w:t>
      </w:r>
    </w:p>
    <w:p>
      <w:pPr>
        <w:pStyle w:val="ListParagraph"/>
        <w:numPr>
          <w:ilvl w:val="0"/>
          <w:numId w:val="3"/>
        </w:numPr>
        <w:spacing w:after="50" w:line="252"/>
      </w:pPr>
      <w:r>
        <w:rPr>
          <w:b/>
          <w:bCs/>
        </w:rPr>
        <w:t xml:space="preserve">Hong et al. (2021):</w:t>
      </w:r>
      <w:r>
        <w:t xml:space="preserve"> middle fusion outperformed early fusion.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main DL model: pre-trained ResNet-18 (RGB), small CNNs (MS, TIR), 1-D/3-D CNN (HS); fused embeddings → ordinal head + DI head.</w:t>
            </w:r>
          </w:p>
        </w:tc>
      </w:tr>
    </w:tbl>
    <w:p>
      <w:pPr>
        <w:spacing w:after="120"/>
      </w:pPr>
    </w:p>
    <w:p>
      <w:pPr>
        <w:spacing w:after="160"/>
      </w:pPr>
      <w:r>
        <w:rPr>
          <w:i/>
          <w:iCs/>
          <w:color w:val="5E7A7E"/>
          <w:sz w:val="18"/>
          <w:szCs w:val="18"/>
        </w:rPr>
        <w:t xml:space="preserve">Key sources: Maimaitijiang et al. (2020); Kerkech et al. (2020b); Hong et al. (2021); He et al. (2016).</w:t>
      </w:r>
    </w:p>
    <w:p>
      <w:pPr>
        <w:pStyle w:val="Heading2"/>
      </w:pPr>
      <w:r>
        <w:t xml:space="preserve">6.4 Attention, gating and cross-modal fusion</w:t>
      </w:r>
    </w:p>
    <w:p>
      <w:pPr>
        <w:spacing w:after="100" w:line="259"/>
        <w:jc w:val="both"/>
      </w:pPr>
      <w:r>
        <w:t xml:space="preserve">Plain concatenation treats all sensors equally for every sample. Attention mechanisms learn sample-specific weights.</w:t>
      </w:r>
    </w:p>
    <w:p>
      <w:pPr>
        <w:spacing w:after="20" w:before="100"/>
        <w:jc w:val="center"/>
      </w:pPr>
      <w:r>
        <w:rPr>
          <w:rFonts w:ascii="Cambria Math" w:cs="Cambria Math" w:eastAsia="Cambria Math" w:hAnsi="Cambria Math"/>
          <w:sz w:val="23"/>
          <w:szCs w:val="23"/>
        </w:rPr>
        <w:t xml:space="preserve">z = Σₛ αₛ · fₛ ,    αₛ = softmaxₛ( wᵀ tanh(W fₛ) )</w:t>
      </w:r>
    </w:p>
    <w:p>
      <w:pPr>
        <w:spacing w:after="120"/>
        <w:jc w:val="center"/>
      </w:pPr>
      <w:r>
        <w:rPr>
          <w:i/>
          <w:iCs/>
          <w:color w:val="5E7A7E"/>
          <w:sz w:val="19"/>
          <w:szCs w:val="19"/>
        </w:rPr>
        <w:t xml:space="preserve">Gated fusion: fₛ is the embedding of sensor s; αₛ is its learned weight for this sample.</w:t>
      </w:r>
    </w:p>
    <w:p>
      <w:pPr>
        <w:pStyle w:val="ListParagraph"/>
        <w:numPr>
          <w:ilvl w:val="0"/>
          <w:numId w:val="3"/>
        </w:numPr>
        <w:spacing w:after="50" w:line="252"/>
      </w:pPr>
      <w:r>
        <w:rPr>
          <w:b/>
          <w:bCs/>
        </w:rPr>
        <w:t xml:space="preserve">Sensor gating:</w:t>
      </w:r>
      <w:r>
        <w:t xml:space="preserve"> one scalar weight per sensor per sample; interpretable, few extra parameters. For example, thermal may receive high weight early in the epidemic and RGB texture later.</w:t>
      </w:r>
    </w:p>
    <w:p>
      <w:pPr>
        <w:pStyle w:val="ListParagraph"/>
        <w:numPr>
          <w:ilvl w:val="0"/>
          <w:numId w:val="3"/>
        </w:numPr>
        <w:spacing w:after="50" w:line="252"/>
      </w:pPr>
      <w:r>
        <w:rPr>
          <w:b/>
          <w:bCs/>
        </w:rPr>
        <w:t xml:space="preserve">Channel attention:</w:t>
      </w:r>
      <w:r>
        <w:t xml:space="preserve"> squeeze-and-excitation blocks (Hu et al., 2018) reweight channels or bands inside an encoder; useful in the hyperspectral branch to show band importance.</w:t>
      </w:r>
    </w:p>
    <w:p>
      <w:pPr>
        <w:pStyle w:val="ListParagraph"/>
        <w:numPr>
          <w:ilvl w:val="0"/>
          <w:numId w:val="3"/>
        </w:numPr>
        <w:spacing w:after="50" w:line="252"/>
      </w:pPr>
      <w:r>
        <w:rPr>
          <w:b/>
          <w:bCs/>
        </w:rPr>
        <w:t xml:space="preserve">Cross-attention:</w:t>
      </w:r>
      <w:r>
        <w:t xml:space="preserve"> one sensor's features query another's (e.g. HS ↔ RGB), as in Transformers (Vaswani et al., 2017). Cross fusion performed best in Hong et al. (2021), but attention models are data-hungry; SpectralFormer (Hong et al., 2022) applies Transformers to hyperspectral sequences. Use with self-supervised pre-training.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gating weights per sensor and date can show, for example, thermal dominating early and RGB texture dominating late; report them as interpretability results alongside the accuracy.</w:t>
            </w:r>
          </w:p>
        </w:tc>
      </w:tr>
    </w:tbl>
    <w:p>
      <w:pPr>
        <w:spacing w:after="120"/>
      </w:pPr>
    </w:p>
    <w:p>
      <w:pPr>
        <w:spacing w:after="160"/>
      </w:pPr>
      <w:r>
        <w:rPr>
          <w:i/>
          <w:iCs/>
          <w:color w:val="5E7A7E"/>
          <w:sz w:val="18"/>
          <w:szCs w:val="18"/>
        </w:rPr>
        <w:t xml:space="preserve">Key sources: Hu et al. (2018); Vaswani et al. (2017); Hong et al. (2021, 2022).</w:t>
      </w:r>
    </w:p>
    <w:p>
      <w:pPr>
        <w:pStyle w:val="Heading2"/>
      </w:pPr>
      <w:r>
        <w:t xml:space="preserve">6.5 Sensor-specific encoders (single-sensor level)</w:t>
      </w:r>
    </w:p>
    <w:p>
      <w:pPr>
        <w:keepNext/>
        <w:spacing w:after="80" w:before="160"/>
      </w:pPr>
      <w:r>
        <w:rPr>
          <w:b/>
          <w:bCs/>
          <w:color w:val="1C7C78"/>
          <w:sz w:val="20"/>
          <w:szCs w:val="20"/>
        </w:rPr>
        <w:t xml:space="preserve">Table 20. </w:t>
      </w:r>
      <w:r>
        <w:rPr>
          <w:color w:val="1F3A40"/>
          <w:sz w:val="20"/>
          <w:szCs w:val="20"/>
        </w:rPr>
        <w:t xml:space="preserve">Encoder options by sensor (deck slide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3855"/>
        <w:gridCol w:w="1927"/>
        <w:gridCol w:w="2374"/>
      </w:tblGrid>
      <w:tr>
        <w:trPr>
          <w:cantSplit/>
          <w:tblHeader/>
        </w:trPr>
        <w:tc>
          <w:tcPr>
            <w:tcW w:type="dxa" w:w="148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Sensor</w:t>
            </w:r>
          </w:p>
        </w:tc>
        <w:tc>
          <w:tcPr>
            <w:tcW w:type="dxa" w:w="385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Encoder options</w:t>
            </w:r>
          </w:p>
        </w:tc>
        <w:tc>
          <w:tcPr>
            <w:tcW w:type="dxa" w:w="192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Input</w:t>
            </w:r>
          </w:p>
        </w:tc>
        <w:tc>
          <w:tcPr>
            <w:tcW w:type="dxa" w:w="2374"/>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Reference examples</w:t>
            </w:r>
          </w:p>
        </w:tc>
      </w:tr>
      <w:tr>
        <w:trPr>
          <w:cantSplit/>
          <w:tblHeader w:val="false"/>
        </w:trPr>
        <w:tc>
          <w:tcPr>
            <w:tcW w:type="dxa" w:w="1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RGB</w:t>
            </w:r>
          </w:p>
        </w:tc>
        <w:tc>
          <w:tcPr>
            <w:tcW w:type="dxa" w:w="385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ResNet-18 / EfficientNet-B0 pre-trained on ImageNet; U-Net / PSPNet for segmentation</w:t>
            </w:r>
          </w:p>
        </w:tc>
        <w:tc>
          <w:tcPr>
            <w:tcW w:type="dxa" w:w="192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3-channel tiles (≈ 1 cm)</w:t>
            </w:r>
          </w:p>
        </w:tc>
        <w:tc>
          <w:tcPr>
            <w:tcW w:type="dxa" w:w="237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He et al. 2016; Pan et al. 2021</w:t>
            </w:r>
          </w:p>
        </w:tc>
      </w:tr>
      <w:tr>
        <w:trPr>
          <w:cantSplit/>
          <w:tblHeader w:val="false"/>
        </w:trPr>
        <w:tc>
          <w:tcPr>
            <w:tcW w:type="dxa" w:w="148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Multispectral</w:t>
            </w:r>
          </w:p>
        </w:tc>
        <w:tc>
          <w:tcPr>
            <w:tcW w:type="dxa" w:w="385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Small 2-D CNN (3–4 convolution blocks), optional SE attention</w:t>
            </w:r>
          </w:p>
        </w:tc>
        <w:tc>
          <w:tcPr>
            <w:tcW w:type="dxa" w:w="192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5 bands (+ indices)</w:t>
            </w:r>
          </w:p>
        </w:tc>
        <w:tc>
          <w:tcPr>
            <w:tcW w:type="dxa" w:w="237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Su et al. 2018 (ML baseline)</w:t>
            </w:r>
          </w:p>
        </w:tc>
      </w:tr>
      <w:tr>
        <w:trPr>
          <w:cantSplit/>
          <w:tblHeader w:val="false"/>
        </w:trPr>
        <w:tc>
          <w:tcPr>
            <w:tcW w:type="dxa" w:w="1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Hyperspectral</w:t>
            </w:r>
          </w:p>
        </w:tc>
        <w:tc>
          <w:tcPr>
            <w:tcW w:type="dxa" w:w="385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1-D CNN on spectra; 3-D/2-D HybridSN on cubes; SpectralFormer</w:t>
            </w:r>
          </w:p>
        </w:tc>
        <w:tc>
          <w:tcPr>
            <w:tcW w:type="dxa" w:w="192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Full bands or PCA</w:t>
            </w:r>
          </w:p>
        </w:tc>
        <w:tc>
          <w:tcPr>
            <w:tcW w:type="dxa" w:w="237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Roy et al. 2020; Zhang X. et al. 2019; Shi et al. 2022</w:t>
            </w:r>
          </w:p>
        </w:tc>
      </w:tr>
      <w:tr>
        <w:trPr>
          <w:cantSplit/>
          <w:tblHeader w:val="false"/>
        </w:trPr>
        <w:tc>
          <w:tcPr>
            <w:tcW w:type="dxa" w:w="148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Thermal</w:t>
            </w:r>
          </w:p>
        </w:tc>
        <w:tc>
          <w:tcPr>
            <w:tcW w:type="dxa" w:w="385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Small 2-D CNN on CTD / NRCT tiles</w:t>
            </w:r>
          </w:p>
        </w:tc>
        <w:tc>
          <w:tcPr>
            <w:tcW w:type="dxa" w:w="192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1 channel</w:t>
            </w:r>
          </w:p>
        </w:tc>
        <w:tc>
          <w:tcPr>
            <w:tcW w:type="dxa" w:w="237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w:t>
            </w:r>
          </w:p>
        </w:tc>
      </w:tr>
      <w:tr>
        <w:trPr>
          <w:cantSplit/>
          <w:tblHeader w:val="false"/>
        </w:trPr>
        <w:tc>
          <w:tcPr>
            <w:tcW w:type="dxa" w:w="148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Structure</w:t>
            </w:r>
          </w:p>
        </w:tc>
        <w:tc>
          <w:tcPr>
            <w:tcW w:type="dxa" w:w="385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Small CNN on canopy height model</w:t>
            </w:r>
          </w:p>
        </w:tc>
        <w:tc>
          <w:tcPr>
            <w:tcW w:type="dxa" w:w="192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 channel</w:t>
            </w:r>
          </w:p>
        </w:tc>
        <w:tc>
          <w:tcPr>
            <w:tcW w:type="dxa" w:w="237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Kerkech et al. 2020b (depth branch)</w:t>
            </w:r>
          </w:p>
        </w:tc>
      </w:tr>
    </w:tbl>
    <w:p>
      <w:pPr>
        <w:spacing w:after="120"/>
      </w:pPr>
    </w:p>
    <w:p>
      <w:pPr>
        <w:spacing w:after="100" w:line="259"/>
        <w:jc w:val="both"/>
      </w:pPr>
      <w:r>
        <w:t xml:space="preserve">Disease-specific DL encoders for single sensors are well documented. Zhang X. et al. (2019) built a deep CNN with Inception-ResNet layers for yellow rust in UAV hyperspectral images, using both spatial and spectral information, and compared it with random forest across sampling dates. Shi et al. (2022) designed CropdocNet with capsule layers for potato late blight from UAV hyperspectral imagery; it reached an overall accuracy of about 97% on the test set and 95.75% on an independent dataset. Pan et al. (2021) used PSPNet on UAV RGB images for wheat yellow rust (98% accuracy).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train each encoder as a single-sensor model first (Objective O2). These are the DL baselines and the initial weights for intermediate fusion.</w:t>
            </w:r>
          </w:p>
        </w:tc>
      </w:tr>
    </w:tbl>
    <w:p>
      <w:pPr>
        <w:spacing w:after="120"/>
      </w:pPr>
    </w:p>
    <w:p>
      <w:pPr>
        <w:spacing w:after="160"/>
      </w:pPr>
      <w:r>
        <w:rPr>
          <w:i/>
          <w:iCs/>
          <w:color w:val="5E7A7E"/>
          <w:sz w:val="18"/>
          <w:szCs w:val="18"/>
        </w:rPr>
        <w:t xml:space="preserve">Key sources: He et al. (2016); Roy et al. (2020); Hong et al. (2022); Zhang X. et al. (2019); Shi et al. (2022); Pan et al. (2021).</w:t>
      </w:r>
    </w:p>
    <w:p>
      <w:pPr>
        <w:pStyle w:val="Heading2"/>
      </w:pPr>
      <w:r>
        <w:t xml:space="preserve">6.6 Training DL with few labelled plots</w:t>
      </w:r>
    </w:p>
    <w:p>
      <w:pPr>
        <w:spacing w:after="100" w:line="259"/>
        <w:jc w:val="both"/>
      </w:pPr>
      <w:r>
        <w:t xml:space="preserve">With 48 plots × 4 dates = 192 plot labels, DL is data-poor. The following measures make it feasible and keep the comparison with ML honest:</w:t>
      </w:r>
    </w:p>
    <w:p>
      <w:pPr>
        <w:pStyle w:val="ListParagraph"/>
        <w:numPr>
          <w:ilvl w:val="0"/>
          <w:numId w:val="3"/>
        </w:numPr>
        <w:spacing w:after="50" w:line="252"/>
      </w:pPr>
      <w:r>
        <w:rPr>
          <w:b/>
          <w:bCs/>
        </w:rPr>
        <w:t xml:space="preserve">Tiles per plot:</w:t>
      </w:r>
      <w:r>
        <w:t xml:space="preserve"> each plot is cut into many tiles that inherit the plot label (Section 6.7); this increases training samples but not independent information.</w:t>
      </w:r>
    </w:p>
    <w:p>
      <w:pPr>
        <w:pStyle w:val="ListParagraph"/>
        <w:numPr>
          <w:ilvl w:val="0"/>
          <w:numId w:val="3"/>
        </w:numPr>
        <w:spacing w:after="50" w:line="252"/>
      </w:pPr>
      <w:r>
        <w:rPr>
          <w:b/>
          <w:bCs/>
        </w:rPr>
        <w:t xml:space="preserve">Synchronised augmentation:</w:t>
      </w:r>
      <w:r>
        <w:t xml:space="preserve"> identical flips, rotations and crops for all sensors of a tile, so that alignment is preserved; small per-sensor radiometric jitter.</w:t>
      </w:r>
    </w:p>
    <w:p>
      <w:pPr>
        <w:pStyle w:val="ListParagraph"/>
        <w:numPr>
          <w:ilvl w:val="0"/>
          <w:numId w:val="3"/>
        </w:numPr>
        <w:spacing w:after="50" w:line="252"/>
      </w:pPr>
      <w:r>
        <w:rPr>
          <w:b/>
          <w:bCs/>
        </w:rPr>
        <w:t xml:space="preserve">Transfer learning:</w:t>
      </w:r>
      <w:r>
        <w:t xml:space="preserve"> ImageNet weights for RGB; self-supervised pre-training (e.g. masked autoencoders, He et al., 2022, or contrastive learning) on unlabelled tiles from all flights.</w:t>
      </w:r>
    </w:p>
    <w:p>
      <w:pPr>
        <w:pStyle w:val="ListParagraph"/>
        <w:numPr>
          <w:ilvl w:val="0"/>
          <w:numId w:val="3"/>
        </w:numPr>
        <w:spacing w:after="50" w:line="252"/>
      </w:pPr>
      <w:r>
        <w:rPr>
          <w:b/>
          <w:bCs/>
        </w:rPr>
        <w:t xml:space="preserve">Small encoders, dropout, weight decay, early stopping on inner folds.</w:t>
      </w:r>
    </w:p>
    <w:p>
      <w:pPr>
        <w:pStyle w:val="ListParagraph"/>
        <w:numPr>
          <w:ilvl w:val="0"/>
          <w:numId w:val="3"/>
        </w:numPr>
        <w:spacing w:after="50" w:line="252"/>
      </w:pPr>
      <w:r>
        <w:rPr>
          <w:b/>
          <w:bCs/>
        </w:rPr>
        <w:t xml:space="preserve">Staged training:</w:t>
      </w:r>
      <w:r>
        <w:t xml:space="preserve"> train single-sensor branches, freeze them, train the fusion head, then fine-tune all layers with a small learning rate.</w:t>
      </w:r>
    </w:p>
    <w:p>
      <w:pPr>
        <w:pStyle w:val="ListParagraph"/>
        <w:numPr>
          <w:ilvl w:val="0"/>
          <w:numId w:val="3"/>
        </w:numPr>
        <w:spacing w:after="50" w:line="252"/>
      </w:pPr>
      <w:r>
        <w:rPr>
          <w:b/>
          <w:bCs/>
        </w:rPr>
        <w:t xml:space="preserve">Modality dropout:</w:t>
      </w:r>
      <w:r>
        <w:t xml:space="preserve"> randomly zero one sensor's embedding during training (probability ≈ 0.1–0.2), so the network learns not to depend on a single sensor (Neverova et al., 2016, ModDrop).</w:t>
      </w:r>
    </w:p>
    <w:p>
      <w:pPr>
        <w:pStyle w:val="ListParagraph"/>
        <w:numPr>
          <w:ilvl w:val="0"/>
          <w:numId w:val="3"/>
        </w:numPr>
        <w:spacing w:after="50" w:line="252"/>
      </w:pPr>
      <w:r>
        <w:rPr>
          <w:b/>
          <w:bCs/>
        </w:rPr>
        <w:t xml:space="preserve">Modality imbalance:</w:t>
      </w:r>
      <w:r>
        <w:t xml:space="preserve"> Wang, Tran and Feiszli (2020) showed that multimodal networks can underperform their best single-modality counterpart because one modality learns faster and the network overfits; staged training and per-branch auxiliary losses help.</w:t>
      </w:r>
    </w:p>
    <w:p>
      <w:pPr>
        <w:pStyle w:val="ListParagraph"/>
        <w:numPr>
          <w:ilvl w:val="0"/>
          <w:numId w:val="3"/>
        </w:numPr>
        <w:spacing w:after="50" w:line="252"/>
      </w:pPr>
      <w:r>
        <w:rPr>
          <w:b/>
          <w:bCs/>
        </w:rPr>
        <w:t xml:space="preserve">Seeds and class weights:</w:t>
      </w:r>
      <w:r>
        <w:t xml:space="preserve"> report mean ± SD over 3–5 seeds; balance classes by weights or sampling.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192 plot labels are few for DL: use tiles, pre-trained encoders, staged training, synchronised augmentation and modality dropout, and compare honestly with ML on the same folds.</w:t>
            </w:r>
          </w:p>
        </w:tc>
      </w:tr>
    </w:tbl>
    <w:p>
      <w:pPr>
        <w:spacing w:after="120"/>
      </w:pPr>
    </w:p>
    <w:p>
      <w:pPr>
        <w:spacing w:after="160"/>
      </w:pPr>
      <w:r>
        <w:rPr>
          <w:i/>
          <w:iCs/>
          <w:color w:val="5E7A7E"/>
          <w:sz w:val="18"/>
          <w:szCs w:val="18"/>
        </w:rPr>
        <w:t xml:space="preserve">Key sources: Neverova et al. (2016); Wang, Tran &amp; Feiszli (2020); He et al. (2022); Maimaitijiang et al. (2020).</w:t>
      </w:r>
    </w:p>
    <w:p>
      <w:pPr>
        <w:pStyle w:val="Heading2"/>
      </w:pPr>
      <w:r>
        <w:t xml:space="preserve">6.7 Learning from plot-level labels: tiles, MIL and label proportions</w:t>
      </w:r>
    </w:p>
    <w:p>
      <w:pPr>
        <w:spacing w:after="100" w:line="259"/>
        <w:jc w:val="both"/>
      </w:pPr>
      <w:r>
        <w:t xml:space="preserve">The plot DI is a weak label: it describes the plot, not each tile or pixel. Three strategies exist, from simple to principled.</w:t>
      </w:r>
    </w:p>
    <w:p>
      <w:pPr>
        <w:pStyle w:val="Heading3"/>
      </w:pPr>
      <w:r>
        <w:t xml:space="preserve">Tile inheritance</w:t>
      </w:r>
    </w:p>
    <w:p>
      <w:pPr>
        <w:spacing w:after="100" w:line="259"/>
        <w:jc w:val="both"/>
      </w:pPr>
      <w:r>
        <w:t xml:space="preserve">Every tile receives the plot class; tile predictions are averaged to a plot prediction. This is simple but noisy, especially for plots with low or patchy DI, where many tiles are actually healthy.</w:t>
      </w:r>
    </w:p>
    <w:p>
      <w:pPr>
        <w:pStyle w:val="Heading3"/>
      </w:pPr>
      <w:r>
        <w:t xml:space="preserve">Attention-based multiple-instance learning (MIL)</w:t>
      </w:r>
    </w:p>
    <w:p>
      <w:pPr>
        <w:spacing w:after="100" w:line="259"/>
        <w:jc w:val="both"/>
      </w:pPr>
      <w:r>
        <w:t xml:space="preserve">The plot is a </w:t>
      </w:r>
      <w:r>
        <w:rPr>
          <w:i/>
          <w:iCs/>
        </w:rPr>
        <w:t xml:space="preserve">bag</w:t>
      </w:r>
      <w:r>
        <w:t xml:space="preserve"> of tiles (instances); only the bag label is known. Ilse et al. (2018) proposed attention-based MIL, where the network learns attention weights that decide which tiles drive the bag prediction:</w:t>
      </w:r>
    </w:p>
    <w:p>
      <w:pPr>
        <w:spacing w:after="20" w:before="100"/>
        <w:jc w:val="center"/>
      </w:pPr>
      <w:r>
        <w:rPr>
          <w:rFonts w:ascii="Cambria Math" w:cs="Cambria Math" w:eastAsia="Cambria Math" w:hAnsi="Cambria Math"/>
          <w:sz w:val="23"/>
          <w:szCs w:val="23"/>
        </w:rPr>
        <w:t xml:space="preserve">z_plot = Σᵢ aᵢ hᵢ ,     aᵢ = softmaxᵢ( wᵀ tanh(V hᵢ) )</w:t>
      </w:r>
    </w:p>
    <w:p>
      <w:pPr>
        <w:spacing w:after="120"/>
        <w:jc w:val="center"/>
      </w:pPr>
      <w:r>
        <w:rPr>
          <w:i/>
          <w:iCs/>
          <w:color w:val="5E7A7E"/>
          <w:sz w:val="19"/>
          <w:szCs w:val="19"/>
        </w:rPr>
        <w:t xml:space="preserve">hᵢ: embedding of tile i; aᵢ: its attention weight; z_plot is classified.</w:t>
      </w:r>
    </w:p>
    <w:p>
      <w:pPr>
        <w:spacing w:after="100" w:line="259"/>
        <w:jc w:val="both"/>
      </w:pPr>
      <w:r>
        <w:t xml:space="preserve">The attention weights form a within-plot map that highlights the tiles most indicative of disease, which can be compared with the hotspot analysis (Moran's I, Getis–Ord Gi*).</w:t>
      </w:r>
    </w:p>
    <w:p>
      <w:pPr>
        <w:pStyle w:val="Heading3"/>
      </w:pPr>
      <w:r>
        <w:t xml:space="preserve">Learning from label proportions (LLP) and ordinal output</w:t>
      </w:r>
    </w:p>
    <w:p>
      <w:pPr>
        <w:spacing w:after="100" w:line="259"/>
        <w:jc w:val="both"/>
      </w:pPr>
      <w:r>
        <w:t xml:space="preserve">Quadrianto et al. (2009) formalised learning when only class proportions per bag are known. For severity, the constraint is that the mean predicted tile severity should equal the plot DI: mean(pᵢ) ≈ DI_plot / 100. For the ordinal class output, CORAL (Cao et al., 2020) uses K − 1 binary outputs ('severity &gt; k') with shared weights, guaranteeing rank-consistent predictions and fewer large errors than a plain softmax.</w:t>
      </w:r>
    </w:p>
    <w:p>
      <w:pPr>
        <w:spacing w:after="100" w:line="259"/>
        <w:jc w:val="both"/>
      </w:pPr>
      <w:r>
        <w:t xml:space="preserve">Pan et al. (2021) give a practical example of weak supervision: the output of an SVM was used as a weak label to train PSPNet on large UAV images, and the final recognition accuracy reached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attention MIL gives one plot prediction plus a within-plot attention map that can be compared with the hotspot analysis; CORAL respects the order of the 6 severity classes.</w:t>
            </w:r>
          </w:p>
        </w:tc>
      </w:tr>
    </w:tbl>
    <w:p>
      <w:pPr>
        <w:spacing w:after="120"/>
      </w:pPr>
    </w:p>
    <w:p>
      <w:pPr>
        <w:spacing w:after="160"/>
      </w:pPr>
      <w:r>
        <w:rPr>
          <w:i/>
          <w:iCs/>
          <w:color w:val="5E7A7E"/>
          <w:sz w:val="18"/>
          <w:szCs w:val="18"/>
        </w:rPr>
        <w:t xml:space="preserve">Key sources: Ilse et al. (2018); Quadrianto et al. (2009); Cao et al. (2020); Pan et al. (2021).</w:t>
      </w:r>
    </w:p>
    <w:p>
      <w:pPr>
        <w:pStyle w:val="Heading1"/>
      </w:pPr>
      <w:r>
        <w:t xml:space="preserve">7. Level 3: decision-level fusion</w:t>
      </w:r>
    </w:p>
    <w:p>
      <w:pPr>
        <w:spacing w:after="100" w:line="259"/>
        <w:jc w:val="both"/>
      </w:pPr>
      <w:r>
        <w:t xml:space="preserve">Decision-level fusion trains a separate model for each sensor and combines their outputs. It requires no common grid, tolerates a missing sensor, and gives each sensor's model independently (deck slides 34–37).</w:t>
      </w:r>
    </w:p>
    <w:p>
      <w:pPr>
        <w:pStyle w:val="Heading2"/>
      </w:pPr>
      <w:r>
        <w:t xml:space="preserve">7.1 Combination rules</w:t>
      </w:r>
    </w:p>
    <w:p>
      <w:pPr>
        <w:spacing w:after="100" w:line="259"/>
        <w:jc w:val="both"/>
      </w:pPr>
      <w:r>
        <w:t xml:space="preserve">Kittler et al. (1998) derived the classical rules from Bayesian theory. Let Pₛ(c) be the posterior probability of class c from the model of sensor s.</w:t>
      </w:r>
    </w:p>
    <w:p>
      <w:pPr>
        <w:keepNext/>
        <w:spacing w:after="80" w:before="160"/>
      </w:pPr>
      <w:r>
        <w:rPr>
          <w:b/>
          <w:bCs/>
          <w:color w:val="1C7C78"/>
          <w:sz w:val="20"/>
          <w:szCs w:val="20"/>
        </w:rPr>
        <w:t xml:space="preserve">Table 21. </w:t>
      </w:r>
      <w:r>
        <w:rPr>
          <w:color w:val="1F3A40"/>
          <w:sz w:val="20"/>
          <w:szCs w:val="20"/>
        </w:rPr>
        <w:t xml:space="preserve">Decision combination rules (deck slide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8"/>
        <w:gridCol w:w="3950"/>
        <w:gridCol w:w="3950"/>
      </w:tblGrid>
      <w:tr>
        <w:trPr>
          <w:cantSplit/>
          <w:tblHeader/>
        </w:trPr>
        <w:tc>
          <w:tcPr>
            <w:tcW w:type="dxa" w:w="1738"/>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Rule</w:t>
            </w:r>
          </w:p>
        </w:tc>
        <w:tc>
          <w:tcPr>
            <w:tcW w:type="dxa" w:w="395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Formula</w:t>
            </w:r>
          </w:p>
        </w:tc>
        <w:tc>
          <w:tcPr>
            <w:tcW w:type="dxa" w:w="395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Comment</w:t>
            </w:r>
          </w:p>
        </w:tc>
      </w:tr>
      <w:tr>
        <w:trPr>
          <w:cantSplit/>
          <w:tblHeader w:val="false"/>
        </w:trPr>
        <w:tc>
          <w:tcPr>
            <w:tcW w:type="dxa" w:w="173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Majority vote</w:t>
            </w:r>
          </w:p>
        </w:tc>
        <w:tc>
          <w:tcPr>
            <w:tcW w:type="dxa" w:w="395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ŷ = mode(ŷ_RGB, ŷ_MS, ŷ_HS, ŷ_TIR)</w:t>
            </w:r>
          </w:p>
        </w:tc>
        <w:tc>
          <w:tcPr>
            <w:tcW w:type="dxa" w:w="395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Uses labels only; ties possible with 4 sensors</w:t>
            </w:r>
          </w:p>
        </w:tc>
      </w:tr>
      <w:tr>
        <w:trPr>
          <w:cantSplit/>
          <w:tblHeader w:val="false"/>
        </w:trPr>
        <w:tc>
          <w:tcPr>
            <w:tcW w:type="dxa" w:w="173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Sum / mean rule</w:t>
            </w:r>
          </w:p>
        </w:tc>
        <w:tc>
          <w:tcPr>
            <w:tcW w:type="dxa" w:w="395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P(c) = (1/S) Σₛ Pₛ(c)</w:t>
            </w:r>
          </w:p>
        </w:tc>
        <w:tc>
          <w:tcPr>
            <w:tcW w:type="dxa" w:w="395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Robust to estimation errors; needs calibrated probabilities</w:t>
            </w:r>
          </w:p>
        </w:tc>
      </w:tr>
      <w:tr>
        <w:trPr>
          <w:cantSplit/>
          <w:tblHeader w:val="false"/>
        </w:trPr>
        <w:tc>
          <w:tcPr>
            <w:tcW w:type="dxa" w:w="173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Weighted mean</w:t>
            </w:r>
          </w:p>
        </w:tc>
        <w:tc>
          <w:tcPr>
            <w:tcW w:type="dxa" w:w="395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P(c) = Σₛ wₛ Pₛ(c), weights from inner-CV accuracy</w:t>
            </w:r>
          </w:p>
        </w:tc>
        <w:tc>
          <w:tcPr>
            <w:tcW w:type="dxa" w:w="395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Rewards reliable sensors</w:t>
            </w:r>
          </w:p>
        </w:tc>
      </w:tr>
      <w:tr>
        <w:trPr>
          <w:cantSplit/>
          <w:tblHeader w:val="false"/>
        </w:trPr>
        <w:tc>
          <w:tcPr>
            <w:tcW w:type="dxa" w:w="173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Product rule</w:t>
            </w:r>
          </w:p>
        </w:tc>
        <w:tc>
          <w:tcPr>
            <w:tcW w:type="dxa" w:w="395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P(c) ∝ Πₛ Pₛ(c)</w:t>
            </w:r>
          </w:p>
        </w:tc>
        <w:tc>
          <w:tcPr>
            <w:tcW w:type="dxa" w:w="395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Optimal if sensors are conditionally independent; one near-zero probability vetoes a class</w:t>
            </w:r>
          </w:p>
        </w:tc>
      </w:tr>
      <w:tr>
        <w:trPr>
          <w:cantSplit/>
          <w:tblHeader w:val="false"/>
        </w:trPr>
        <w:tc>
          <w:tcPr>
            <w:tcW w:type="dxa" w:w="173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Max / min rule</w:t>
            </w:r>
          </w:p>
        </w:tc>
        <w:tc>
          <w:tcPr>
            <w:tcW w:type="dxa" w:w="395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Largest / smallest support</w:t>
            </w:r>
          </w:p>
        </w:tc>
        <w:tc>
          <w:tcPr>
            <w:tcW w:type="dxa" w:w="395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Rarely best</w:t>
            </w:r>
          </w:p>
        </w:tc>
      </w:tr>
    </w:tbl>
    <w:p>
      <w:pPr>
        <w:spacing w:after="120"/>
      </w:pPr>
    </w:p>
    <w:p>
      <w:pPr>
        <w:spacing w:after="100" w:line="259"/>
        <w:jc w:val="both"/>
      </w:pPr>
      <w:r>
        <w:t xml:space="preserve">Kittler et al. showed that the sum rule is the most resilient to errors in the individual probability estimates, which explains why simple averaging often performs well. Probabilities must be calibrated before they are combined, because sensor models produce scores on different scales: Platt scaling (Platt, 1999) for SVM, and isotonic or temperature scaling for others.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combine the four single-sensor models from Phase 2 (ML) or the DL single-sensor networks. The result is a robust ensemble that still works if a sensor fails on a date.</w:t>
            </w:r>
          </w:p>
        </w:tc>
      </w:tr>
    </w:tbl>
    <w:p>
      <w:pPr>
        <w:spacing w:after="120"/>
      </w:pPr>
    </w:p>
    <w:p>
      <w:pPr>
        <w:spacing w:after="160"/>
      </w:pPr>
      <w:r>
        <w:rPr>
          <w:i/>
          <w:iCs/>
          <w:color w:val="5E7A7E"/>
          <w:sz w:val="18"/>
          <w:szCs w:val="18"/>
        </w:rPr>
        <w:t xml:space="preserve">Key sources: Kittler et al. (1998); Platt (1999); Snoek et al. (2005).</w:t>
      </w:r>
    </w:p>
    <w:p>
      <w:pPr>
        <w:pStyle w:val="Heading2"/>
      </w:pPr>
      <w:r>
        <w:t xml:space="preserve">7.2 Stacking, Bayesian and Dempster–Shafer fusion</w:t>
      </w:r>
    </w:p>
    <w:p>
      <w:pPr>
        <w:pStyle w:val="ListParagraph"/>
        <w:numPr>
          <w:ilvl w:val="0"/>
          <w:numId w:val="3"/>
        </w:numPr>
        <w:spacing w:after="50" w:line="252"/>
      </w:pPr>
      <w:r>
        <w:rPr>
          <w:b/>
          <w:bCs/>
        </w:rPr>
        <w:t xml:space="preserve">Stacking (stacked generalisation; Wolpert, 1992):</w:t>
      </w:r>
      <w:r>
        <w:t xml:space="preserve"> level-0 models (one per sensor) produce out-of-fold class probabilities on the training plots; a level-1 meta-model (logistic regression or small RF) learns how to combine them. The out-of-fold step is essential: if the meta-model is trained on in-sample predictions, it learns to trust overfitted models.</w:t>
      </w:r>
    </w:p>
    <w:p>
      <w:pPr>
        <w:pStyle w:val="ListParagraph"/>
        <w:numPr>
          <w:ilvl w:val="0"/>
          <w:numId w:val="3"/>
        </w:numPr>
        <w:spacing w:after="50" w:line="252"/>
      </w:pPr>
      <w:r>
        <w:rPr>
          <w:b/>
          <w:bCs/>
        </w:rPr>
        <w:t xml:space="preserve">Bayesian / naive Bayes combination:</w:t>
      </w:r>
      <w:r>
        <w:t xml:space="preserve"> treats each sensor's output as evidence and multiplies likelihoods with class priors; simple when independence is plausible, and gives probabilities for maps.</w:t>
      </w:r>
    </w:p>
    <w:p>
      <w:pPr>
        <w:pStyle w:val="ListParagraph"/>
        <w:numPr>
          <w:ilvl w:val="0"/>
          <w:numId w:val="3"/>
        </w:numPr>
        <w:spacing w:after="50" w:line="252"/>
      </w:pPr>
      <w:r>
        <w:rPr>
          <w:b/>
          <w:bCs/>
        </w:rPr>
        <w:t xml:space="preserve">Dempster–Shafer evidence theory (Shafer, 1976):</w:t>
      </w:r>
      <w:r>
        <w:t xml:space="preserve"> each sensor assigns belief mass to classes and to 'uncertain' (the whole set of classes); Dempster's rule combines masses and handles conflict and ignorance explicitly. Useful when a sensor is unreliable on some dates (e.g. thermal on a windy day).</w:t>
      </w:r>
    </w:p>
    <w:p>
      <w:pPr>
        <w:spacing w:after="20" w:before="100"/>
        <w:jc w:val="center"/>
      </w:pPr>
      <w:r>
        <w:rPr>
          <w:rFonts w:ascii="Cambria Math" w:cs="Cambria Math" w:eastAsia="Cambria Math" w:hAnsi="Cambria Math"/>
          <w:sz w:val="23"/>
          <w:szCs w:val="23"/>
        </w:rPr>
        <w:t xml:space="preserve">m₁₂(A) = [ Σ_{B∩C=A} m₁(B) m₂(C) ] / (1 − K),     K = Σ_{B∩C=∅} m₁(B) m₂(C)</w:t>
      </w:r>
    </w:p>
    <w:p>
      <w:pPr>
        <w:spacing w:after="120"/>
        <w:jc w:val="center"/>
      </w:pPr>
      <w:r>
        <w:rPr>
          <w:i/>
          <w:iCs/>
          <w:color w:val="5E7A7E"/>
          <w:sz w:val="19"/>
          <w:szCs w:val="19"/>
        </w:rPr>
        <w:t xml:space="preserve">Dempster's rule; K measures conflict between the two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stacking (a meta-model on out-of-fold sensor probabilities) is easy to implement with scikit-learn and must be nested inside the plot-grouped CV.</w:t>
            </w:r>
          </w:p>
        </w:tc>
      </w:tr>
    </w:tbl>
    <w:p>
      <w:pPr>
        <w:spacing w:after="120"/>
      </w:pPr>
    </w:p>
    <w:p>
      <w:pPr>
        <w:spacing w:after="160"/>
      </w:pPr>
      <w:r>
        <w:rPr>
          <w:i/>
          <w:iCs/>
          <w:color w:val="5E7A7E"/>
          <w:sz w:val="18"/>
          <w:szCs w:val="18"/>
        </w:rPr>
        <w:t xml:space="preserve">Key sources: Wolpert (1992); Shafer (1976); Kittler et al. (1998); Varma &amp; Simon (2006).</w:t>
      </w:r>
    </w:p>
    <w:p>
      <w:pPr>
        <w:pStyle w:val="Heading2"/>
      </w:pPr>
      <w:r>
        <w:t xml:space="preserve">7.3 Late fusion in deep learning: examples</w:t>
      </w:r>
    </w:p>
    <w:p>
      <w:pPr>
        <w:spacing w:after="100" w:line="259"/>
        <w:jc w:val="both"/>
      </w:pPr>
      <w:r>
        <w:t xml:space="preserve">Kerkech et al. (2020a) registered visible and infrared UAV images of vineyards with an optimised (iterative keypoint) registration, segmented each image separately with SegNet into shadow, ground, healthy and symptomatic classes, and fused the two segmentations into one disease map. They reported more than 92% detection at grapevine level and 87% at leaf level. Audebert et al. (2018) found that late fusion can correct errors arising from ambiguous data and is more robust to missing data, while early fusion learns stronger joint features but is sensitive to missing modalities. Hong et al. (2021) found middle and cross fusion stronger than early fusion on their datasets. The lesson is to compare levels and combine them where useful (hybrid).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late DL fusion (average of single-sensor network probabilities) is the robustness baseline against which intermediate fusion must show a gain.</w:t>
            </w:r>
          </w:p>
        </w:tc>
      </w:tr>
    </w:tbl>
    <w:p>
      <w:pPr>
        <w:spacing w:after="120"/>
      </w:pPr>
    </w:p>
    <w:p>
      <w:pPr>
        <w:spacing w:after="160"/>
      </w:pPr>
      <w:r>
        <w:rPr>
          <w:i/>
          <w:iCs/>
          <w:color w:val="5E7A7E"/>
          <w:sz w:val="18"/>
          <w:szCs w:val="18"/>
        </w:rPr>
        <w:t xml:space="preserve">Key sources: Kerkech et al. (2020a); Audebert et al. (2018); Hong et al. (2021).</w:t>
      </w:r>
    </w:p>
    <w:p>
      <w:pPr>
        <w:pStyle w:val="Heading2"/>
      </w:pPr>
      <w:r>
        <w:t xml:space="preserve">7.4 Hybrid fusion: combining levels</w:t>
      </w:r>
    </w:p>
    <w:p>
      <w:pPr>
        <w:keepNext/>
        <w:spacing w:after="80" w:before="160"/>
      </w:pPr>
      <w:r>
        <w:rPr>
          <w:b/>
          <w:bCs/>
          <w:color w:val="1C7C78"/>
          <w:sz w:val="20"/>
          <w:szCs w:val="20"/>
        </w:rPr>
        <w:t xml:space="preserve">Table 22. </w:t>
      </w:r>
      <w:r>
        <w:rPr>
          <w:color w:val="1F3A40"/>
          <w:sz w:val="20"/>
          <w:szCs w:val="20"/>
        </w:rPr>
        <w:t xml:space="preserve">Hybrid fusion designs (deck slide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9"/>
        <w:gridCol w:w="3730"/>
        <w:gridCol w:w="2799"/>
      </w:tblGrid>
      <w:tr>
        <w:trPr>
          <w:cantSplit/>
          <w:tblHeader/>
        </w:trPr>
        <w:tc>
          <w:tcPr>
            <w:tcW w:type="dxa" w:w="310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Hybrid design</w:t>
            </w:r>
          </w:p>
        </w:tc>
        <w:tc>
          <w:tcPr>
            <w:tcW w:type="dxa" w:w="373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Example</w:t>
            </w:r>
          </w:p>
        </w:tc>
        <w:tc>
          <w:tcPr>
            <w:tcW w:type="dxa" w:w="279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When useful</w:t>
            </w:r>
          </w:p>
        </w:tc>
      </w:tr>
      <w:tr>
        <w:trPr>
          <w:cantSplit/>
          <w:tblHeader w:val="false"/>
        </w:trPr>
        <w:tc>
          <w:tcPr>
            <w:tcW w:type="dxa" w:w="31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Feature fusion within groups + decision fusion across groups</w:t>
            </w:r>
          </w:p>
        </w:tc>
        <w:tc>
          <w:tcPr>
            <w:tcW w:type="dxa" w:w="373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Optical (RGB + MS + HS) feature model + thermal model → stacked</w:t>
            </w:r>
          </w:p>
        </w:tc>
        <w:tc>
          <w:tcPr>
            <w:tcW w:type="dxa" w:w="27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Thermal on a different grid or missing on some dates</w:t>
            </w:r>
          </w:p>
        </w:tc>
      </w:tr>
      <w:tr>
        <w:trPr>
          <w:cantSplit/>
          <w:tblHeader w:val="false"/>
        </w:trPr>
        <w:tc>
          <w:tcPr>
            <w:tcW w:type="dxa" w:w="31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Pixel fusion + feature fusion</w:t>
            </w:r>
          </w:p>
        </w:tc>
        <w:tc>
          <w:tcPr>
            <w:tcW w:type="dxa" w:w="373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Sharpen thermal with NDVI (L1), then plot features (L2)</w:t>
            </w:r>
          </w:p>
        </w:tc>
        <w:tc>
          <w:tcPr>
            <w:tcW w:type="dxa" w:w="27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Thermal too coarse for small plots</w:t>
            </w:r>
          </w:p>
        </w:tc>
      </w:tr>
      <w:tr>
        <w:trPr>
          <w:cantSplit/>
          <w:tblHeader w:val="false"/>
        </w:trPr>
        <w:tc>
          <w:tcPr>
            <w:tcW w:type="dxa" w:w="31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Multi-stage DL fusion</w:t>
            </w:r>
          </w:p>
        </w:tc>
        <w:tc>
          <w:tcPr>
            <w:tcW w:type="dxa" w:w="373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Encoders exchange features at several depths</w:t>
            </w:r>
          </w:p>
        </w:tc>
        <w:tc>
          <w:tcPr>
            <w:tcW w:type="dxa" w:w="27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Enough data or pre-training</w:t>
            </w:r>
          </w:p>
        </w:tc>
      </w:tr>
      <w:tr>
        <w:trPr>
          <w:cantSplit/>
          <w:tblHeader w:val="false"/>
        </w:trPr>
        <w:tc>
          <w:tcPr>
            <w:tcW w:type="dxa" w:w="31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ML + DL ensemble</w:t>
            </w:r>
          </w:p>
        </w:tc>
        <w:tc>
          <w:tcPr>
            <w:tcW w:type="dxa" w:w="373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Average probabilities of Phase 3 RF and the DL fusion network</w:t>
            </w:r>
          </w:p>
        </w:tc>
        <w:tc>
          <w:tcPr>
            <w:tcW w:type="dxa" w:w="27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Models make different errors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a practical hybrid is an ensemble of the best feature-level ML model (Phase 3) and the best intermediate-fusion DL model; test whether it beats both.</w:t>
            </w:r>
          </w:p>
        </w:tc>
      </w:tr>
    </w:tbl>
    <w:p>
      <w:pPr>
        <w:spacing w:after="120"/>
      </w:pPr>
    </w:p>
    <w:p>
      <w:pPr>
        <w:spacing w:after="160"/>
      </w:pPr>
      <w:r>
        <w:rPr>
          <w:i/>
          <w:iCs/>
          <w:color w:val="5E7A7E"/>
          <w:sz w:val="18"/>
          <w:szCs w:val="18"/>
        </w:rPr>
        <w:t xml:space="preserve">Key sources: Hong et al. (2021); Kerkech et al. (2020b); Wolpert (1992); Pohl &amp; Van Genderen (1998).</w:t>
      </w:r>
    </w:p>
    <w:p>
      <w:pPr>
        <w:pStyle w:val="Heading1"/>
      </w:pPr>
      <w:r>
        <w:t xml:space="preserve">8. Comparing fusion levels and lessons from the evidence</w:t>
      </w:r>
    </w:p>
    <w:p>
      <w:pPr>
        <w:pStyle w:val="Heading2"/>
      </w:pPr>
      <w:r>
        <w:t xml:space="preserve">8.1 Comparison of fusion levels for UAV disease severity</w:t>
      </w:r>
    </w:p>
    <w:p>
      <w:pPr>
        <w:keepNext/>
        <w:spacing w:after="80" w:before="160"/>
      </w:pPr>
      <w:r>
        <w:rPr>
          <w:b/>
          <w:bCs/>
          <w:color w:val="1C7C78"/>
          <w:sz w:val="20"/>
          <w:szCs w:val="20"/>
        </w:rPr>
        <w:t xml:space="preserve">Table 23. </w:t>
      </w:r>
      <w:r>
        <w:rPr>
          <w:color w:val="1F3A40"/>
          <w:sz w:val="20"/>
          <w:szCs w:val="20"/>
        </w:rPr>
        <w:t xml:space="preserve">Fusion levels compared for UAV disease severity (deck slide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1536"/>
        <w:gridCol w:w="1676"/>
        <w:gridCol w:w="1396"/>
        <w:gridCol w:w="1396"/>
        <w:gridCol w:w="1539"/>
      </w:tblGrid>
      <w:tr>
        <w:trPr>
          <w:cantSplit/>
          <w:tblHeader/>
        </w:trPr>
        <w:tc>
          <w:tcPr>
            <w:tcW w:type="dxa" w:w="209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Level</w:t>
            </w:r>
          </w:p>
        </w:tc>
        <w:tc>
          <w:tcPr>
            <w:tcW w:type="dxa" w:w="153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Co-registration need</w:t>
            </w:r>
          </w:p>
        </w:tc>
        <w:tc>
          <w:tcPr>
            <w:tcW w:type="dxa" w:w="167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Data need</w:t>
            </w:r>
          </w:p>
        </w:tc>
        <w:tc>
          <w:tcPr>
            <w:tcW w:type="dxa" w:w="139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Interpretability</w:t>
            </w:r>
          </w:p>
        </w:tc>
        <w:tc>
          <w:tcPr>
            <w:tcW w:type="dxa" w:w="139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Missing sensor</w:t>
            </w:r>
          </w:p>
        </w:tc>
        <w:tc>
          <w:tcPr>
            <w:tcW w:type="dxa" w:w="153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Fit for MuDAS-AI</w:t>
            </w:r>
          </w:p>
        </w:tc>
      </w:tr>
      <w:tr>
        <w:trPr>
          <w:cantSplit/>
          <w:tblHeader w:val="false"/>
        </w:trPr>
        <w:tc>
          <w:tcPr>
            <w:tcW w:type="dxa" w:w="209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L1 pixel (image fusion / early CNN)</w:t>
            </w:r>
          </w:p>
        </w:tc>
        <w:tc>
          <w:tcPr>
            <w:tcW w:type="dxa" w:w="15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Very high</w:t>
            </w:r>
          </w:p>
        </w:tc>
        <w:tc>
          <w:tcPr>
            <w:tcW w:type="dxa" w:w="167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High (pixel labels or many tiles)</w:t>
            </w:r>
          </w:p>
        </w:tc>
        <w:tc>
          <w:tcPr>
            <w:tcW w:type="dxa" w:w="139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Low–medium</w:t>
            </w:r>
          </w:p>
        </w:tc>
        <w:tc>
          <w:tcPr>
            <w:tcW w:type="dxa" w:w="139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Fails</w:t>
            </w:r>
          </w:p>
        </w:tc>
        <w:tc>
          <w:tcPr>
            <w:tcW w:type="dxa" w:w="153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Optional / exploratory</w:t>
            </w:r>
          </w:p>
        </w:tc>
      </w:tr>
      <w:tr>
        <w:trPr>
          <w:cantSplit/>
          <w:tblHeader w:val="false"/>
        </w:trPr>
        <w:tc>
          <w:tcPr>
            <w:tcW w:type="dxa" w:w="209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L2 feature, ML</w:t>
            </w:r>
          </w:p>
        </w:tc>
        <w:tc>
          <w:tcPr>
            <w:tcW w:type="dxa" w:w="153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Moderate (plot level)</w:t>
            </w:r>
          </w:p>
        </w:tc>
        <w:tc>
          <w:tcPr>
            <w:tcW w:type="dxa" w:w="167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Low–moderate</w:t>
            </w:r>
          </w:p>
        </w:tc>
        <w:tc>
          <w:tcPr>
            <w:tcW w:type="dxa" w:w="139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High</w:t>
            </w:r>
          </w:p>
        </w:tc>
        <w:tc>
          <w:tcPr>
            <w:tcW w:type="dxa" w:w="139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Retrain without it</w:t>
            </w:r>
          </w:p>
        </w:tc>
        <w:tc>
          <w:tcPr>
            <w:tcW w:type="dxa" w:w="153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Primary</w:t>
            </w:r>
          </w:p>
        </w:tc>
      </w:tr>
      <w:tr>
        <w:trPr>
          <w:cantSplit/>
          <w:tblHeader w:val="false"/>
        </w:trPr>
        <w:tc>
          <w:tcPr>
            <w:tcW w:type="dxa" w:w="209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L2 feature, DL intermediate</w:t>
            </w:r>
          </w:p>
        </w:tc>
        <w:tc>
          <w:tcPr>
            <w:tcW w:type="dxa" w:w="15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Moderate–high</w:t>
            </w:r>
          </w:p>
        </w:tc>
        <w:tc>
          <w:tcPr>
            <w:tcW w:type="dxa" w:w="167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Moderate–high</w:t>
            </w:r>
          </w:p>
        </w:tc>
        <w:tc>
          <w:tcPr>
            <w:tcW w:type="dxa" w:w="139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Medium (attention)</w:t>
            </w:r>
          </w:p>
        </w:tc>
        <w:tc>
          <w:tcPr>
            <w:tcW w:type="dxa" w:w="139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Modality dropout helps</w:t>
            </w:r>
          </w:p>
        </w:tc>
        <w:tc>
          <w:tcPr>
            <w:tcW w:type="dxa" w:w="153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Main DL comparison</w:t>
            </w:r>
          </w:p>
        </w:tc>
      </w:tr>
      <w:tr>
        <w:trPr>
          <w:cantSplit/>
          <w:tblHeader w:val="false"/>
        </w:trPr>
        <w:tc>
          <w:tcPr>
            <w:tcW w:type="dxa" w:w="209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L3 decision</w:t>
            </w:r>
          </w:p>
        </w:tc>
        <w:tc>
          <w:tcPr>
            <w:tcW w:type="dxa" w:w="153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Low</w:t>
            </w:r>
          </w:p>
        </w:tc>
        <w:tc>
          <w:tcPr>
            <w:tcW w:type="dxa" w:w="167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Low</w:t>
            </w:r>
          </w:p>
        </w:tc>
        <w:tc>
          <w:tcPr>
            <w:tcW w:type="dxa" w:w="139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High (per sensor)</w:t>
            </w:r>
          </w:p>
        </w:tc>
        <w:tc>
          <w:tcPr>
            <w:tcW w:type="dxa" w:w="139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Robust</w:t>
            </w:r>
          </w:p>
        </w:tc>
        <w:tc>
          <w:tcPr>
            <w:tcW w:type="dxa" w:w="153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Robust baseline</w:t>
            </w:r>
          </w:p>
        </w:tc>
      </w:tr>
      <w:tr>
        <w:trPr>
          <w:cantSplit/>
          <w:tblHeader w:val="false"/>
        </w:trPr>
        <w:tc>
          <w:tcPr>
            <w:tcW w:type="dxa" w:w="209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Hybrid</w:t>
            </w:r>
          </w:p>
        </w:tc>
        <w:tc>
          <w:tcPr>
            <w:tcW w:type="dxa" w:w="153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Varies</w:t>
            </w:r>
          </w:p>
        </w:tc>
        <w:tc>
          <w:tcPr>
            <w:tcW w:type="dxa" w:w="167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Varies</w:t>
            </w:r>
          </w:p>
        </w:tc>
        <w:tc>
          <w:tcPr>
            <w:tcW w:type="dxa" w:w="139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Medium</w:t>
            </w:r>
          </w:p>
        </w:tc>
        <w:tc>
          <w:tcPr>
            <w:tcW w:type="dxa" w:w="139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Robust</w:t>
            </w:r>
          </w:p>
        </w:tc>
        <w:tc>
          <w:tcPr>
            <w:tcW w:type="dxa" w:w="153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Final ensemble test</w:t>
            </w:r>
          </w:p>
        </w:tc>
      </w:tr>
    </w:tbl>
    <w:p>
      <w:pPr>
        <w:spacing w:after="120"/>
      </w:pPr>
    </w:p>
    <w:p>
      <w:pPr>
        <w:spacing w:after="100" w:line="259"/>
        <w:jc w:val="both"/>
      </w:pPr>
      <w:r>
        <w:t xml:space="preserve">For a trial with 48 plots and plot-level labels, feature-level ML fusion is the natural primary method: it needs only plot-level alignment, works with few samples, and produces interpretable features. Intermediate DL fusion is the main comparison; decision fusion is a strong, robust baseline; pixel fusion is useful for maps rather than for the plot classifier.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feature-level ML (Phase 3) is the primary method; intermediate DL and decision-level fusion are the main comparisons; pixel-level fusion is an optional enhancement.</w:t>
            </w:r>
          </w:p>
        </w:tc>
      </w:tr>
    </w:tbl>
    <w:p>
      <w:pPr>
        <w:spacing w:after="120"/>
      </w:pPr>
    </w:p>
    <w:p>
      <w:pPr>
        <w:pStyle w:val="Heading2"/>
      </w:pPr>
      <w:r>
        <w:t xml:space="preserve">8.2 What the evidence says: lessons for the design</w:t>
      </w:r>
    </w:p>
    <w:p>
      <w:pPr>
        <w:keepNext/>
        <w:spacing w:after="80" w:before="160"/>
      </w:pPr>
      <w:r>
        <w:rPr>
          <w:b/>
          <w:bCs/>
          <w:color w:val="1C7C78"/>
          <w:sz w:val="20"/>
          <w:szCs w:val="20"/>
        </w:rPr>
        <w:t xml:space="preserve">Table 24. </w:t>
      </w:r>
      <w:r>
        <w:rPr>
          <w:color w:val="1F3A40"/>
          <w:sz w:val="20"/>
          <w:szCs w:val="20"/>
        </w:rPr>
        <w:t xml:space="preserve">Lessons and pitfalls from published studies (deck slide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9"/>
        <w:gridCol w:w="3109"/>
        <w:gridCol w:w="3420"/>
      </w:tblGrid>
      <w:tr>
        <w:trPr>
          <w:cantSplit/>
          <w:tblHeader/>
        </w:trPr>
        <w:tc>
          <w:tcPr>
            <w:tcW w:type="dxa" w:w="310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Lesson or pitfall</w:t>
            </w:r>
          </w:p>
        </w:tc>
        <w:tc>
          <w:tcPr>
            <w:tcW w:type="dxa" w:w="310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Evidence</w:t>
            </w:r>
          </w:p>
        </w:tc>
        <w:tc>
          <w:tcPr>
            <w:tcW w:type="dxa" w:w="342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Design response in MuDAS-AI</w:t>
            </w:r>
          </w:p>
        </w:tc>
      </w:tr>
      <w:tr>
        <w:trPr>
          <w:cantSplit/>
          <w:tblHeader w:val="false"/>
        </w:trPr>
        <w:tc>
          <w:tcPr>
            <w:tcW w:type="dxa" w:w="31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Interactive (middle, cross) DL fusion beats early fusion; late fusion is more robust to ambiguous or missing data</w:t>
            </w:r>
          </w:p>
        </w:tc>
        <w:tc>
          <w:tcPr>
            <w:tcW w:type="dxa" w:w="31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Hong et al. 2021; Audebert et al. 2018</w:t>
            </w:r>
          </w:p>
        </w:tc>
        <w:tc>
          <w:tcPr>
            <w:tcW w:type="dxa" w:w="342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Test all three; intermediate as main DL model</w:t>
            </w:r>
          </w:p>
        </w:tc>
      </w:tr>
      <w:tr>
        <w:trPr>
          <w:cantSplit/>
          <w:tblHeader w:val="false"/>
        </w:trPr>
        <w:tc>
          <w:tcPr>
            <w:tcW w:type="dxa" w:w="31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DL gain over ML is small with few samples</w:t>
            </w:r>
          </w:p>
        </w:tc>
        <w:tc>
          <w:tcPr>
            <w:tcW w:type="dxa" w:w="31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Maimaitijiang et al. 2020 (DNN-F2 best, modest margin)</w:t>
            </w:r>
          </w:p>
        </w:tc>
        <w:tc>
          <w:tcPr>
            <w:tcW w:type="dxa" w:w="342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ML is the primary model; DL must beat it on the same folds</w:t>
            </w:r>
          </w:p>
        </w:tc>
      </w:tr>
      <w:tr>
        <w:trPr>
          <w:cantSplit/>
          <w:tblHeader w:val="false"/>
        </w:trPr>
        <w:tc>
          <w:tcPr>
            <w:tcW w:type="dxa" w:w="31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More sensors ≠ always better</w:t>
            </w:r>
          </w:p>
        </w:tc>
        <w:tc>
          <w:tcPr>
            <w:tcW w:type="dxa" w:w="31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Mahlein et al. 2019 (gain came from specific pairs)</w:t>
            </w:r>
          </w:p>
        </w:tc>
        <w:tc>
          <w:tcPr>
            <w:tcW w:type="dxa" w:w="342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Evaluate all 15 sensor combinations</w:t>
            </w:r>
          </w:p>
        </w:tc>
      </w:tr>
      <w:tr>
        <w:trPr>
          <w:cantSplit/>
          <w:tblHeader w:val="false"/>
        </w:trPr>
        <w:tc>
          <w:tcPr>
            <w:tcW w:type="dxa" w:w="31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Thermal + spectral + texture complement each other</w:t>
            </w:r>
          </w:p>
        </w:tc>
        <w:tc>
          <w:tcPr>
            <w:tcW w:type="dxa" w:w="31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Feng et al. 2022; Liu et al. 2024</w:t>
            </w:r>
          </w:p>
        </w:tc>
        <w:tc>
          <w:tcPr>
            <w:tcW w:type="dxa" w:w="342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Keep all three feature types in Phase 1</w:t>
            </w:r>
          </w:p>
        </w:tc>
      </w:tr>
      <w:tr>
        <w:trPr>
          <w:cantSplit/>
          <w:tblHeader w:val="false"/>
        </w:trPr>
        <w:tc>
          <w:tcPr>
            <w:tcW w:type="dxa" w:w="31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Pixel-level random splits inflate accuracy</w:t>
            </w:r>
          </w:p>
        </w:tc>
        <w:tc>
          <w:tcPr>
            <w:tcW w:type="dxa" w:w="31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Roberts et al. 2017; spatial autocorrelation</w:t>
            </w:r>
          </w:p>
        </w:tc>
        <w:tc>
          <w:tcPr>
            <w:tcW w:type="dxa" w:w="342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Split by plot; never by pixel</w:t>
            </w:r>
          </w:p>
        </w:tc>
      </w:tr>
      <w:tr>
        <w:trPr>
          <w:cantSplit/>
          <w:tblHeader w:val="false"/>
        </w:trPr>
        <w:tc>
          <w:tcPr>
            <w:tcW w:type="dxa" w:w="31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Feature selection on all data before CV is optimistic</w:t>
            </w:r>
          </w:p>
        </w:tc>
        <w:tc>
          <w:tcPr>
            <w:tcW w:type="dxa" w:w="31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Varma &amp; Simon 2006</w:t>
            </w:r>
          </w:p>
        </w:tc>
        <w:tc>
          <w:tcPr>
            <w:tcW w:type="dxa" w:w="342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Selection inside training folds (nested CV)</w:t>
            </w:r>
          </w:p>
        </w:tc>
      </w:tr>
      <w:tr>
        <w:trPr>
          <w:cantSplit/>
          <w:tblHeader w:val="false"/>
        </w:trPr>
        <w:tc>
          <w:tcPr>
            <w:tcW w:type="dxa" w:w="31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Features selected at one scale may not transfer</w:t>
            </w:r>
          </w:p>
        </w:tc>
        <w:tc>
          <w:tcPr>
            <w:tcW w:type="dxa" w:w="31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Bohnenkamp et al. 2019 (ground vs UAV)</w:t>
            </w:r>
          </w:p>
        </w:tc>
        <w:tc>
          <w:tcPr>
            <w:tcW w:type="dxa" w:w="342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Freeze model at IARI; test at Bharatpur</w:t>
            </w:r>
          </w:p>
        </w:tc>
      </w:tr>
      <w:tr>
        <w:trPr>
          <w:cantSplit/>
          <w:tblHeader w:val="false"/>
        </w:trPr>
        <w:tc>
          <w:tcPr>
            <w:tcW w:type="dxa" w:w="31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No paired test between fusion and single sensor</w:t>
            </w:r>
          </w:p>
        </w:tc>
        <w:tc>
          <w:tcPr>
            <w:tcW w:type="dxa" w:w="31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Common in the literature</w:t>
            </w:r>
          </w:p>
        </w:tc>
        <w:tc>
          <w:tcPr>
            <w:tcW w:type="dxa" w:w="342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McNemar test on paired predictions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design the thesis as a fair comparison: same plots, same folds, same metrics, paired tests. A 'no gain from fusion' result is also publishable if the test is fair.</w:t>
            </w:r>
          </w:p>
        </w:tc>
      </w:tr>
    </w:tbl>
    <w:p>
      <w:pPr>
        <w:spacing w:after="120"/>
      </w:pPr>
    </w:p>
    <w:p>
      <w:pPr>
        <w:spacing w:after="160"/>
      </w:pPr>
      <w:r>
        <w:rPr>
          <w:i/>
          <w:iCs/>
          <w:color w:val="5E7A7E"/>
          <w:sz w:val="18"/>
          <w:szCs w:val="18"/>
        </w:rPr>
        <w:t xml:space="preserve">Key sources: Hong et al. (2021); Audebert et al. (2018); Maimaitijiang et al. (2020); Mahlein et al. (2019); Feng et al. (2022); Bohnenkamp et al. (2019); Su et al. (2018).</w:t>
      </w:r>
    </w:p>
    <w:p>
      <w:pPr>
        <w:pStyle w:val="Heading1"/>
      </w:pPr>
      <w:r>
        <w:t xml:space="preserve">9. Validation, ablation and interpretation</w:t>
      </w:r>
    </w:p>
    <w:p>
      <w:pPr>
        <w:pStyle w:val="Heading2"/>
      </w:pPr>
      <w:r>
        <w:t xml:space="preserve">9.1 Validation design for fusion experiments</w:t>
      </w:r>
    </w:p>
    <w:p>
      <w:pPr>
        <w:spacing w:after="100" w:line="259"/>
        <w:jc w:val="both"/>
      </w:pPr>
      <w:r>
        <w:t xml:space="preserve">Validation answers one question: how well will the model perform on plots it has never seen? The design must prevent information from test plots reaching any step of model building.</w:t>
      </w:r>
    </w:p>
    <w:p>
      <w:pPr>
        <w:pStyle w:val="Heading3"/>
      </w:pPr>
      <w:r>
        <w:t xml:space="preserve">Terms</w:t>
      </w:r>
    </w:p>
    <w:p>
      <w:pPr>
        <w:pStyle w:val="ListParagraph"/>
        <w:numPr>
          <w:ilvl w:val="0"/>
          <w:numId w:val="3"/>
        </w:numPr>
        <w:spacing w:after="50" w:line="252"/>
      </w:pPr>
      <w:r>
        <w:rPr>
          <w:b/>
          <w:bCs/>
        </w:rPr>
        <w:t xml:space="preserve">Training set:</w:t>
      </w:r>
      <w:r>
        <w:t xml:space="preserve"> plots used to fit the model, including feature selection and tuning.</w:t>
      </w:r>
    </w:p>
    <w:p>
      <w:pPr>
        <w:pStyle w:val="ListParagraph"/>
        <w:numPr>
          <w:ilvl w:val="0"/>
          <w:numId w:val="3"/>
        </w:numPr>
        <w:spacing w:after="50" w:line="252"/>
      </w:pPr>
      <w:r>
        <w:rPr>
          <w:b/>
          <w:bCs/>
        </w:rPr>
        <w:t xml:space="preserve">Validation (inner CV):</w:t>
      </w:r>
      <w:r>
        <w:t xml:space="preserve"> splits of the training plots used to choose hyper-parameters, feature subsets (SFFS) and early-stopping epochs.</w:t>
      </w:r>
    </w:p>
    <w:p>
      <w:pPr>
        <w:pStyle w:val="ListParagraph"/>
        <w:numPr>
          <w:ilvl w:val="0"/>
          <w:numId w:val="3"/>
        </w:numPr>
        <w:spacing w:after="50" w:line="252"/>
      </w:pPr>
      <w:r>
        <w:rPr>
          <w:b/>
          <w:bCs/>
        </w:rPr>
        <w:t xml:space="preserve">Test set (outer CV):</w:t>
      </w:r>
      <w:r>
        <w:t xml:space="preserve"> plots locked away until the model is final; used once to estimate performance.</w:t>
      </w:r>
    </w:p>
    <w:p>
      <w:pPr>
        <w:pStyle w:val="ListParagraph"/>
        <w:numPr>
          <w:ilvl w:val="0"/>
          <w:numId w:val="3"/>
        </w:numPr>
        <w:spacing w:after="50" w:line="252"/>
      </w:pPr>
      <w:r>
        <w:rPr>
          <w:b/>
          <w:bCs/>
        </w:rPr>
        <w:t xml:space="preserve">External test:</w:t>
      </w:r>
      <w:r>
        <w:t xml:space="preserve"> a different site or season (IIRMR Bharatpur, farmers' fields) with the model frozen; measures transferability.</w:t>
      </w:r>
    </w:p>
    <w:p>
      <w:pPr>
        <w:pStyle w:val="Heading3"/>
      </w:pPr>
      <w:r>
        <w:t xml:space="preserve">Nested, plot-grouped cross-validation</w:t>
      </w:r>
    </w:p>
    <w:p>
      <w:pPr>
        <w:pStyle w:val="ListParagraph"/>
        <w:numPr>
          <w:ilvl w:val="0"/>
          <w:numId w:val="5"/>
        </w:numPr>
        <w:spacing w:after="50" w:line="252"/>
      </w:pPr>
      <w:r>
        <w:rPr>
          <w:b/>
          <w:bCs/>
        </w:rPr>
        <w:t xml:space="preserve">Outer loop:</w:t>
      </w:r>
      <w:r>
        <w:t xml:space="preserve"> 4 folds grouped by plot (StratifiedGroupKFold), so all four dates of a plot are in the same fold and classes are balanced across folds. Each plot is tested exactly once.</w:t>
      </w:r>
    </w:p>
    <w:p>
      <w:pPr>
        <w:pStyle w:val="ListParagraph"/>
        <w:numPr>
          <w:ilvl w:val="0"/>
          <w:numId w:val="5"/>
        </w:numPr>
        <w:spacing w:after="50" w:line="252"/>
      </w:pPr>
      <w:r>
        <w:rPr>
          <w:b/>
          <w:bCs/>
        </w:rPr>
        <w:t xml:space="preserve">Inner loop:</w:t>
      </w:r>
      <w:r>
        <w:t xml:space="preserve"> within the training plots of each outer fold, 4 grouped folds for feature selection (Phases 1–3), hyper-parameter tuning and early stopping.</w:t>
      </w:r>
    </w:p>
    <w:p>
      <w:pPr>
        <w:pStyle w:val="ListParagraph"/>
        <w:numPr>
          <w:ilvl w:val="0"/>
          <w:numId w:val="5"/>
        </w:numPr>
        <w:spacing w:after="50" w:line="252"/>
      </w:pPr>
      <w:r>
        <w:rPr>
          <w:b/>
          <w:bCs/>
        </w:rPr>
        <w:t xml:space="preserve">Repeats:</w:t>
      </w:r>
      <w:r>
        <w:t xml:space="preserve"> repeat the outer split with 3 different random seeds and report mean ± SD.</w:t>
      </w:r>
    </w:p>
    <w:p>
      <w:pPr>
        <w:pStyle w:val="ListParagraph"/>
        <w:numPr>
          <w:ilvl w:val="0"/>
          <w:numId w:val="5"/>
        </w:numPr>
        <w:spacing w:after="50" w:line="252"/>
      </w:pPr>
      <w:r>
        <w:rPr>
          <w:b/>
          <w:bCs/>
        </w:rPr>
        <w:t xml:space="preserve">Leave-one-date-out:</w:t>
      </w:r>
      <w:r>
        <w:t xml:space="preserve"> train on three dates, test on the fourth, to check temporal transfer.</w:t>
      </w:r>
    </w:p>
    <w:p>
      <w:pPr>
        <w:pStyle w:val="ListParagraph"/>
        <w:numPr>
          <w:ilvl w:val="0"/>
          <w:numId w:val="5"/>
        </w:numPr>
        <w:spacing w:after="50" w:line="252"/>
      </w:pPr>
      <w:r>
        <w:rPr>
          <w:b/>
          <w:bCs/>
        </w:rPr>
        <w:t xml:space="preserve">External:</w:t>
      </w:r>
      <w:r>
        <w:t xml:space="preserve"> IARI model frozen and applied to Bharatpur and farmers' fields without retraining.</w:t>
      </w:r>
    </w:p>
    <w:p>
      <w:pPr>
        <w:spacing w:after="100" w:line="259"/>
        <w:jc w:val="both"/>
      </w:pPr>
      <w:r>
        <w:t xml:space="preserve">Varma and Simon (2006) showed that selecting features or tuning parameters on the same data used to estimate error produces a substantial optimistic bias, and that nested CV gives an almost unbiased estimate. Roberts et al. (2017) showed that structured data (spatial, temporal, hierarchical) require blocked cross-validation; in MuDAS-AI the block is the plot.</w:t>
      </w:r>
    </w:p>
    <w:p>
      <w:pPr>
        <w:keepNext/>
        <w:spacing w:after="80" w:before="160"/>
      </w:pPr>
      <w:r>
        <w:rPr>
          <w:b/>
          <w:bCs/>
          <w:color w:val="1C7C78"/>
          <w:sz w:val="20"/>
          <w:szCs w:val="20"/>
        </w:rPr>
        <w:t xml:space="preserve">Table 25. </w:t>
      </w:r>
      <w:r>
        <w:rPr>
          <w:color w:val="1F3A40"/>
          <w:sz w:val="20"/>
          <w:szCs w:val="20"/>
        </w:rPr>
        <w:t xml:space="preserve">Metrics and why they are used (deck slide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76"/>
        <w:gridCol w:w="5462"/>
      </w:tblGrid>
      <w:tr>
        <w:trPr>
          <w:cantSplit/>
          <w:tblHeader/>
        </w:trPr>
        <w:tc>
          <w:tcPr>
            <w:tcW w:type="dxa" w:w="417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Metric</w:t>
            </w:r>
          </w:p>
        </w:tc>
        <w:tc>
          <w:tcPr>
            <w:tcW w:type="dxa" w:w="546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Why</w:t>
            </w:r>
          </w:p>
        </w:tc>
      </w:tr>
      <w:tr>
        <w:trPr>
          <w:cantSplit/>
          <w:tblHeader w:val="false"/>
        </w:trPr>
        <w:tc>
          <w:tcPr>
            <w:tcW w:type="dxa" w:w="417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Macro-F1, overall accuracy (OA), quadratic-weighted kappa</w:t>
            </w:r>
          </w:p>
        </w:tc>
        <w:tc>
          <w:tcPr>
            <w:tcW w:type="dxa" w:w="546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Class imbalance; ordered classes (kappa penalises distant errors more)</w:t>
            </w:r>
          </w:p>
        </w:tc>
      </w:tr>
      <w:tr>
        <w:trPr>
          <w:cantSplit/>
          <w:tblHeader w:val="false"/>
        </w:trPr>
        <w:tc>
          <w:tcPr>
            <w:tcW w:type="dxa" w:w="417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Confusion matrix; per-class recall and precision</w:t>
            </w:r>
          </w:p>
        </w:tc>
        <w:tc>
          <w:tcPr>
            <w:tcW w:type="dxa" w:w="546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Shows where errors occur (e.g. class 4 vs 5)</w:t>
            </w:r>
          </w:p>
        </w:tc>
      </w:tr>
      <w:tr>
        <w:trPr>
          <w:cantSplit/>
          <w:tblHeader w:val="false"/>
        </w:trPr>
        <w:tc>
          <w:tcPr>
            <w:tcW w:type="dxa" w:w="417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Healthy-vs-diseased sensitivity</w:t>
            </w:r>
          </w:p>
        </w:tc>
        <w:tc>
          <w:tcPr>
            <w:tcW w:type="dxa" w:w="546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Relevance for early detection</w:t>
            </w:r>
          </w:p>
        </w:tc>
      </w:tr>
      <w:tr>
        <w:trPr>
          <w:cantSplit/>
          <w:tblHeader w:val="false"/>
        </w:trPr>
        <w:tc>
          <w:tcPr>
            <w:tcW w:type="dxa" w:w="417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R², RMSE, RPD (DI regression)</w:t>
            </w:r>
          </w:p>
        </w:tc>
        <w:tc>
          <w:tcPr>
            <w:tcW w:type="dxa" w:w="546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Continuous severity</w:t>
            </w:r>
          </w:p>
        </w:tc>
      </w:tr>
      <w:tr>
        <w:trPr>
          <w:cantSplit/>
          <w:tblHeader w:val="false"/>
        </w:trPr>
        <w:tc>
          <w:tcPr>
            <w:tcW w:type="dxa" w:w="417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McNemar test (paired predictions)</w:t>
            </w:r>
          </w:p>
        </w:tc>
        <w:tc>
          <w:tcPr>
            <w:tcW w:type="dxa" w:w="546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Is fusion significantly better than the best single sensor?</w:t>
            </w:r>
          </w:p>
        </w:tc>
      </w:tr>
    </w:tbl>
    <w:p>
      <w:pPr>
        <w:spacing w:after="120"/>
      </w:pPr>
    </w:p>
    <w:p>
      <w:pPr>
        <w:spacing w:after="20" w:before="100"/>
        <w:jc w:val="center"/>
      </w:pPr>
      <w:r>
        <w:rPr>
          <w:rFonts w:ascii="Cambria Math" w:cs="Cambria Math" w:eastAsia="Cambria Math" w:hAnsi="Cambria Math"/>
          <w:sz w:val="23"/>
          <w:szCs w:val="23"/>
        </w:rPr>
        <w:t xml:space="preserve">κ_w = 1 − Σᵢⱼ wᵢⱼ Oᵢⱼ / Σᵢⱼ wᵢⱼ Eᵢⱼ ,    wᵢⱼ = (i − j)² / (K − 1)²</w:t>
      </w:r>
    </w:p>
    <w:p>
      <w:pPr>
        <w:spacing w:after="120"/>
        <w:jc w:val="center"/>
      </w:pPr>
      <w:r>
        <w:rPr>
          <w:i/>
          <w:iCs/>
          <w:color w:val="5E7A7E"/>
          <w:sz w:val="19"/>
          <w:szCs w:val="19"/>
        </w:rPr>
        <w:t xml:space="preserve">Quadratic-weighted kappa: O observed, E expected confusion counts; K = 6 classes.</w:t>
      </w:r>
    </w:p>
    <w:p>
      <w:pPr>
        <w:spacing w:after="20" w:before="100"/>
        <w:jc w:val="center"/>
      </w:pPr>
      <w:r>
        <w:rPr>
          <w:rFonts w:ascii="Cambria Math" w:cs="Cambria Math" w:eastAsia="Cambria Math" w:hAnsi="Cambria Math"/>
          <w:sz w:val="23"/>
          <w:szCs w:val="23"/>
        </w:rPr>
        <w:t xml:space="preserve">χ² = (|n₀₁ − n₁₀| − 1)² / (n₀₁ + n₁₀)</w:t>
      </w:r>
    </w:p>
    <w:p>
      <w:pPr>
        <w:spacing w:after="120"/>
        <w:jc w:val="center"/>
      </w:pPr>
      <w:r>
        <w:rPr>
          <w:i/>
          <w:iCs/>
          <w:color w:val="5E7A7E"/>
          <w:sz w:val="19"/>
          <w:szCs w:val="19"/>
        </w:rPr>
        <w:t xml:space="preserve">McNemar with continuity correction: n₀₁ = fused right and single wrong; n₁₀ = single right and fused wrong (Foody, 2004).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the same outer folds are used for every single-sensor, fusion-level, ML and DL model, so all results are paired and directly comparable.</w:t>
            </w:r>
          </w:p>
        </w:tc>
      </w:tr>
    </w:tbl>
    <w:p>
      <w:pPr>
        <w:spacing w:after="120"/>
      </w:pPr>
    </w:p>
    <w:p>
      <w:pPr>
        <w:spacing w:after="160"/>
      </w:pPr>
      <w:r>
        <w:rPr>
          <w:i/>
          <w:iCs/>
          <w:color w:val="5E7A7E"/>
          <w:sz w:val="18"/>
          <w:szCs w:val="18"/>
        </w:rPr>
        <w:t xml:space="preserve">Key sources: Varma &amp; Simon (2006); Roberts et al. (2017); Foody (2004); Olofsson et al. (2014).</w:t>
      </w:r>
    </w:p>
    <w:p>
      <w:pPr>
        <w:pStyle w:val="Heading2"/>
      </w:pPr>
      <w:r>
        <w:t xml:space="preserve">9.2 Ablation, fusion gain and interpretation</w:t>
      </w:r>
    </w:p>
    <w:p>
      <w:pPr>
        <w:spacing w:after="20" w:before="100"/>
        <w:jc w:val="center"/>
      </w:pPr>
      <w:r>
        <w:rPr>
          <w:rFonts w:ascii="Cambria Math" w:cs="Cambria Math" w:eastAsia="Cambria Math" w:hAnsi="Cambria Math"/>
          <w:sz w:val="23"/>
          <w:szCs w:val="23"/>
        </w:rPr>
        <w:t xml:space="preserve">Fusion gain = score(fused) − maxₛ score(single sensor s)</w:t>
      </w:r>
    </w:p>
    <w:p>
      <w:pPr>
        <w:spacing w:after="120"/>
        <w:jc w:val="center"/>
      </w:pPr>
      <w:r>
        <w:rPr>
          <w:i/>
          <w:iCs/>
          <w:color w:val="5E7A7E"/>
          <w:sz w:val="19"/>
          <w:szCs w:val="19"/>
        </w:rPr>
        <w:t xml:space="preserve">Positive and significant (McNemar) gain is the evidence that fusion helps.</w:t>
      </w:r>
    </w:p>
    <w:p>
      <w:pPr>
        <w:spacing w:after="100" w:line="259"/>
        <w:jc w:val="both"/>
      </w:pPr>
      <w:r>
        <w:t xml:space="preserve">With four sensors there are 2⁴ − 1 = 15 non-empty combinations: 4 single sensors, 6 pairs, 4 triples and 1 quadruple. Running all 15 through the same pipeline answers O4: plot accuracy against the number (or cost) of sensors and choose the smallest set whose accuracy is not significantly worse than the best.</w:t>
      </w:r>
    </w:p>
    <w:p>
      <w:pPr>
        <w:keepNext/>
        <w:spacing w:after="80" w:before="160"/>
      </w:pPr>
      <w:r>
        <w:rPr>
          <w:b/>
          <w:bCs/>
          <w:color w:val="1C7C78"/>
          <w:sz w:val="20"/>
          <w:szCs w:val="20"/>
        </w:rPr>
        <w:t xml:space="preserve">Table 26. </w:t>
      </w:r>
      <w:r>
        <w:rPr>
          <w:color w:val="1F3A40"/>
          <w:sz w:val="20"/>
          <w:szCs w:val="20"/>
        </w:rPr>
        <w:t xml:space="preserve">The 15 sensor combinations for four sensors.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963"/>
        <w:gridCol w:w="7069"/>
      </w:tblGrid>
      <w:tr>
        <w:trPr>
          <w:cantSplit/>
          <w:tblHeader/>
        </w:trPr>
        <w:tc>
          <w:tcPr>
            <w:tcW w:type="dxa" w:w="1606"/>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Size</w:t>
            </w:r>
          </w:p>
        </w:tc>
        <w:tc>
          <w:tcPr>
            <w:tcW w:type="dxa" w:w="963"/>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Count</w:t>
            </w:r>
          </w:p>
        </w:tc>
        <w:tc>
          <w:tcPr>
            <w:tcW w:type="dxa" w:w="706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Combinations</w:t>
            </w:r>
          </w:p>
        </w:tc>
      </w:tr>
      <w:tr>
        <w:trPr>
          <w:cantSplit/>
          <w:tblHeader w:val="false"/>
        </w:trPr>
        <w:tc>
          <w:tcPr>
            <w:tcW w:type="dxa" w:w="160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1 sensor</w:t>
            </w:r>
          </w:p>
        </w:tc>
        <w:tc>
          <w:tcPr>
            <w:tcW w:type="dxa" w:w="96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4</w:t>
            </w:r>
          </w:p>
        </w:tc>
        <w:tc>
          <w:tcPr>
            <w:tcW w:type="dxa" w:w="706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RGB; MS; HS; TIR</w:t>
            </w:r>
          </w:p>
        </w:tc>
      </w:tr>
      <w:tr>
        <w:trPr>
          <w:cantSplit/>
          <w:tblHeader w:val="false"/>
        </w:trPr>
        <w:tc>
          <w:tcPr>
            <w:tcW w:type="dxa" w:w="160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2 sensors</w:t>
            </w:r>
          </w:p>
        </w:tc>
        <w:tc>
          <w:tcPr>
            <w:tcW w:type="dxa" w:w="96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6</w:t>
            </w:r>
          </w:p>
        </w:tc>
        <w:tc>
          <w:tcPr>
            <w:tcW w:type="dxa" w:w="706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RGB+MS; RGB+HS; RGB+TIR; MS+HS; MS+TIR; HS+TIR</w:t>
            </w:r>
          </w:p>
        </w:tc>
      </w:tr>
      <w:tr>
        <w:trPr>
          <w:cantSplit/>
          <w:tblHeader w:val="false"/>
        </w:trPr>
        <w:tc>
          <w:tcPr>
            <w:tcW w:type="dxa" w:w="1606"/>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3 sensors</w:t>
            </w:r>
          </w:p>
        </w:tc>
        <w:tc>
          <w:tcPr>
            <w:tcW w:type="dxa" w:w="96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4</w:t>
            </w:r>
          </w:p>
        </w:tc>
        <w:tc>
          <w:tcPr>
            <w:tcW w:type="dxa" w:w="706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RGB+MS+HS; RGB+MS+TIR; RGB+HS+TIR; MS+HS+TIR</w:t>
            </w:r>
          </w:p>
        </w:tc>
      </w:tr>
      <w:tr>
        <w:trPr>
          <w:cantSplit/>
          <w:tblHeader w:val="false"/>
        </w:trPr>
        <w:tc>
          <w:tcPr>
            <w:tcW w:type="dxa" w:w="1606"/>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4 sensors</w:t>
            </w:r>
          </w:p>
        </w:tc>
        <w:tc>
          <w:tcPr>
            <w:tcW w:type="dxa" w:w="96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w:t>
            </w:r>
          </w:p>
        </w:tc>
        <w:tc>
          <w:tcPr>
            <w:tcW w:type="dxa" w:w="706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RGB+MS+HS+TIR</w:t>
            </w:r>
          </w:p>
        </w:tc>
      </w:tr>
    </w:tbl>
    <w:p>
      <w:pPr>
        <w:spacing w:after="120"/>
      </w:pPr>
    </w:p>
    <w:p>
      <w:pPr>
        <w:pStyle w:val="Heading3"/>
      </w:pPr>
      <w:r>
        <w:t xml:space="preserve">Interpretation</w:t>
      </w:r>
    </w:p>
    <w:p>
      <w:pPr>
        <w:pStyle w:val="ListParagraph"/>
        <w:numPr>
          <w:ilvl w:val="0"/>
          <w:numId w:val="3"/>
        </w:numPr>
        <w:spacing w:after="50" w:line="252"/>
      </w:pPr>
      <w:r>
        <w:rPr>
          <w:b/>
          <w:bCs/>
        </w:rPr>
        <w:t xml:space="preserve">ML:</w:t>
      </w:r>
      <w:r>
        <w:t xml:space="preserve"> the selected features themselves; permutation importance (Breiman, 2001); partial dependence of severity on key features.</w:t>
      </w:r>
    </w:p>
    <w:p>
      <w:pPr>
        <w:pStyle w:val="ListParagraph"/>
        <w:numPr>
          <w:ilvl w:val="0"/>
          <w:numId w:val="3"/>
        </w:numPr>
        <w:spacing w:after="50" w:line="252"/>
      </w:pPr>
      <w:r>
        <w:rPr>
          <w:b/>
          <w:bCs/>
        </w:rPr>
        <w:t xml:space="preserve">Kernel fusion:</w:t>
      </w:r>
      <w:r>
        <w:t xml:space="preserve"> learned MKL weights per sensor (Gönen &amp; Alpaydın, 2011).</w:t>
      </w:r>
    </w:p>
    <w:p>
      <w:pPr>
        <w:pStyle w:val="ListParagraph"/>
        <w:numPr>
          <w:ilvl w:val="0"/>
          <w:numId w:val="3"/>
        </w:numPr>
        <w:spacing w:after="50" w:line="252"/>
      </w:pPr>
      <w:r>
        <w:rPr>
          <w:b/>
          <w:bCs/>
        </w:rPr>
        <w:t xml:space="preserve">DL:</w:t>
      </w:r>
      <w:r>
        <w:t xml:space="preserve"> gating weights per sensor; Grad-CAM maps per branch (Selvaraju et al., 2017); spectral attention weights; MIL attention maps (Ilse et al., 2018).</w:t>
      </w:r>
    </w:p>
    <w:p>
      <w:pPr>
        <w:pStyle w:val="ListParagraph"/>
        <w:numPr>
          <w:ilvl w:val="0"/>
          <w:numId w:val="3"/>
        </w:numPr>
        <w:spacing w:after="50" w:line="252"/>
      </w:pPr>
      <w:r>
        <w:rPr>
          <w:b/>
          <w:bCs/>
        </w:rPr>
        <w:t xml:space="preserve">Physiological plausibility:</w:t>
      </w:r>
      <w:r>
        <w:t xml:space="preserve"> do selected features relate to chlorophyll loss (red edge), transpiration (thermal) and visible symptoms (texture)? A model that relies on a date proxy (e.g. raw canopy temperature) is suspicious.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the 15-combination ablation answers Objective O4 (cheapest adequate sensor set); interpretation links selected features to white rust physiology.</w:t>
            </w:r>
          </w:p>
        </w:tc>
      </w:tr>
    </w:tbl>
    <w:p>
      <w:pPr>
        <w:spacing w:after="120"/>
      </w:pPr>
    </w:p>
    <w:p>
      <w:pPr>
        <w:spacing w:after="160"/>
      </w:pPr>
      <w:r>
        <w:rPr>
          <w:i/>
          <w:iCs/>
          <w:color w:val="5E7A7E"/>
          <w:sz w:val="18"/>
          <w:szCs w:val="18"/>
        </w:rPr>
        <w:t xml:space="preserve">Key sources: Breiman (2001); Selvaraju et al. (2017); Gönen &amp; Alpaydın (2011); Ilse et al. (2018).</w:t>
      </w:r>
    </w:p>
    <w:p>
      <w:pPr>
        <w:pStyle w:val="Heading1"/>
      </w:pPr>
      <w:r>
        <w:t xml:space="preserve">10. Practical end-to-end workflow</w:t>
      </w:r>
    </w:p>
    <w:p>
      <w:pPr>
        <w:spacing w:after="100" w:line="259"/>
        <w:jc w:val="both"/>
      </w:pPr>
      <w:r>
        <w:t xml:space="preserve">This chapter turns the concepts into a sequence that can be followed in the field and at the computer (deck slides 42–46).</w:t>
      </w:r>
    </w:p>
    <w:p>
      <w:pPr>
        <w:keepNext/>
        <w:spacing w:after="60" w:before="120"/>
        <w:jc w:val="center"/>
      </w:pPr>
      <w:r>
        <w:drawing>
          <wp:inline distT="0" distB="0" distL="0" distR="0">
            <wp:extent cx="5120640" cy="2880432"/>
            <wp:effectExtent t="0" r="0" b="0" l="0"/>
            <wp:docPr id="1" name="fig4" descr="The 12-step workflow from acquisition to severity map (deck slide 42)." title="The 12-step workflow from acquisition to severity map (deck slid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2880432"/>
                    </a:xfrm>
                    <a:prstGeom prst="rect">
                      <a:avLst/>
                    </a:prstGeom>
                  </pic:spPr>
                </pic:pic>
              </a:graphicData>
            </a:graphic>
          </wp:inline>
        </w:drawing>
      </w:r>
    </w:p>
    <w:p>
      <w:pPr>
        <w:spacing w:after="160"/>
        <w:jc w:val="center"/>
      </w:pPr>
      <w:r>
        <w:rPr>
          <w:b/>
          <w:bCs/>
          <w:color w:val="1C7C78"/>
          <w:sz w:val="20"/>
          <w:szCs w:val="20"/>
        </w:rPr>
        <w:t xml:space="preserve">Figure 4. </w:t>
      </w:r>
      <w:r>
        <w:rPr>
          <w:color w:val="1F3A40"/>
          <w:sz w:val="20"/>
          <w:szCs w:val="20"/>
        </w:rPr>
        <w:t xml:space="preserve">The 12-step workflow from acquisition to severity map (deck slide 42).</w:t>
      </w:r>
    </w:p>
    <w:p>
      <w:pPr>
        <w:keepNext/>
        <w:spacing w:after="80" w:before="160"/>
      </w:pPr>
      <w:r>
        <w:rPr>
          <w:b/>
          <w:bCs/>
          <w:color w:val="1C7C78"/>
          <w:sz w:val="20"/>
          <w:szCs w:val="20"/>
        </w:rPr>
        <w:t xml:space="preserve">Table 27. </w:t>
      </w:r>
      <w:r>
        <w:rPr>
          <w:color w:val="1F3A40"/>
          <w:sz w:val="20"/>
          <w:szCs w:val="20"/>
        </w:rPr>
        <w:t xml:space="preserve">The 12 steps, their purpose and their quality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9"/>
        <w:gridCol w:w="2953"/>
        <w:gridCol w:w="2487"/>
        <w:gridCol w:w="2799"/>
      </w:tblGrid>
      <w:tr>
        <w:trPr>
          <w:cantSplit/>
          <w:tblHeader/>
        </w:trPr>
        <w:tc>
          <w:tcPr>
            <w:tcW w:type="dxa" w:w="139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Step</w:t>
            </w:r>
          </w:p>
        </w:tc>
        <w:tc>
          <w:tcPr>
            <w:tcW w:type="dxa" w:w="2953"/>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What</w:t>
            </w:r>
          </w:p>
        </w:tc>
        <w:tc>
          <w:tcPr>
            <w:tcW w:type="dxa" w:w="248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Purpose</w:t>
            </w:r>
          </w:p>
        </w:tc>
        <w:tc>
          <w:tcPr>
            <w:tcW w:type="dxa" w:w="279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Quality check before moving on</w:t>
            </w:r>
          </w:p>
        </w:tc>
      </w:tr>
      <w:tr>
        <w:trPr>
          <w:cantSplit/>
          <w:tblHeader w:val="false"/>
        </w:trPr>
        <w:tc>
          <w:tcPr>
            <w:tcW w:type="dxa" w:w="13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 Plan &amp; fly</w:t>
            </w:r>
          </w:p>
        </w:tc>
        <w:tc>
          <w:tcPr>
            <w:tcW w:type="dxa" w:w="295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Same-day flights, GCPs, panels, thermal references</w:t>
            </w:r>
          </w:p>
        </w:tc>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Same canopy state for all sensors</w:t>
            </w:r>
          </w:p>
        </w:tc>
        <w:tc>
          <w:tcPr>
            <w:tcW w:type="dxa" w:w="27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Flight log complete; weather within limits</w:t>
            </w:r>
          </w:p>
        </w:tc>
      </w:tr>
      <w:tr>
        <w:trPr>
          <w:cantSplit/>
          <w:tblHeader w:val="false"/>
        </w:trPr>
        <w:tc>
          <w:tcPr>
            <w:tcW w:type="dxa" w:w="13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2 Ground truth</w:t>
            </w:r>
          </w:p>
        </w:tc>
        <w:tc>
          <w:tcPr>
            <w:tcW w:type="dxa" w:w="295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DI by layer and surface; metadata</w:t>
            </w:r>
          </w:p>
        </w:tc>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Labels matching the sensed area</w:t>
            </w:r>
          </w:p>
        </w:tc>
        <w:tc>
          <w:tcPr>
            <w:tcW w:type="dxa" w:w="27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Scoring date = flight date</w:t>
            </w:r>
          </w:p>
        </w:tc>
      </w:tr>
      <w:tr>
        <w:trPr>
          <w:cantSplit/>
          <w:tblHeader w:val="false"/>
        </w:trPr>
        <w:tc>
          <w:tcPr>
            <w:tcW w:type="dxa" w:w="13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3 Calibrate</w:t>
            </w:r>
          </w:p>
        </w:tc>
        <w:tc>
          <w:tcPr>
            <w:tcW w:type="dxa" w:w="295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Reflectance, °C, CTD</w:t>
            </w:r>
          </w:p>
        </w:tc>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Physical units comparable across dates and sites</w:t>
            </w:r>
          </w:p>
        </w:tc>
        <w:tc>
          <w:tcPr>
            <w:tcW w:type="dxa" w:w="27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Panel and reference-target values plausible</w:t>
            </w:r>
          </w:p>
        </w:tc>
      </w:tr>
      <w:tr>
        <w:trPr>
          <w:cantSplit/>
          <w:tblHeader w:val="false"/>
        </w:trPr>
        <w:tc>
          <w:tcPr>
            <w:tcW w:type="dxa" w:w="13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4 Co-register</w:t>
            </w:r>
          </w:p>
        </w:tc>
        <w:tc>
          <w:tcPr>
            <w:tcW w:type="dxa" w:w="295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Same GCPs + fine alignment</w:t>
            </w:r>
          </w:p>
        </w:tc>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Geometric agreement</w:t>
            </w:r>
          </w:p>
        </w:tc>
        <w:tc>
          <w:tcPr>
            <w:tcW w:type="dxa" w:w="27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Check-point RMSE per sensor</w:t>
            </w:r>
          </w:p>
        </w:tc>
      </w:tr>
      <w:tr>
        <w:trPr>
          <w:cantSplit/>
          <w:tblHeader w:val="false"/>
        </w:trPr>
        <w:tc>
          <w:tcPr>
            <w:tcW w:type="dxa" w:w="13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5 Mask &amp; grid</w:t>
            </w:r>
          </w:p>
        </w:tc>
        <w:tc>
          <w:tcPr>
            <w:tcW w:type="dxa" w:w="295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Canopy, shadow, flower masks; plot inset; optional common stack</w:t>
            </w:r>
          </w:p>
        </w:tc>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Common support</w:t>
            </w:r>
          </w:p>
        </w:tc>
        <w:tc>
          <w:tcPr>
            <w:tcW w:type="dxa" w:w="27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Mask overlays inspected</w:t>
            </w:r>
          </w:p>
        </w:tc>
      </w:tr>
      <w:tr>
        <w:trPr>
          <w:cantSplit/>
          <w:tblHeader w:val="false"/>
        </w:trPr>
        <w:tc>
          <w:tcPr>
            <w:tcW w:type="dxa" w:w="13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6 Features</w:t>
            </w:r>
          </w:p>
        </w:tc>
        <w:tc>
          <w:tcPr>
            <w:tcW w:type="dxa" w:w="295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Indices, texture, thermal, structure per sensor</w:t>
            </w:r>
          </w:p>
        </w:tc>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Physically meaningful descriptors</w:t>
            </w:r>
          </w:p>
        </w:tc>
        <w:tc>
          <w:tcPr>
            <w:tcW w:type="dxa" w:w="27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No missing or extreme values; units documented</w:t>
            </w:r>
          </w:p>
        </w:tc>
      </w:tr>
      <w:tr>
        <w:trPr>
          <w:cantSplit/>
          <w:tblHeader w:val="false"/>
        </w:trPr>
        <w:tc>
          <w:tcPr>
            <w:tcW w:type="dxa" w:w="13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7 Phase 1</w:t>
            </w:r>
          </w:p>
        </w:tc>
        <w:tc>
          <w:tcPr>
            <w:tcW w:type="dxa" w:w="295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Disease-specific features per sensor</w:t>
            </w:r>
          </w:p>
        </w:tc>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Remove irrelevant features</w:t>
            </w:r>
          </w:p>
        </w:tc>
        <w:tc>
          <w:tcPr>
            <w:tcW w:type="dxa" w:w="27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Stability of selected features</w:t>
            </w:r>
          </w:p>
        </w:tc>
      </w:tr>
      <w:tr>
        <w:trPr>
          <w:cantSplit/>
          <w:tblHeader w:val="false"/>
        </w:trPr>
        <w:tc>
          <w:tcPr>
            <w:tcW w:type="dxa" w:w="13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8 Phase 2</w:t>
            </w:r>
          </w:p>
        </w:tc>
        <w:tc>
          <w:tcPr>
            <w:tcW w:type="dxa" w:w="295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VIF/SPA + ML-SFFS per sensor</w:t>
            </w:r>
          </w:p>
        </w:tc>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Best single-sensor models (baselines)</w:t>
            </w:r>
          </w:p>
        </w:tc>
        <w:tc>
          <w:tcPr>
            <w:tcW w:type="dxa" w:w="27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Inner-CV scores; one-SE subset</w:t>
            </w:r>
          </w:p>
        </w:tc>
      </w:tr>
      <w:tr>
        <w:trPr>
          <w:cantSplit/>
          <w:tblHeader w:val="false"/>
        </w:trPr>
        <w:tc>
          <w:tcPr>
            <w:tcW w:type="dxa" w:w="13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9 Fusion</w:t>
            </w:r>
          </w:p>
        </w:tc>
        <w:tc>
          <w:tcPr>
            <w:tcW w:type="dxa" w:w="295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Feature-level ML (Phase 3), decision-level, DL</w:t>
            </w:r>
          </w:p>
        </w:tc>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Answer O3</w:t>
            </w:r>
          </w:p>
        </w:tc>
        <w:tc>
          <w:tcPr>
            <w:tcW w:type="dxa" w:w="27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Same folds for all models</w:t>
            </w:r>
          </w:p>
        </w:tc>
      </w:tr>
      <w:tr>
        <w:trPr>
          <w:cantSplit/>
          <w:tblHeader w:val="false"/>
        </w:trPr>
        <w:tc>
          <w:tcPr>
            <w:tcW w:type="dxa" w:w="13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10 Validate</w:t>
            </w:r>
          </w:p>
        </w:tc>
        <w:tc>
          <w:tcPr>
            <w:tcW w:type="dxa" w:w="295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Nested plot-grouped CV, McNemar, 15-combination ablation</w:t>
            </w:r>
          </w:p>
        </w:tc>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Unbiased estimate; O4</w:t>
            </w:r>
          </w:p>
        </w:tc>
        <w:tc>
          <w:tcPr>
            <w:tcW w:type="dxa" w:w="27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Paired tests reported</w:t>
            </w:r>
          </w:p>
        </w:tc>
      </w:tr>
      <w:tr>
        <w:trPr>
          <w:cantSplit/>
          <w:tblHeader w:val="false"/>
        </w:trPr>
        <w:tc>
          <w:tcPr>
            <w:tcW w:type="dxa" w:w="13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 External</w:t>
            </w:r>
          </w:p>
        </w:tc>
        <w:tc>
          <w:tcPr>
            <w:tcW w:type="dxa" w:w="295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Frozen model at Bharatpur and farmers' fields</w:t>
            </w:r>
          </w:p>
        </w:tc>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Transferability</w:t>
            </w:r>
          </w:p>
        </w:tc>
        <w:tc>
          <w:tcPr>
            <w:tcW w:type="dxa" w:w="279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No retraining on external data</w:t>
            </w:r>
          </w:p>
        </w:tc>
      </w:tr>
      <w:tr>
        <w:trPr>
          <w:cantSplit/>
          <w:tblHeader w:val="false"/>
        </w:trPr>
        <w:tc>
          <w:tcPr>
            <w:tcW w:type="dxa" w:w="13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12 Map</w:t>
            </w:r>
          </w:p>
        </w:tc>
        <w:tc>
          <w:tcPr>
            <w:tcW w:type="dxa" w:w="295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Severity map → spray zones; uncertainty</w:t>
            </w:r>
          </w:p>
        </w:tc>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O5</w:t>
            </w:r>
          </w:p>
        </w:tc>
        <w:tc>
          <w:tcPr>
            <w:tcW w:type="dxa" w:w="279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Map validated with quadrats or plot DI</w:t>
            </w:r>
          </w:p>
        </w:tc>
      </w:tr>
    </w:tbl>
    <w:p>
      <w:pPr>
        <w:spacing w:after="120"/>
      </w:pPr>
    </w:p>
    <w:p>
      <w:pPr>
        <w:pStyle w:val="Heading2"/>
      </w:pPr>
      <w:r>
        <w:t xml:space="preserve">10.1 An easy-to-perform recipe in Python (logic)</w:t>
      </w:r>
    </w:p>
    <w:p>
      <w:pPr>
        <w:spacing w:after="100" w:line="259"/>
        <w:jc w:val="both"/>
      </w:pPr>
      <w:r>
        <w:t xml:space="preserve">The recipe below is the logic of the nested feature-level fusion experiment. It is pseudo-code to show the order of operations, not a finished implementation.</w:t>
      </w:r>
    </w:p>
    <w:p>
      <w:pPr>
        <w:shd w:fill="F2F4F5" w:color="auto" w:val="clear"/>
        <w:spacing w:after="0"/>
      </w:pPr>
      <w:r>
        <w:rPr>
          <w:rFonts w:ascii="Consolas" w:cs="Consolas" w:eastAsia="Consolas" w:hAnsi="Consolas"/>
          <w:sz w:val="17"/>
          <w:szCs w:val="17"/>
        </w:rPr>
        <w:t xml:space="preserve">for each outer fold (StratifiedGroupKFold, groups = plot_id):</w:t>
      </w:r>
    </w:p>
    <w:p>
      <w:pPr>
        <w:shd w:fill="F2F4F5" w:color="auto" w:val="clear"/>
        <w:spacing w:after="0"/>
      </w:pPr>
      <w:r>
        <w:rPr>
          <w:rFonts w:ascii="Consolas" w:cs="Consolas" w:eastAsia="Consolas" w:hAnsi="Consolas"/>
          <w:sz w:val="17"/>
          <w:szCs w:val="17"/>
        </w:rPr>
        <w:t xml:space="preserve">    train, test = split(table)                       # all dates of a plot together</w:t>
      </w:r>
    </w:p>
    <w:p>
      <w:pPr>
        <w:shd w:fill="F2F4F5" w:color="auto" w:val="clear"/>
        <w:spacing w:after="0"/>
      </w:pPr>
      <w:r>
        <w:rPr>
          <w:rFonts w:ascii="Consolas" w:cs="Consolas" w:eastAsia="Consolas" w:hAnsi="Consolas"/>
          <w:sz w:val="17"/>
          <w:szCs w:val="17"/>
        </w:rPr>
        <w:t xml:space="preserve">    for each sensor s:  dsf[s] = phase1(train[s])    # KW+FDR, JM, ReliefF, Boruta</w:t>
      </w:r>
    </w:p>
    <w:p>
      <w:pPr>
        <w:shd w:fill="F2F4F5" w:color="auto" w:val="clear"/>
        <w:spacing w:after="0"/>
      </w:pPr>
      <w:r>
        <w:rPr>
          <w:rFonts w:ascii="Consolas" w:cs="Consolas" w:eastAsia="Consolas" w:hAnsi="Consolas"/>
          <w:sz w:val="17"/>
          <w:szCs w:val="17"/>
        </w:rPr>
        <w:t xml:space="preserve">    X = concat(train[dsf[s]] for s in combination)   # feature-level fusion</w:t>
      </w:r>
    </w:p>
    <w:p>
      <w:pPr>
        <w:shd w:fill="F2F4F5" w:color="auto" w:val="clear"/>
        <w:spacing w:after="0"/>
      </w:pPr>
      <w:r>
        <w:rPr>
          <w:rFonts w:ascii="Consolas" w:cs="Consolas" w:eastAsia="Consolas" w:hAnsi="Consolas"/>
          <w:sz w:val="17"/>
          <w:szCs w:val="17"/>
        </w:rPr>
        <w:t xml:space="preserve">    X = vif_filter(X)                                 # remove redundancy</w:t>
      </w:r>
    </w:p>
    <w:p>
      <w:pPr>
        <w:shd w:fill="F2F4F5" w:color="auto" w:val="clear"/>
        <w:spacing w:after="0"/>
      </w:pPr>
      <w:r>
        <w:rPr>
          <w:rFonts w:ascii="Consolas" w:cs="Consolas" w:eastAsia="Consolas" w:hAnsi="Consolas"/>
          <w:sz w:val="17"/>
          <w:szCs w:val="17"/>
        </w:rPr>
        <w:t xml:space="preserve">    pipe = Pipeline([impute, StandardScaler(), clf]) # scaler fitted on training only</w:t>
      </w:r>
    </w:p>
    <w:p>
      <w:pPr>
        <w:shd w:fill="F2F4F5" w:color="auto" w:val="clear"/>
        <w:spacing w:after="0"/>
      </w:pPr>
      <w:r>
        <w:rPr>
          <w:rFonts w:ascii="Consolas" w:cs="Consolas" w:eastAsia="Consolas" w:hAnsi="Consolas"/>
          <w:sz w:val="17"/>
          <w:szCs w:val="17"/>
        </w:rPr>
        <w:t xml:space="preserve">    ofc = SFFS(pipe, X, y, cv=GroupKFold(inner))     # optimal feature combination</w:t>
      </w:r>
    </w:p>
    <w:p>
      <w:pPr>
        <w:shd w:fill="F2F4F5" w:color="auto" w:val="clear"/>
        <w:spacing w:after="0"/>
      </w:pPr>
      <w:r>
        <w:rPr>
          <w:rFonts w:ascii="Consolas" w:cs="Consolas" w:eastAsia="Consolas" w:hAnsi="Consolas"/>
          <w:sz w:val="17"/>
          <w:szCs w:val="17"/>
        </w:rPr>
        <w:t xml:space="preserve">    model = GridSearchCV(pipe, grid, cv=inner).fit(X[ofc], y)</w:t>
      </w:r>
    </w:p>
    <w:p>
      <w:pPr>
        <w:shd w:fill="F2F4F5" w:color="auto" w:val="clear"/>
        <w:spacing w:after="0"/>
      </w:pPr>
      <w:r>
        <w:rPr>
          <w:rFonts w:ascii="Consolas" w:cs="Consolas" w:eastAsia="Consolas" w:hAnsi="Consolas"/>
          <w:sz w:val="17"/>
          <w:szCs w:val="17"/>
        </w:rPr>
        <w:t xml:space="preserve">    predictions[test] = model.predict(test[ofc])     # test plots used once</w:t>
      </w:r>
    </w:p>
    <w:p>
      <w:pPr>
        <w:shd w:fill="F2F4F5" w:color="auto" w:val="clear"/>
        <w:spacing w:after="0"/>
      </w:pPr>
      <w:r>
        <w:rPr>
          <w:rFonts w:ascii="Consolas" w:cs="Consolas" w:eastAsia="Consolas" w:hAnsi="Consolas"/>
          <w:sz w:val="17"/>
          <w:szCs w:val="17"/>
        </w:rPr>
        <w:t xml:space="preserve">report macro-F1, kappa, confusion matrix; McNemar vs single-sensor models</w:t>
      </w:r>
    </w:p>
    <w:p>
      <w:pPr>
        <w:spacing w:after="120"/>
      </w:pPr>
    </w:p>
    <w:p>
      <w:pPr>
        <w:spacing w:after="100" w:line="259"/>
        <w:jc w:val="both"/>
      </w:pPr>
      <w:r>
        <w:t xml:space="preserve">The tools are standard: scikit-learn (Pipeline, StratifiedGroupKFold, GridSearchCV), mlxtend's SequentialFeatureSelector with floating=True for SFFS, and PyTorch for the DL models. The same split object should generate the folds for every experiment so that predictions are paired.</w:t>
      </w:r>
    </w:p>
    <w:p>
      <w:pPr>
        <w:pStyle w:val="Heading2"/>
      </w:pPr>
      <w:r>
        <w:t xml:space="preserve">10.2 Recommended experiment plan</w:t>
      </w:r>
    </w:p>
    <w:p>
      <w:pPr>
        <w:keepNext/>
        <w:spacing w:after="80" w:before="160"/>
      </w:pPr>
      <w:r>
        <w:rPr>
          <w:b/>
          <w:bCs/>
          <w:color w:val="1C7C78"/>
          <w:sz w:val="20"/>
          <w:szCs w:val="20"/>
        </w:rPr>
        <w:t xml:space="preserve">Table 28. </w:t>
      </w:r>
      <w:r>
        <w:rPr>
          <w:color w:val="1F3A40"/>
          <w:sz w:val="20"/>
          <w:szCs w:val="20"/>
        </w:rPr>
        <w:t xml:space="preserve">Experiments E1–E8 (deck slide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7"/>
        <w:gridCol w:w="4041"/>
        <w:gridCol w:w="2798"/>
        <w:gridCol w:w="2022"/>
      </w:tblGrid>
      <w:tr>
        <w:trPr>
          <w:cantSplit/>
          <w:tblHeader/>
        </w:trPr>
        <w:tc>
          <w:tcPr>
            <w:tcW w:type="dxa" w:w="77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Exp.</w:t>
            </w:r>
          </w:p>
        </w:tc>
        <w:tc>
          <w:tcPr>
            <w:tcW w:type="dxa" w:w="404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Fusion level / method</w:t>
            </w:r>
          </w:p>
        </w:tc>
        <w:tc>
          <w:tcPr>
            <w:tcW w:type="dxa" w:w="2798"/>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Models</w:t>
            </w:r>
          </w:p>
        </w:tc>
        <w:tc>
          <w:tcPr>
            <w:tcW w:type="dxa" w:w="202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Objective</w:t>
            </w:r>
          </w:p>
        </w:tc>
      </w:tr>
      <w:tr>
        <w:trPr>
          <w:cantSplit/>
          <w:tblHeader w:val="false"/>
        </w:trPr>
        <w:tc>
          <w:tcPr>
            <w:tcW w:type="dxa" w:w="77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E1</w:t>
            </w:r>
          </w:p>
        </w:tc>
        <w:tc>
          <w:tcPr>
            <w:tcW w:type="dxa" w:w="40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Single sensor (no fusion), features + Phases 1–2</w:t>
            </w:r>
          </w:p>
        </w:tc>
        <w:tc>
          <w:tcPr>
            <w:tcW w:type="dxa" w:w="279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RF, SVM, KNN</w:t>
            </w:r>
          </w:p>
        </w:tc>
        <w:tc>
          <w:tcPr>
            <w:tcW w:type="dxa" w:w="20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O1, O2 baselines</w:t>
            </w:r>
          </w:p>
        </w:tc>
      </w:tr>
      <w:tr>
        <w:trPr>
          <w:cantSplit/>
          <w:tblHeader w:val="false"/>
        </w:trPr>
        <w:tc>
          <w:tcPr>
            <w:tcW w:type="dxa" w:w="77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E2</w:t>
            </w:r>
          </w:p>
        </w:tc>
        <w:tc>
          <w:tcPr>
            <w:tcW w:type="dxa" w:w="40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Feature-level ML fusion (Phase 3), 15 combinations</w:t>
            </w:r>
          </w:p>
        </w:tc>
        <w:tc>
          <w:tcPr>
            <w:tcW w:type="dxa" w:w="279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RF, SVM, KNN + LASSO/PLS-DA baselines</w:t>
            </w:r>
          </w:p>
        </w:tc>
        <w:tc>
          <w:tcPr>
            <w:tcW w:type="dxa" w:w="20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O3, O4</w:t>
            </w:r>
          </w:p>
        </w:tc>
      </w:tr>
      <w:tr>
        <w:trPr>
          <w:cantSplit/>
          <w:tblHeader w:val="false"/>
        </w:trPr>
        <w:tc>
          <w:tcPr>
            <w:tcW w:type="dxa" w:w="77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E3</w:t>
            </w:r>
          </w:p>
        </w:tc>
        <w:tc>
          <w:tcPr>
            <w:tcW w:type="dxa" w:w="40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Decision-level fusion of E1 models</w:t>
            </w:r>
          </w:p>
        </w:tc>
        <w:tc>
          <w:tcPr>
            <w:tcW w:type="dxa" w:w="279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Weighted mean, stacking</w:t>
            </w:r>
          </w:p>
        </w:tc>
        <w:tc>
          <w:tcPr>
            <w:tcW w:type="dxa" w:w="20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O3, robustness</w:t>
            </w:r>
          </w:p>
        </w:tc>
      </w:tr>
      <w:tr>
        <w:trPr>
          <w:cantSplit/>
          <w:tblHeader w:val="false"/>
        </w:trPr>
        <w:tc>
          <w:tcPr>
            <w:tcW w:type="dxa" w:w="77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E4</w:t>
            </w:r>
          </w:p>
        </w:tc>
        <w:tc>
          <w:tcPr>
            <w:tcW w:type="dxa" w:w="40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Validation: leave-one-date-out + Bharatpur external</w:t>
            </w:r>
          </w:p>
        </w:tc>
        <w:tc>
          <w:tcPr>
            <w:tcW w:type="dxa" w:w="279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Best of E2/E3</w:t>
            </w:r>
          </w:p>
        </w:tc>
        <w:tc>
          <w:tcPr>
            <w:tcW w:type="dxa" w:w="20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Transferability</w:t>
            </w:r>
          </w:p>
        </w:tc>
      </w:tr>
      <w:tr>
        <w:trPr>
          <w:cantSplit/>
          <w:tblHeader w:val="false"/>
        </w:trPr>
        <w:tc>
          <w:tcPr>
            <w:tcW w:type="dxa" w:w="77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E5</w:t>
            </w:r>
          </w:p>
        </w:tc>
        <w:tc>
          <w:tcPr>
            <w:tcW w:type="dxa" w:w="40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Kernel-level fusion (composite kernel / MKL)</w:t>
            </w:r>
          </w:p>
        </w:tc>
        <w:tc>
          <w:tcPr>
            <w:tcW w:type="dxa" w:w="279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SVM</w:t>
            </w:r>
          </w:p>
        </w:tc>
        <w:tc>
          <w:tcPr>
            <w:tcW w:type="dxa" w:w="20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Sensor weights</w:t>
            </w:r>
          </w:p>
        </w:tc>
      </w:tr>
      <w:tr>
        <w:trPr>
          <w:cantSplit/>
          <w:tblHeader w:val="false"/>
        </w:trPr>
        <w:tc>
          <w:tcPr>
            <w:tcW w:type="dxa" w:w="77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E6</w:t>
            </w:r>
          </w:p>
        </w:tc>
        <w:tc>
          <w:tcPr>
            <w:tcW w:type="dxa" w:w="40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DL single-sensor + intermediate fusion (+ attention MIL)</w:t>
            </w:r>
          </w:p>
        </w:tc>
        <w:tc>
          <w:tcPr>
            <w:tcW w:type="dxa" w:w="279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Multi-branch CNN</w:t>
            </w:r>
          </w:p>
        </w:tc>
        <w:tc>
          <w:tcPr>
            <w:tcW w:type="dxa" w:w="20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ML vs DL</w:t>
            </w:r>
          </w:p>
        </w:tc>
      </w:tr>
      <w:tr>
        <w:trPr>
          <w:cantSplit/>
          <w:tblHeader w:val="false"/>
        </w:trPr>
        <w:tc>
          <w:tcPr>
            <w:tcW w:type="dxa" w:w="77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E7</w:t>
            </w:r>
          </w:p>
        </w:tc>
        <w:tc>
          <w:tcPr>
            <w:tcW w:type="dxa" w:w="40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DL early and late fusion</w:t>
            </w:r>
          </w:p>
        </w:tc>
        <w:tc>
          <w:tcPr>
            <w:tcW w:type="dxa" w:w="279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Stacked CNN; averaged networks</w:t>
            </w:r>
          </w:p>
        </w:tc>
        <w:tc>
          <w:tcPr>
            <w:tcW w:type="dxa" w:w="202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Fusion-level comparison</w:t>
            </w:r>
          </w:p>
        </w:tc>
      </w:tr>
      <w:tr>
        <w:trPr>
          <w:cantSplit/>
          <w:tblHeader w:val="false"/>
        </w:trPr>
        <w:tc>
          <w:tcPr>
            <w:tcW w:type="dxa" w:w="77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E8</w:t>
            </w:r>
          </w:p>
        </w:tc>
        <w:tc>
          <w:tcPr>
            <w:tcW w:type="dxa" w:w="40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Pixel-level fusion (thermal sharpening / HS–RGB) for hotspot maps</w:t>
            </w:r>
          </w:p>
        </w:tc>
        <w:tc>
          <w:tcPr>
            <w:tcW w:type="dxa" w:w="279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TsHARP, MRA; quality metrics</w:t>
            </w:r>
          </w:p>
        </w:tc>
        <w:tc>
          <w:tcPr>
            <w:tcW w:type="dxa" w:w="202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Within-plot maps</w:t>
            </w:r>
          </w:p>
        </w:tc>
      </w:tr>
    </w:tbl>
    <w:p>
      <w:pPr>
        <w:spacing w:after="120"/>
      </w:pPr>
    </w:p>
    <w:p>
      <w:pPr>
        <w:spacing w:after="100" w:line="259"/>
        <w:jc w:val="both"/>
      </w:pPr>
      <w:r>
        <w:t xml:space="preserve">Experiments E1–E4 are essential for the thesis; E5–E8 strengthen it if time and data allow. The design follows the fusion-level comparison of Hong et al. (2021) and the ML-versus-DL comparison of Maimaitijiang et al. (2020), with nested, plot-grouped validation (Varma &amp; Simon, 2006).</w:t>
      </w:r>
    </w:p>
    <w:p>
      <w:pPr>
        <w:pStyle w:val="Heading2"/>
      </w:pPr>
      <w:r>
        <w:t xml:space="preserve">10.3 Outputs to report for each experiment</w:t>
      </w:r>
    </w:p>
    <w:p>
      <w:pPr>
        <w:keepNext/>
        <w:spacing w:after="80" w:before="160"/>
      </w:pPr>
      <w:r>
        <w:rPr>
          <w:b/>
          <w:bCs/>
          <w:color w:val="1C7C78"/>
          <w:sz w:val="20"/>
          <w:szCs w:val="20"/>
        </w:rPr>
        <w:t xml:space="preserve">Table 29. </w:t>
      </w:r>
      <w:r>
        <w:rPr>
          <w:color w:val="1F3A40"/>
          <w:sz w:val="20"/>
          <w:szCs w:val="20"/>
        </w:rPr>
        <w:t xml:space="preserve">Outputs to report (deck slide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Tables</w:t>
            </w:r>
          </w:p>
        </w:tc>
        <w:tc>
          <w:tcPr>
            <w:tcW w:type="dxa" w:w="321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Figures</w:t>
            </w:r>
          </w:p>
        </w:tc>
        <w:tc>
          <w:tcPr>
            <w:tcW w:type="dxa" w:w="3214"/>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Quality statements</w:t>
            </w:r>
          </w:p>
        </w:tc>
      </w:tr>
      <w:tr>
        <w:trPr>
          <w:cantSplit/>
          <w:tblHeader w:val="false"/>
        </w:trPr>
        <w:tc>
          <w:tcPr>
            <w:tcW w:type="dxa" w:w="321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Feature list per sensor (Phase 1)</w:t>
            </w:r>
          </w:p>
        </w:tc>
        <w:tc>
          <w:tcPr>
            <w:tcW w:type="dxa" w:w="321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Workflow diagram</w:t>
            </w:r>
          </w:p>
        </w:tc>
        <w:tc>
          <w:tcPr>
            <w:tcW w:type="dxa" w:w="321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Co-registration RMSE per sensor and date</w:t>
            </w:r>
          </w:p>
        </w:tc>
      </w:tr>
      <w:tr>
        <w:trPr>
          <w:cantSplit/>
          <w:tblHeader w:val="false"/>
        </w:trPr>
        <w:tc>
          <w:tcPr>
            <w:tcW w:type="dxa" w:w="321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Single-sensor results (E1)</w:t>
            </w:r>
          </w:p>
        </w:tc>
        <w:tc>
          <w:tcPr>
            <w:tcW w:type="dxa" w:w="321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Confusion matrices (best single vs best fused)</w:t>
            </w:r>
          </w:p>
        </w:tc>
        <w:tc>
          <w:tcPr>
            <w:tcW w:type="dxa" w:w="321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Calibration checks</w:t>
            </w:r>
          </w:p>
        </w:tc>
      </w:tr>
      <w:tr>
        <w:trPr>
          <w:cantSplit/>
          <w:tblHeader w:val="false"/>
        </w:trPr>
        <w:tc>
          <w:tcPr>
            <w:tcW w:type="dxa" w:w="321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15-combination fusion table (E2/E3)</w:t>
            </w:r>
          </w:p>
        </w:tc>
        <w:tc>
          <w:tcPr>
            <w:tcW w:type="dxa" w:w="321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Accuracy vs number or cost of sensors</w:t>
            </w:r>
          </w:p>
        </w:tc>
        <w:tc>
          <w:tcPr>
            <w:tcW w:type="dxa" w:w="321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Class distribution per date</w:t>
            </w:r>
          </w:p>
        </w:tc>
      </w:tr>
      <w:tr>
        <w:trPr>
          <w:cantSplit/>
          <w:tblHeader w:val="false"/>
        </w:trPr>
        <w:tc>
          <w:tcPr>
            <w:tcW w:type="dxa" w:w="321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Fusion-level comparison with McNemar</w:t>
            </w:r>
          </w:p>
        </w:tc>
        <w:tc>
          <w:tcPr>
            <w:tcW w:type="dxa" w:w="321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Permutation importance; gating weights</w:t>
            </w:r>
          </w:p>
        </w:tc>
        <w:tc>
          <w:tcPr>
            <w:tcW w:type="dxa" w:w="3214"/>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Limitations: plot-level labels, one season, leaf-underside symptoms</w:t>
            </w:r>
          </w:p>
        </w:tc>
      </w:tr>
      <w:tr>
        <w:trPr>
          <w:cantSplit/>
          <w:tblHeader w:val="false"/>
        </w:trPr>
        <w:tc>
          <w:tcPr>
            <w:tcW w:type="dxa" w:w="321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External test (Bharatpur)</w:t>
            </w:r>
          </w:p>
        </w:tc>
        <w:tc>
          <w:tcPr>
            <w:tcW w:type="dxa" w:w="321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Severity maps per date</w:t>
            </w:r>
          </w:p>
        </w:tc>
        <w:tc>
          <w:tcPr>
            <w:tcW w:type="dxa" w:w="3214"/>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p>
        </w:tc>
      </w:tr>
    </w:tbl>
    <w:p>
      <w:pPr>
        <w:spacing w:after="120"/>
      </w:pPr>
    </w:p>
    <w:p>
      <w:pPr>
        <w:pStyle w:val="Heading2"/>
      </w:pPr>
      <w:r>
        <w:t xml:space="preserve">10.4 Checklist: common mistakes in multimodal fusion studies</w:t>
      </w:r>
    </w:p>
    <w:p>
      <w:pPr>
        <w:pStyle w:val="ListParagraph"/>
        <w:numPr>
          <w:ilvl w:val="0"/>
          <w:numId w:val="3"/>
        </w:numPr>
        <w:spacing w:after="50" w:line="252"/>
      </w:pPr>
      <w:r>
        <w:t xml:space="preserve">Sensors flown on different days or far apart in time.</w:t>
      </w:r>
    </w:p>
    <w:p>
      <w:pPr>
        <w:pStyle w:val="ListParagraph"/>
        <w:numPr>
          <w:ilvl w:val="0"/>
          <w:numId w:val="3"/>
        </w:numPr>
        <w:spacing w:after="50" w:line="252"/>
      </w:pPr>
      <w:r>
        <w:t xml:space="preserve">No co-registration check (thermal shifted by several pixels).</w:t>
      </w:r>
    </w:p>
    <w:p>
      <w:pPr>
        <w:pStyle w:val="ListParagraph"/>
        <w:numPr>
          <w:ilvl w:val="0"/>
          <w:numId w:val="3"/>
        </w:numPr>
        <w:spacing w:after="50" w:line="252"/>
      </w:pPr>
      <w:r>
        <w:t xml:space="preserve">Raw canopy temperature used across dates (weather confounds disease).</w:t>
      </w:r>
    </w:p>
    <w:p>
      <w:pPr>
        <w:pStyle w:val="ListParagraph"/>
        <w:numPr>
          <w:ilvl w:val="0"/>
          <w:numId w:val="3"/>
        </w:numPr>
        <w:spacing w:after="50" w:line="252"/>
      </w:pPr>
      <w:r>
        <w:t xml:space="preserve">Scaling or feature selection fitted on all plots before CV (leakage).</w:t>
      </w:r>
    </w:p>
    <w:p>
      <w:pPr>
        <w:pStyle w:val="ListParagraph"/>
        <w:numPr>
          <w:ilvl w:val="0"/>
          <w:numId w:val="3"/>
        </w:numPr>
        <w:spacing w:after="50" w:line="252"/>
      </w:pPr>
      <w:r>
        <w:t xml:space="preserve">Pixels or tiles of one plot in both training and test sets.</w:t>
      </w:r>
    </w:p>
    <w:p>
      <w:pPr>
        <w:pStyle w:val="ListParagraph"/>
        <w:numPr>
          <w:ilvl w:val="0"/>
          <w:numId w:val="3"/>
        </w:numPr>
        <w:spacing w:after="50" w:line="252"/>
      </w:pPr>
      <w:r>
        <w:t xml:space="preserve">Fusion compared with single sensors without a paired statistical test.</w:t>
      </w:r>
    </w:p>
    <w:p>
      <w:pPr>
        <w:pStyle w:val="ListParagraph"/>
        <w:numPr>
          <w:ilvl w:val="0"/>
          <w:numId w:val="3"/>
        </w:numPr>
        <w:spacing w:after="50" w:line="252"/>
      </w:pPr>
      <w:r>
        <w:t xml:space="preserve">One sensor dominating because it has many more features.</w:t>
      </w:r>
    </w:p>
    <w:p>
      <w:pPr>
        <w:pStyle w:val="ListParagraph"/>
        <w:numPr>
          <w:ilvl w:val="0"/>
          <w:numId w:val="3"/>
        </w:numPr>
        <w:spacing w:after="50" w:line="252"/>
      </w:pPr>
      <w:r>
        <w:t xml:space="preserve">DL claimed better without the same folds as ML.</w:t>
      </w:r>
    </w:p>
    <w:p>
      <w:pPr>
        <w:pStyle w:val="ListParagraph"/>
        <w:numPr>
          <w:ilvl w:val="0"/>
          <w:numId w:val="3"/>
        </w:numPr>
        <w:spacing w:after="50" w:line="252"/>
      </w:pPr>
      <w:r>
        <w:t xml:space="preserve">Pixel-level maps claimed without pixel-level or quadrat validation.</w:t>
      </w:r>
    </w:p>
    <w:p>
      <w:pPr>
        <w:pStyle w:val="ListParagraph"/>
        <w:numPr>
          <w:ilvl w:val="0"/>
          <w:numId w:val="3"/>
        </w:numPr>
        <w:spacing w:after="50" w:line="252"/>
      </w:pPr>
      <w:r>
        <w:t xml:space="preserve">Leaf-underside symptoms ignored in ground truth.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go through this list before submitting a thesis chapter or paper.</w:t>
            </w:r>
          </w:p>
        </w:tc>
      </w:tr>
    </w:tbl>
    <w:p>
      <w:pPr>
        <w:spacing w:after="120"/>
      </w:pPr>
    </w:p>
    <w:p>
      <w:pPr>
        <w:spacing w:after="160"/>
      </w:pPr>
      <w:r>
        <w:rPr>
          <w:i/>
          <w:iCs/>
          <w:color w:val="5E7A7E"/>
          <w:sz w:val="18"/>
          <w:szCs w:val="18"/>
        </w:rPr>
        <w:t xml:space="preserve">Key sources: Su et al. (2018); Varma &amp; Simon (2006); Roberts et al. (2017); Wang, Tran &amp; Feiszli (2020); Bohnenkamp et al. (2019).</w:t>
      </w:r>
    </w:p>
    <w:p>
      <w:pPr>
        <w:pStyle w:val="Heading1"/>
        <w:pageBreakBefore/>
      </w:pPr>
      <w:r>
        <w:t xml:space="preserve">11. Case studies: how other studies used these methods and what they obtained</w:t>
      </w:r>
    </w:p>
    <w:p>
      <w:pPr>
        <w:spacing w:after="100" w:line="259"/>
        <w:jc w:val="both"/>
      </w:pPr>
      <w:r>
        <w:t xml:space="preserve">This chapter presents nineteen published studies in detail. They were chosen because each one demonstrates a method from Chapters 3–9 on real plant or remote-sensing data. Every case follows the same structure: an at-a-glance table, what the authors did, what they obtained, the limitations, and what MuDAS-AI should take from it. The cross-check status in each table says how the quoted numbers were verified (see Chapter 12).</w:t>
      </w:r>
    </w:p>
    <w:p>
      <w:pPr>
        <w:keepNext/>
        <w:spacing w:after="80" w:before="160"/>
      </w:pPr>
      <w:r>
        <w:rPr>
          <w:b/>
          <w:bCs/>
          <w:color w:val="1C7C78"/>
          <w:sz w:val="20"/>
          <w:szCs w:val="20"/>
        </w:rPr>
        <w:t xml:space="preserve">Table 30. </w:t>
      </w:r>
      <w:r>
        <w:rPr>
          <w:color w:val="1F3A40"/>
          <w:sz w:val="20"/>
          <w:szCs w:val="20"/>
        </w:rPr>
        <w:t xml:space="preserve">Overview of the case studies.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372"/>
        <w:gridCol w:w="2668"/>
        <w:gridCol w:w="3857"/>
      </w:tblGrid>
      <w:tr>
        <w:trPr>
          <w:cantSplit/>
          <w:tblHeader/>
        </w:trPr>
        <w:tc>
          <w:tcPr>
            <w:tcW w:type="dxa" w:w="74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w:t>
            </w:r>
          </w:p>
        </w:tc>
        <w:tc>
          <w:tcPr>
            <w:tcW w:type="dxa" w:w="2372"/>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Study</w:t>
            </w:r>
          </w:p>
        </w:tc>
        <w:tc>
          <w:tcPr>
            <w:tcW w:type="dxa" w:w="2668"/>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Fusion level demonstrated</w:t>
            </w:r>
          </w:p>
        </w:tc>
        <w:tc>
          <w:tcPr>
            <w:tcW w:type="dxa" w:w="385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Why it is relevant</w:t>
            </w:r>
          </w:p>
        </w:tc>
      </w:tr>
      <w:tr>
        <w:trPr>
          <w:cantSplit/>
          <w:tblHeader w:val="false"/>
        </w:trPr>
        <w:tc>
          <w:tcPr>
            <w:tcW w:type="dxa" w:w="7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11.1</w:t>
            </w:r>
          </w:p>
        </w:tc>
        <w:tc>
          <w:tcPr>
            <w:tcW w:type="dxa" w:w="237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Maimaitijiang et al. 2020</w:t>
            </w:r>
          </w:p>
        </w:tc>
        <w:tc>
          <w:tcPr>
            <w:tcW w:type="dxa" w:w="266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Feature (ML) + intermediate DL</w:t>
            </w:r>
          </w:p>
        </w:tc>
        <w:tc>
          <w:tcPr>
            <w:tcW w:type="dxa" w:w="385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Closest UAV analogue: RGB + MS + thermal, ML vs DL fusion</w:t>
            </w:r>
          </w:p>
        </w:tc>
      </w:tr>
      <w:tr>
        <w:trPr>
          <w:cantSplit/>
          <w:tblHeader w:val="false"/>
        </w:trPr>
        <w:tc>
          <w:tcPr>
            <w:tcW w:type="dxa" w:w="7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11.2</w:t>
            </w:r>
          </w:p>
        </w:tc>
        <w:tc>
          <w:tcPr>
            <w:tcW w:type="dxa" w:w="237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Feng et al. 2022</w:t>
            </w:r>
          </w:p>
        </w:tc>
        <w:tc>
          <w:tcPr>
            <w:tcW w:type="dxa" w:w="266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Feature (ML)</w:t>
            </w:r>
          </w:p>
        </w:tc>
        <w:tc>
          <w:tcPr>
            <w:tcW w:type="dxa" w:w="385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HS + thermal + RGB for a foliar fungal disease; single vs multi-source</w:t>
            </w:r>
          </w:p>
        </w:tc>
      </w:tr>
      <w:tr>
        <w:trPr>
          <w:cantSplit/>
          <w:tblHeader w:val="false"/>
        </w:trPr>
        <w:tc>
          <w:tcPr>
            <w:tcW w:type="dxa" w:w="7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11.3</w:t>
            </w:r>
          </w:p>
        </w:tc>
        <w:tc>
          <w:tcPr>
            <w:tcW w:type="dxa" w:w="237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Liu et al. 2024</w:t>
            </w:r>
          </w:p>
        </w:tc>
        <w:tc>
          <w:tcPr>
            <w:tcW w:type="dxa" w:w="266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Feature (ML)</w:t>
            </w:r>
          </w:p>
        </w:tc>
        <w:tc>
          <w:tcPr>
            <w:tcW w:type="dxa" w:w="385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UAV MS + thermal; percentile and texture features; earlier detection</w:t>
            </w:r>
          </w:p>
        </w:tc>
      </w:tr>
      <w:tr>
        <w:trPr>
          <w:cantSplit/>
          <w:tblHeader w:val="false"/>
        </w:trPr>
        <w:tc>
          <w:tcPr>
            <w:tcW w:type="dxa" w:w="7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11.4</w:t>
            </w:r>
          </w:p>
        </w:tc>
        <w:tc>
          <w:tcPr>
            <w:tcW w:type="dxa" w:w="237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Mahlein et al. 2019</w:t>
            </w:r>
          </w:p>
        </w:tc>
        <w:tc>
          <w:tcPr>
            <w:tcW w:type="dxa" w:w="266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Feature (ML)</w:t>
            </w:r>
          </w:p>
        </w:tc>
        <w:tc>
          <w:tcPr>
            <w:tcW w:type="dxa" w:w="385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Thermal + fluorescence + HS; which combinations help</w:t>
            </w:r>
          </w:p>
        </w:tc>
      </w:tr>
      <w:tr>
        <w:trPr>
          <w:cantSplit/>
          <w:tblHeader w:val="false"/>
        </w:trPr>
        <w:tc>
          <w:tcPr>
            <w:tcW w:type="dxa" w:w="7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11.5</w:t>
            </w:r>
          </w:p>
        </w:tc>
        <w:tc>
          <w:tcPr>
            <w:tcW w:type="dxa" w:w="237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Mustafa et al. 2023</w:t>
            </w:r>
          </w:p>
        </w:tc>
        <w:tc>
          <w:tcPr>
            <w:tcW w:type="dxa" w:w="266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Feature (ML) + SFFS</w:t>
            </w:r>
          </w:p>
        </w:tc>
        <w:tc>
          <w:tcPr>
            <w:tcW w:type="dxa" w:w="385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Multimodal feature selection from asymptomatic stage</w:t>
            </w:r>
          </w:p>
        </w:tc>
      </w:tr>
      <w:tr>
        <w:trPr>
          <w:cantSplit/>
          <w:tblHeader w:val="false"/>
        </w:trPr>
        <w:tc>
          <w:tcPr>
            <w:tcW w:type="dxa" w:w="7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11.6</w:t>
            </w:r>
          </w:p>
        </w:tc>
        <w:tc>
          <w:tcPr>
            <w:tcW w:type="dxa" w:w="237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Zarco-Tejada et al. 2018</w:t>
            </w:r>
          </w:p>
        </w:tc>
        <w:tc>
          <w:tcPr>
            <w:tcW w:type="dxa" w:w="266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Feature (physiological traits)</w:t>
            </w:r>
          </w:p>
        </w:tc>
        <w:tc>
          <w:tcPr>
            <w:tcW w:type="dxa" w:w="385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Thermal + HS traits reveal pre-visual infection</w:t>
            </w:r>
          </w:p>
        </w:tc>
      </w:tr>
      <w:tr>
        <w:trPr>
          <w:cantSplit/>
          <w:tblHeader w:val="false"/>
        </w:trPr>
        <w:tc>
          <w:tcPr>
            <w:tcW w:type="dxa" w:w="7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11.7</w:t>
            </w:r>
          </w:p>
        </w:tc>
        <w:tc>
          <w:tcPr>
            <w:tcW w:type="dxa" w:w="237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Calderón et al. 2015</w:t>
            </w:r>
          </w:p>
        </w:tc>
        <w:tc>
          <w:tcPr>
            <w:tcW w:type="dxa" w:w="266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Feature (ML), severity classes</w:t>
            </w:r>
          </w:p>
        </w:tc>
        <w:tc>
          <w:tcPr>
            <w:tcW w:type="dxa" w:w="385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Severity-level classification; per-class accuracy</w:t>
            </w:r>
          </w:p>
        </w:tc>
      </w:tr>
      <w:tr>
        <w:trPr>
          <w:cantSplit/>
          <w:tblHeader w:val="false"/>
        </w:trPr>
        <w:tc>
          <w:tcPr>
            <w:tcW w:type="dxa" w:w="7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11.8</w:t>
            </w:r>
          </w:p>
        </w:tc>
        <w:tc>
          <w:tcPr>
            <w:tcW w:type="dxa" w:w="237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Kerkech et al. 2020a</w:t>
            </w:r>
          </w:p>
        </w:tc>
        <w:tc>
          <w:tcPr>
            <w:tcW w:type="dxa" w:w="266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Data (registration) + decision (DL)</w:t>
            </w:r>
          </w:p>
        </w:tc>
        <w:tc>
          <w:tcPr>
            <w:tcW w:type="dxa" w:w="385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Visible–IR registration and late fusion of segmentations</w:t>
            </w:r>
          </w:p>
        </w:tc>
      </w:tr>
      <w:tr>
        <w:trPr>
          <w:cantSplit/>
          <w:tblHeader w:val="false"/>
        </w:trPr>
        <w:tc>
          <w:tcPr>
            <w:tcW w:type="dxa" w:w="7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11.9</w:t>
            </w:r>
          </w:p>
        </w:tc>
        <w:tc>
          <w:tcPr>
            <w:tcW w:type="dxa" w:w="237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Kerkech et al. 2020b</w:t>
            </w:r>
          </w:p>
        </w:tc>
        <w:tc>
          <w:tcPr>
            <w:tcW w:type="dxa" w:w="266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Intermediate DL</w:t>
            </w:r>
          </w:p>
        </w:tc>
        <w:tc>
          <w:tcPr>
            <w:tcW w:type="dxa" w:w="385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Parallel encoders for visible, IR and depth</w:t>
            </w:r>
          </w:p>
        </w:tc>
      </w:tr>
      <w:tr>
        <w:trPr>
          <w:cantSplit/>
          <w:tblHeader w:val="false"/>
        </w:trPr>
        <w:tc>
          <w:tcPr>
            <w:tcW w:type="dxa" w:w="7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11.10</w:t>
            </w:r>
          </w:p>
        </w:tc>
        <w:tc>
          <w:tcPr>
            <w:tcW w:type="dxa" w:w="237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Audebert et al. 2018</w:t>
            </w:r>
          </w:p>
        </w:tc>
        <w:tc>
          <w:tcPr>
            <w:tcW w:type="dxa" w:w="266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Early vs late DL</w:t>
            </w:r>
          </w:p>
        </w:tc>
        <w:tc>
          <w:tcPr>
            <w:tcW w:type="dxa" w:w="385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Systematic early/late comparison; missing data</w:t>
            </w:r>
          </w:p>
        </w:tc>
      </w:tr>
      <w:tr>
        <w:trPr>
          <w:cantSplit/>
          <w:tblHeader w:val="false"/>
        </w:trPr>
        <w:tc>
          <w:tcPr>
            <w:tcW w:type="dxa" w:w="7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11.11</w:t>
            </w:r>
          </w:p>
        </w:tc>
        <w:tc>
          <w:tcPr>
            <w:tcW w:type="dxa" w:w="237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Hong et al. 2021</w:t>
            </w:r>
          </w:p>
        </w:tc>
        <w:tc>
          <w:tcPr>
            <w:tcW w:type="dxa" w:w="266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Early, middle, late, cross DL</w:t>
            </w:r>
          </w:p>
        </w:tc>
        <w:tc>
          <w:tcPr>
            <w:tcW w:type="dxa" w:w="385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Five DL fusion architectures compared</w:t>
            </w:r>
          </w:p>
        </w:tc>
      </w:tr>
      <w:tr>
        <w:trPr>
          <w:cantSplit/>
          <w:tblHeader w:val="false"/>
        </w:trPr>
        <w:tc>
          <w:tcPr>
            <w:tcW w:type="dxa" w:w="7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11.12</w:t>
            </w:r>
          </w:p>
        </w:tc>
        <w:tc>
          <w:tcPr>
            <w:tcW w:type="dxa" w:w="237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Su et al. 2018</w:t>
            </w:r>
          </w:p>
        </w:tc>
        <w:tc>
          <w:tcPr>
            <w:tcW w:type="dxa" w:w="266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Single sensor (MS) baseline</w:t>
            </w:r>
          </w:p>
        </w:tc>
        <w:tc>
          <w:tcPr>
            <w:tcW w:type="dxa" w:w="385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UAV multispectral rust detection; early-stage limits</w:t>
            </w:r>
          </w:p>
        </w:tc>
      </w:tr>
      <w:tr>
        <w:trPr>
          <w:cantSplit/>
          <w:tblHeader w:val="false"/>
        </w:trPr>
        <w:tc>
          <w:tcPr>
            <w:tcW w:type="dxa" w:w="7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11.13</w:t>
            </w:r>
          </w:p>
        </w:tc>
        <w:tc>
          <w:tcPr>
            <w:tcW w:type="dxa" w:w="237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Guo et al. 2021</w:t>
            </w:r>
          </w:p>
        </w:tc>
        <w:tc>
          <w:tcPr>
            <w:tcW w:type="dxa" w:w="266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Feature fusion within HS (spectral + texture)</w:t>
            </w:r>
          </w:p>
        </w:tc>
        <w:tc>
          <w:tcPr>
            <w:tcW w:type="dxa" w:w="385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Texture + indices; effect of spatial resolution</w:t>
            </w:r>
          </w:p>
        </w:tc>
      </w:tr>
      <w:tr>
        <w:trPr>
          <w:cantSplit/>
          <w:tblHeader w:val="false"/>
        </w:trPr>
        <w:tc>
          <w:tcPr>
            <w:tcW w:type="dxa" w:w="7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11.14</w:t>
            </w:r>
          </w:p>
        </w:tc>
        <w:tc>
          <w:tcPr>
            <w:tcW w:type="dxa" w:w="237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Bohnenkamp et al. 2019</w:t>
            </w:r>
          </w:p>
        </w:tc>
        <w:tc>
          <w:tcPr>
            <w:tcW w:type="dxa" w:w="266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Single sensor, cross-scale</w:t>
            </w:r>
          </w:p>
        </w:tc>
        <w:tc>
          <w:tcPr>
            <w:tcW w:type="dxa" w:w="385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Ground vs UAV transfer of selected features</w:t>
            </w:r>
          </w:p>
        </w:tc>
      </w:tr>
      <w:tr>
        <w:trPr>
          <w:cantSplit/>
          <w:tblHeader w:val="false"/>
        </w:trPr>
        <w:tc>
          <w:tcPr>
            <w:tcW w:type="dxa" w:w="7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11.15</w:t>
            </w:r>
          </w:p>
        </w:tc>
        <w:tc>
          <w:tcPr>
            <w:tcW w:type="dxa" w:w="237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Whetton et al. 2018</w:t>
            </w:r>
          </w:p>
        </w:tc>
        <w:tc>
          <w:tcPr>
            <w:tcW w:type="dxa" w:w="266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Single sensor, label method</w:t>
            </w:r>
          </w:p>
        </w:tc>
        <w:tc>
          <w:tcPr>
            <w:tcW w:type="dxa" w:w="385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Ground truth method changes model accuracy</w:t>
            </w:r>
          </w:p>
        </w:tc>
      </w:tr>
      <w:tr>
        <w:trPr>
          <w:cantSplit/>
          <w:tblHeader w:val="false"/>
        </w:trPr>
        <w:tc>
          <w:tcPr>
            <w:tcW w:type="dxa" w:w="7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11.16</w:t>
            </w:r>
          </w:p>
        </w:tc>
        <w:tc>
          <w:tcPr>
            <w:tcW w:type="dxa" w:w="237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Tian et al. 2021</w:t>
            </w:r>
          </w:p>
        </w:tc>
        <w:tc>
          <w:tcPr>
            <w:tcW w:type="dxa" w:w="266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Feature selection (DSSF + ML-SFFS)</w:t>
            </w:r>
          </w:p>
        </w:tc>
        <w:tc>
          <w:tcPr>
            <w:tcW w:type="dxa" w:w="385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Template for Phases 1–2</w:t>
            </w:r>
          </w:p>
        </w:tc>
      </w:tr>
      <w:tr>
        <w:trPr>
          <w:cantSplit/>
          <w:tblHeader w:val="false"/>
        </w:trPr>
        <w:tc>
          <w:tcPr>
            <w:tcW w:type="dxa" w:w="7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11.17</w:t>
            </w:r>
          </w:p>
        </w:tc>
        <w:tc>
          <w:tcPr>
            <w:tcW w:type="dxa" w:w="237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Pan et al. 2021</w:t>
            </w:r>
          </w:p>
        </w:tc>
        <w:tc>
          <w:tcPr>
            <w:tcW w:type="dxa" w:w="266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Pixel DL + weak labels</w:t>
            </w:r>
          </w:p>
        </w:tc>
        <w:tc>
          <w:tcPr>
            <w:tcW w:type="dxa" w:w="385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Weak supervision from an SVM to train PSPNet</w:t>
            </w:r>
          </w:p>
        </w:tc>
      </w:tr>
      <w:tr>
        <w:trPr>
          <w:cantSplit/>
          <w:tblHeader w:val="false"/>
        </w:trPr>
        <w:tc>
          <w:tcPr>
            <w:tcW w:type="dxa" w:w="74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11.18</w:t>
            </w:r>
          </w:p>
        </w:tc>
        <w:tc>
          <w:tcPr>
            <w:tcW w:type="dxa" w:w="2372"/>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Shi et al. 2022</w:t>
            </w:r>
          </w:p>
        </w:tc>
        <w:tc>
          <w:tcPr>
            <w:tcW w:type="dxa" w:w="266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DL encoder (HS)</w:t>
            </w:r>
          </w:p>
        </w:tc>
        <w:tc>
          <w:tcPr>
            <w:tcW w:type="dxa" w:w="385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Capsule network; independent-dataset test</w:t>
            </w:r>
          </w:p>
        </w:tc>
      </w:tr>
      <w:tr>
        <w:trPr>
          <w:cantSplit/>
          <w:tblHeader w:val="false"/>
        </w:trPr>
        <w:tc>
          <w:tcPr>
            <w:tcW w:type="dxa" w:w="74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11.19</w:t>
            </w:r>
          </w:p>
        </w:tc>
        <w:tc>
          <w:tcPr>
            <w:tcW w:type="dxa" w:w="2372"/>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Zhang X. et al. 2019</w:t>
            </w:r>
          </w:p>
        </w:tc>
        <w:tc>
          <w:tcPr>
            <w:tcW w:type="dxa" w:w="266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DL encoder (HS)</w:t>
            </w:r>
          </w:p>
        </w:tc>
        <w:tc>
          <w:tcPr>
            <w:tcW w:type="dxa" w:w="385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Deep CNN vs random forest for yellow rust</w:t>
            </w:r>
          </w:p>
        </w:tc>
      </w:tr>
    </w:tbl>
    <w:p>
      <w:pPr>
        <w:spacing w:after="120"/>
      </w:pPr>
    </w:p>
    <w:p>
      <w:pPr>
        <w:pStyle w:val="Heading2"/>
      </w:pPr>
      <w:r>
        <w:t xml:space="preserve">11.1 Maimaitijiang et al. (2020): RGB + multispectral + thermal fusion with ML and DL</w:t>
      </w:r>
    </w:p>
    <w:p>
      <w:pPr>
        <w:keepNext/>
        <w:spacing w:after="60"/>
      </w:pPr>
      <w:r>
        <w:rPr>
          <w:i/>
          <w:iCs/>
          <w:color w:val="5E7A7E"/>
          <w:sz w:val="18"/>
          <w:szCs w:val="18"/>
        </w:rPr>
        <w:t xml:space="preserve">Maimaitijiang, M., et al. (2020). Soybean yield prediction from UAV using multimodal data fusion and deep learning. Remote Sensing of Environment 237, 111599.</w:t>
      </w:r>
    </w:p>
    <w:p>
      <w:pPr>
        <w:keepNext/>
        <w:spacing w:after="80" w:before="160"/>
      </w:pPr>
      <w:r>
        <w:rPr>
          <w:b/>
          <w:bCs/>
          <w:color w:val="1C7C78"/>
          <w:sz w:val="20"/>
          <w:szCs w:val="20"/>
        </w:rPr>
        <w:t xml:space="preserve">Table 31. </w:t>
      </w:r>
      <w:r>
        <w:rPr>
          <w:color w:val="1F3A40"/>
          <w:sz w:val="20"/>
          <w:szCs w:val="20"/>
        </w:rPr>
        <w:t xml:space="preserve">At a glance: the closest analogue to MuDAS-AI's sensor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Soybean; yield (regression); field plots near Columbia, Missouri, USA</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RGB, multispectral and thermal cameras on one low-cost UAV</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Feature level (ML and DNN-F1 input-level fusion) and intermediate level (DNN-F2)</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Canopy spectral, structure (height, cover), thermal and texture features; PLSR, RFR, SVR, DNN-F1, DNN-F2</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Training/test split; accuracy reported as R² and relative RMSE; spatial distribution of errors examined</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Partly verified: design confirmed; numbers marked † come from earlier full-text reading or secondary sources and should be re-checked before citing. † RMSE% 15.9% (secondary citation); † ~950 plots (earlier reading).</w:t>
            </w:r>
          </w:p>
        </w:tc>
      </w:tr>
    </w:tbl>
    <w:p>
      <w:pPr>
        <w:spacing w:after="120"/>
      </w:pPr>
    </w:p>
    <w:p>
      <w:pPr>
        <w:pStyle w:val="Heading3"/>
      </w:pPr>
      <w:r>
        <w:t xml:space="preserve">What they did</w:t>
      </w:r>
    </w:p>
    <w:p>
      <w:pPr>
        <w:spacing w:after="100" w:line="259"/>
        <w:jc w:val="both"/>
      </w:pPr>
      <w:r>
        <w:t xml:space="preserve">The authors extracted four groups of features per plot from three UAV sensors: canopy spectral indices (multispectral), canopy structure (height and cover from RGB photogrammetry), canopy thermal information, and texture. They compared classical regressors (partial least squares, random forest and support vector regression) with two deep neural network designs. In DNN-F1 the features of all sensors were concatenated at the input (input-level fusion); in DNN-F2 each feature group passed through its own sub-network before the representations were merged (intermediate-level fusion).</w:t>
      </w:r>
    </w:p>
    <w:p>
      <w:pPr>
        <w:spacing w:after="100" w:line="259"/>
        <w:jc w:val="both"/>
      </w:pPr>
      <w:r>
        <w:t xml:space="preserve">This design is exactly the ML-versus-DL and early-versus-intermediate comparison planned for MuDAS-AI, but for yield rather than disease.</w:t>
      </w:r>
    </w:p>
    <w:p>
      <w:pPr>
        <w:pStyle w:val="Heading3"/>
      </w:pPr>
      <w:r>
        <w:t xml:space="preserve">What they obtained</w:t>
      </w:r>
    </w:p>
    <w:p>
      <w:pPr>
        <w:pStyle w:val="ListParagraph"/>
        <w:numPr>
          <w:ilvl w:val="0"/>
          <w:numId w:val="3"/>
        </w:numPr>
        <w:spacing w:after="50" w:line="252"/>
      </w:pPr>
      <w:r>
        <w:t xml:space="preserve">Multimodal fusion improved yield prediction accuracy compared with single-sensor models and was more adaptable to spatial variation (errors were less spatially clustered).</w:t>
      </w:r>
    </w:p>
    <w:p>
      <w:pPr>
        <w:pStyle w:val="ListParagraph"/>
        <w:numPr>
          <w:ilvl w:val="0"/>
          <w:numId w:val="3"/>
        </w:numPr>
        <w:spacing w:after="50" w:line="252"/>
      </w:pPr>
      <w:r>
        <w:t xml:space="preserve">The best model was DNN-F2 (intermediate fusion) with R² = 0.720 (relative RMSE ≈ 15.9% †).</w:t>
      </w:r>
    </w:p>
    <w:p>
      <w:pPr>
        <w:pStyle w:val="ListParagraph"/>
        <w:numPr>
          <w:ilvl w:val="0"/>
          <w:numId w:val="3"/>
        </w:numPr>
        <w:spacing w:after="50" w:line="252"/>
      </w:pPr>
      <w:r>
        <w:t xml:space="preserve">DNN models were somewhat better than the ML models, but the margin was modest despite a large number of plots (about 950 †).</w:t>
      </w:r>
    </w:p>
    <w:p>
      <w:pPr>
        <w:pStyle w:val="Heading3"/>
      </w:pPr>
      <w:r>
        <w:t xml:space="preserve">Limitations to keep in mind</w:t>
      </w:r>
    </w:p>
    <w:p>
      <w:pPr>
        <w:pStyle w:val="ListParagraph"/>
        <w:numPr>
          <w:ilvl w:val="0"/>
          <w:numId w:val="3"/>
        </w:numPr>
        <w:spacing w:after="50" w:line="252"/>
      </w:pPr>
      <w:r>
        <w:t xml:space="preserve">Yield is a continuous, single-date target; disease severity is ordinal and changes over time.</w:t>
      </w:r>
    </w:p>
    <w:p>
      <w:pPr>
        <w:pStyle w:val="ListParagraph"/>
        <w:numPr>
          <w:ilvl w:val="0"/>
          <w:numId w:val="3"/>
        </w:numPr>
        <w:spacing w:after="50" w:line="252"/>
      </w:pPr>
      <w:r>
        <w:t xml:space="preserve">The DL models used hand-crafted features as inputs rather than raw images, so the DL advantage reflects better combination of features, not better feature learning.</w:t>
      </w:r>
    </w:p>
    <w:p>
      <w:pPr>
        <w:pStyle w:val="ListParagraph"/>
        <w:numPr>
          <w:ilvl w:val="0"/>
          <w:numId w:val="3"/>
        </w:numPr>
        <w:spacing w:after="50" w:line="252"/>
      </w:pPr>
      <w:r>
        <w:t xml:space="preserve">The small DL gain with hundreds of plots suggests that a much smaller trial (192 plot-dates) should not expect DL to beat 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Replicate the comparison: ML on concatenated features (Phase 3) versus an intermediate-fusion network that has one branch per sensor, evaluated on the same folds. Report the fusion gain over the best single sensor and the spatial pattern of errors.</w:t>
            </w:r>
          </w:p>
          <w:p>
            <w:pPr>
              <w:spacing w:after="60" w:line="264"/>
            </w:pPr>
            <w:r>
              <w:rPr>
                <w:sz w:val="21"/>
                <w:szCs w:val="21"/>
              </w:rPr>
              <w:t xml:space="preserve">Expect DL to be at most slightly better; a well-validated ML result is a valid primary outcome.</w:t>
            </w:r>
          </w:p>
        </w:tc>
      </w:tr>
    </w:tbl>
    <w:p>
      <w:pPr>
        <w:spacing w:after="120"/>
      </w:pPr>
    </w:p>
    <w:p>
      <w:pPr>
        <w:pStyle w:val="Heading2"/>
      </w:pPr>
      <w:r>
        <w:t xml:space="preserve">11.2 Feng et al. (2022): hyperspectral + thermal + RGB for wheat powdery mildew</w:t>
      </w:r>
    </w:p>
    <w:p>
      <w:pPr>
        <w:keepNext/>
        <w:spacing w:after="60"/>
      </w:pPr>
      <w:r>
        <w:rPr>
          <w:i/>
          <w:iCs/>
          <w:color w:val="5E7A7E"/>
          <w:sz w:val="18"/>
          <w:szCs w:val="18"/>
        </w:rPr>
        <w:t xml:space="preserve">Feng, Z., et al. (2022). Monitoring wheat powdery mildew based on hyperspectral, thermal infrared, and RGB image data fusion. Sensors 22(1), 31.</w:t>
      </w:r>
    </w:p>
    <w:p>
      <w:pPr>
        <w:keepNext/>
        <w:spacing w:after="80" w:before="160"/>
      </w:pPr>
      <w:r>
        <w:rPr>
          <w:b/>
          <w:bCs/>
          <w:color w:val="1C7C78"/>
          <w:sz w:val="20"/>
          <w:szCs w:val="20"/>
        </w:rPr>
        <w:t xml:space="preserve">Table 32. </w:t>
      </w:r>
      <w:r>
        <w:rPr>
          <w:color w:val="1F3A40"/>
          <w:sz w:val="20"/>
          <w:szCs w:val="20"/>
        </w:rPr>
        <w:t xml:space="preserve">At a glance: single-source versus multi-source feature fusion for a foliar fungus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Wheat; powdery mildew (</w:t>
            </w:r>
            <w:r>
              <w:rPr>
                <w:i/>
                <w:iCs/>
                <w:sz w:val="17"/>
                <w:szCs w:val="17"/>
              </w:rPr>
              <w:t xml:space="preserve">Blumeria graminis</w:t>
            </w:r>
            <w:r>
              <w:rPr>
                <w:sz w:val="17"/>
                <w:szCs w:val="17"/>
              </w:rPr>
              <w:t xml:space="preserve">) severity; field, flowering and filling stages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Hyperspectral (vegetation indices), thermal infrared (temperature parameters), RGB and thermal (texture)</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Feature level (concatenation of feature groups)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Vegetation indices (VI), temperature parameters (TP), texture features (TF); PLSR, SVR, RFR; single-source and multi-source models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Calibration and validation sets; R² and RMSE</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 key numbers confirmed from the abstract or publisher record during this cross-check.</w:t>
            </w:r>
          </w:p>
        </w:tc>
      </w:tr>
    </w:tbl>
    <w:p>
      <w:pPr>
        <w:spacing w:after="120"/>
      </w:pPr>
    </w:p>
    <w:p>
      <w:pPr>
        <w:pStyle w:val="Heading3"/>
      </w:pPr>
      <w:r>
        <w:t xml:space="preserve">What they did</w:t>
      </w:r>
    </w:p>
    <w:p>
      <w:pPr>
        <w:spacing w:after="100" w:line="259"/>
        <w:jc w:val="both"/>
      </w:pPr>
      <w:r>
        <w:t xml:space="preserve">Three feature groups were extracted: narrow-band vegetation indices from hyperspectral data, temperature parameters from thermal images, and texture features from thermal and RGB images. Each group was modelled alone and in combinations, using three regressors: partial least squares regression (PLSR), support vector regression (SVR) and random forest regression (RFR).</w:t>
      </w:r>
    </w:p>
    <w:p>
      <w:pPr>
        <w:spacing w:after="100" w:line="259"/>
        <w:jc w:val="both"/>
      </w:pPr>
      <w:r>
        <w:t xml:space="preserve">This is a direct example of the 'all combinations' ablation in Section 9.2, applied to feature groups rather than sensors.</w:t>
      </w:r>
    </w:p>
    <w:p>
      <w:pPr>
        <w:pStyle w:val="Heading3"/>
      </w:pPr>
      <w:r>
        <w:t xml:space="preserve">What they obtained</w:t>
      </w:r>
    </w:p>
    <w:p>
      <w:pPr>
        <w:pStyle w:val="ListParagraph"/>
        <w:numPr>
          <w:ilvl w:val="0"/>
          <w:numId w:val="3"/>
        </w:numPr>
        <w:spacing w:after="50" w:line="252"/>
      </w:pPr>
      <w:r>
        <w:t xml:space="preserve">Among single sources, vegetation indices were the most suitable for powdery mildew monitoring, followed by temperature parameters, then texture features.</w:t>
      </w:r>
    </w:p>
    <w:p>
      <w:pPr>
        <w:pStyle w:val="ListParagraph"/>
        <w:numPr>
          <w:ilvl w:val="0"/>
          <w:numId w:val="3"/>
        </w:numPr>
        <w:spacing w:after="50" w:line="252"/>
      </w:pPr>
      <w:r>
        <w:t xml:space="preserve">RFR outperformed PLSR and SVR in both single-source and multi-source modelling.</w:t>
      </w:r>
    </w:p>
    <w:p>
      <w:pPr>
        <w:pStyle w:val="ListParagraph"/>
        <w:numPr>
          <w:ilvl w:val="0"/>
          <w:numId w:val="3"/>
        </w:numPr>
        <w:spacing w:after="50" w:line="252"/>
      </w:pPr>
      <w:r>
        <w:t xml:space="preserve">The best model was RFR on the fused VI + TP + TF features, with R² = 0.872 (calibration) and 0.862 (validation).</w:t>
      </w:r>
    </w:p>
    <w:p>
      <w:pPr>
        <w:pStyle w:val="Heading3"/>
      </w:pPr>
      <w:r>
        <w:t xml:space="preserve">Limitations to keep in mind</w:t>
      </w:r>
    </w:p>
    <w:p>
      <w:pPr>
        <w:pStyle w:val="ListParagraph"/>
        <w:numPr>
          <w:ilvl w:val="0"/>
          <w:numId w:val="3"/>
        </w:numPr>
        <w:spacing w:after="50" w:line="252"/>
      </w:pPr>
      <w:r>
        <w:t xml:space="preserve">Proximal sensing rather than UAV imaging; resolution and mixed pixels are less of an issue than in UAV data.</w:t>
      </w:r>
    </w:p>
    <w:p>
      <w:pPr>
        <w:pStyle w:val="ListParagraph"/>
        <w:numPr>
          <w:ilvl w:val="0"/>
          <w:numId w:val="3"/>
        </w:numPr>
        <w:spacing w:after="50" w:line="252"/>
      </w:pPr>
      <w:r>
        <w:t xml:space="preserve">Regression of severity, not classification; no paired statistical test of fusion versus the best single source is reported in the abstract.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Use the same three feature groups (spectral indices, thermal parameters, texture). Run single-group and fused models with RF, SVM and KNN. Expect spectral indices to be the strongest single group and fusion to add a modest but consistent improvement; test it with McNemar.</w:t>
            </w:r>
          </w:p>
        </w:tc>
      </w:tr>
    </w:tbl>
    <w:p>
      <w:pPr>
        <w:spacing w:after="120"/>
      </w:pPr>
    </w:p>
    <w:p>
      <w:pPr>
        <w:pStyle w:val="Heading2"/>
      </w:pPr>
      <w:r>
        <w:t xml:space="preserve">11.3 Liu et al. (2024): UAV multispectral + thermal with percentile and texture features</w:t>
      </w:r>
    </w:p>
    <w:p>
      <w:pPr>
        <w:keepNext/>
        <w:spacing w:after="60"/>
      </w:pPr>
      <w:r>
        <w:rPr>
          <w:i/>
          <w:iCs/>
          <w:color w:val="5E7A7E"/>
          <w:sz w:val="18"/>
          <w:szCs w:val="18"/>
        </w:rPr>
        <w:t xml:space="preserve">Liu, Y., et al. (2024). Exploring multi-features in UAV based optical and thermal infrared images to estimate disease severity of wheat powdery mildew. Computers and Electronics in Agriculture 225, 109285.</w:t>
      </w:r>
    </w:p>
    <w:p>
      <w:pPr>
        <w:keepNext/>
        <w:spacing w:after="80" w:before="160"/>
      </w:pPr>
      <w:r>
        <w:rPr>
          <w:b/>
          <w:bCs/>
          <w:color w:val="1C7C78"/>
          <w:sz w:val="20"/>
          <w:szCs w:val="20"/>
        </w:rPr>
        <w:t xml:space="preserve">Table 33. </w:t>
      </w:r>
      <w:r>
        <w:rPr>
          <w:color w:val="1F3A40"/>
          <w:sz w:val="20"/>
          <w:szCs w:val="20"/>
        </w:rPr>
        <w:t xml:space="preserve">At a glance: feature engineering that captures patchy disease and gains detection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Wheat; powdery mildew disease index; field trial with several observation dates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UAV multispectral and thermal infrared</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Feature level</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Mean and percentile spectral features; texture features and a three-band texture combination index (TTCI); canopy temperature (CT); multiple linear regression (MLR) with feature combinations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Calibration and validation datasets; R², RMSE</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 from the full text read earlier in this project (abstract-level figures R² = 0.90, RMSE = 8.28%).</w:t>
            </w:r>
          </w:p>
        </w:tc>
      </w:tr>
    </w:tbl>
    <w:p>
      <w:pPr>
        <w:spacing w:after="120"/>
      </w:pPr>
    </w:p>
    <w:p>
      <w:pPr>
        <w:pStyle w:val="Heading3"/>
      </w:pPr>
      <w:r>
        <w:t xml:space="preserve">What they did</w:t>
      </w:r>
    </w:p>
    <w:p>
      <w:pPr>
        <w:spacing w:after="100" w:line="259"/>
        <w:jc w:val="both"/>
      </w:pPr>
      <w:r>
        <w:t xml:space="preserve">Instead of using only plot means, the authors computed percentile statistics of the spectral bands and indices within each plot, so that the diseased tail of the distribution is represented. They extracted GLCM texture features and searched combinations of three texture features (e.g. TTCI2 = B-Dis / (NIR-Dis × R-Mea)) for the index most correlated with disease. Canopy temperature was added from the thermal camera.</w:t>
      </w:r>
    </w:p>
    <w:p>
      <w:pPr>
        <w:spacing w:after="100" w:line="259"/>
        <w:jc w:val="both"/>
      </w:pPr>
      <w:r>
        <w:t xml:space="preserve">Five model configurations were compared: spectral only, texture index only, thermal only, spectral + texture index, and spectral + texture index + canopy temperature.</w:t>
      </w:r>
    </w:p>
    <w:p>
      <w:pPr>
        <w:pStyle w:val="Heading3"/>
      </w:pPr>
      <w:r>
        <w:t xml:space="preserve">What they obtained</w:t>
      </w:r>
    </w:p>
    <w:p>
      <w:pPr>
        <w:pStyle w:val="ListParagraph"/>
        <w:numPr>
          <w:ilvl w:val="0"/>
          <w:numId w:val="3"/>
        </w:numPr>
        <w:spacing w:after="50" w:line="252"/>
      </w:pPr>
      <w:r>
        <w:t xml:space="preserve">The texture combination index detected the disease earlier (9–30 days after infection) than spectral or canopy temperature features alone.</w:t>
      </w:r>
    </w:p>
    <w:p>
      <w:pPr>
        <w:pStyle w:val="ListParagraph"/>
        <w:numPr>
          <w:ilvl w:val="0"/>
          <w:numId w:val="3"/>
        </w:numPr>
        <w:spacing w:after="50" w:line="252"/>
      </w:pPr>
      <w:r>
        <w:t xml:space="preserve">Canopy temperature differed significantly only on the last date, but correlated strongly with DI over the season (r ≈ 0.88).</w:t>
      </w:r>
    </w:p>
    <w:p>
      <w:pPr>
        <w:pStyle w:val="ListParagraph"/>
        <w:numPr>
          <w:ilvl w:val="0"/>
          <w:numId w:val="3"/>
        </w:numPr>
        <w:spacing w:after="50" w:line="252"/>
      </w:pPr>
      <w:r>
        <w:t xml:space="preserve">The three-type fusion model (percentile spectral features + TTCI + CT) gave the highest accuracy: R² = 0.90, RMSE = 8.28%.</w:t>
      </w:r>
    </w:p>
    <w:p>
      <w:pPr>
        <w:pStyle w:val="Heading3"/>
      </w:pPr>
      <w:r>
        <w:t xml:space="preserve">Limitations to keep in mind</w:t>
      </w:r>
    </w:p>
    <w:p>
      <w:pPr>
        <w:pStyle w:val="ListParagraph"/>
        <w:numPr>
          <w:ilvl w:val="0"/>
          <w:numId w:val="3"/>
        </w:numPr>
        <w:spacing w:after="50" w:line="252"/>
      </w:pPr>
      <w:r>
        <w:t xml:space="preserve">The exhaustive search over texture combinations was done against DI on the available data, which risks chance correlations unless it is nested inside cross-validation.</w:t>
      </w:r>
    </w:p>
    <w:p>
      <w:pPr>
        <w:pStyle w:val="ListParagraph"/>
        <w:numPr>
          <w:ilvl w:val="0"/>
          <w:numId w:val="3"/>
        </w:numPr>
        <w:spacing w:after="50" w:line="252"/>
      </w:pPr>
      <w:r>
        <w:t xml:space="preserve">Raw canopy temperature was used; it is confounded by weather and date. The authors themselves suggest normalised thermal indices for future work.</w:t>
      </w:r>
    </w:p>
    <w:p>
      <w:pPr>
        <w:pStyle w:val="ListParagraph"/>
        <w:numPr>
          <w:ilvl w:val="0"/>
          <w:numId w:val="3"/>
        </w:numPr>
        <w:spacing w:after="50" w:line="252"/>
      </w:pPr>
      <w:r>
        <w:t xml:space="preserve">Regression only; multispectral rather than hyperspectral.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Add within-plot percentiles (10th, 25th, 75th, 90th) of key indices and GLCM texture features to Phase 1. Use CTD or NRCT instead of raw CT. Any index search (texture combinations, two-band NDI search) must run inside the training folds.</w:t>
            </w:r>
          </w:p>
        </w:tc>
      </w:tr>
    </w:tbl>
    <w:p>
      <w:pPr>
        <w:spacing w:after="120"/>
      </w:pPr>
    </w:p>
    <w:p>
      <w:pPr>
        <w:pStyle w:val="Heading2"/>
      </w:pPr>
      <w:r>
        <w:t xml:space="preserve">11.4 Mahlein et al. (2019): thermal, fluorescence and hyperspectral imaging of Fusarium head blight</w:t>
      </w:r>
    </w:p>
    <w:p>
      <w:pPr>
        <w:keepNext/>
        <w:spacing w:after="60"/>
      </w:pPr>
      <w:r>
        <w:rPr>
          <w:i/>
          <w:iCs/>
          <w:color w:val="5E7A7E"/>
          <w:sz w:val="18"/>
          <w:szCs w:val="18"/>
        </w:rPr>
        <w:t xml:space="preserve">Mahlein, A.-K., et al. (2019). Comparison and combination of thermal, fluorescence, and hyperspectral imaging for monitoring Fusarium head blight of wheat on spikelet scale. Sensors 19(10), 2281.</w:t>
      </w:r>
    </w:p>
    <w:p>
      <w:pPr>
        <w:keepNext/>
        <w:spacing w:after="80" w:before="160"/>
      </w:pPr>
      <w:r>
        <w:rPr>
          <w:b/>
          <w:bCs/>
          <w:color w:val="1C7C78"/>
          <w:sz w:val="20"/>
          <w:szCs w:val="20"/>
        </w:rPr>
        <w:t xml:space="preserve">Table 34. </w:t>
      </w:r>
      <w:r>
        <w:rPr>
          <w:color w:val="1F3A40"/>
          <w:sz w:val="20"/>
          <w:szCs w:val="20"/>
        </w:rPr>
        <w:t xml:space="preserve">At a glance: which sensor combinations add information, and when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Wheat; Fusarium head blight; spikelet scale under controlled conditions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Infrared thermography (IRT), chlorophyll fluorescence imaging (CFI), hyperspectral imaging (HSI)</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Feature level (combined sensor parameters)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Sensor-derived parameters (temperature, fluorescence parameters, spectral indices such as PSSRa, PSSRb); SVM classification</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Classification accuracy of infected vs non-inoculated spikelets at several days after inoculation (dai)</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 key numbers confirmed from the abstract or publisher record during this cross-check.</w:t>
            </w:r>
          </w:p>
        </w:tc>
      </w:tr>
    </w:tbl>
    <w:p>
      <w:pPr>
        <w:spacing w:after="120"/>
      </w:pPr>
    </w:p>
    <w:p>
      <w:pPr>
        <w:pStyle w:val="Heading3"/>
      </w:pPr>
      <w:r>
        <w:t xml:space="preserve">What they did</w:t>
      </w:r>
    </w:p>
    <w:p>
      <w:pPr>
        <w:spacing w:after="100" w:line="259"/>
        <w:jc w:val="both"/>
      </w:pPr>
      <w:r>
        <w:t xml:space="preserve">Spikelets were imaged repeatedly after inoculation with three sensors that capture different processes: thermography (transpiration), chlorophyll fluorescence (photosynthetic efficiency) and hyperspectral reflectance (pigments and structure). Parameters from each sensor were classified with a support vector machine, alone and in combination.</w:t>
      </w:r>
    </w:p>
    <w:p>
      <w:pPr>
        <w:pStyle w:val="Heading3"/>
      </w:pPr>
      <w:r>
        <w:t xml:space="preserve">What they obtained</w:t>
      </w:r>
    </w:p>
    <w:p>
      <w:pPr>
        <w:pStyle w:val="ListParagraph"/>
        <w:numPr>
          <w:ilvl w:val="0"/>
          <w:numId w:val="3"/>
        </w:numPr>
        <w:spacing w:after="50" w:line="252"/>
      </w:pPr>
      <w:r>
        <w:t xml:space="preserve">At 3 dai, SVM accuracy was 78% (IRT), 56% (CFI) and 78% (HSI) for distinguishing infected from non-inoculated spikelets.</w:t>
      </w:r>
    </w:p>
    <w:p>
      <w:pPr>
        <w:pStyle w:val="ListParagraph"/>
        <w:numPr>
          <w:ilvl w:val="0"/>
          <w:numId w:val="3"/>
        </w:numPr>
        <w:spacing w:after="50" w:line="252"/>
      </w:pPr>
      <w:r>
        <w:t xml:space="preserve">Hyperspectral pigment ratios (PSSRa, PSSRb) already discriminated infected spikelets at 3 dai.</w:t>
      </w:r>
    </w:p>
    <w:p>
      <w:pPr>
        <w:pStyle w:val="ListParagraph"/>
        <w:numPr>
          <w:ilvl w:val="0"/>
          <w:numId w:val="3"/>
        </w:numPr>
        <w:spacing w:after="50" w:line="252"/>
      </w:pPr>
      <w:r>
        <w:t xml:space="preserve">Combining IRT–HSI or CFI–HSI parameters improved accuracy to 89% at 30 dai.</w:t>
      </w:r>
    </w:p>
    <w:p>
      <w:pPr>
        <w:pStyle w:val="Heading3"/>
      </w:pPr>
      <w:r>
        <w:t xml:space="preserve">Limitations to keep in mind</w:t>
      </w:r>
    </w:p>
    <w:p>
      <w:pPr>
        <w:pStyle w:val="ListParagraph"/>
        <w:numPr>
          <w:ilvl w:val="0"/>
          <w:numId w:val="3"/>
        </w:numPr>
        <w:spacing w:after="50" w:line="252"/>
      </w:pPr>
      <w:r>
        <w:t xml:space="preserve">Controlled conditions and spikelet scale; field and canopy effects are absent.</w:t>
      </w:r>
    </w:p>
    <w:p>
      <w:pPr>
        <w:pStyle w:val="ListParagraph"/>
        <w:numPr>
          <w:ilvl w:val="0"/>
          <w:numId w:val="3"/>
        </w:numPr>
        <w:spacing w:after="50" w:line="252"/>
      </w:pPr>
      <w:r>
        <w:t xml:space="preserve">The early (3 dai) and late (30 dai) accuracies are not directly comparable; the improvement from fusion is reported for the later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This is the model for the MuDAS-AI glasshouse experiment: same sensors at leaf/plant scale, repeated measurements after inoculation, and an explicit test of which pairs and triples add information. It also shows why 'more sensors' must be tested, not assumed.</w:t>
            </w:r>
          </w:p>
        </w:tc>
      </w:tr>
    </w:tbl>
    <w:p>
      <w:pPr>
        <w:spacing w:after="120"/>
      </w:pPr>
    </w:p>
    <w:p>
      <w:pPr>
        <w:pStyle w:val="Heading2"/>
      </w:pPr>
      <w:r>
        <w:t xml:space="preserve">11.5 Mustafa et al. (2023): multimodal features and SFFS from asymptomatic to symptomatic stages</w:t>
      </w:r>
    </w:p>
    <w:p>
      <w:pPr>
        <w:keepNext/>
        <w:spacing w:after="60"/>
      </w:pPr>
      <w:r>
        <w:rPr>
          <w:i/>
          <w:iCs/>
          <w:color w:val="5E7A7E"/>
          <w:sz w:val="18"/>
          <w:szCs w:val="18"/>
        </w:rPr>
        <w:t xml:space="preserve">Mustafa, G., et al. (2023). Fusarium head blight monitoring in wheat ears using machine learning and multimodal data from asymptomatic to symptomatic periods. Frontiers in Plant Science 13, 1102341.</w:t>
      </w:r>
    </w:p>
    <w:p>
      <w:pPr>
        <w:keepNext/>
        <w:spacing w:after="80" w:before="160"/>
      </w:pPr>
      <w:r>
        <w:rPr>
          <w:b/>
          <w:bCs/>
          <w:color w:val="1C7C78"/>
          <w:sz w:val="20"/>
          <w:szCs w:val="20"/>
        </w:rPr>
        <w:t xml:space="preserve">Table 35. </w:t>
      </w:r>
      <w:r>
        <w:rPr>
          <w:color w:val="1F3A40"/>
          <w:sz w:val="20"/>
          <w:szCs w:val="20"/>
        </w:rPr>
        <w:t xml:space="preserve">At a glance: feature selection across modalities for early detection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Wheat ears; Fusarium head blight; pot experiments in three seasons (2019–2021), several cultivars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Hyperspectral reflectance (HR), chlorophyll fluorescence imaging (CFI), high-throughput phenotyping (HTP)</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Feature level with wrapper selection</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Feature extraction per modality; filter/embedded screening; sequential floating forward selection (SFFS) with ML classifiers (e.g. KNN, SVM)</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Classification by disease period (asymptomatic to symptomatic)</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Partly verified: design confirmed; numbers marked † come from earlier full-text reading or secondary sources and should be re-checked before citing. † The deck's figure of 85–89% with 2–3 fused features could not be re-confirmed here.</w:t>
            </w:r>
          </w:p>
        </w:tc>
      </w:tr>
    </w:tbl>
    <w:p>
      <w:pPr>
        <w:spacing w:after="120"/>
      </w:pPr>
    </w:p>
    <w:p>
      <w:pPr>
        <w:pStyle w:val="Heading3"/>
      </w:pPr>
      <w:r>
        <w:t xml:space="preserve">What they did</w:t>
      </w:r>
    </w:p>
    <w:p>
      <w:pPr>
        <w:spacing w:after="100" w:line="259"/>
        <w:jc w:val="both"/>
      </w:pPr>
      <w:r>
        <w:t xml:space="preserve">Features from three modalities were extracted from wheat ears at several times after inoculation, from the asymptomatic period to clear symptoms. Redundant features were removed and SFFS, wrapped around machine-learning classifiers, chose small fused feature sets for each period.</w:t>
      </w:r>
    </w:p>
    <w:p>
      <w:pPr>
        <w:spacing w:after="100" w:line="259"/>
        <w:jc w:val="both"/>
      </w:pPr>
      <w:r>
        <w:t xml:space="preserve">The pipeline (screening, redundancy removal, wrapper selection, classifier) is the same structure as MuDAS-AI Phases 1–3.</w:t>
      </w:r>
    </w:p>
    <w:p>
      <w:pPr>
        <w:pStyle w:val="Heading3"/>
      </w:pPr>
      <w:r>
        <w:t xml:space="preserve">What they obtained</w:t>
      </w:r>
    </w:p>
    <w:p>
      <w:pPr>
        <w:pStyle w:val="ListParagraph"/>
        <w:numPr>
          <w:ilvl w:val="0"/>
          <w:numId w:val="3"/>
        </w:numPr>
        <w:spacing w:after="50" w:line="252"/>
      </w:pPr>
      <w:r>
        <w:t xml:space="preserve">Fused feature sets from several modalities improved detection compared with single modalities, including at the asymptomatic stage.</w:t>
      </w:r>
    </w:p>
    <w:p>
      <w:pPr>
        <w:pStyle w:val="ListParagraph"/>
        <w:numPr>
          <w:ilvl w:val="0"/>
          <w:numId w:val="3"/>
        </w:numPr>
        <w:spacing w:after="50" w:line="252"/>
      </w:pPr>
      <w:r>
        <w:t xml:space="preserve">Small subsets (a few fused features †) were sufficient, which shows the value of wrapper selection for interpretability.</w:t>
      </w:r>
    </w:p>
    <w:p>
      <w:pPr>
        <w:pStyle w:val="Heading3"/>
      </w:pPr>
      <w:r>
        <w:t xml:space="preserve">Limitations to keep in mind</w:t>
      </w:r>
    </w:p>
    <w:p>
      <w:pPr>
        <w:pStyle w:val="ListParagraph"/>
        <w:numPr>
          <w:ilvl w:val="0"/>
          <w:numId w:val="3"/>
        </w:numPr>
        <w:spacing w:after="50" w:line="252"/>
      </w:pPr>
      <w:r>
        <w:t xml:space="preserve">Pot experiments with ears imaged in controlled settings; field transfer not tested.</w:t>
      </w:r>
    </w:p>
    <w:p>
      <w:pPr>
        <w:pStyle w:val="ListParagraph"/>
        <w:numPr>
          <w:ilvl w:val="0"/>
          <w:numId w:val="3"/>
        </w:numPr>
        <w:spacing w:after="50" w:line="252"/>
      </w:pPr>
      <w:r>
        <w:t xml:space="preserve">Exact accuracies per period should be taken from the paper's tables before citing.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Cite as methodological precedent for Phases 1–3 (screening → VIF → SFFS → classifier) and for reporting the selected fused subset per disease stage.</w:t>
            </w:r>
          </w:p>
        </w:tc>
      </w:tr>
    </w:tbl>
    <w:p>
      <w:pPr>
        <w:spacing w:after="120"/>
      </w:pPr>
    </w:p>
    <w:p>
      <w:pPr>
        <w:pStyle w:val="Heading2"/>
      </w:pPr>
      <w:r>
        <w:t xml:space="preserve">11.6 Zarco-Tejada et al. (2018): thermal and hyperspectral plant traits reveal pre-visual infection</w:t>
      </w:r>
    </w:p>
    <w:p>
      <w:pPr>
        <w:keepNext/>
        <w:spacing w:after="60"/>
      </w:pPr>
      <w:r>
        <w:rPr>
          <w:i/>
          <w:iCs/>
          <w:color w:val="5E7A7E"/>
          <w:sz w:val="18"/>
          <w:szCs w:val="18"/>
        </w:rPr>
        <w:t xml:space="preserve">Zarco-Tejada, P.J., et al. (2018). Previsual symptoms of </w:t>
      </w:r>
      <w:r>
        <w:rPr>
          <w:i/>
          <w:iCs/>
          <w:color w:val="5E7A7E"/>
          <w:sz w:val="18"/>
          <w:szCs w:val="18"/>
        </w:rPr>
        <w:t xml:space="preserve">Xylella fastidiosa</w:t>
      </w:r>
      <w:r>
        <w:rPr>
          <w:i/>
          <w:iCs/>
          <w:color w:val="5E7A7E"/>
          <w:sz w:val="18"/>
          <w:szCs w:val="18"/>
        </w:rPr>
        <w:t xml:space="preserve"> infection revealed in spectral plant-trait alterations. Nature Plants 4, 432–439.</w:t>
      </w:r>
    </w:p>
    <w:p>
      <w:pPr>
        <w:keepNext/>
        <w:spacing w:after="80" w:before="160"/>
      </w:pPr>
      <w:r>
        <w:rPr>
          <w:b/>
          <w:bCs/>
          <w:color w:val="1C7C78"/>
          <w:sz w:val="20"/>
          <w:szCs w:val="20"/>
        </w:rPr>
        <w:t xml:space="preserve">Table 36. </w:t>
      </w:r>
      <w:r>
        <w:rPr>
          <w:color w:val="1F3A40"/>
          <w:sz w:val="20"/>
          <w:szCs w:val="20"/>
        </w:rPr>
        <w:t xml:space="preserve">At a glance: physiology-based fusion at landscape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Olive; </w:t>
            </w:r>
            <w:r>
              <w:rPr>
                <w:i/>
                <w:iCs/>
                <w:sz w:val="17"/>
                <w:szCs w:val="17"/>
              </w:rPr>
              <w:t xml:space="preserve">Xylella fastidiosa</w:t>
            </w:r>
            <w:r>
              <w:rPr>
                <w:sz w:val="17"/>
                <w:szCs w:val="17"/>
              </w:rPr>
              <w:t xml:space="preserve">; &gt; 7,000 trees in 15 orchards (Apulia, Italy)</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Airborne hyperspectral and thermal imagers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Feature level (physiological traits from both sensors)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Plant traits: pigments, fluorescence (from 3-D radiative transfer simulation), thermal stress indicators; machine-learning classification</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Field inspections and qPCR confirmation of infection; orchard-level validation</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 key numbers confirmed from the abstract or publisher record during this cross-check.</w:t>
            </w:r>
          </w:p>
        </w:tc>
      </w:tr>
    </w:tbl>
    <w:p>
      <w:pPr>
        <w:spacing w:after="120"/>
      </w:pPr>
    </w:p>
    <w:p>
      <w:pPr>
        <w:pStyle w:val="Heading3"/>
      </w:pPr>
      <w:r>
        <w:t xml:space="preserve">What they did</w:t>
      </w:r>
    </w:p>
    <w:p>
      <w:pPr>
        <w:spacing w:after="100" w:line="259"/>
        <w:jc w:val="both"/>
      </w:pPr>
      <w:r>
        <w:t xml:space="preserve">Instead of using raw bands, the authors retrieved functional plant traits from hyperspectral and thermal imagery: pigment contents, solar-induced fluorescence and a thermal-based stress indicator. Infection status was confirmed with qPCR. The traits were combined to classify infected trees before visual symptoms.</w:t>
      </w:r>
    </w:p>
    <w:p>
      <w:pPr>
        <w:pStyle w:val="Heading3"/>
      </w:pPr>
      <w:r>
        <w:t xml:space="preserve">What they obtained</w:t>
      </w:r>
    </w:p>
    <w:p>
      <w:pPr>
        <w:pStyle w:val="ListParagraph"/>
        <w:numPr>
          <w:ilvl w:val="0"/>
          <w:numId w:val="3"/>
        </w:numPr>
        <w:spacing w:after="50" w:line="252"/>
      </w:pPr>
      <w:r>
        <w:t xml:space="preserve">Detection accuracy exceeded 80% when fluorescence and thermal stress indicators were combined with photosynthetic pigment traits.</w:t>
      </w:r>
    </w:p>
    <w:p>
      <w:pPr>
        <w:pStyle w:val="ListParagraph"/>
        <w:numPr>
          <w:ilvl w:val="0"/>
          <w:numId w:val="3"/>
        </w:numPr>
        <w:spacing w:after="50" w:line="252"/>
      </w:pPr>
      <w:r>
        <w:t xml:space="preserve">Trees flagged as affected by the remote model developed visible symptoms at almost twice the rate of trees classified as unaffected, confirming pre-visual detection.</w:t>
      </w:r>
    </w:p>
    <w:p>
      <w:pPr>
        <w:pStyle w:val="Heading3"/>
      </w:pPr>
      <w:r>
        <w:t xml:space="preserve">Limitations to keep in mind</w:t>
      </w:r>
    </w:p>
    <w:p>
      <w:pPr>
        <w:pStyle w:val="ListParagraph"/>
        <w:numPr>
          <w:ilvl w:val="0"/>
          <w:numId w:val="3"/>
        </w:numPr>
        <w:spacing w:after="50" w:line="252"/>
      </w:pPr>
      <w:r>
        <w:t xml:space="preserve">Manned aircraft and tree crowns (large targets); a vascular disease with strong water stress, unlike a foliar oomycete.</w:t>
      </w:r>
    </w:p>
    <w:p>
      <w:pPr>
        <w:pStyle w:val="ListParagraph"/>
        <w:numPr>
          <w:ilvl w:val="0"/>
          <w:numId w:val="3"/>
        </w:numPr>
        <w:spacing w:after="50" w:line="252"/>
      </w:pPr>
      <w:r>
        <w:t xml:space="preserve">Trait retrieval needs radiative transfer modelling expertise.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Justifies the physiological argument for fusion in the thesis introduction: thermal and spectral traits measure different processes and together detect infection earlier. Use physiologically interpretable features (CTD, red-edge, pigment indices) rather than raw bands.</w:t>
            </w:r>
          </w:p>
        </w:tc>
      </w:tr>
    </w:tbl>
    <w:p>
      <w:pPr>
        <w:spacing w:after="120"/>
      </w:pPr>
    </w:p>
    <w:p>
      <w:pPr>
        <w:pStyle w:val="Heading2"/>
      </w:pPr>
      <w:r>
        <w:t xml:space="preserve">11.7 Calderón et al. (2015): severity-level classification with hyperspectral and thermal imagery</w:t>
      </w:r>
    </w:p>
    <w:p>
      <w:pPr>
        <w:keepNext/>
        <w:spacing w:after="60"/>
      </w:pPr>
      <w:r>
        <w:rPr>
          <w:i/>
          <w:iCs/>
          <w:color w:val="5E7A7E"/>
          <w:sz w:val="18"/>
          <w:szCs w:val="18"/>
        </w:rPr>
        <w:t xml:space="preserve">Calderón, R., Navas-Cortés, J.A., Zarco-Tejada, P.J. (2015). Early detection and quantification of Verticillium wilt in olive using hyperspectral and thermal imagery over large areas. Remote Sensing 7(5), 5584–5610.</w:t>
      </w:r>
    </w:p>
    <w:p>
      <w:pPr>
        <w:keepNext/>
        <w:spacing w:after="80" w:before="160"/>
      </w:pPr>
      <w:r>
        <w:rPr>
          <w:b/>
          <w:bCs/>
          <w:color w:val="1C7C78"/>
          <w:sz w:val="20"/>
          <w:szCs w:val="20"/>
        </w:rPr>
        <w:t xml:space="preserve">Table 37. </w:t>
      </w:r>
      <w:r>
        <w:rPr>
          <w:color w:val="1F3A40"/>
          <w:sz w:val="20"/>
          <w:szCs w:val="20"/>
        </w:rPr>
        <w:t xml:space="preserve">At a glance: why overall accuracy can hide poor early-class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Olive; Verticillium wilt (</w:t>
            </w:r>
            <w:r>
              <w:rPr>
                <w:i/>
                <w:iCs/>
                <w:sz w:val="17"/>
                <w:szCs w:val="17"/>
              </w:rPr>
              <w:t xml:space="preserve">V. dahliae</w:t>
            </w:r>
            <w:r>
              <w:rPr>
                <w:sz w:val="17"/>
                <w:szCs w:val="17"/>
              </w:rPr>
              <w:t xml:space="preserve">) severity levels; 3,000 ha commercial area</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Airborne high-resolution hyperspectral and thermal imagery (manned platform)</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Feature level (indices and temperature)</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Narrow-band indices, fluorescence and temperature indicators; LDA and SVM classifiers of severity classes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Field-assessed severity per tree; overall accuracy and kappa; per-class accuracy</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 key numbers confirmed from the abstract or publisher record during this cross-check.</w:t>
            </w:r>
          </w:p>
        </w:tc>
      </w:tr>
    </w:tbl>
    <w:p>
      <w:pPr>
        <w:spacing w:after="120"/>
      </w:pPr>
    </w:p>
    <w:p>
      <w:pPr>
        <w:pStyle w:val="Heading3"/>
      </w:pPr>
      <w:r>
        <w:t xml:space="preserve">What they did</w:t>
      </w:r>
    </w:p>
    <w:p>
      <w:pPr>
        <w:spacing w:after="100" w:line="259"/>
        <w:jc w:val="both"/>
      </w:pPr>
      <w:r>
        <w:t xml:space="preserve">Trees were classified into severity levels with linear discriminant analysis (LDA) and SVM using physiological indicators from hyperspectral and thermal images, over a large commercial area. This is the closest published analogue to classifying ordered severity classes from fused hyperspectral and thermal features.</w:t>
      </w:r>
    </w:p>
    <w:p>
      <w:pPr>
        <w:pStyle w:val="Heading3"/>
      </w:pPr>
      <w:r>
        <w:t xml:space="preserve">What they obtained</w:t>
      </w:r>
    </w:p>
    <w:p>
      <w:pPr>
        <w:pStyle w:val="ListParagraph"/>
        <w:numPr>
          <w:ilvl w:val="0"/>
          <w:numId w:val="3"/>
        </w:numPr>
        <w:spacing w:after="50" w:line="252"/>
      </w:pPr>
      <w:r>
        <w:t xml:space="preserve">LDA: overall accuracy 59.0%, κ = 0.487. SVM: overall accuracy 79.2%, κ = 0.495.</w:t>
      </w:r>
    </w:p>
    <w:p>
      <w:pPr>
        <w:pStyle w:val="ListParagraph"/>
        <w:numPr>
          <w:ilvl w:val="0"/>
          <w:numId w:val="3"/>
        </w:numPr>
        <w:spacing w:after="50" w:line="252"/>
      </w:pPr>
      <w:r>
        <w:t xml:space="preserve">Despite its lower overall accuracy, LDA classified trees at initial and low severity better (71.4% and 75.0%) than SVM (14.3% and 40.6%).</w:t>
      </w:r>
    </w:p>
    <w:p>
      <w:pPr>
        <w:pStyle w:val="Heading3"/>
      </w:pPr>
      <w:r>
        <w:t xml:space="preserve">Limitations to keep in mind</w:t>
      </w:r>
    </w:p>
    <w:p>
      <w:pPr>
        <w:pStyle w:val="ListParagraph"/>
        <w:numPr>
          <w:ilvl w:val="0"/>
          <w:numId w:val="3"/>
        </w:numPr>
        <w:spacing w:after="50" w:line="252"/>
      </w:pPr>
      <w:r>
        <w:t xml:space="preserve">Tree crowns, not dense row crops; class sizes were unbalanced.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A key lesson for severity classes: a model can have high overall accuracy but fail at the early classes that matter most. Report per-class recall, macro-F1 and weighted kappa, not only OA, and compare classifiers class by class.</w:t>
            </w:r>
          </w:p>
        </w:tc>
      </w:tr>
    </w:tbl>
    <w:p>
      <w:pPr>
        <w:spacing w:after="120"/>
      </w:pPr>
    </w:p>
    <w:p>
      <w:pPr>
        <w:pStyle w:val="Heading2"/>
      </w:pPr>
      <w:r>
        <w:t xml:space="preserve">11.8 Kerkech et al. (2020a): visible–infrared registration and decision fusion of segmentations</w:t>
      </w:r>
    </w:p>
    <w:p>
      <w:pPr>
        <w:keepNext/>
        <w:spacing w:after="60"/>
      </w:pPr>
      <w:r>
        <w:rPr>
          <w:i/>
          <w:iCs/>
          <w:color w:val="5E7A7E"/>
          <w:sz w:val="18"/>
          <w:szCs w:val="18"/>
        </w:rPr>
        <w:t xml:space="preserve">Kerkech, M., Hafiane, A., Canals, R. (2020a). Vine disease detection in UAV multispectral images using optimized image registration and deep learning segmentation approach. Computers and Electronics in Agriculture 174, 105446.</w:t>
      </w:r>
    </w:p>
    <w:p>
      <w:pPr>
        <w:keepNext/>
        <w:spacing w:after="80" w:before="160"/>
      </w:pPr>
      <w:r>
        <w:rPr>
          <w:b/>
          <w:bCs/>
          <w:color w:val="1C7C78"/>
          <w:sz w:val="20"/>
          <w:szCs w:val="20"/>
        </w:rPr>
        <w:t xml:space="preserve">Table 38. </w:t>
      </w:r>
      <w:r>
        <w:rPr>
          <w:color w:val="1F3A40"/>
          <w:sz w:val="20"/>
          <w:szCs w:val="20"/>
        </w:rPr>
        <w:t xml:space="preserve">At a glance: data-level registration plus late DL fusion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Grapevine; mildew symptoms; vineyard, UAV</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Visible and infrared images from two UAV sensors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Data level (registration) + decision level (fusion of two segmentations)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Optimised feature-based registration (AKAZE keypoints, iterative refinement); SegNet per image (shadow, ground, healthy, symptomatic); fusion of the two maps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Detection rates at grapevine and leaf level</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 key numbers confirmed from the abstract or publisher record during this cross-check.</w:t>
            </w:r>
          </w:p>
        </w:tc>
      </w:tr>
    </w:tbl>
    <w:p>
      <w:pPr>
        <w:spacing w:after="120"/>
      </w:pPr>
    </w:p>
    <w:p>
      <w:pPr>
        <w:pStyle w:val="Heading3"/>
      </w:pPr>
      <w:r>
        <w:t xml:space="preserve">What they did</w:t>
      </w:r>
    </w:p>
    <w:p>
      <w:pPr>
        <w:spacing w:after="100" w:line="259"/>
        <w:jc w:val="both"/>
      </w:pPr>
      <w:r>
        <w:t xml:space="preserve">Visible and infrared images were acquired by different sensors and therefore did not align. The authors developed an optimised registration method, then segmented each modality separately with SegNet into four classes, and fused the two segmentation outputs into a single disease map.</w:t>
      </w:r>
    </w:p>
    <w:p>
      <w:pPr>
        <w:pStyle w:val="Heading3"/>
      </w:pPr>
      <w:r>
        <w:t xml:space="preserve">What they obtained</w:t>
      </w:r>
    </w:p>
    <w:p>
      <w:pPr>
        <w:pStyle w:val="ListParagraph"/>
        <w:numPr>
          <w:ilvl w:val="0"/>
          <w:numId w:val="3"/>
        </w:numPr>
        <w:spacing w:after="50" w:line="252"/>
      </w:pPr>
      <w:r>
        <w:t xml:space="preserve">More than 92% detection at grapevine level and 87% at leaf level.</w:t>
      </w:r>
    </w:p>
    <w:p>
      <w:pPr>
        <w:pStyle w:val="Heading3"/>
      </w:pPr>
      <w:r>
        <w:t xml:space="preserve">Limitations to keep in mind</w:t>
      </w:r>
    </w:p>
    <w:p>
      <w:pPr>
        <w:pStyle w:val="ListParagraph"/>
        <w:numPr>
          <w:ilvl w:val="0"/>
          <w:numId w:val="3"/>
        </w:numPr>
        <w:spacing w:after="50" w:line="252"/>
      </w:pPr>
      <w:r>
        <w:t xml:space="preserve">Detection (presence) rather than severity grading; a perennial crop with clear row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Shows that careful co-registration (Chapter 3) is a prerequisite and that late fusion of per-sensor models is a practical, robust option. Use as the precedent for MuDAS-AI's decision-level DL baseline.</w:t>
            </w:r>
          </w:p>
        </w:tc>
      </w:tr>
    </w:tbl>
    <w:p>
      <w:pPr>
        <w:spacing w:after="120"/>
      </w:pPr>
    </w:p>
    <w:p>
      <w:pPr>
        <w:pStyle w:val="Heading2"/>
      </w:pPr>
      <w:r>
        <w:t xml:space="preserve">11.9 Kerkech et al. (2020b): VddNet with parallel encoders for visible, infrared and depth</w:t>
      </w:r>
    </w:p>
    <w:p>
      <w:pPr>
        <w:keepNext/>
        <w:spacing w:after="60"/>
      </w:pPr>
      <w:r>
        <w:rPr>
          <w:i/>
          <w:iCs/>
          <w:color w:val="5E7A7E"/>
          <w:sz w:val="18"/>
          <w:szCs w:val="18"/>
        </w:rPr>
        <w:t xml:space="preserve">Kerkech, M., Hafiane, A., Canals, R. (2020b). VddNet: vine disease detection network based on multispectral images and depth map. Remote Sensing 12(20), 3305.</w:t>
      </w:r>
    </w:p>
    <w:p>
      <w:pPr>
        <w:keepNext/>
        <w:spacing w:after="80" w:before="160"/>
      </w:pPr>
      <w:r>
        <w:rPr>
          <w:b/>
          <w:bCs/>
          <w:color w:val="1C7C78"/>
          <w:sz w:val="20"/>
          <w:szCs w:val="20"/>
        </w:rPr>
        <w:t xml:space="preserve">Table 39. </w:t>
      </w:r>
      <w:r>
        <w:rPr>
          <w:color w:val="1F3A40"/>
          <w:sz w:val="20"/>
          <w:szCs w:val="20"/>
        </w:rPr>
        <w:t xml:space="preserve">At a glance: intermediate DL fusion with sensor-specific branches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Grapevine; disease segmentation; UAV</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Multispectral (visible and near-infrared) and a depth map from 3-D photogrammetry</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Intermediate (multi-branch DL)</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Three parallel auto-encoders (visible, infrared, depth) with feature fusion inside the network; orthophoto registration of the three image types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Comparison with SegNet, U-Net, DeepLabv3+ and PSPNet</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Design verified; no numeric result is quoted here because it could not be confirmed.</w:t>
            </w:r>
          </w:p>
        </w:tc>
      </w:tr>
    </w:tbl>
    <w:p>
      <w:pPr>
        <w:spacing w:after="120"/>
      </w:pPr>
    </w:p>
    <w:p>
      <w:pPr>
        <w:pStyle w:val="Heading3"/>
      </w:pPr>
      <w:r>
        <w:t xml:space="preserve">What they did</w:t>
      </w:r>
    </w:p>
    <w:p>
      <w:pPr>
        <w:spacing w:after="100" w:line="259"/>
        <w:jc w:val="both"/>
      </w:pPr>
      <w:r>
        <w:t xml:space="preserve">Each modality had its own encoder branch; features from the branches were combined inside the network, and a decoder produced the segmentation. The depth branch adds canopy structure, the analogue of MuDAS-AI's canopy height from RGB photogrammetry.</w:t>
      </w:r>
    </w:p>
    <w:p>
      <w:pPr>
        <w:pStyle w:val="Heading3"/>
      </w:pPr>
      <w:r>
        <w:t xml:space="preserve">What they obtained</w:t>
      </w:r>
    </w:p>
    <w:p>
      <w:pPr>
        <w:pStyle w:val="ListParagraph"/>
        <w:numPr>
          <w:ilvl w:val="0"/>
          <w:numId w:val="3"/>
        </w:numPr>
        <w:spacing w:after="50" w:line="252"/>
      </w:pPr>
      <w:r>
        <w:t xml:space="preserve">VddNet achieved higher scores than the four baseline segmentation networks fed with the same data.</w:t>
      </w:r>
    </w:p>
    <w:p>
      <w:pPr>
        <w:pStyle w:val="Heading3"/>
      </w:pPr>
      <w:r>
        <w:t xml:space="preserve">Limitations to keep in mind</w:t>
      </w:r>
    </w:p>
    <w:p>
      <w:pPr>
        <w:pStyle w:val="ListParagraph"/>
        <w:numPr>
          <w:ilvl w:val="0"/>
          <w:numId w:val="3"/>
        </w:numPr>
        <w:spacing w:after="50" w:line="252"/>
      </w:pPr>
      <w:r>
        <w:t xml:space="preserve">Segmentation of a perennial crop with pixel annotations; MuDAS-AI has plot labels and would need weak 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Template for the MuDAS-AI intermediate-fusion network: one encoder per sensor (including a structure branch), fused features, one head. Compare it with single-encoder baselines on the same folds.</w:t>
            </w:r>
          </w:p>
        </w:tc>
      </w:tr>
    </w:tbl>
    <w:p>
      <w:pPr>
        <w:spacing w:after="120"/>
      </w:pPr>
    </w:p>
    <w:p>
      <w:pPr>
        <w:pStyle w:val="Heading2"/>
      </w:pPr>
      <w:r>
        <w:t xml:space="preserve">11.10 Audebert et al. (2018): early versus late fusion in deep networks</w:t>
      </w:r>
    </w:p>
    <w:p>
      <w:pPr>
        <w:keepNext/>
        <w:spacing w:after="60"/>
      </w:pPr>
      <w:r>
        <w:rPr>
          <w:i/>
          <w:iCs/>
          <w:color w:val="5E7A7E"/>
          <w:sz w:val="18"/>
          <w:szCs w:val="18"/>
        </w:rPr>
        <w:t xml:space="preserve">Audebert, N., Le Saux, B., Lefèvre, S. (2018). Beyond RGB: very high resolution urban remote sensing with multimodal deep networks. ISPRS Journal of Photogrammetry and Remote Sensing 140, 20–32.</w:t>
      </w:r>
    </w:p>
    <w:p>
      <w:pPr>
        <w:keepNext/>
        <w:spacing w:after="80" w:before="160"/>
      </w:pPr>
      <w:r>
        <w:rPr>
          <w:b/>
          <w:bCs/>
          <w:color w:val="1C7C78"/>
          <w:sz w:val="20"/>
          <w:szCs w:val="20"/>
        </w:rPr>
        <w:t xml:space="preserve">Table 40. </w:t>
      </w:r>
      <w:r>
        <w:rPr>
          <w:color w:val="1F3A40"/>
          <w:sz w:val="20"/>
          <w:szCs w:val="20"/>
        </w:rPr>
        <w:t xml:space="preserve">At a glance: the trade-off between joint features and robustness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Urban land cover (ISPRS Vaihingen and Potsdam benchmarks)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Optical (IRRG / multispectral) and lidar-derived DSM</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Early (FuseNet-type) vs late (residual correction) DL fusion</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SegNet-based fully convolutional networks; early fusion of feature maps; late fusion with a residual correction module</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Public benchmark test sets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 key numbers confirmed from the abstract or publisher record during this cross-check. (qualitative findings).</w:t>
            </w:r>
          </w:p>
        </w:tc>
      </w:tr>
    </w:tbl>
    <w:p>
      <w:pPr>
        <w:spacing w:after="120"/>
      </w:pPr>
    </w:p>
    <w:p>
      <w:pPr>
        <w:pStyle w:val="Heading3"/>
      </w:pPr>
      <w:r>
        <w:t xml:space="preserve">What they did</w:t>
      </w:r>
    </w:p>
    <w:p>
      <w:pPr>
        <w:spacing w:after="100" w:line="259"/>
        <w:jc w:val="both"/>
      </w:pPr>
      <w:r>
        <w:t xml:space="preserve">The authors built multimodal segmentation networks that fused optical and elevation data either early (feature maps merged in the encoder) or late (separate networks whose outputs are combined and corrected by a residual module), and compared them on two benchmarks.</w:t>
      </w:r>
    </w:p>
    <w:p>
      <w:pPr>
        <w:pStyle w:val="Heading3"/>
      </w:pPr>
      <w:r>
        <w:t xml:space="preserve">What they obtained</w:t>
      </w:r>
    </w:p>
    <w:p>
      <w:pPr>
        <w:pStyle w:val="ListParagraph"/>
        <w:numPr>
          <w:ilvl w:val="0"/>
          <w:numId w:val="3"/>
        </w:numPr>
        <w:spacing w:after="50" w:line="252"/>
      </w:pPr>
      <w:r>
        <w:t xml:space="preserve">Early fusion learned better joint features but was more sensitive to missing data.</w:t>
      </w:r>
    </w:p>
    <w:p>
      <w:pPr>
        <w:pStyle w:val="ListParagraph"/>
        <w:numPr>
          <w:ilvl w:val="0"/>
          <w:numId w:val="3"/>
        </w:numPr>
        <w:spacing w:after="50" w:line="252"/>
      </w:pPr>
      <w:r>
        <w:t xml:space="preserve">Late fusion made it possible to recover errors arising from ambiguous data.</w:t>
      </w:r>
    </w:p>
    <w:p>
      <w:pPr>
        <w:pStyle w:val="ListParagraph"/>
        <w:numPr>
          <w:ilvl w:val="0"/>
          <w:numId w:val="3"/>
        </w:numPr>
        <w:spacing w:after="50" w:line="252"/>
      </w:pPr>
      <w:r>
        <w:t xml:space="preserve">Residual correction improved overall accuracy on Vaihingen (mainly building and impervious surface classes) but slightly decreased accuracy on Potsdam.</w:t>
      </w:r>
    </w:p>
    <w:p>
      <w:pPr>
        <w:pStyle w:val="Heading3"/>
      </w:pPr>
      <w:r>
        <w:t xml:space="preserve">Limitations to keep in mind</w:t>
      </w:r>
    </w:p>
    <w:p>
      <w:pPr>
        <w:pStyle w:val="ListParagraph"/>
        <w:numPr>
          <w:ilvl w:val="0"/>
          <w:numId w:val="3"/>
        </w:numPr>
        <w:spacing w:after="50" w:line="252"/>
      </w:pPr>
      <w:r>
        <w:t xml:space="preserve">Urban scenes with abundant pixel labels; not a plant disease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Justifies comparing early, intermediate and late DL fusion rather than choosing one a priori, and testing robustness by removing a sensor at test time.</w:t>
            </w:r>
          </w:p>
        </w:tc>
      </w:tr>
    </w:tbl>
    <w:p>
      <w:pPr>
        <w:spacing w:after="120"/>
      </w:pPr>
    </w:p>
    <w:p>
      <w:pPr>
        <w:pStyle w:val="Heading2"/>
      </w:pPr>
      <w:r>
        <w:t xml:space="preserve">11.11 Hong et al. (2021): five DL fusion architectures compared (MDL-RS)</w:t>
      </w:r>
    </w:p>
    <w:p>
      <w:pPr>
        <w:keepNext/>
        <w:spacing w:after="60"/>
      </w:pPr>
      <w:r>
        <w:rPr>
          <w:i/>
          <w:iCs/>
          <w:color w:val="5E7A7E"/>
          <w:sz w:val="18"/>
          <w:szCs w:val="18"/>
        </w:rPr>
        <w:t xml:space="preserve">Hong, D., et al. (2021). More diverse means better: multimodal deep learning meets remote-sensing imagery classification. IEEE Transactions on Geoscience and Remote Sensing 59(5), 4340–4354.</w:t>
      </w:r>
    </w:p>
    <w:p>
      <w:pPr>
        <w:keepNext/>
        <w:spacing w:after="80" w:before="160"/>
      </w:pPr>
      <w:r>
        <w:rPr>
          <w:b/>
          <w:bCs/>
          <w:color w:val="1C7C78"/>
          <w:sz w:val="20"/>
          <w:szCs w:val="20"/>
        </w:rPr>
        <w:t xml:space="preserve">Table 41. </w:t>
      </w:r>
      <w:r>
        <w:rPr>
          <w:color w:val="1F3A40"/>
          <w:sz w:val="20"/>
          <w:szCs w:val="20"/>
        </w:rPr>
        <w:t xml:space="preserve">At a glance: where to fuse in a network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Land-cover classification: Houston2013 (hyperspectral + LiDAR) and LCZ (multispectral + SAR)</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Hyperspectral, LiDAR, multispectral, SAR</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Early, middle, late, encoder–decoder and cross fusion</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General multimodal DL framework (MDL-RS) with fully connected and CNN versions; cross-modality learning (CML) when a modality is missing at test time</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Standard train/test splits of public datasets; OA, AA, κ</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Partly verified: design confirmed; numbers marked † come from earlier full-text reading or secondary sources and should be re-checked before citing. Ranking of middle/cross fusion confirmed through a third-party reproduction.</w:t>
            </w:r>
          </w:p>
        </w:tc>
      </w:tr>
    </w:tbl>
    <w:p>
      <w:pPr>
        <w:spacing w:after="120"/>
      </w:pPr>
    </w:p>
    <w:p>
      <w:pPr>
        <w:pStyle w:val="Heading3"/>
      </w:pPr>
      <w:r>
        <w:t xml:space="preserve">What they did</w:t>
      </w:r>
    </w:p>
    <w:p>
      <w:pPr>
        <w:spacing w:after="100" w:line="259"/>
        <w:jc w:val="both"/>
      </w:pPr>
      <w:r>
        <w:t xml:space="preserve">The framework separates the questions of what, where and how to fuse, and implements five fusion strategies in a common network so that they can be compared fairly. The authors also defined cross-modality learning, where training uses several modalities but testing has only one.</w:t>
      </w:r>
    </w:p>
    <w:p>
      <w:pPr>
        <w:pStyle w:val="Heading3"/>
      </w:pPr>
      <w:r>
        <w:t xml:space="preserve">What they obtained</w:t>
      </w:r>
    </w:p>
    <w:p>
      <w:pPr>
        <w:pStyle w:val="ListParagraph"/>
        <w:numPr>
          <w:ilvl w:val="0"/>
          <w:numId w:val="3"/>
        </w:numPr>
        <w:spacing w:after="50" w:line="252"/>
      </w:pPr>
      <w:r>
        <w:t xml:space="preserve">Multimodal networks clearly outperformed single-modality networks (about 10% average increase in OA, AA and κ reported for the LCZ data).</w:t>
      </w:r>
    </w:p>
    <w:p>
      <w:pPr>
        <w:pStyle w:val="ListParagraph"/>
        <w:numPr>
          <w:ilvl w:val="0"/>
          <w:numId w:val="3"/>
        </w:numPr>
        <w:spacing w:after="50" w:line="252"/>
      </w:pPr>
      <w:r>
        <w:t xml:space="preserve">Interactive strategies (middle and especially cross fusion) outperformed early fusion; a later study reproducing the baselines on Houston2013 reported κ ≈ 0.91 for cross fusion versus ≈ 0.89 for middle fusion †.</w:t>
      </w:r>
    </w:p>
    <w:p>
      <w:pPr>
        <w:pStyle w:val="Heading3"/>
      </w:pPr>
      <w:r>
        <w:t xml:space="preserve">Limitations to keep in mind</w:t>
      </w:r>
    </w:p>
    <w:p>
      <w:pPr>
        <w:pStyle w:val="ListParagraph"/>
        <w:numPr>
          <w:ilvl w:val="0"/>
          <w:numId w:val="3"/>
        </w:numPr>
        <w:spacing w:after="50" w:line="252"/>
      </w:pPr>
      <w:r>
        <w:t xml:space="preserve">Land-cover data with thousands of labelled pixels; the more complex fusion strategies need more data than a 48-plot trial provides.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Use as the reference for the DL fusion-level comparison (E6, E7). With few plots, prefer middle (intermediate) fusion with pre-training; treat cross-attention as exploratory.</w:t>
            </w:r>
          </w:p>
        </w:tc>
      </w:tr>
    </w:tbl>
    <w:p>
      <w:pPr>
        <w:spacing w:after="120"/>
      </w:pPr>
    </w:p>
    <w:p>
      <w:pPr>
        <w:pStyle w:val="Heading2"/>
      </w:pPr>
      <w:r>
        <w:t xml:space="preserve">11.12 Su et al. (2018): UAV multispectral monitoring of wheat yellow rust</w:t>
      </w:r>
    </w:p>
    <w:p>
      <w:pPr>
        <w:keepNext/>
        <w:spacing w:after="60"/>
      </w:pPr>
      <w:r>
        <w:rPr>
          <w:i/>
          <w:iCs/>
          <w:color w:val="5E7A7E"/>
          <w:sz w:val="18"/>
          <w:szCs w:val="18"/>
        </w:rPr>
        <w:t xml:space="preserve">Su, J., et al. (2018). Wheat yellow rust monitoring by learning from multispectral UAV aerial imagery. Computers and Electronics in Agriculture 155, 157–166.</w:t>
      </w:r>
    </w:p>
    <w:p>
      <w:pPr>
        <w:keepNext/>
        <w:spacing w:after="80" w:before="160"/>
      </w:pPr>
      <w:r>
        <w:rPr>
          <w:b/>
          <w:bCs/>
          <w:color w:val="1C7C78"/>
          <w:sz w:val="20"/>
          <w:szCs w:val="20"/>
        </w:rPr>
        <w:t xml:space="preserve">Table 42. </w:t>
      </w:r>
      <w:r>
        <w:rPr>
          <w:color w:val="1F3A40"/>
          <w:sz w:val="20"/>
          <w:szCs w:val="20"/>
        </w:rPr>
        <w:t xml:space="preserve">At a glance: the single-sensor multispectral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Wheat; yellow rust; inoculated field trial</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MicaSense RedEdge 5-band multispectral camera, 16–24 m height, 1–1.5 cm/pixel</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Single sensor (no fusion)</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Spectral bands and vegetation indices; random forest classifier</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Labelled pixels; precision, recall, accuracy</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 key numbers confirmed from the abstract or publisher record during this cross-check.</w:t>
            </w:r>
          </w:p>
        </w:tc>
      </w:tr>
    </w:tbl>
    <w:p>
      <w:pPr>
        <w:spacing w:after="120"/>
      </w:pPr>
    </w:p>
    <w:p>
      <w:pPr>
        <w:pStyle w:val="Heading3"/>
      </w:pPr>
      <w:r>
        <w:t xml:space="preserve">What they did</w:t>
      </w:r>
    </w:p>
    <w:p>
      <w:pPr>
        <w:spacing w:after="100" w:line="259"/>
        <w:jc w:val="both"/>
      </w:pPr>
      <w:r>
        <w:t xml:space="preserve">Labelled multispectral UAV images were used to train a random forest that classified healthy and rust-infected wheat; the most informative bands and indices were ranked.</w:t>
      </w:r>
    </w:p>
    <w:p>
      <w:pPr>
        <w:pStyle w:val="Heading3"/>
      </w:pPr>
      <w:r>
        <w:t xml:space="preserve">What they obtained</w:t>
      </w:r>
    </w:p>
    <w:p>
      <w:pPr>
        <w:pStyle w:val="ListParagraph"/>
        <w:numPr>
          <w:ilvl w:val="0"/>
          <w:numId w:val="3"/>
        </w:numPr>
        <w:spacing w:after="50" w:line="252"/>
      </w:pPr>
      <w:r>
        <w:t xml:space="preserve">Average precision, recall and accuracy of 89.2%, 89.4% and 89.3% at the diseased stage (45 days after inoculation).</w:t>
      </w:r>
    </w:p>
    <w:p>
      <w:pPr>
        <w:pStyle w:val="ListParagraph"/>
        <w:numPr>
          <w:ilvl w:val="0"/>
          <w:numId w:val="3"/>
        </w:numPr>
        <w:spacing w:after="50" w:line="252"/>
      </w:pPr>
      <w:r>
        <w:t xml:space="preserve">The best indices were RVI, NDVI and OSAVI; the best bands were NIR and red.</w:t>
      </w:r>
    </w:p>
    <w:p>
      <w:pPr>
        <w:pStyle w:val="ListParagraph"/>
        <w:numPr>
          <w:ilvl w:val="0"/>
          <w:numId w:val="3"/>
        </w:numPr>
        <w:spacing w:after="50" w:line="252"/>
      </w:pPr>
      <w:r>
        <w:t xml:space="preserve">From earlier reading: no reliable spectral difference at the early-symptom stage †.</w:t>
      </w:r>
    </w:p>
    <w:p>
      <w:pPr>
        <w:pStyle w:val="Heading3"/>
      </w:pPr>
      <w:r>
        <w:t xml:space="preserve">Limitations to keep in mind</w:t>
      </w:r>
    </w:p>
    <w:p>
      <w:pPr>
        <w:pStyle w:val="ListParagraph"/>
        <w:numPr>
          <w:ilvl w:val="0"/>
          <w:numId w:val="3"/>
        </w:numPr>
        <w:spacing w:after="50" w:line="252"/>
      </w:pPr>
      <w:r>
        <w:t xml:space="preserve">Evaluation on labelled pixels; if training and test pixels come from the same plots, spatial autocorrelation can make accuracy optimistic (Roberts et al., 2017).</w:t>
      </w:r>
    </w:p>
    <w:p>
      <w:pPr>
        <w:pStyle w:val="ListParagraph"/>
        <w:numPr>
          <w:ilvl w:val="0"/>
          <w:numId w:val="3"/>
        </w:numPr>
        <w:spacing w:after="50" w:line="252"/>
      </w:pPr>
      <w:r>
        <w:t xml:space="preserve">Broad bands cannot capture subtle early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Use the multispectral-only model as one of the 15 sensor configurations and Su et al. as the published reference. Their early-stage limitation is the scientific argument for adding hyperspectral and thermal sensors.</w:t>
            </w:r>
          </w:p>
        </w:tc>
      </w:tr>
    </w:tbl>
    <w:p>
      <w:pPr>
        <w:spacing w:after="120"/>
      </w:pPr>
    </w:p>
    <w:p>
      <w:pPr>
        <w:pStyle w:val="Heading2"/>
      </w:pPr>
      <w:r>
        <w:t xml:space="preserve">11.13 Guo et al. (2021): vegetation indices plus texture from UAV hyperspectral images</w:t>
      </w:r>
    </w:p>
    <w:p>
      <w:pPr>
        <w:keepNext/>
        <w:spacing w:after="60"/>
      </w:pPr>
      <w:r>
        <w:rPr>
          <w:i/>
          <w:iCs/>
          <w:color w:val="5E7A7E"/>
          <w:sz w:val="18"/>
          <w:szCs w:val="18"/>
        </w:rPr>
        <w:t xml:space="preserve">Guo, A., et al. (2021). Wheat yellow rust detection using UAV-based hyperspectral technology. Remote Sensing 13(1), 123.</w:t>
      </w:r>
    </w:p>
    <w:p>
      <w:pPr>
        <w:keepNext/>
        <w:spacing w:after="80" w:before="160"/>
      </w:pPr>
      <w:r>
        <w:rPr>
          <w:b/>
          <w:bCs/>
          <w:color w:val="1C7C78"/>
          <w:sz w:val="20"/>
          <w:szCs w:val="20"/>
        </w:rPr>
        <w:t xml:space="preserve">Table 43. </w:t>
      </w:r>
      <w:r>
        <w:rPr>
          <w:color w:val="1F3A40"/>
          <w:sz w:val="20"/>
          <w:szCs w:val="20"/>
        </w:rPr>
        <w:t xml:space="preserve">At a glance: spectral–spatial feature fusion and resolution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Wheat; yellow rust; field, several infection periods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UAV hyperspectral imager, 1.2 cm resolution</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Feature level within one sensor (spectral + texture)</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Vegetation indices (VI), texture features (TF), VI + TF; PLSR; resampling to 3, 5, 7, 10, 15 and 20 cm</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Model R² per infection period and resolution</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 key numbers confirmed from the abstract or publisher record during this cross-check.</w:t>
            </w:r>
          </w:p>
        </w:tc>
      </w:tr>
    </w:tbl>
    <w:p>
      <w:pPr>
        <w:spacing w:after="120"/>
      </w:pPr>
    </w:p>
    <w:p>
      <w:pPr>
        <w:pStyle w:val="Heading3"/>
      </w:pPr>
      <w:r>
        <w:t xml:space="preserve">What they did</w:t>
      </w:r>
    </w:p>
    <w:p>
      <w:pPr>
        <w:spacing w:after="100" w:line="259"/>
        <w:jc w:val="both"/>
      </w:pPr>
      <w:r>
        <w:t xml:space="preserve">Vegetation indices and GLCM texture features were extracted from the same hyperspectral images, modelled separately and together with PLSR in early, mid and late infection periods, and the images were resampled to coarser resolutions to measure the effect of GSD.</w:t>
      </w:r>
    </w:p>
    <w:p>
      <w:pPr>
        <w:pStyle w:val="Heading3"/>
      </w:pPr>
      <w:r>
        <w:t xml:space="preserve">What they obtained</w:t>
      </w:r>
    </w:p>
    <w:p>
      <w:pPr>
        <w:pStyle w:val="ListParagraph"/>
        <w:numPr>
          <w:ilvl w:val="0"/>
          <w:numId w:val="3"/>
        </w:numPr>
        <w:spacing w:after="50" w:line="252"/>
      </w:pPr>
      <w:r>
        <w:t xml:space="preserve">The VI-based model peaked at R² = 0.75 in the mid-infection period.</w:t>
      </w:r>
    </w:p>
    <w:p>
      <w:pPr>
        <w:pStyle w:val="ListParagraph"/>
        <w:numPr>
          <w:ilvl w:val="0"/>
          <w:numId w:val="3"/>
        </w:numPr>
        <w:spacing w:after="50" w:line="252"/>
      </w:pPr>
      <w:r>
        <w:t xml:space="preserve">The texture-based model achieved R² = 0.65 (mid) and 0.82 (late).</w:t>
      </w:r>
    </w:p>
    <w:p>
      <w:pPr>
        <w:pStyle w:val="ListParagraph"/>
        <w:numPr>
          <w:ilvl w:val="0"/>
          <w:numId w:val="3"/>
        </w:numPr>
        <w:spacing w:after="50" w:line="252"/>
      </w:pPr>
      <w:r>
        <w:t xml:space="preserve">The combined VI + TF models had the highest accuracy in every infection period.</w:t>
      </w:r>
    </w:p>
    <w:p>
      <w:pPr>
        <w:pStyle w:val="Heading3"/>
      </w:pPr>
      <w:r>
        <w:t xml:space="preserve">Limitations to keep in mind</w:t>
      </w:r>
    </w:p>
    <w:p>
      <w:pPr>
        <w:pStyle w:val="ListParagraph"/>
        <w:numPr>
          <w:ilvl w:val="0"/>
          <w:numId w:val="3"/>
        </w:numPr>
        <w:spacing w:after="50" w:line="252"/>
      </w:pPr>
      <w:r>
        <w:t xml:space="preserve">One sensor; texture and spectra are fused, but no thermal or structural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Supports including texture features in every sensor's candidate set and testing the effect of resolution. It also shows that texture becomes more important as symptoms become visible, so feature importance should be reported per date.</w:t>
            </w:r>
          </w:p>
        </w:tc>
      </w:tr>
    </w:tbl>
    <w:p>
      <w:pPr>
        <w:spacing w:after="120"/>
      </w:pPr>
    </w:p>
    <w:p>
      <w:pPr>
        <w:pStyle w:val="Heading2"/>
      </w:pPr>
      <w:r>
        <w:t xml:space="preserve">11.14 Bohnenkamp et al. (2019): yellow rust at ground and UAV scale</w:t>
      </w:r>
    </w:p>
    <w:p>
      <w:pPr>
        <w:keepNext/>
        <w:spacing w:after="60"/>
      </w:pPr>
      <w:r>
        <w:rPr>
          <w:i/>
          <w:iCs/>
          <w:color w:val="5E7A7E"/>
          <w:sz w:val="18"/>
          <w:szCs w:val="18"/>
        </w:rPr>
        <w:t xml:space="preserve">Bohnenkamp, D., Behmann, J., Mahlein, A.-K. (2019). In-field detection of yellow rust in wheat on the ground canopy and UAV scale. Remote Sensing 11(21), 2495.</w:t>
      </w:r>
    </w:p>
    <w:p>
      <w:pPr>
        <w:keepNext/>
        <w:spacing w:after="80" w:before="160"/>
      </w:pPr>
      <w:r>
        <w:rPr>
          <w:b/>
          <w:bCs/>
          <w:color w:val="1C7C78"/>
          <w:sz w:val="20"/>
          <w:szCs w:val="20"/>
        </w:rPr>
        <w:t xml:space="preserve">Table 44. </w:t>
      </w:r>
      <w:r>
        <w:rPr>
          <w:color w:val="1F3A40"/>
          <w:sz w:val="20"/>
          <w:szCs w:val="20"/>
        </w:rPr>
        <w:t xml:space="preserve">At a glance: do features selected at one scale transfer to another?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Winter wheat; yellow rust; plot trial (2017/18, Campus Klein-Altendorf, Germany)</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Hyperspectral imaging on a ground platform and on a UAV</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Single sensor, cross-scale</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Spectral angle mapper (SAM), SVM; band reduction to test multispectral feasibility; weekly measurements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Classification per scale; transfer of feature sets between scales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Design verified; no numeric result is quoted here because it could not be confirmed.</w:t>
            </w:r>
          </w:p>
        </w:tc>
      </w:tr>
    </w:tbl>
    <w:p>
      <w:pPr>
        <w:spacing w:after="120"/>
      </w:pPr>
    </w:p>
    <w:p>
      <w:pPr>
        <w:pStyle w:val="Heading3"/>
      </w:pPr>
      <w:r>
        <w:t xml:space="preserve">What they did</w:t>
      </w:r>
    </w:p>
    <w:p>
      <w:pPr>
        <w:spacing w:after="100" w:line="259"/>
        <w:jc w:val="both"/>
      </w:pPr>
      <w:r>
        <w:t xml:space="preserve">The same disease trial was measured weekly from the ground and from a UAV. The authors selected features at each scale, tested whether a reduced set of wavebands would suffice, and evaluated whether feature sets optimised at one scale could be applied at the other.</w:t>
      </w:r>
    </w:p>
    <w:p>
      <w:pPr>
        <w:pStyle w:val="Heading3"/>
      </w:pPr>
      <w:r>
        <w:t xml:space="preserve">What they obtained</w:t>
      </w:r>
    </w:p>
    <w:p>
      <w:pPr>
        <w:pStyle w:val="ListParagraph"/>
        <w:numPr>
          <w:ilvl w:val="0"/>
          <w:numId w:val="3"/>
        </w:numPr>
        <w:spacing w:after="50" w:line="252"/>
      </w:pPr>
      <w:r>
        <w:t xml:space="preserve">Spatial resolution emerged as a key parameter; features and models do not automatically transfer between ground and UAV scales (see the paper for accuracies).</w:t>
      </w:r>
    </w:p>
    <w:p>
      <w:pPr>
        <w:pStyle w:val="Heading3"/>
      </w:pPr>
      <w:r>
        <w:t xml:space="preserve">Limitations to keep in mind</w:t>
      </w:r>
    </w:p>
    <w:p>
      <w:pPr>
        <w:pStyle w:val="ListParagraph"/>
        <w:numPr>
          <w:ilvl w:val="0"/>
          <w:numId w:val="3"/>
        </w:numPr>
        <w:spacing w:after="50" w:line="252"/>
      </w:pPr>
      <w:r>
        <w:t xml:space="preserve">Single sensor; one season and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Supports MuDAS-AI's three-tier validation: freeze the IARI model and test it at Bharatpur and in farmers' fields; and, for the glasshouse experiment, do not assume leaf-scale features will transfer to UAV scale without testing.</w:t>
            </w:r>
          </w:p>
        </w:tc>
      </w:tr>
    </w:tbl>
    <w:p>
      <w:pPr>
        <w:spacing w:after="120"/>
      </w:pPr>
    </w:p>
    <w:p>
      <w:pPr>
        <w:pStyle w:val="Heading2"/>
      </w:pPr>
      <w:r>
        <w:t xml:space="preserve">11.15 Whetton et al. (2018): on-line hyperspectral measurement of yellow rust and Fusarium</w:t>
      </w:r>
    </w:p>
    <w:p>
      <w:pPr>
        <w:keepNext/>
        <w:spacing w:after="60"/>
      </w:pPr>
      <w:r>
        <w:rPr>
          <w:i/>
          <w:iCs/>
          <w:color w:val="5E7A7E"/>
          <w:sz w:val="18"/>
          <w:szCs w:val="18"/>
        </w:rPr>
        <w:t xml:space="preserve">Whetton, R.L., Waine, T.W., Mouazen, A.M. (2018). Hyperspectral measurements of yellow rust and fusarium head blight in cereal crops: Part 2: On-line field measurement. Biosystems Engineering 167, 144–158.</w:t>
      </w:r>
    </w:p>
    <w:p>
      <w:pPr>
        <w:keepNext/>
        <w:spacing w:after="80" w:before="160"/>
      </w:pPr>
      <w:r>
        <w:rPr>
          <w:b/>
          <w:bCs/>
          <w:color w:val="1C7C78"/>
          <w:sz w:val="20"/>
          <w:szCs w:val="20"/>
        </w:rPr>
        <w:t xml:space="preserve">Table 45. </w:t>
      </w:r>
      <w:r>
        <w:rPr>
          <w:color w:val="1F3A40"/>
          <w:sz w:val="20"/>
          <w:szCs w:val="20"/>
        </w:rPr>
        <w:t xml:space="preserve">At a glance: how the ground-truth method changes model accuracy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Wheat and barley; yellow rust and Fusarium head blight; four fields, Bedfordshire, UK</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Tractor-mounted hyperspectral line imager</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Single sensor</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PLSR with leave-one-out cross-validation; disease assessed by in-field visual assessment (IVA) and photo-interpretation assessment (PIA)</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R² and RPD (ratio of performance to deviation)</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 key numbers confirmed from the abstract or publisher record during this cross-check.</w:t>
            </w:r>
          </w:p>
        </w:tc>
      </w:tr>
    </w:tbl>
    <w:p>
      <w:pPr>
        <w:spacing w:after="120"/>
      </w:pPr>
    </w:p>
    <w:p>
      <w:pPr>
        <w:pStyle w:val="Heading3"/>
      </w:pPr>
      <w:r>
        <w:t xml:space="preserve">What they did</w:t>
      </w:r>
    </w:p>
    <w:p>
      <w:pPr>
        <w:spacing w:after="100" w:line="259"/>
        <w:jc w:val="both"/>
      </w:pPr>
      <w:r>
        <w:t xml:space="preserve">Spectra were collected on-line while driving through the crop, and disease coverage was scored by two methods. PLSR models related spectra to disease coverage.</w:t>
      </w:r>
    </w:p>
    <w:p>
      <w:pPr>
        <w:pStyle w:val="Heading3"/>
      </w:pPr>
      <w:r>
        <w:t xml:space="preserve">What they obtained</w:t>
      </w:r>
    </w:p>
    <w:p>
      <w:pPr>
        <w:pStyle w:val="ListParagraph"/>
        <w:numPr>
          <w:ilvl w:val="0"/>
          <w:numId w:val="3"/>
        </w:numPr>
        <w:spacing w:after="50" w:line="252"/>
      </w:pPr>
      <w:r>
        <w:t xml:space="preserve">Fusarium head blight (PIA): R² = 0.82 for wheat (RPD 2.27) and 0.61 for barley (RPD 1.56); PIA gave better models than IVA.</w:t>
      </w:r>
    </w:p>
    <w:p>
      <w:pPr>
        <w:pStyle w:val="ListParagraph"/>
        <w:numPr>
          <w:ilvl w:val="0"/>
          <w:numId w:val="3"/>
        </w:numPr>
        <w:spacing w:after="50" w:line="252"/>
      </w:pPr>
      <w:r>
        <w:t xml:space="preserve">Yellow rust (IVA): R² = 0.78 for wheat (RPD 2.19) and 0.72 for barley (RPD 1.67).</w:t>
      </w:r>
    </w:p>
    <w:p>
      <w:pPr>
        <w:pStyle w:val="Heading3"/>
      </w:pPr>
      <w:r>
        <w:t xml:space="preserve">Limitations to keep in mind</w:t>
      </w:r>
    </w:p>
    <w:p>
      <w:pPr>
        <w:pStyle w:val="ListParagraph"/>
        <w:numPr>
          <w:ilvl w:val="0"/>
          <w:numId w:val="3"/>
        </w:numPr>
        <w:spacing w:after="50" w:line="252"/>
      </w:pPr>
      <w:r>
        <w:t xml:space="preserve">Leave-one-out CV on spatially correlated samples can be optimistic.</w:t>
      </w:r>
    </w:p>
    <w:p>
      <w:pPr>
        <w:pStyle w:val="ListParagraph"/>
        <w:numPr>
          <w:ilvl w:val="0"/>
          <w:numId w:val="3"/>
        </w:numPr>
        <w:spacing w:after="50" w:line="252"/>
      </w:pPr>
      <w:r>
        <w:t xml:space="preserve">Single sensor.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The label method is part of the experiment: define the DI scoring protocol (leaf layers, both surfaces, plot area) carefully and report it, and consider photo-based scoring for consistency across dates and sites.</w:t>
            </w:r>
          </w:p>
        </w:tc>
      </w:tr>
    </w:tbl>
    <w:p>
      <w:pPr>
        <w:spacing w:after="120"/>
      </w:pPr>
    </w:p>
    <w:p>
      <w:pPr>
        <w:pStyle w:val="Heading2"/>
      </w:pPr>
      <w:r>
        <w:t xml:space="preserve">11.16 Tian et al. (2021): disease-specific spectral features and ML-SFFS for rice leaf blast</w:t>
      </w:r>
    </w:p>
    <w:p>
      <w:pPr>
        <w:keepNext/>
        <w:spacing w:after="60"/>
      </w:pPr>
      <w:r>
        <w:rPr>
          <w:i/>
          <w:iCs/>
          <w:color w:val="5E7A7E"/>
          <w:sz w:val="18"/>
          <w:szCs w:val="18"/>
        </w:rPr>
        <w:t xml:space="preserve">Tian, L., et al. (2021). Spectroscopic detection of rice leaf blast infection from asymptomatic to mild stages with integrated machine learning and feature selection. Remote Sensing of Environment 257, 112350.</w:t>
      </w:r>
    </w:p>
    <w:p>
      <w:pPr>
        <w:keepNext/>
        <w:spacing w:after="80" w:before="160"/>
      </w:pPr>
      <w:r>
        <w:rPr>
          <w:b/>
          <w:bCs/>
          <w:color w:val="1C7C78"/>
          <w:sz w:val="20"/>
          <w:szCs w:val="20"/>
        </w:rPr>
        <w:t xml:space="preserve">Table 46. </w:t>
      </w:r>
      <w:r>
        <w:rPr>
          <w:color w:val="1F3A40"/>
          <w:sz w:val="20"/>
          <w:szCs w:val="20"/>
        </w:rPr>
        <w:t xml:space="preserve">At a glance: the methodological template for Phases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Rice; leaf blast; asymptomatic to mild stages; greenhouse</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Spectroradiometer (350–2500 nm)</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Single sensor (feature selection framework)</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Disease-specific spectral features (DSSFs) from spectral transformations; JM-distance-based selection; ML-SFFS with ML classifiers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Classification by infection stage</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Numbers from the full text read earlier in this project; not re-confirmed online in this check †.</w:t>
            </w:r>
          </w:p>
        </w:tc>
      </w:tr>
    </w:tbl>
    <w:p>
      <w:pPr>
        <w:spacing w:after="120"/>
      </w:pPr>
    </w:p>
    <w:p>
      <w:pPr>
        <w:pStyle w:val="Heading3"/>
      </w:pPr>
      <w:r>
        <w:t xml:space="preserve">What they did</w:t>
      </w:r>
    </w:p>
    <w:p>
      <w:pPr>
        <w:spacing w:after="100" w:line="259"/>
        <w:jc w:val="both"/>
      </w:pPr>
      <w:r>
        <w:t xml:space="preserve">A large set of spectral features (reflectance, derivatives, indices, transformations) was screened for disease specificity using class separability (Jeffries–Matusita distance); a sequential floating forward selection wrapped around ML classifiers chose the final feature set.</w:t>
      </w:r>
    </w:p>
    <w:p>
      <w:pPr>
        <w:pStyle w:val="Heading3"/>
      </w:pPr>
      <w:r>
        <w:t xml:space="preserve">What they obtained</w:t>
      </w:r>
    </w:p>
    <w:p>
      <w:pPr>
        <w:pStyle w:val="ListParagraph"/>
        <w:numPr>
          <w:ilvl w:val="0"/>
          <w:numId w:val="3"/>
        </w:numPr>
        <w:spacing w:after="50" w:line="252"/>
      </w:pPr>
      <w:r>
        <w:t xml:space="preserve">21 disease-specific spectral features were identified †.</w:t>
      </w:r>
    </w:p>
    <w:p>
      <w:pPr>
        <w:pStyle w:val="ListParagraph"/>
        <w:numPr>
          <w:ilvl w:val="0"/>
          <w:numId w:val="3"/>
        </w:numPr>
        <w:spacing w:after="50" w:line="252"/>
      </w:pPr>
      <w:r>
        <w:t xml:space="preserve">Accuracy above 65% for asymptomatic samples, above 80% for early and up to 95% for mild infection †.</w:t>
      </w:r>
    </w:p>
    <w:p>
      <w:pPr>
        <w:pStyle w:val="Heading3"/>
      </w:pPr>
      <w:r>
        <w:t xml:space="preserve">Limitations to keep in mind</w:t>
      </w:r>
    </w:p>
    <w:p>
      <w:pPr>
        <w:pStyle w:val="ListParagraph"/>
        <w:numPr>
          <w:ilvl w:val="0"/>
          <w:numId w:val="3"/>
        </w:numPr>
        <w:spacing w:after="50" w:line="252"/>
      </w:pPr>
      <w:r>
        <w:t xml:space="preserve">Leaf-level spectroscopy in a greenhouse; one sensor.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Cite Tian et al. as the origin of the DSF + ML-SFFS idea in Phases 1–2; MuDAS-AI extends it to four sensors and adds redundancy removal (VIF) and stability selection.</w:t>
            </w:r>
          </w:p>
        </w:tc>
      </w:tr>
    </w:tbl>
    <w:p>
      <w:pPr>
        <w:spacing w:after="120"/>
      </w:pPr>
    </w:p>
    <w:p>
      <w:pPr>
        <w:pStyle w:val="Heading2"/>
      </w:pPr>
      <w:r>
        <w:t xml:space="preserve">11.17 Pan et al. (2021): PSPNet and weak labels for yellow rust from UAV RGB</w:t>
      </w:r>
    </w:p>
    <w:p>
      <w:pPr>
        <w:keepNext/>
        <w:spacing w:after="60"/>
      </w:pPr>
      <w:r>
        <w:rPr>
          <w:i/>
          <w:iCs/>
          <w:color w:val="5E7A7E"/>
          <w:sz w:val="18"/>
          <w:szCs w:val="18"/>
        </w:rPr>
        <w:t xml:space="preserve">Pan, Q., et al. (2021). A deep-learning-based approach for wheat yellow rust disease recognition from unmanned aerial vehicle images. Sensors 21(19), 6540.</w:t>
      </w:r>
    </w:p>
    <w:p>
      <w:pPr>
        <w:keepNext/>
        <w:spacing w:after="80" w:before="160"/>
      </w:pPr>
      <w:r>
        <w:rPr>
          <w:b/>
          <w:bCs/>
          <w:color w:val="1C7C78"/>
          <w:sz w:val="20"/>
          <w:szCs w:val="20"/>
        </w:rPr>
        <w:t xml:space="preserve">Table 47. </w:t>
      </w:r>
      <w:r>
        <w:rPr>
          <w:color w:val="1F3A40"/>
          <w:sz w:val="20"/>
          <w:szCs w:val="20"/>
        </w:rPr>
        <w:t xml:space="preserve">At a glance: pixel-level DL and weak 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Wheat; yellow rust; UAV RGB, two fields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RGB camera</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Pixel-level DL (single sensor) with weak supervision</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PSPNet semantic segmentation (healthy wheat, yellow rust wheat, bare soil); SVM output used as weak labels for large images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Accuracy on test images and on a second field</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 key numbers confirmed from the abstract or publisher record during this cross-check.</w:t>
            </w:r>
          </w:p>
        </w:tc>
      </w:tr>
    </w:tbl>
    <w:p>
      <w:pPr>
        <w:spacing w:after="120"/>
      </w:pPr>
    </w:p>
    <w:p>
      <w:pPr>
        <w:pStyle w:val="Heading3"/>
      </w:pPr>
      <w:r>
        <w:t xml:space="preserve">What they did</w:t>
      </w:r>
    </w:p>
    <w:p>
      <w:pPr>
        <w:spacing w:after="100" w:line="259"/>
        <w:jc w:val="both"/>
      </w:pPr>
      <w:r>
        <w:t xml:space="preserve">PSPNet was trained to classify every pixel of small UAV images into three classes. For large images, where manual labels are costly, the output of an SVM classifier served as a weak label for training.</w:t>
      </w:r>
    </w:p>
    <w:p>
      <w:pPr>
        <w:pStyle w:val="Heading3"/>
      </w:pPr>
      <w:r>
        <w:t xml:space="preserve">What they obtained</w:t>
      </w:r>
    </w:p>
    <w:p>
      <w:pPr>
        <w:pStyle w:val="ListParagraph"/>
        <w:numPr>
          <w:ilvl w:val="0"/>
          <w:numId w:val="3"/>
        </w:numPr>
        <w:spacing w:after="50" w:line="252"/>
      </w:pPr>
      <w:r>
        <w:t xml:space="preserve">Recognition accuracy of 98%; applied to a different wheat field, accuracy also reached 98%.</w:t>
      </w:r>
    </w:p>
    <w:p>
      <w:pPr>
        <w:pStyle w:val="ListParagraph"/>
        <w:numPr>
          <w:ilvl w:val="0"/>
          <w:numId w:val="3"/>
        </w:numPr>
        <w:spacing w:after="50" w:line="252"/>
      </w:pPr>
      <w:r>
        <w:t xml:space="preserve">With SVM-generated weak labels, the final recognition accuracy reached 94%.</w:t>
      </w:r>
    </w:p>
    <w:p>
      <w:pPr>
        <w:pStyle w:val="Heading3"/>
      </w:pPr>
      <w:r>
        <w:t xml:space="preserve">Limitations to keep in mind</w:t>
      </w:r>
    </w:p>
    <w:p>
      <w:pPr>
        <w:pStyle w:val="ListParagraph"/>
        <w:numPr>
          <w:ilvl w:val="0"/>
          <w:numId w:val="3"/>
        </w:numPr>
        <w:spacing w:after="50" w:line="252"/>
      </w:pPr>
      <w:r>
        <w:t xml:space="preserve">Visible symptoms only; per-class metrics and the evaluation protocol should be checked in the full paper.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Shows that weak labels can train a segmentation network. For MuDAS-AI, the weak label is the plot DI; attention MIL or label-proportion learning (Section 6.7) is the analogous approach.</w:t>
            </w:r>
          </w:p>
        </w:tc>
      </w:tr>
    </w:tbl>
    <w:p>
      <w:pPr>
        <w:spacing w:after="120"/>
      </w:pPr>
    </w:p>
    <w:p>
      <w:pPr>
        <w:pStyle w:val="Heading2"/>
      </w:pPr>
      <w:r>
        <w:t xml:space="preserve">11.18 Shi et al. (2022): CropdocNet for potato late blight from UAV hyperspectral images</w:t>
      </w:r>
    </w:p>
    <w:p>
      <w:pPr>
        <w:keepNext/>
        <w:spacing w:after="60"/>
      </w:pPr>
      <w:r>
        <w:rPr>
          <w:i/>
          <w:iCs/>
          <w:color w:val="5E7A7E"/>
          <w:sz w:val="18"/>
          <w:szCs w:val="18"/>
        </w:rPr>
        <w:t xml:space="preserve">Shi, Y., et al. (2022). Novel CropdocNet model for automated potato late blight disease detection from unmanned aerial vehicle-based hyperspectral imagery. Remote Sensing 14(2), 396.</w:t>
      </w:r>
    </w:p>
    <w:p>
      <w:pPr>
        <w:keepNext/>
        <w:spacing w:after="80" w:before="160"/>
      </w:pPr>
      <w:r>
        <w:rPr>
          <w:b/>
          <w:bCs/>
          <w:color w:val="1C7C78"/>
          <w:sz w:val="20"/>
          <w:szCs w:val="20"/>
        </w:rPr>
        <w:t xml:space="preserve">Table 48. </w:t>
      </w:r>
      <w:r>
        <w:rPr>
          <w:color w:val="1F3A40"/>
          <w:sz w:val="20"/>
          <w:szCs w:val="20"/>
        </w:rPr>
        <w:t xml:space="preserve">At a glance: a disease-specific DL encoder with an independent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Potato; late blight; controlled and natural field conditions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UAV hyperspectral imager</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DL encoder (single sensor)</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End-to-end network with multiple capsule layers modelling part-to-whole relations of spectral–spatial features; compared with ML/DL methods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Test dataset and an independent dataset</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 key numbers confirmed from the abstract or publisher record during this cross-check.</w:t>
            </w:r>
          </w:p>
        </w:tc>
      </w:tr>
    </w:tbl>
    <w:p>
      <w:pPr>
        <w:spacing w:after="120"/>
      </w:pPr>
    </w:p>
    <w:p>
      <w:pPr>
        <w:pStyle w:val="Heading3"/>
      </w:pPr>
      <w:r>
        <w:t xml:space="preserve">What they did</w:t>
      </w:r>
    </w:p>
    <w:p>
      <w:pPr>
        <w:spacing w:after="100" w:line="259"/>
        <w:jc w:val="both"/>
      </w:pPr>
      <w:r>
        <w:t xml:space="preserve">The authors designed a spectral–spatial network with capsule layers and evaluated it both on a test split and on an independent dataset collected separately.</w:t>
      </w:r>
    </w:p>
    <w:p>
      <w:pPr>
        <w:pStyle w:val="Heading3"/>
      </w:pPr>
      <w:r>
        <w:t xml:space="preserve">What they obtained</w:t>
      </w:r>
    </w:p>
    <w:p>
      <w:pPr>
        <w:pStyle w:val="ListParagraph"/>
        <w:numPr>
          <w:ilvl w:val="0"/>
          <w:numId w:val="3"/>
        </w:numPr>
        <w:spacing w:after="50" w:line="252"/>
      </w:pPr>
      <w:r>
        <w:t xml:space="preserve">Test set: overall accuracy 97.33% (average accuracy 98.09%).</w:t>
      </w:r>
    </w:p>
    <w:p>
      <w:pPr>
        <w:pStyle w:val="ListParagraph"/>
        <w:numPr>
          <w:ilvl w:val="0"/>
          <w:numId w:val="3"/>
        </w:numPr>
        <w:spacing w:after="50" w:line="252"/>
      </w:pPr>
      <w:r>
        <w:t xml:space="preserve">Independent dataset: 95.75%.</w:t>
      </w:r>
    </w:p>
    <w:p>
      <w:pPr>
        <w:pStyle w:val="Heading3"/>
      </w:pPr>
      <w:r>
        <w:t xml:space="preserve">Limitations to keep in mind</w:t>
      </w:r>
    </w:p>
    <w:p>
      <w:pPr>
        <w:pStyle w:val="ListParagraph"/>
        <w:numPr>
          <w:ilvl w:val="0"/>
          <w:numId w:val="3"/>
        </w:numPr>
        <w:spacing w:after="50" w:line="252"/>
      </w:pPr>
      <w:r>
        <w:t xml:space="preserve">Single sensor; detection classes rather than fine severity grades.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Report results on an independent dataset (Bharatpur) separately from the internal test. Consider a compact spectral–spatial encoder for the hyperspectral branch.</w:t>
            </w:r>
          </w:p>
        </w:tc>
      </w:tr>
    </w:tbl>
    <w:p>
      <w:pPr>
        <w:spacing w:after="120"/>
      </w:pPr>
    </w:p>
    <w:p>
      <w:pPr>
        <w:pStyle w:val="Heading2"/>
      </w:pPr>
      <w:r>
        <w:t xml:space="preserve">11.19 Zhang X. et al. (2019): deep CNN versus random forest for yellow rust from UAV hyperspectral images</w:t>
      </w:r>
    </w:p>
    <w:p>
      <w:pPr>
        <w:keepNext/>
        <w:spacing w:after="60"/>
      </w:pPr>
      <w:r>
        <w:rPr>
          <w:i/>
          <w:iCs/>
          <w:color w:val="5E7A7E"/>
          <w:sz w:val="18"/>
          <w:szCs w:val="18"/>
        </w:rPr>
        <w:t xml:space="preserve">Zhang, X., et al. (2019). A deep learning-based approach for automated yellow rust disease detection from high-resolution hyperspectral UAV images. Remote Sensing 11(13), 1554.</w:t>
      </w:r>
    </w:p>
    <w:p>
      <w:pPr>
        <w:keepNext/>
        <w:spacing w:after="80" w:before="160"/>
      </w:pPr>
      <w:r>
        <w:rPr>
          <w:b/>
          <w:bCs/>
          <w:color w:val="1C7C78"/>
          <w:sz w:val="20"/>
          <w:szCs w:val="20"/>
        </w:rPr>
        <w:t xml:space="preserve">Table 49. </w:t>
      </w:r>
      <w:r>
        <w:rPr>
          <w:color w:val="1F3A40"/>
          <w:sz w:val="20"/>
          <w:szCs w:val="20"/>
        </w:rPr>
        <w:t xml:space="preserve">At a glance: DL encoder for hyperspectral cubes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7631"/>
      </w:tblGrid>
      <w:tr>
        <w:trPr>
          <w:cantSplit/>
          <w:tblHeader/>
        </w:trPr>
        <w:tc>
          <w:tcPr>
            <w:tcW w:type="dxa" w:w="200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Item</w:t>
            </w:r>
          </w:p>
        </w:tc>
        <w:tc>
          <w:tcPr>
            <w:tcW w:type="dxa" w:w="763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spacing w:after="0" w:line="235"/>
            </w:pPr>
            <w:r>
              <w:rPr>
                <w:b/>
                <w:bCs/>
                <w:color w:val="FFFFFF"/>
                <w:sz w:val="17"/>
                <w:szCs w:val="17"/>
              </w:rPr>
              <w:t xml:space="preserve">Details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Crop / disease / scale</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Wheat; yellow rust; controlled field experiment with healthy and inoculated plots; five dates</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Sensors (modalities)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UAV hyperspectral imager</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Fusion level</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DL encoder (single sensor)</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Methods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spacing w:after="0" w:line="235"/>
            </w:pPr>
            <w:r>
              <w:rPr>
                <w:sz w:val="17"/>
                <w:szCs w:val="17"/>
              </w:rPr>
              <w:t xml:space="preserve">Deep CNN with Inception-ResNet layers using spatial and spectral information; compared with random forest across dates</w:t>
            </w:r>
          </w:p>
        </w:tc>
      </w:tr>
      <w:tr>
        <w:trPr>
          <w:cantSplit/>
          <w:tblHeader w:val="false"/>
        </w:trPr>
        <w:tc>
          <w:tcPr>
            <w:tcW w:type="dxa" w:w="200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Validation</w:t>
            </w:r>
          </w:p>
        </w:tc>
        <w:tc>
          <w:tcPr>
            <w:tcW w:type="dxa" w:w="763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spacing w:after="0" w:line="235"/>
            </w:pPr>
            <w:r>
              <w:rPr>
                <w:sz w:val="17"/>
                <w:szCs w:val="17"/>
              </w:rPr>
              <w:t xml:space="preserve">Accuracy per sampling date</w:t>
            </w:r>
          </w:p>
        </w:tc>
      </w:tr>
      <w:tr>
        <w:trPr>
          <w:cantSplit/>
          <w:tblHeader w:val="false"/>
        </w:trPr>
        <w:tc>
          <w:tcPr>
            <w:tcW w:type="dxa" w:w="200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Cross-check status</w:t>
            </w:r>
          </w:p>
        </w:tc>
        <w:tc>
          <w:tcPr>
            <w:tcW w:type="dxa" w:w="763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Partly verified: design confirmed; numbers marked † come from earlier full-text reading or secondary sources and should be re-checked before citing. † The DCNN-vs-RF accuracies (about 0.85 vs 0.77) are recalled, not re-confirmed.</w:t>
            </w:r>
          </w:p>
        </w:tc>
      </w:tr>
    </w:tbl>
    <w:p>
      <w:pPr>
        <w:spacing w:after="120"/>
      </w:pPr>
    </w:p>
    <w:p>
      <w:pPr>
        <w:pStyle w:val="Heading3"/>
      </w:pPr>
      <w:r>
        <w:t xml:space="preserve">What they did</w:t>
      </w:r>
    </w:p>
    <w:p>
      <w:pPr>
        <w:spacing w:after="100" w:line="259"/>
        <w:jc w:val="both"/>
      </w:pPr>
      <w:r>
        <w:t xml:space="preserve">A 3-D-aware CNN was tuned in depth and width and trained on hyperspectral patches from five dates, then compared with random forest on the same data.</w:t>
      </w:r>
    </w:p>
    <w:p>
      <w:pPr>
        <w:pStyle w:val="Heading3"/>
      </w:pPr>
      <w:r>
        <w:t xml:space="preserve">What they obtained</w:t>
      </w:r>
    </w:p>
    <w:p>
      <w:pPr>
        <w:pStyle w:val="ListParagraph"/>
        <w:numPr>
          <w:ilvl w:val="0"/>
          <w:numId w:val="3"/>
        </w:numPr>
        <w:spacing w:after="50" w:line="252"/>
      </w:pPr>
      <w:r>
        <w:t xml:space="preserve">The deep CNN outperformed random forest, which the authors attributed to joint use of spatial and spectral information †.</w:t>
      </w:r>
    </w:p>
    <w:p>
      <w:pPr>
        <w:pStyle w:val="Heading3"/>
      </w:pPr>
      <w:r>
        <w:t xml:space="preserve">Limitations to keep in mind</w:t>
      </w:r>
    </w:p>
    <w:p>
      <w:pPr>
        <w:pStyle w:val="ListParagraph"/>
        <w:numPr>
          <w:ilvl w:val="0"/>
          <w:numId w:val="3"/>
        </w:numPr>
        <w:spacing w:after="50" w:line="252"/>
      </w:pPr>
      <w:r>
        <w:t xml:space="preserve">Single sensor; plot-level experimental design similar to MuDAS-AI but with more image patches per plot.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E6E1E" w:sz="24"/>
              <w:bottom w:val="none" w:color="FFFFFF" w:sz="0"/>
              <w:right w:val="none" w:color="FFFFFF" w:sz="0"/>
            </w:tcBorders>
            <w:shd w:fill="E8F3DD" w:color="auto" w:val="clear"/>
            <w:tcMar>
              <w:top w:type="dxa" w:w="100"/>
              <w:left w:type="dxa" w:w="180"/>
              <w:bottom w:type="dxa" w:w="100"/>
              <w:right w:type="dxa" w:w="180"/>
            </w:tcMar>
          </w:tcPr>
          <w:p>
            <w:pPr>
              <w:spacing w:after="60"/>
            </w:pPr>
            <w:r>
              <w:rPr>
                <w:b/>
                <w:bCs/>
                <w:color w:val="3E6E1E"/>
                <w:sz w:val="21"/>
                <w:szCs w:val="21"/>
              </w:rPr>
              <w:t xml:space="preserve">In MuDAS-AI</w:t>
            </w:r>
          </w:p>
          <w:p>
            <w:pPr>
              <w:spacing w:after="60" w:line="264"/>
            </w:pPr>
            <w:r>
              <w:rPr>
                <w:sz w:val="21"/>
                <w:szCs w:val="21"/>
              </w:rPr>
              <w:t xml:space="preserve">Provides the hyperspectral DL baseline for E6 and shows how to compare DL and RF fairly across dates.</w:t>
            </w:r>
          </w:p>
        </w:tc>
      </w:tr>
    </w:tbl>
    <w:p>
      <w:pPr>
        <w:spacing w:after="120"/>
      </w:pPr>
    </w:p>
    <w:p>
      <w:pPr>
        <w:pStyle w:val="Heading2"/>
      </w:pPr>
      <w:r>
        <w:t xml:space="preserve">11.20 Synthesis of the case studies</w:t>
      </w:r>
    </w:p>
    <w:p>
      <w:pPr>
        <w:keepNext/>
        <w:spacing w:after="80" w:before="160"/>
      </w:pPr>
      <w:r>
        <w:rPr>
          <w:b/>
          <w:bCs/>
          <w:color w:val="1C7C78"/>
          <w:sz w:val="20"/>
          <w:szCs w:val="20"/>
        </w:rPr>
        <w:t xml:space="preserve">Table 50. </w:t>
      </w:r>
      <w:r>
        <w:rPr>
          <w:color w:val="1F3A40"/>
          <w:sz w:val="20"/>
          <w:szCs w:val="20"/>
        </w:rPr>
        <w:t xml:space="preserve">What the case studies show, and the corresponding MuDAS-AI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5"/>
        <w:gridCol w:w="2108"/>
        <w:gridCol w:w="3615"/>
      </w:tblGrid>
      <w:tr>
        <w:trPr>
          <w:cantSplit/>
          <w:tblHeader/>
        </w:trPr>
        <w:tc>
          <w:tcPr>
            <w:tcW w:type="dxa" w:w="391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Finding across studies</w:t>
            </w:r>
          </w:p>
        </w:tc>
        <w:tc>
          <w:tcPr>
            <w:tcW w:type="dxa" w:w="2108"/>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Supporting cases</w:t>
            </w:r>
          </w:p>
        </w:tc>
        <w:tc>
          <w:tcPr>
            <w:tcW w:type="dxa" w:w="3615"/>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MuDAS-AI decision</w:t>
            </w:r>
          </w:p>
        </w:tc>
      </w:tr>
      <w:tr>
        <w:trPr>
          <w:cantSplit/>
          <w:tblHeader w:val="false"/>
        </w:trPr>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Spectral features are the strongest single group; thermal and texture add complementary information</w:t>
            </w:r>
          </w:p>
        </w:tc>
        <w:tc>
          <w:tcPr>
            <w:tcW w:type="dxa" w:w="210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11.2, 11.3, 11.4, 11.6, 11.13</w:t>
            </w:r>
          </w:p>
        </w:tc>
        <w:tc>
          <w:tcPr>
            <w:tcW w:type="dxa" w:w="36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Keep spectral, thermal and texture features in Phase 1 for every sensor</w:t>
            </w:r>
          </w:p>
        </w:tc>
      </w:tr>
      <w:tr>
        <w:trPr>
          <w:cantSplit/>
          <w:tblHeader w:val="false"/>
        </w:trPr>
        <w:tc>
          <w:tcPr>
            <w:tcW w:type="dxa" w:w="39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Fusion gains are real but often modest</w:t>
            </w:r>
          </w:p>
        </w:tc>
        <w:tc>
          <w:tcPr>
            <w:tcW w:type="dxa" w:w="210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11.1, 11.2, 11.4</w:t>
            </w:r>
          </w:p>
        </w:tc>
        <w:tc>
          <w:tcPr>
            <w:tcW w:type="dxa" w:w="36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Test the gain statistically (McNemar) against the best single sensor</w:t>
            </w:r>
          </w:p>
        </w:tc>
      </w:tr>
      <w:tr>
        <w:trPr>
          <w:cantSplit/>
          <w:tblHeader w:val="false"/>
        </w:trPr>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Intermediate/late DL ≥ early DL; DL margin over ML small with few samples</w:t>
            </w:r>
          </w:p>
        </w:tc>
        <w:tc>
          <w:tcPr>
            <w:tcW w:type="dxa" w:w="210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11.1, 11.10, 11.11</w:t>
            </w:r>
          </w:p>
        </w:tc>
        <w:tc>
          <w:tcPr>
            <w:tcW w:type="dxa" w:w="36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ML feature fusion primary; intermediate DL as comparison</w:t>
            </w:r>
          </w:p>
        </w:tc>
      </w:tr>
      <w:tr>
        <w:trPr>
          <w:cantSplit/>
          <w:tblHeader w:val="false"/>
        </w:trPr>
        <w:tc>
          <w:tcPr>
            <w:tcW w:type="dxa" w:w="39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Per-class performance can differ greatly from overall accuracy</w:t>
            </w:r>
          </w:p>
        </w:tc>
        <w:tc>
          <w:tcPr>
            <w:tcW w:type="dxa" w:w="210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11.7</w:t>
            </w:r>
          </w:p>
        </w:tc>
        <w:tc>
          <w:tcPr>
            <w:tcW w:type="dxa" w:w="36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Report macro-F1, per-class recall, weighted kappa</w:t>
            </w:r>
          </w:p>
        </w:tc>
      </w:tr>
      <w:tr>
        <w:trPr>
          <w:cantSplit/>
          <w:tblHeader w:val="false"/>
        </w:trPr>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Ground-truth method and scale matter</w:t>
            </w:r>
          </w:p>
        </w:tc>
        <w:tc>
          <w:tcPr>
            <w:tcW w:type="dxa" w:w="210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11.14, 11.15</w:t>
            </w:r>
          </w:p>
        </w:tc>
        <w:tc>
          <w:tcPr>
            <w:tcW w:type="dxa" w:w="36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Documented DI protocol; three-tier external validation</w:t>
            </w:r>
          </w:p>
        </w:tc>
      </w:tr>
      <w:tr>
        <w:trPr>
          <w:cantSplit/>
          <w:tblHeader w:val="false"/>
        </w:trPr>
        <w:tc>
          <w:tcPr>
            <w:tcW w:type="dxa" w:w="39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Weak labels can train DL</w:t>
            </w:r>
          </w:p>
        </w:tc>
        <w:tc>
          <w:tcPr>
            <w:tcW w:type="dxa" w:w="210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11.17</w:t>
            </w:r>
          </w:p>
        </w:tc>
        <w:tc>
          <w:tcPr>
            <w:tcW w:type="dxa" w:w="3615"/>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Attention MIL / label proportions with plot DI</w:t>
            </w:r>
          </w:p>
        </w:tc>
      </w:tr>
      <w:tr>
        <w:trPr>
          <w:cantSplit/>
          <w:tblHeader w:val="false"/>
        </w:trPr>
        <w:tc>
          <w:tcPr>
            <w:tcW w:type="dxa" w:w="39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Early detection requires narrow-band or thermal information</w:t>
            </w:r>
          </w:p>
        </w:tc>
        <w:tc>
          <w:tcPr>
            <w:tcW w:type="dxa" w:w="210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11.4, 11.6, 11.12, 11.16</w:t>
            </w:r>
          </w:p>
        </w:tc>
        <w:tc>
          <w:tcPr>
            <w:tcW w:type="dxa" w:w="3615"/>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Hyperspectral and thermal included; per-date analysis</w:t>
            </w:r>
          </w:p>
        </w:tc>
      </w:tr>
    </w:tbl>
    <w:p>
      <w:pPr>
        <w:spacing w:after="120"/>
      </w:pPr>
    </w:p>
    <w:p>
      <w:pPr>
        <w:pStyle w:val="Heading1"/>
        <w:pageBreakBefore/>
      </w:pPr>
      <w:r>
        <w:t xml:space="preserve">12. Cross-check of methods and sources</w:t>
      </w:r>
    </w:p>
    <w:p>
      <w:pPr>
        <w:spacing w:after="100" w:line="259"/>
        <w:jc w:val="both"/>
      </w:pPr>
      <w:r>
        <w:t xml:space="preserve">This chapter documents how the content was checked. Three questions were asked of every methodological statement: (1) does the cited source say what is claimed; (2) is the method used correctly for the MuDAS-AI data structure (48 plots, 4 dates, plot-level ordinal labels); and (3) is the number quoted with its conditions?</w:t>
      </w:r>
    </w:p>
    <w:p>
      <w:pPr>
        <w:pStyle w:val="Heading2"/>
      </w:pPr>
      <w:r>
        <w:t xml:space="preserve">12.1 How the numbers were verified</w:t>
      </w:r>
    </w:p>
    <w:p>
      <w:pPr>
        <w:pStyle w:val="ListParagraph"/>
        <w:numPr>
          <w:ilvl w:val="0"/>
          <w:numId w:val="3"/>
        </w:numPr>
        <w:spacing w:after="50" w:line="252"/>
      </w:pPr>
      <w:r>
        <w:rPr>
          <w:b/>
          <w:bCs/>
        </w:rPr>
        <w:t xml:space="preserve">Verified:</w:t>
      </w:r>
      <w:r>
        <w:t xml:space="preserve"> the number was confirmed in the abstract or publisher record during this check (search results from the publisher, PubMed Central, DOAJ or the authors' repositories).</w:t>
      </w:r>
    </w:p>
    <w:p>
      <w:pPr>
        <w:pStyle w:val="ListParagraph"/>
        <w:numPr>
          <w:ilvl w:val="0"/>
          <w:numId w:val="3"/>
        </w:numPr>
        <w:spacing w:after="50" w:line="252"/>
      </w:pPr>
      <w:r>
        <w:rPr>
          <w:b/>
          <w:bCs/>
        </w:rPr>
        <w:t xml:space="preserve">From earlier reading (†):</w:t>
      </w:r>
      <w:r>
        <w:t xml:space="preserve"> the number comes from the full text read earlier in this project but could not be re-confirmed online now; re-check the page or table before citing it in the thesis.</w:t>
      </w:r>
    </w:p>
    <w:p>
      <w:pPr>
        <w:pStyle w:val="ListParagraph"/>
        <w:numPr>
          <w:ilvl w:val="0"/>
          <w:numId w:val="3"/>
        </w:numPr>
        <w:spacing w:after="50" w:line="252"/>
      </w:pPr>
      <w:r>
        <w:rPr>
          <w:b/>
          <w:bCs/>
        </w:rPr>
        <w:t xml:space="preserve">Design only:</w:t>
      </w:r>
      <w:r>
        <w:t xml:space="preserve"> the study design was confirmed but no number is quoted because it could not be confirmed.</w:t>
      </w:r>
    </w:p>
    <w:p>
      <w:pPr>
        <w:keepNext/>
        <w:spacing w:after="80" w:before="160"/>
      </w:pPr>
      <w:r>
        <w:rPr>
          <w:b/>
          <w:bCs/>
          <w:color w:val="1C7C78"/>
          <w:sz w:val="20"/>
          <w:szCs w:val="20"/>
        </w:rPr>
        <w:t xml:space="preserve">Table 51. </w:t>
      </w:r>
      <w:r>
        <w:rPr>
          <w:color w:val="1F3A40"/>
          <w:sz w:val="20"/>
          <w:szCs w:val="20"/>
        </w:rPr>
        <w:t xml:space="preserve">Verification status of the case-study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819"/>
        <w:gridCol w:w="2410"/>
      </w:tblGrid>
      <w:tr>
        <w:trPr>
          <w:cantSplit/>
          <w:tblHeader/>
        </w:trPr>
        <w:tc>
          <w:tcPr>
            <w:tcW w:type="dxa" w:w="240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Study</w:t>
            </w:r>
          </w:p>
        </w:tc>
        <w:tc>
          <w:tcPr>
            <w:tcW w:type="dxa" w:w="481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Number(s) quoted</w:t>
            </w:r>
          </w:p>
        </w:tc>
        <w:tc>
          <w:tcPr>
            <w:tcW w:type="dxa" w:w="241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Status</w:t>
            </w:r>
          </w:p>
        </w:tc>
      </w:tr>
      <w:tr>
        <w:trPr>
          <w:cantSplit/>
          <w:tblHeader w:val="false"/>
        </w:trPr>
        <w:tc>
          <w:tcPr>
            <w:tcW w:type="dxa" w:w="24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Maimaitijiang et al. 2020</w:t>
            </w:r>
          </w:p>
        </w:tc>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DNN-F2 best, R² = 0.720</w:t>
            </w:r>
          </w:p>
        </w:tc>
        <w:tc>
          <w:tcPr>
            <w:tcW w:type="dxa" w:w="24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Verified</w:t>
            </w:r>
          </w:p>
        </w:tc>
      </w:tr>
      <w:tr>
        <w:trPr>
          <w:cantSplit/>
          <w:tblHeader w:val="false"/>
        </w:trPr>
        <w:tc>
          <w:tcPr>
            <w:tcW w:type="dxa" w:w="24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p>
        </w:tc>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Relative RMSE 15.9%; ≈ 950 plots</w:t>
            </w:r>
          </w:p>
        </w:tc>
        <w:tc>
          <w:tcPr>
            <w:tcW w:type="dxa" w:w="24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 (secondary citation / earlier reading)</w:t>
            </w:r>
          </w:p>
        </w:tc>
      </w:tr>
      <w:tr>
        <w:trPr>
          <w:cantSplit/>
          <w:tblHeader w:val="false"/>
        </w:trPr>
        <w:tc>
          <w:tcPr>
            <w:tcW w:type="dxa" w:w="24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Feng et al. 2022</w:t>
            </w:r>
          </w:p>
        </w:tc>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RFR on VI + TP + TF: R² = 0.872 (cal.), 0.862 (val.); VI &gt; TP &gt; TF</w:t>
            </w:r>
          </w:p>
        </w:tc>
        <w:tc>
          <w:tcPr>
            <w:tcW w:type="dxa" w:w="24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Verified</w:t>
            </w:r>
          </w:p>
        </w:tc>
      </w:tr>
      <w:tr>
        <w:trPr>
          <w:cantSplit/>
          <w:tblHeader w:val="false"/>
        </w:trPr>
        <w:tc>
          <w:tcPr>
            <w:tcW w:type="dxa" w:w="24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Liu et al. 2024</w:t>
            </w:r>
          </w:p>
        </w:tc>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R² = 0.90, RMSE = 8.28%; 9–30 days earlier detection</w:t>
            </w:r>
          </w:p>
        </w:tc>
        <w:tc>
          <w:tcPr>
            <w:tcW w:type="dxa" w:w="24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From the full text read earlier (abstract-level)</w:t>
            </w:r>
          </w:p>
        </w:tc>
      </w:tr>
      <w:tr>
        <w:trPr>
          <w:cantSplit/>
          <w:tblHeader w:val="false"/>
        </w:trPr>
        <w:tc>
          <w:tcPr>
            <w:tcW w:type="dxa" w:w="24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Mahlein et al. 2019</w:t>
            </w:r>
          </w:p>
        </w:tc>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78 / 56 / 78% at 3 dai; 89% for IRT–HSI or CFI–HSI at 30 dai</w:t>
            </w:r>
          </w:p>
        </w:tc>
        <w:tc>
          <w:tcPr>
            <w:tcW w:type="dxa" w:w="24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Verified</w:t>
            </w:r>
          </w:p>
        </w:tc>
      </w:tr>
      <w:tr>
        <w:trPr>
          <w:cantSplit/>
          <w:tblHeader w:val="false"/>
        </w:trPr>
        <w:tc>
          <w:tcPr>
            <w:tcW w:type="dxa" w:w="24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Mustafa et al. 2023</w:t>
            </w:r>
          </w:p>
        </w:tc>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Design (HR + CFI + HTP; SFFS; KNN/SVM)</w:t>
            </w:r>
          </w:p>
        </w:tc>
        <w:tc>
          <w:tcPr>
            <w:tcW w:type="dxa" w:w="24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Design verified; accuracies †</w:t>
            </w:r>
          </w:p>
        </w:tc>
      </w:tr>
      <w:tr>
        <w:trPr>
          <w:cantSplit/>
          <w:tblHeader w:val="false"/>
        </w:trPr>
        <w:tc>
          <w:tcPr>
            <w:tcW w:type="dxa" w:w="24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Zarco-Tejada et al. 2018</w:t>
            </w:r>
          </w:p>
        </w:tc>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&gt; 80% accuracy; &gt; 7,000 trees, 15 orchards; ≈ 2× symptom rate</w:t>
            </w:r>
          </w:p>
        </w:tc>
        <w:tc>
          <w:tcPr>
            <w:tcW w:type="dxa" w:w="24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Verified</w:t>
            </w:r>
          </w:p>
        </w:tc>
      </w:tr>
      <w:tr>
        <w:trPr>
          <w:cantSplit/>
          <w:tblHeader w:val="false"/>
        </w:trPr>
        <w:tc>
          <w:tcPr>
            <w:tcW w:type="dxa" w:w="24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Calderón et al. 2015</w:t>
            </w:r>
          </w:p>
        </w:tc>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LDA 59.0% (κ 0.487); SVM 79.2% (κ 0.495); 71.4/75.0 vs 14.3/40.6%</w:t>
            </w:r>
          </w:p>
        </w:tc>
        <w:tc>
          <w:tcPr>
            <w:tcW w:type="dxa" w:w="24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w:t>
            </w:r>
          </w:p>
        </w:tc>
      </w:tr>
      <w:tr>
        <w:trPr>
          <w:cantSplit/>
          <w:tblHeader w:val="false"/>
        </w:trPr>
        <w:tc>
          <w:tcPr>
            <w:tcW w:type="dxa" w:w="24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Kerkech et al. 2020a</w:t>
            </w:r>
          </w:p>
        </w:tc>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&gt; 92% (grapevine), 87% (leaf)</w:t>
            </w:r>
          </w:p>
        </w:tc>
        <w:tc>
          <w:tcPr>
            <w:tcW w:type="dxa" w:w="24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Verified</w:t>
            </w:r>
          </w:p>
        </w:tc>
      </w:tr>
      <w:tr>
        <w:trPr>
          <w:cantSplit/>
          <w:tblHeader w:val="false"/>
        </w:trPr>
        <w:tc>
          <w:tcPr>
            <w:tcW w:type="dxa" w:w="24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Kerkech et al. 2020b</w:t>
            </w:r>
          </w:p>
        </w:tc>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Better than SegNet, U-Net, DeepLabv3+, PSPNet</w:t>
            </w:r>
          </w:p>
        </w:tc>
        <w:tc>
          <w:tcPr>
            <w:tcW w:type="dxa" w:w="24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Design verified; no number quoted</w:t>
            </w:r>
          </w:p>
        </w:tc>
      </w:tr>
      <w:tr>
        <w:trPr>
          <w:cantSplit/>
          <w:tblHeader w:val="false"/>
        </w:trPr>
        <w:tc>
          <w:tcPr>
            <w:tcW w:type="dxa" w:w="24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Audebert et al. 2018</w:t>
            </w:r>
          </w:p>
        </w:tc>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Early vs late trade-off; residual correction effects</w:t>
            </w:r>
          </w:p>
        </w:tc>
        <w:tc>
          <w:tcPr>
            <w:tcW w:type="dxa" w:w="24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Verified (qualitative)</w:t>
            </w:r>
          </w:p>
        </w:tc>
      </w:tr>
      <w:tr>
        <w:trPr>
          <w:cantSplit/>
          <w:tblHeader w:val="false"/>
        </w:trPr>
        <w:tc>
          <w:tcPr>
            <w:tcW w:type="dxa" w:w="24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Hong et al. 2021</w:t>
            </w:r>
          </w:p>
        </w:tc>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 10% average gain over single modality (LCZ); cross &gt; middle &gt; early</w:t>
            </w:r>
          </w:p>
        </w:tc>
        <w:tc>
          <w:tcPr>
            <w:tcW w:type="dxa" w:w="24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Gain verified; ranking via third-party reproduction †</w:t>
            </w:r>
          </w:p>
        </w:tc>
      </w:tr>
      <w:tr>
        <w:trPr>
          <w:cantSplit/>
          <w:tblHeader w:val="false"/>
        </w:trPr>
        <w:tc>
          <w:tcPr>
            <w:tcW w:type="dxa" w:w="24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Su et al. 2018</w:t>
            </w:r>
          </w:p>
        </w:tc>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89.2 / 89.4 / 89.3% at 45 dai; RVI, NDVI, OSAVI; 16–24 m, 1–1.5 cm</w:t>
            </w:r>
          </w:p>
        </w:tc>
        <w:tc>
          <w:tcPr>
            <w:tcW w:type="dxa" w:w="24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Verified</w:t>
            </w:r>
          </w:p>
        </w:tc>
      </w:tr>
      <w:tr>
        <w:trPr>
          <w:cantSplit/>
          <w:tblHeader w:val="false"/>
        </w:trPr>
        <w:tc>
          <w:tcPr>
            <w:tcW w:type="dxa" w:w="24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Guo et al. 2021</w:t>
            </w:r>
          </w:p>
        </w:tc>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VI R² 0.75 (mid); TF 0.65 (mid), 0.82 (late); VI + TF best; 1.2 → 20 cm</w:t>
            </w:r>
          </w:p>
        </w:tc>
        <w:tc>
          <w:tcPr>
            <w:tcW w:type="dxa" w:w="24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w:t>
            </w:r>
          </w:p>
        </w:tc>
      </w:tr>
      <w:tr>
        <w:trPr>
          <w:cantSplit/>
          <w:tblHeader w:val="false"/>
        </w:trPr>
        <w:tc>
          <w:tcPr>
            <w:tcW w:type="dxa" w:w="24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Bohnenkamp et al. 2019</w:t>
            </w:r>
          </w:p>
        </w:tc>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Design (ground vs UAV, SAM/SVM, transfer)</w:t>
            </w:r>
          </w:p>
        </w:tc>
        <w:tc>
          <w:tcPr>
            <w:tcW w:type="dxa" w:w="24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Design verified</w:t>
            </w:r>
          </w:p>
        </w:tc>
      </w:tr>
      <w:tr>
        <w:trPr>
          <w:cantSplit/>
          <w:tblHeader w:val="false"/>
        </w:trPr>
        <w:tc>
          <w:tcPr>
            <w:tcW w:type="dxa" w:w="24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Whetton et al. 2018</w:t>
            </w:r>
          </w:p>
        </w:tc>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FHB 0.82 / 0.61; YR 0.78 / 0.72 (R²); RPD values</w:t>
            </w:r>
          </w:p>
        </w:tc>
        <w:tc>
          <w:tcPr>
            <w:tcW w:type="dxa" w:w="24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w:t>
            </w:r>
          </w:p>
        </w:tc>
      </w:tr>
      <w:tr>
        <w:trPr>
          <w:cantSplit/>
          <w:tblHeader w:val="false"/>
        </w:trPr>
        <w:tc>
          <w:tcPr>
            <w:tcW w:type="dxa" w:w="24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Tian et al. 2021</w:t>
            </w:r>
          </w:p>
        </w:tc>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21 DSSFs; &gt; 65 / &gt; 80 / up to 95% by stage</w:t>
            </w:r>
          </w:p>
        </w:tc>
        <w:tc>
          <w:tcPr>
            <w:tcW w:type="dxa" w:w="24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 (earlier reading)</w:t>
            </w:r>
          </w:p>
        </w:tc>
      </w:tr>
      <w:tr>
        <w:trPr>
          <w:cantSplit/>
          <w:tblHeader w:val="false"/>
        </w:trPr>
        <w:tc>
          <w:tcPr>
            <w:tcW w:type="dxa" w:w="24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Pan et al. 2021</w:t>
            </w:r>
          </w:p>
        </w:tc>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98%; 98% on second field; 94% with SVM weak labels</w:t>
            </w:r>
          </w:p>
        </w:tc>
        <w:tc>
          <w:tcPr>
            <w:tcW w:type="dxa" w:w="24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Verified</w:t>
            </w:r>
          </w:p>
        </w:tc>
      </w:tr>
      <w:tr>
        <w:trPr>
          <w:cantSplit/>
          <w:tblHeader w:val="false"/>
        </w:trPr>
        <w:tc>
          <w:tcPr>
            <w:tcW w:type="dxa" w:w="24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Shi et al. 2022</w:t>
            </w:r>
          </w:p>
        </w:tc>
        <w:tc>
          <w:tcPr>
            <w:tcW w:type="dxa" w:w="481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OA 97.33% (AA 98.09%) test; 95.75% independent</w:t>
            </w:r>
          </w:p>
        </w:tc>
        <w:tc>
          <w:tcPr>
            <w:tcW w:type="dxa" w:w="24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Verified</w:t>
            </w:r>
          </w:p>
        </w:tc>
      </w:tr>
      <w:tr>
        <w:trPr>
          <w:cantSplit/>
          <w:tblHeader w:val="false"/>
        </w:trPr>
        <w:tc>
          <w:tcPr>
            <w:tcW w:type="dxa" w:w="24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Zhang X. et al. 2019</w:t>
            </w:r>
          </w:p>
        </w:tc>
        <w:tc>
          <w:tcPr>
            <w:tcW w:type="dxa" w:w="481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DCNN &gt; RF</w:t>
            </w:r>
          </w:p>
        </w:tc>
        <w:tc>
          <w:tcPr>
            <w:tcW w:type="dxa" w:w="24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Design verified; accuracies †</w:t>
            </w:r>
          </w:p>
        </w:tc>
      </w:tr>
    </w:tbl>
    <w:p>
      <w:pPr>
        <w:spacing w:after="120"/>
      </w:pPr>
    </w:p>
    <w:p>
      <w:pPr>
        <w:pStyle w:val="Heading2"/>
      </w:pPr>
      <w:r>
        <w:t xml:space="preserve">12.2 Methodological cross-check against the MuDAS-AI data</w:t>
      </w:r>
    </w:p>
    <w:p>
      <w:pPr>
        <w:keepNext/>
        <w:spacing w:after="80" w:before="160"/>
      </w:pPr>
      <w:r>
        <w:rPr>
          <w:b/>
          <w:bCs/>
          <w:color w:val="1C7C78"/>
          <w:sz w:val="20"/>
          <w:szCs w:val="20"/>
        </w:rPr>
        <w:t xml:space="preserve">Table 52. </w:t>
      </w:r>
      <w:r>
        <w:rPr>
          <w:color w:val="1F3A40"/>
          <w:sz w:val="20"/>
          <w:szCs w:val="20"/>
        </w:rPr>
        <w:t xml:space="preserve">Each method checked against the study's data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0"/>
        <w:gridCol w:w="2258"/>
        <w:gridCol w:w="2861"/>
        <w:gridCol w:w="1809"/>
      </w:tblGrid>
      <w:tr>
        <w:trPr>
          <w:cantSplit/>
          <w:tblHeader/>
        </w:trPr>
        <w:tc>
          <w:tcPr>
            <w:tcW w:type="dxa" w:w="2710"/>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Method / claim</w:t>
            </w:r>
          </w:p>
        </w:tc>
        <w:tc>
          <w:tcPr>
            <w:tcW w:type="dxa" w:w="2258"/>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Source</w:t>
            </w:r>
          </w:p>
        </w:tc>
        <w:tc>
          <w:tcPr>
            <w:tcW w:type="dxa" w:w="286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Check</w:t>
            </w:r>
          </w:p>
        </w:tc>
        <w:tc>
          <w:tcPr>
            <w:tcW w:type="dxa" w:w="1809"/>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Result</w:t>
            </w:r>
          </w:p>
        </w:tc>
      </w:tr>
      <w:tr>
        <w:trPr>
          <w:cantSplit/>
          <w:tblHeader w:val="false"/>
        </w:trPr>
        <w:tc>
          <w:tcPr>
            <w:tcW w:type="dxa" w:w="27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Pansharpening as detail injection (CS, MRA)</w:t>
            </w:r>
          </w:p>
        </w:tc>
        <w:tc>
          <w:tcPr>
            <w:tcW w:type="dxa" w:w="225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Vivone et al. 2015</w:t>
            </w:r>
          </w:p>
        </w:tc>
        <w:tc>
          <w:tcPr>
            <w:tcW w:type="dxa" w:w="286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Equations match the review's general formulation</w:t>
            </w:r>
          </w:p>
        </w:tc>
        <w:tc>
          <w:tcPr>
            <w:tcW w:type="dxa" w:w="18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Consistent</w:t>
            </w:r>
          </w:p>
        </w:tc>
      </w:tr>
      <w:tr>
        <w:trPr>
          <w:cantSplit/>
          <w:tblHeader w:val="false"/>
        </w:trPr>
        <w:tc>
          <w:tcPr>
            <w:tcW w:type="dxa" w:w="27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TsHARP thermal sharpening</w:t>
            </w:r>
          </w:p>
        </w:tc>
        <w:tc>
          <w:tcPr>
            <w:tcW w:type="dxa" w:w="225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Agam et al. 2007</w:t>
            </w:r>
          </w:p>
        </w:tc>
        <w:tc>
          <w:tcPr>
            <w:tcW w:type="dxa" w:w="286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Regression on NDVI with residual added back</w:t>
            </w:r>
          </w:p>
        </w:tc>
        <w:tc>
          <w:tcPr>
            <w:tcW w:type="dxa" w:w="18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Consistent; caution added for diseased canopy</w:t>
            </w:r>
          </w:p>
        </w:tc>
      </w:tr>
      <w:tr>
        <w:trPr>
          <w:cantSplit/>
          <w:tblHeader w:val="false"/>
        </w:trPr>
        <w:tc>
          <w:tcPr>
            <w:tcW w:type="dxa" w:w="27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MI for multimodal registration</w:t>
            </w:r>
          </w:p>
        </w:tc>
        <w:tc>
          <w:tcPr>
            <w:tcW w:type="dxa" w:w="225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Maes et al. 1997; Zitová &amp; Flusser 2003</w:t>
            </w:r>
          </w:p>
        </w:tc>
        <w:tc>
          <w:tcPr>
            <w:tcW w:type="dxa" w:w="286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MI = H(A) + H(B) − H(A,B)</w:t>
            </w:r>
          </w:p>
        </w:tc>
        <w:tc>
          <w:tcPr>
            <w:tcW w:type="dxa" w:w="18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Consistent</w:t>
            </w:r>
          </w:p>
        </w:tc>
      </w:tr>
      <w:tr>
        <w:trPr>
          <w:cantSplit/>
          <w:tblHeader w:val="false"/>
        </w:trPr>
        <w:tc>
          <w:tcPr>
            <w:tcW w:type="dxa" w:w="27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JM distance from Bhattacharyya distance</w:t>
            </w:r>
          </w:p>
        </w:tc>
        <w:tc>
          <w:tcPr>
            <w:tcW w:type="dxa" w:w="225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Standard remote-sensing definition</w:t>
            </w:r>
          </w:p>
        </w:tc>
        <w:tc>
          <w:tcPr>
            <w:tcW w:type="dxa" w:w="286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JM = 2(1 − e^−B)</w:t>
            </w:r>
          </w:p>
        </w:tc>
        <w:tc>
          <w:tcPr>
            <w:tcW w:type="dxa" w:w="18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Consistent</w:t>
            </w:r>
          </w:p>
        </w:tc>
      </w:tr>
      <w:tr>
        <w:trPr>
          <w:cantSplit/>
          <w:tblHeader w:val="false"/>
        </w:trPr>
        <w:tc>
          <w:tcPr>
            <w:tcW w:type="dxa" w:w="27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VIF threshold 10</w:t>
            </w:r>
          </w:p>
        </w:tc>
        <w:tc>
          <w:tcPr>
            <w:tcW w:type="dxa" w:w="225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Common rule; used by Mustafa et al. 2023</w:t>
            </w:r>
          </w:p>
        </w:tc>
        <w:tc>
          <w:tcPr>
            <w:tcW w:type="dxa" w:w="286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VIF undefined when bands &gt; samples → SPA for HS</w:t>
            </w:r>
          </w:p>
        </w:tc>
        <w:tc>
          <w:tcPr>
            <w:tcW w:type="dxa" w:w="18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Consistent; HS exception stated</w:t>
            </w:r>
          </w:p>
        </w:tc>
      </w:tr>
      <w:tr>
        <w:trPr>
          <w:cantSplit/>
          <w:tblHeader w:val="false"/>
        </w:trPr>
        <w:tc>
          <w:tcPr>
            <w:tcW w:type="dxa" w:w="27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SFFS 'floating' step</w:t>
            </w:r>
          </w:p>
        </w:tc>
        <w:tc>
          <w:tcPr>
            <w:tcW w:type="dxa" w:w="225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Pudil et al. 1994</w:t>
            </w:r>
          </w:p>
        </w:tc>
        <w:tc>
          <w:tcPr>
            <w:tcW w:type="dxa" w:w="286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Conditional exclusion after each inclusion</w:t>
            </w:r>
          </w:p>
        </w:tc>
        <w:tc>
          <w:tcPr>
            <w:tcW w:type="dxa" w:w="18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Consistent</w:t>
            </w:r>
          </w:p>
        </w:tc>
      </w:tr>
      <w:tr>
        <w:trPr>
          <w:cantSplit/>
          <w:tblHeader w:val="false"/>
        </w:trPr>
        <w:tc>
          <w:tcPr>
            <w:tcW w:type="dxa" w:w="27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Sum rule most robust to estimation errors</w:t>
            </w:r>
          </w:p>
        </w:tc>
        <w:tc>
          <w:tcPr>
            <w:tcW w:type="dxa" w:w="225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Kittler et al. 1998</w:t>
            </w:r>
          </w:p>
        </w:tc>
        <w:tc>
          <w:tcPr>
            <w:tcW w:type="dxa" w:w="286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Theoretical and empirical result in the paper</w:t>
            </w:r>
          </w:p>
        </w:tc>
        <w:tc>
          <w:tcPr>
            <w:tcW w:type="dxa" w:w="18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Consistent</w:t>
            </w:r>
          </w:p>
        </w:tc>
      </w:tr>
      <w:tr>
        <w:trPr>
          <w:cantSplit/>
          <w:tblHeader w:val="false"/>
        </w:trPr>
        <w:tc>
          <w:tcPr>
            <w:tcW w:type="dxa" w:w="27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Stacking needs out-of-fold predictions</w:t>
            </w:r>
          </w:p>
        </w:tc>
        <w:tc>
          <w:tcPr>
            <w:tcW w:type="dxa" w:w="225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Wolpert 1992</w:t>
            </w:r>
          </w:p>
        </w:tc>
        <w:tc>
          <w:tcPr>
            <w:tcW w:type="dxa" w:w="286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Level-1 trained on cross-validated level-0 outputs</w:t>
            </w:r>
          </w:p>
        </w:tc>
        <w:tc>
          <w:tcPr>
            <w:tcW w:type="dxa" w:w="18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Consistent</w:t>
            </w:r>
          </w:p>
        </w:tc>
      </w:tr>
      <w:tr>
        <w:trPr>
          <w:cantSplit/>
          <w:tblHeader w:val="false"/>
        </w:trPr>
        <w:tc>
          <w:tcPr>
            <w:tcW w:type="dxa" w:w="27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Nested CV removes selection bias</w:t>
            </w:r>
          </w:p>
        </w:tc>
        <w:tc>
          <w:tcPr>
            <w:tcW w:type="dxa" w:w="225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Varma &amp; Simon 2006</w:t>
            </w:r>
          </w:p>
        </w:tc>
        <w:tc>
          <w:tcPr>
            <w:tcW w:type="dxa" w:w="286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Optimistic bias when tuning on the same data</w:t>
            </w:r>
          </w:p>
        </w:tc>
        <w:tc>
          <w:tcPr>
            <w:tcW w:type="dxa" w:w="18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Consistent</w:t>
            </w:r>
          </w:p>
        </w:tc>
      </w:tr>
      <w:tr>
        <w:trPr>
          <w:cantSplit/>
          <w:tblHeader w:val="false"/>
        </w:trPr>
        <w:tc>
          <w:tcPr>
            <w:tcW w:type="dxa" w:w="27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Blocked CV for structured data</w:t>
            </w:r>
          </w:p>
        </w:tc>
        <w:tc>
          <w:tcPr>
            <w:tcW w:type="dxa" w:w="225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Roberts et al. 2017</w:t>
            </w:r>
          </w:p>
        </w:tc>
        <w:tc>
          <w:tcPr>
            <w:tcW w:type="dxa" w:w="286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Block = plot in MuDAS-AI</w:t>
            </w:r>
          </w:p>
        </w:tc>
        <w:tc>
          <w:tcPr>
            <w:tcW w:type="dxa" w:w="18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Consistent</w:t>
            </w:r>
          </w:p>
        </w:tc>
      </w:tr>
      <w:tr>
        <w:trPr>
          <w:cantSplit/>
          <w:tblHeader w:val="false"/>
        </w:trPr>
        <w:tc>
          <w:tcPr>
            <w:tcW w:type="dxa" w:w="27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McNemar for paired classifiers</w:t>
            </w:r>
          </w:p>
        </w:tc>
        <w:tc>
          <w:tcPr>
            <w:tcW w:type="dxa" w:w="225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Foody 2004</w:t>
            </w:r>
          </w:p>
        </w:tc>
        <w:tc>
          <w:tcPr>
            <w:tcW w:type="dxa" w:w="286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Continuity-corrected χ² on discordant pairs</w:t>
            </w:r>
          </w:p>
        </w:tc>
        <w:tc>
          <w:tcPr>
            <w:tcW w:type="dxa" w:w="18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Consistent</w:t>
            </w:r>
          </w:p>
        </w:tc>
      </w:tr>
      <w:tr>
        <w:trPr>
          <w:cantSplit/>
          <w:tblHeader w:val="false"/>
        </w:trPr>
        <w:tc>
          <w:tcPr>
            <w:tcW w:type="dxa" w:w="27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Attention MIL</w:t>
            </w:r>
          </w:p>
        </w:tc>
        <w:tc>
          <w:tcPr>
            <w:tcW w:type="dxa" w:w="225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Ilse et al. 2018</w:t>
            </w:r>
          </w:p>
        </w:tc>
        <w:tc>
          <w:tcPr>
            <w:tcW w:type="dxa" w:w="286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Attention pooling formula</w:t>
            </w:r>
          </w:p>
        </w:tc>
        <w:tc>
          <w:tcPr>
            <w:tcW w:type="dxa" w:w="18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Consistent</w:t>
            </w:r>
          </w:p>
        </w:tc>
      </w:tr>
      <w:tr>
        <w:trPr>
          <w:cantSplit/>
          <w:tblHeader w:val="false"/>
        </w:trPr>
        <w:tc>
          <w:tcPr>
            <w:tcW w:type="dxa" w:w="27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CORAL ordinal output</w:t>
            </w:r>
          </w:p>
        </w:tc>
        <w:tc>
          <w:tcPr>
            <w:tcW w:type="dxa" w:w="225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Cao et al. 2020</w:t>
            </w:r>
          </w:p>
        </w:tc>
        <w:tc>
          <w:tcPr>
            <w:tcW w:type="dxa" w:w="286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K − 1 rank-consistent binary outputs</w:t>
            </w:r>
          </w:p>
        </w:tc>
        <w:tc>
          <w:tcPr>
            <w:tcW w:type="dxa" w:w="18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Consistent</w:t>
            </w:r>
          </w:p>
        </w:tc>
      </w:tr>
      <w:tr>
        <w:trPr>
          <w:cantSplit/>
          <w:tblHeader w:val="false"/>
        </w:trPr>
        <w:tc>
          <w:tcPr>
            <w:tcW w:type="dxa" w:w="27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Modality dropout</w:t>
            </w:r>
          </w:p>
        </w:tc>
        <w:tc>
          <w:tcPr>
            <w:tcW w:type="dxa" w:w="225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Neverova et al. 2016</w:t>
            </w:r>
          </w:p>
        </w:tc>
        <w:tc>
          <w:tcPr>
            <w:tcW w:type="dxa" w:w="286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Randomly drop modalities during training</w:t>
            </w:r>
          </w:p>
        </w:tc>
        <w:tc>
          <w:tcPr>
            <w:tcW w:type="dxa" w:w="18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Consistent</w:t>
            </w:r>
          </w:p>
        </w:tc>
      </w:tr>
      <w:tr>
        <w:trPr>
          <w:cantSplit/>
          <w:tblHeader w:val="false"/>
        </w:trPr>
        <w:tc>
          <w:tcPr>
            <w:tcW w:type="dxa" w:w="2710"/>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Multimodal networks can underperform best single modality</w:t>
            </w:r>
          </w:p>
        </w:tc>
        <w:tc>
          <w:tcPr>
            <w:tcW w:type="dxa" w:w="2258"/>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Wang, Tran &amp; Feiszli 2020</w:t>
            </w:r>
          </w:p>
        </w:tc>
        <w:tc>
          <w:tcPr>
            <w:tcW w:type="dxa" w:w="286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Overfitting and different learning speeds</w:t>
            </w:r>
          </w:p>
        </w:tc>
        <w:tc>
          <w:tcPr>
            <w:tcW w:type="dxa" w:w="1809"/>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Consistent</w:t>
            </w:r>
          </w:p>
        </w:tc>
      </w:tr>
      <w:tr>
        <w:trPr>
          <w:cantSplit/>
          <w:tblHeader w:val="false"/>
        </w:trPr>
        <w:tc>
          <w:tcPr>
            <w:tcW w:type="dxa" w:w="2710"/>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15 combinations of 4 sensors</w:t>
            </w:r>
          </w:p>
        </w:tc>
        <w:tc>
          <w:tcPr>
            <w:tcW w:type="dxa" w:w="2258"/>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Combinatorics</w:t>
            </w:r>
          </w:p>
        </w:tc>
        <w:tc>
          <w:tcPr>
            <w:tcW w:type="dxa" w:w="286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2⁴ − 1 = 4 + 6 + 4 + 1</w:t>
            </w:r>
          </w:p>
        </w:tc>
        <w:tc>
          <w:tcPr>
            <w:tcW w:type="dxa" w:w="1809"/>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Correct</w:t>
            </w:r>
          </w:p>
        </w:tc>
      </w:tr>
    </w:tbl>
    <w:p>
      <w:pPr>
        <w:spacing w:after="120"/>
      </w:pPr>
    </w:p>
    <w:p>
      <w:pPr>
        <w:pStyle w:val="Heading2"/>
      </w:pPr>
      <w:r>
        <w:t xml:space="preserve">12.3 Corrections made during the cross-check</w:t>
      </w:r>
    </w:p>
    <w:p>
      <w:pPr>
        <w:spacing w:after="100" w:line="259"/>
        <w:jc w:val="both"/>
      </w:pPr>
      <w:r>
        <w:t xml:space="preserve">While checking sources, several statements in the first version of the slide deck could not be supported in the form written. They were corrected in both this document and the deck:</w:t>
      </w:r>
    </w:p>
    <w:p>
      <w:pPr>
        <w:keepNext/>
        <w:spacing w:after="80" w:before="160"/>
      </w:pPr>
      <w:r>
        <w:rPr>
          <w:b/>
          <w:bCs/>
          <w:color w:val="1C7C78"/>
          <w:sz w:val="20"/>
          <w:szCs w:val="20"/>
        </w:rPr>
        <w:t xml:space="preserve">Table 53. </w:t>
      </w:r>
      <w:r>
        <w:rPr>
          <w:color w:val="1F3A40"/>
          <w:sz w:val="20"/>
          <w:szCs w:val="20"/>
        </w:rPr>
        <w:t xml:space="preserve">Corrections to the deck.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3"/>
        <w:gridCol w:w="2861"/>
        <w:gridCol w:w="3011"/>
        <w:gridCol w:w="2863"/>
      </w:tblGrid>
      <w:tr>
        <w:trPr>
          <w:cantSplit/>
          <w:tblHeader/>
        </w:trPr>
        <w:tc>
          <w:tcPr>
            <w:tcW w:type="dxa" w:w="903"/>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Slide</w:t>
            </w:r>
          </w:p>
        </w:tc>
        <w:tc>
          <w:tcPr>
            <w:tcW w:type="dxa" w:w="286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Original statement</w:t>
            </w:r>
          </w:p>
        </w:tc>
        <w:tc>
          <w:tcPr>
            <w:tcW w:type="dxa" w:w="301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Problem</w:t>
            </w:r>
          </w:p>
        </w:tc>
        <w:tc>
          <w:tcPr>
            <w:tcW w:type="dxa" w:w="2863"/>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Corrected statement</w:t>
            </w:r>
          </w:p>
        </w:tc>
      </w:tr>
      <w:tr>
        <w:trPr>
          <w:cantSplit/>
          <w:tblHeader w:val="false"/>
        </w:trPr>
        <w:tc>
          <w:tcPr>
            <w:tcW w:type="dxa" w:w="90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17, 39</w:t>
            </w:r>
          </w:p>
        </w:tc>
        <w:tc>
          <w:tcPr>
            <w:tcW w:type="dxa" w:w="286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'Pixel-level random splits inflate accuracy (Su 2018)'</w:t>
            </w:r>
          </w:p>
        </w:tc>
        <w:tc>
          <w:tcPr>
            <w:tcW w:type="dxa" w:w="301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Su et al. do not report this; the general evidence is Roberts et al. (2017)</w:t>
            </w:r>
          </w:p>
        </w:tc>
        <w:tc>
          <w:tcPr>
            <w:tcW w:type="dxa" w:w="286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Attributed to Roberts et al. (2017)</w:t>
            </w:r>
          </w:p>
        </w:tc>
      </w:tr>
      <w:tr>
        <w:trPr>
          <w:cantSplit/>
          <w:tblHeader w:val="false"/>
        </w:trPr>
        <w:tc>
          <w:tcPr>
            <w:tcW w:type="dxa" w:w="90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26</w:t>
            </w:r>
          </w:p>
        </w:tc>
        <w:tc>
          <w:tcPr>
            <w:tcW w:type="dxa" w:w="286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Mustafa et al.: '2–3 fused features reached 85–89% at the asymptomatic stage'</w:t>
            </w:r>
          </w:p>
        </w:tc>
        <w:tc>
          <w:tcPr>
            <w:tcW w:type="dxa" w:w="301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Could not be re-confirmed</w:t>
            </w:r>
          </w:p>
        </w:tc>
        <w:tc>
          <w:tcPr>
            <w:tcW w:type="dxa" w:w="286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Qualitative statement; numbers to be checked in the paper</w:t>
            </w:r>
          </w:p>
        </w:tc>
      </w:tr>
      <w:tr>
        <w:trPr>
          <w:cantSplit/>
          <w:tblHeader w:val="false"/>
        </w:trPr>
        <w:tc>
          <w:tcPr>
            <w:tcW w:type="dxa" w:w="90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26</w:t>
            </w:r>
          </w:p>
        </w:tc>
        <w:tc>
          <w:tcPr>
            <w:tcW w:type="dxa" w:w="286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Mahlein et al.: 'thermal + HS best (≈ 90%); all three slightly lower'</w:t>
            </w:r>
          </w:p>
        </w:tc>
        <w:tc>
          <w:tcPr>
            <w:tcW w:type="dxa" w:w="301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Abstract reports 89% for IRT–HSI or CFI–HSI at 30 dai; no claim about all three</w:t>
            </w:r>
          </w:p>
        </w:tc>
        <w:tc>
          <w:tcPr>
            <w:tcW w:type="dxa" w:w="286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Exact abstract figures</w:t>
            </w:r>
          </w:p>
        </w:tc>
      </w:tr>
      <w:tr>
        <w:trPr>
          <w:cantSplit/>
          <w:tblHeader w:val="false"/>
        </w:trPr>
        <w:tc>
          <w:tcPr>
            <w:tcW w:type="dxa" w:w="90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26</w:t>
            </w:r>
          </w:p>
        </w:tc>
        <w:tc>
          <w:tcPr>
            <w:tcW w:type="dxa" w:w="286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Feng et al.: 'R² ≈ 0.86 on independent site'</w:t>
            </w:r>
          </w:p>
        </w:tc>
        <w:tc>
          <w:tcPr>
            <w:tcW w:type="dxa" w:w="301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Validation set, not an independent site</w:t>
            </w:r>
          </w:p>
        </w:tc>
        <w:tc>
          <w:tcPr>
            <w:tcW w:type="dxa" w:w="286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R² = 0.872 calibration, 0.862 validation</w:t>
            </w:r>
          </w:p>
        </w:tc>
      </w:tr>
      <w:tr>
        <w:trPr>
          <w:cantSplit/>
          <w:tblHeader w:val="false"/>
        </w:trPr>
        <w:tc>
          <w:tcPr>
            <w:tcW w:type="dxa" w:w="90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26</w:t>
            </w:r>
          </w:p>
        </w:tc>
        <w:tc>
          <w:tcPr>
            <w:tcW w:type="dxa" w:w="286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Zarco-Tejada et al.: 'SVM, NN, LDA'</w:t>
            </w:r>
          </w:p>
        </w:tc>
        <w:tc>
          <w:tcPr>
            <w:tcW w:type="dxa" w:w="301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Classifier names not confirmed</w:t>
            </w:r>
          </w:p>
        </w:tc>
        <w:tc>
          <w:tcPr>
            <w:tcW w:type="dxa" w:w="286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'ML classification'; &gt; 80% accuracy</w:t>
            </w:r>
          </w:p>
        </w:tc>
      </w:tr>
      <w:tr>
        <w:trPr>
          <w:cantSplit/>
          <w:tblHeader w:val="false"/>
        </w:trPr>
        <w:tc>
          <w:tcPr>
            <w:tcW w:type="dxa" w:w="90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28</w:t>
            </w:r>
          </w:p>
        </w:tc>
        <w:tc>
          <w:tcPr>
            <w:tcW w:type="dxa" w:w="286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Early fusion 'fails if one sensor is missing (Hong et al., 2021)'</w:t>
            </w:r>
          </w:p>
        </w:tc>
        <w:tc>
          <w:tcPr>
            <w:tcW w:type="dxa" w:w="301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Missing-data sensitivity is Audebert et al.'s finding</w:t>
            </w:r>
          </w:p>
        </w:tc>
        <w:tc>
          <w:tcPr>
            <w:tcW w:type="dxa" w:w="2863"/>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Attributed to Audebert et al. (2018)</w:t>
            </w:r>
          </w:p>
        </w:tc>
      </w:tr>
      <w:tr>
        <w:trPr>
          <w:cantSplit/>
          <w:tblHeader w:val="false"/>
        </w:trPr>
        <w:tc>
          <w:tcPr>
            <w:tcW w:type="dxa" w:w="90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36, 39</w:t>
            </w:r>
          </w:p>
        </w:tc>
        <w:tc>
          <w:tcPr>
            <w:tcW w:type="dxa" w:w="286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'Late and middle &gt; early' (Hong); 'intermediate/late ≥ early' </w:t>
            </w:r>
          </w:p>
        </w:tc>
        <w:tc>
          <w:tcPr>
            <w:tcW w:type="dxa" w:w="301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Hong et al. compare middle/cross with early; Audebert et al. show a trade-off, not superiority</w:t>
            </w:r>
          </w:p>
        </w:tc>
        <w:tc>
          <w:tcPr>
            <w:tcW w:type="dxa" w:w="2863"/>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'Middle and cross &gt; early; late more robust'</w:t>
            </w:r>
          </w:p>
        </w:tc>
      </w:tr>
    </w:tbl>
    <w:p>
      <w:pPr>
        <w:spacing w:after="120"/>
      </w:pPr>
    </w:p>
    <w:p>
      <w:pPr>
        <w:pStyle w:val="Heading2"/>
      </w:pPr>
      <w:r>
        <w:t xml:space="preserve">12.4 What still needs checking before submission</w:t>
      </w:r>
    </w:p>
    <w:p>
      <w:pPr>
        <w:pStyle w:val="ListParagraph"/>
        <w:numPr>
          <w:ilvl w:val="0"/>
          <w:numId w:val="3"/>
        </w:numPr>
        <w:spacing w:after="50" w:line="252"/>
      </w:pPr>
      <w:r>
        <w:t xml:space="preserve">Volume and page numbers of the standard method references compiled from memory (e.g. Pudil 1994, Kittler 1998, Wolpert 1992, Shafer 1976): check against the publisher or Google Scholar.</w:t>
      </w:r>
    </w:p>
    <w:p>
      <w:pPr>
        <w:pStyle w:val="ListParagraph"/>
        <w:numPr>
          <w:ilvl w:val="0"/>
          <w:numId w:val="3"/>
        </w:numPr>
        <w:spacing w:after="50" w:line="252"/>
      </w:pPr>
      <w:r>
        <w:t xml:space="preserve">All numbers marked † in the verification table (Section 12.1) and in the case studies.</w:t>
      </w:r>
    </w:p>
    <w:p>
      <w:pPr>
        <w:pStyle w:val="ListParagraph"/>
        <w:numPr>
          <w:ilvl w:val="0"/>
          <w:numId w:val="3"/>
        </w:numPr>
        <w:spacing w:after="50" w:line="252"/>
      </w:pPr>
      <w:r>
        <w:t xml:space="preserve">Whether each case study's validation was plot-grouped or pixel-based; this affects how its accuracy should be compared with MuDAS-AI.</w:t>
      </w:r>
    </w:p>
    <w:p>
      <w:pPr>
        <w:pStyle w:val="ListParagraph"/>
        <w:numPr>
          <w:ilvl w:val="0"/>
          <w:numId w:val="3"/>
        </w:numPr>
        <w:spacing w:after="50" w:line="252"/>
      </w:pPr>
      <w:r>
        <w:t xml:space="preserve">This document describes methods and a plan. MuDAS-AI is at the feature-extraction stage; no fusion result from the study is reported here.</w:t>
      </w:r>
    </w:p>
    <w:p>
      <w:pPr>
        <w:pStyle w:val="Heading1"/>
      </w:pPr>
      <w:r>
        <w:t xml:space="preserve">Glossary of key terms</w:t>
      </w:r>
    </w:p>
    <w:p>
      <w:pPr>
        <w:keepNext/>
        <w:spacing w:after="80" w:before="160"/>
      </w:pPr>
      <w:r>
        <w:rPr>
          <w:b/>
          <w:bCs/>
          <w:color w:val="1C7C78"/>
          <w:sz w:val="20"/>
          <w:szCs w:val="20"/>
        </w:rPr>
        <w:t xml:space="preserve">Table 54. </w:t>
      </w:r>
      <w:r>
        <w:rPr>
          <w:color w:val="1F3A40"/>
          <w:sz w:val="20"/>
          <w:szCs w:val="20"/>
        </w:rPr>
        <w:t xml:space="preserve">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7151"/>
      </w:tblGrid>
      <w:tr>
        <w:trPr>
          <w:cantSplit/>
          <w:tblHeader/>
        </w:trPr>
        <w:tc>
          <w:tcPr>
            <w:tcW w:type="dxa" w:w="2487"/>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Term</w:t>
            </w:r>
          </w:p>
        </w:tc>
        <w:tc>
          <w:tcPr>
            <w:tcW w:type="dxa" w:w="7151"/>
            <w:tcBorders>
              <w:top w:val="single" w:color="C9D6D8" w:sz="4"/>
              <w:left w:val="single" w:color="C9D6D8" w:sz="4"/>
              <w:bottom w:val="single" w:color="C9D6D8" w:sz="4"/>
              <w:right w:val="single" w:color="C9D6D8" w:sz="4"/>
            </w:tcBorders>
            <w:shd w:fill="1F3A40" w:color="auto" w:val="clear"/>
            <w:tcMar>
              <w:top w:type="dxa" w:w="50"/>
              <w:left w:type="dxa" w:w="90"/>
              <w:bottom w:type="dxa" w:w="50"/>
              <w:right w:type="dxa" w:w="90"/>
            </w:tcMar>
          </w:tcPr>
          <w:p>
            <w:pPr>
              <w:keepNext w:val="false"/>
              <w:spacing w:after="0" w:line="235"/>
            </w:pPr>
            <w:r>
              <w:rPr>
                <w:b/>
                <w:bCs/>
                <w:color w:val="FFFFFF"/>
                <w:sz w:val="17"/>
                <w:szCs w:val="17"/>
              </w:rPr>
              <w:t xml:space="preserve">Meaning</w:t>
            </w:r>
          </w:p>
        </w:tc>
      </w:tr>
      <w:tr>
        <w:trPr>
          <w:cantSplit/>
          <w:tblHeader w:val="false"/>
        </w:trPr>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Co-registration</w:t>
            </w:r>
          </w:p>
        </w:tc>
        <w:tc>
          <w:tcPr>
            <w:tcW w:type="dxa" w:w="71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Aligning images from different sensors so that the same pixel location shows the same ground point</w:t>
            </w:r>
          </w:p>
        </w:tc>
      </w:tr>
      <w:tr>
        <w:trPr>
          <w:cantSplit/>
          <w:tblHeader w:val="false"/>
        </w:trPr>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GSD</w:t>
            </w:r>
          </w:p>
        </w:tc>
        <w:tc>
          <w:tcPr>
            <w:tcW w:type="dxa" w:w="715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Ground sampling distance: ground size of one pixel</w:t>
            </w:r>
          </w:p>
        </w:tc>
      </w:tr>
      <w:tr>
        <w:trPr>
          <w:cantSplit/>
          <w:tblHeader w:val="false"/>
        </w:trPr>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CS / MRA</w:t>
            </w:r>
          </w:p>
        </w:tc>
        <w:tc>
          <w:tcPr>
            <w:tcW w:type="dxa" w:w="71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Component substitution / multiresolution analysis: the two classical families of pansharpening</w:t>
            </w:r>
          </w:p>
        </w:tc>
      </w:tr>
      <w:tr>
        <w:trPr>
          <w:cantSplit/>
          <w:tblHeader w:val="false"/>
        </w:trPr>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DSF / DSSF</w:t>
            </w:r>
          </w:p>
        </w:tc>
        <w:tc>
          <w:tcPr>
            <w:tcW w:type="dxa" w:w="715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Disease-specific (spectral) feature: a feature that responds to the disease more than to other factors</w:t>
            </w:r>
          </w:p>
        </w:tc>
      </w:tr>
      <w:tr>
        <w:trPr>
          <w:cantSplit/>
          <w:tblHeader w:val="false"/>
        </w:trPr>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VIF</w:t>
            </w:r>
          </w:p>
        </w:tc>
        <w:tc>
          <w:tcPr>
            <w:tcW w:type="dxa" w:w="71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Variance inflation factor: 1/(1 − R²ⱼ); measures multicollinearity</w:t>
            </w:r>
          </w:p>
        </w:tc>
      </w:tr>
      <w:tr>
        <w:trPr>
          <w:cantSplit/>
          <w:tblHeader w:val="false"/>
        </w:trPr>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SFFS / ML-SFFS</w:t>
            </w:r>
          </w:p>
        </w:tc>
        <w:tc>
          <w:tcPr>
            <w:tcW w:type="dxa" w:w="715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Sequential floating forward selection; with an ML model's CV score as objective</w:t>
            </w:r>
          </w:p>
        </w:tc>
      </w:tr>
      <w:tr>
        <w:trPr>
          <w:cantSplit/>
          <w:tblHeader w:val="false"/>
        </w:trPr>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One-SE rule</w:t>
            </w:r>
          </w:p>
        </w:tc>
        <w:tc>
          <w:tcPr>
            <w:tcW w:type="dxa" w:w="71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Choose the simplest model whose score is within one standard error of the best</w:t>
            </w:r>
          </w:p>
        </w:tc>
      </w:tr>
      <w:tr>
        <w:trPr>
          <w:cantSplit/>
          <w:tblHeader w:val="false"/>
        </w:trPr>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MKL</w:t>
            </w:r>
          </w:p>
        </w:tc>
        <w:tc>
          <w:tcPr>
            <w:tcW w:type="dxa" w:w="715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Multiple kernel learning: learning weights for sensor-specific kernels in an SVM</w:t>
            </w:r>
          </w:p>
        </w:tc>
      </w:tr>
      <w:tr>
        <w:trPr>
          <w:cantSplit/>
          <w:tblHeader w:val="false"/>
        </w:trPr>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Early / intermediate / late fusion</w:t>
            </w:r>
          </w:p>
        </w:tc>
        <w:tc>
          <w:tcPr>
            <w:tcW w:type="dxa" w:w="71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Fusion at the input, inside the network (features), or at the outputs (decisions)</w:t>
            </w:r>
          </w:p>
        </w:tc>
      </w:tr>
      <w:tr>
        <w:trPr>
          <w:cantSplit/>
          <w:tblHeader w:val="false"/>
        </w:trPr>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MIL</w:t>
            </w:r>
          </w:p>
        </w:tc>
        <w:tc>
          <w:tcPr>
            <w:tcW w:type="dxa" w:w="715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Multiple-instance learning: learning from bag (plot) labels when instance (tile) labels are unknown</w:t>
            </w:r>
          </w:p>
        </w:tc>
      </w:tr>
      <w:tr>
        <w:trPr>
          <w:cantSplit/>
          <w:tblHeader w:val="false"/>
        </w:trPr>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CORAL</w:t>
            </w:r>
          </w:p>
        </w:tc>
        <w:tc>
          <w:tcPr>
            <w:tcW w:type="dxa" w:w="71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Consistent rank logits: an ordinal output layer for ordered classes</w:t>
            </w:r>
          </w:p>
        </w:tc>
      </w:tr>
      <w:tr>
        <w:trPr>
          <w:cantSplit/>
          <w:tblHeader w:val="false"/>
        </w:trPr>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Nested CV</w:t>
            </w:r>
          </w:p>
        </w:tc>
        <w:tc>
          <w:tcPr>
            <w:tcW w:type="dxa" w:w="715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Outer folds estimate performance; inner folds select features and hyper-parameters</w:t>
            </w:r>
          </w:p>
        </w:tc>
      </w:tr>
      <w:tr>
        <w:trPr>
          <w:cantSplit/>
          <w:tblHeader w:val="false"/>
        </w:trPr>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Grouped CV</w:t>
            </w:r>
          </w:p>
        </w:tc>
        <w:tc>
          <w:tcPr>
            <w:tcW w:type="dxa" w:w="71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Folds formed by groups (plots) so that related samples are never split between training and test</w:t>
            </w:r>
          </w:p>
        </w:tc>
      </w:tr>
      <w:tr>
        <w:trPr>
          <w:cantSplit/>
          <w:tblHeader w:val="false"/>
        </w:trPr>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McNemar test</w:t>
            </w:r>
          </w:p>
        </w:tc>
        <w:tc>
          <w:tcPr>
            <w:tcW w:type="dxa" w:w="715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Paired test of whether two classifiers differ on the same test samples</w:t>
            </w:r>
          </w:p>
        </w:tc>
      </w:tr>
      <w:tr>
        <w:trPr>
          <w:cantSplit/>
          <w:tblHeader w:val="false"/>
        </w:trPr>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Fusion gain</w:t>
            </w:r>
          </w:p>
        </w:tc>
        <w:tc>
          <w:tcPr>
            <w:tcW w:type="dxa" w:w="71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Score of the fused model minus the best single-sensor score</w:t>
            </w:r>
          </w:p>
        </w:tc>
      </w:tr>
      <w:tr>
        <w:trPr>
          <w:cantSplit/>
          <w:tblHeader w:val="false"/>
        </w:trPr>
        <w:tc>
          <w:tcPr>
            <w:tcW w:type="dxa" w:w="2487"/>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CTD / NRCT</w:t>
            </w:r>
          </w:p>
        </w:tc>
        <w:tc>
          <w:tcPr>
            <w:tcW w:type="dxa" w:w="7151"/>
            <w:tcBorders>
              <w:top w:val="single" w:color="C9D6D8" w:sz="4"/>
              <w:left w:val="single" w:color="C9D6D8" w:sz="4"/>
              <w:bottom w:val="single" w:color="C9D6D8" w:sz="4"/>
              <w:right w:val="single" w:color="C9D6D8" w:sz="4"/>
            </w:tcBorders>
            <w:shd w:fill="F4F9F8" w:color="auto" w:val="clear"/>
            <w:tcMar>
              <w:top w:type="dxa" w:w="50"/>
              <w:left w:type="dxa" w:w="90"/>
              <w:bottom w:type="dxa" w:w="50"/>
              <w:right w:type="dxa" w:w="90"/>
            </w:tcMar>
          </w:tcPr>
          <w:p>
            <w:pPr>
              <w:keepNext w:val="false"/>
              <w:spacing w:after="0" w:line="235"/>
            </w:pPr>
            <w:r>
              <w:rPr>
                <w:sz w:val="17"/>
                <w:szCs w:val="17"/>
              </w:rPr>
              <w:t xml:space="preserve">Canopy temperature depression (Tc − Tair) / normalised relative canopy temperature</w:t>
            </w:r>
          </w:p>
        </w:tc>
      </w:tr>
      <w:tr>
        <w:trPr>
          <w:cantSplit/>
          <w:tblHeader w:val="false"/>
        </w:trPr>
        <w:tc>
          <w:tcPr>
            <w:tcW w:type="dxa" w:w="2487"/>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RPD</w:t>
            </w:r>
          </w:p>
        </w:tc>
        <w:tc>
          <w:tcPr>
            <w:tcW w:type="dxa" w:w="7151"/>
            <w:tcBorders>
              <w:top w:val="single" w:color="C9D6D8" w:sz="4"/>
              <w:left w:val="single" w:color="C9D6D8" w:sz="4"/>
              <w:bottom w:val="single" w:color="C9D6D8" w:sz="4"/>
              <w:right w:val="single" w:color="C9D6D8" w:sz="4"/>
            </w:tcBorders>
            <w:tcMar>
              <w:top w:type="dxa" w:w="50"/>
              <w:left w:type="dxa" w:w="90"/>
              <w:bottom w:type="dxa" w:w="50"/>
              <w:right w:type="dxa" w:w="90"/>
            </w:tcMar>
          </w:tcPr>
          <w:p>
            <w:pPr>
              <w:keepNext w:val="false"/>
              <w:spacing w:after="0" w:line="235"/>
            </w:pPr>
            <w:r>
              <w:rPr>
                <w:sz w:val="17"/>
                <w:szCs w:val="17"/>
              </w:rPr>
              <w:t xml:space="preserve">Ratio of performance to deviation: SD of reference values / RMSE</w:t>
            </w:r>
          </w:p>
        </w:tc>
      </w:tr>
    </w:tbl>
    <w:p>
      <w:pPr>
        <w:spacing w:after="120"/>
      </w:pPr>
    </w:p>
    <w:p>
      <w:pPr>
        <w:pStyle w:val="Heading1"/>
        <w:pageBreakBefore/>
      </w:pPr>
      <w:r>
        <w:t xml:space="preserve">References</w:t>
      </w:r>
    </w:p>
    <w:p>
      <w:pPr>
        <w:spacing w:after="100" w:line="259"/>
        <w:jc w:val="left"/>
      </w:pPr>
      <w:r>
        <w:t xml:space="preserve">References verified in the cross-check are listed in Section 12.1; the others are standard method references whose bibliographic details should be checked before submission.</w:t>
      </w:r>
    </w:p>
    <w:p>
      <w:pPr>
        <w:spacing w:after="80" w:line="252"/>
        <w:ind w:left="360" w:hanging="360"/>
      </w:pPr>
      <w:r>
        <w:rPr>
          <w:sz w:val="19"/>
          <w:szCs w:val="19"/>
        </w:rPr>
        <w:t xml:space="preserve">Agam, N., Kustas, W.P., Anderson, M.C., Li, F., Neale, C.M.U. (2007). A vegetation index based technique for spatial sharpening of thermal imagery. Remote Sens. Environ. 107, 545–558.</w:t>
      </w:r>
    </w:p>
    <w:p>
      <w:pPr>
        <w:spacing w:after="80" w:line="252"/>
        <w:ind w:left="360" w:hanging="360"/>
      </w:pPr>
      <w:r>
        <w:rPr>
          <w:sz w:val="19"/>
          <w:szCs w:val="19"/>
        </w:rPr>
        <w:t xml:space="preserve">Alparone, L., et al. (2008). Multispectral and panchromatic data fusion assessment without reference. Photogramm. Eng. Remote Sens. 74(2), 193–200.</w:t>
      </w:r>
    </w:p>
    <w:p>
      <w:pPr>
        <w:spacing w:after="80" w:line="252"/>
        <w:ind w:left="360" w:hanging="360"/>
      </w:pPr>
      <w:r>
        <w:rPr>
          <w:sz w:val="19"/>
          <w:szCs w:val="19"/>
        </w:rPr>
        <w:t xml:space="preserve">Audebert, N., Le Saux, B., Lefèvre, S. (2018). Beyond RGB: very high resolution urban remote sensing with multimodal deep networks. ISPRS J. Photogramm. Remote Sens. 140, 20–32.</w:t>
      </w:r>
    </w:p>
    <w:p>
      <w:pPr>
        <w:spacing w:after="80" w:line="252"/>
        <w:ind w:left="360" w:hanging="360"/>
      </w:pPr>
      <w:r>
        <w:rPr>
          <w:sz w:val="19"/>
          <w:szCs w:val="19"/>
        </w:rPr>
        <w:t xml:space="preserve">Baltrušaitis, T., Ahuja, C., Morency, L.-P. (2019). Multimodal machine learning: a survey and taxonomy. IEEE TPAMI 41(2), 423–443.</w:t>
      </w:r>
    </w:p>
    <w:p>
      <w:pPr>
        <w:spacing w:after="80" w:line="252"/>
        <w:ind w:left="360" w:hanging="360"/>
      </w:pPr>
      <w:r>
        <w:rPr>
          <w:sz w:val="19"/>
          <w:szCs w:val="19"/>
        </w:rPr>
        <w:t xml:space="preserve">Benjamini, Y., Hochberg, Y. (1995). Controlling the false discovery rate: a practical and powerful approach to multiple testing. J. R. Stat. Soc. B 57(1), 289–300.</w:t>
      </w:r>
    </w:p>
    <w:p>
      <w:pPr>
        <w:spacing w:after="80" w:line="252"/>
        <w:ind w:left="360" w:hanging="360"/>
      </w:pPr>
      <w:r>
        <w:rPr>
          <w:sz w:val="19"/>
          <w:szCs w:val="19"/>
        </w:rPr>
        <w:t xml:space="preserve">Bohnenkamp, D., Behmann, J., Mahlein, A.-K. (2019). In-field detection of yellow rust in wheat on the ground canopy and UAV scale. Remote Sens. 11(21), 2495.</w:t>
      </w:r>
    </w:p>
    <w:p>
      <w:pPr>
        <w:spacing w:after="80" w:line="252"/>
        <w:ind w:left="360" w:hanging="360"/>
      </w:pPr>
      <w:r>
        <w:rPr>
          <w:sz w:val="19"/>
          <w:szCs w:val="19"/>
        </w:rPr>
        <w:t xml:space="preserve">Breiman, L. (2001). Random forests. Machine Learning 45, 5–32.</w:t>
      </w:r>
    </w:p>
    <w:p>
      <w:pPr>
        <w:spacing w:after="80" w:line="252"/>
        <w:ind w:left="360" w:hanging="360"/>
      </w:pPr>
      <w:r>
        <w:rPr>
          <w:sz w:val="19"/>
          <w:szCs w:val="19"/>
        </w:rPr>
        <w:t xml:space="preserve">Calderón, R., Navas-Cortés, J.A., Zarco-Tejada, P.J. (2015). Early detection and quantification of Verticillium wilt in olive using hyperspectral and thermal imagery over large areas. Remote Sens. 7(5), 5584–5610.</w:t>
      </w:r>
    </w:p>
    <w:p>
      <w:pPr>
        <w:spacing w:after="80" w:line="252"/>
        <w:ind w:left="360" w:hanging="360"/>
      </w:pPr>
      <w:r>
        <w:rPr>
          <w:sz w:val="19"/>
          <w:szCs w:val="19"/>
        </w:rPr>
        <w:t xml:space="preserve">Camps-Valls, G., et al. (2006). Composite kernels for hyperspectral image classification. IEEE GRSL 3(1), 93–97.</w:t>
      </w:r>
    </w:p>
    <w:p>
      <w:pPr>
        <w:spacing w:after="80" w:line="252"/>
        <w:ind w:left="360" w:hanging="360"/>
      </w:pPr>
      <w:r>
        <w:rPr>
          <w:sz w:val="19"/>
          <w:szCs w:val="19"/>
        </w:rPr>
        <w:t xml:space="preserve">Cao, W., Mirjalili, V., Raschka, S. (2020). Rank consistent ordinal regression for neural networks. Pattern Recognit. Lett. 140, 325–331.</w:t>
      </w:r>
    </w:p>
    <w:p>
      <w:pPr>
        <w:spacing w:after="80" w:line="252"/>
        <w:ind w:left="360" w:hanging="360"/>
      </w:pPr>
      <w:r>
        <w:rPr>
          <w:sz w:val="19"/>
          <w:szCs w:val="19"/>
        </w:rPr>
        <w:t xml:space="preserve">Castanedo, F. (2013). A review of data fusion techniques. Sci. World J. 2013, 704504.</w:t>
      </w:r>
    </w:p>
    <w:p>
      <w:pPr>
        <w:spacing w:after="80" w:line="252"/>
        <w:ind w:left="360" w:hanging="360"/>
      </w:pPr>
      <w:r>
        <w:rPr>
          <w:sz w:val="19"/>
          <w:szCs w:val="19"/>
        </w:rPr>
        <w:t xml:space="preserve">Chen, T., Guestrin, C. (2016). XGBoost: a scalable tree boosting system. Proc. KDD, 785–794.</w:t>
      </w:r>
    </w:p>
    <w:p>
      <w:pPr>
        <w:spacing w:after="80" w:line="252"/>
        <w:ind w:left="360" w:hanging="360"/>
      </w:pPr>
      <w:r>
        <w:rPr>
          <w:sz w:val="19"/>
          <w:szCs w:val="19"/>
        </w:rPr>
        <w:t xml:space="preserve">Cortes, C., Vapnik, V. (1995). Support-vector networks. Machine Learning 20, 273–297.</w:t>
      </w:r>
    </w:p>
    <w:p>
      <w:pPr>
        <w:spacing w:after="80" w:line="252"/>
        <w:ind w:left="360" w:hanging="360"/>
      </w:pPr>
      <w:r>
        <w:rPr>
          <w:sz w:val="19"/>
          <w:szCs w:val="19"/>
        </w:rPr>
        <w:t xml:space="preserve">Evangelidis, G.D., Psarakis, E.Z. (2008). Parametric image alignment using enhanced correlation coefficient maximization. IEEE TPAMI 30(10), 1858–1865.</w:t>
      </w:r>
    </w:p>
    <w:p>
      <w:pPr>
        <w:spacing w:after="80" w:line="252"/>
        <w:ind w:left="360" w:hanging="360"/>
      </w:pPr>
      <w:r>
        <w:rPr>
          <w:sz w:val="19"/>
          <w:szCs w:val="19"/>
        </w:rPr>
        <w:t xml:space="preserve">Feng, Z., et al. (2022). Monitoring wheat powdery mildew based on hyperspectral, thermal infrared, and RGB image data fusion. Sensors 22(1), 31.</w:t>
      </w:r>
    </w:p>
    <w:p>
      <w:pPr>
        <w:spacing w:after="80" w:line="252"/>
        <w:ind w:left="360" w:hanging="360"/>
      </w:pPr>
      <w:r>
        <w:rPr>
          <w:sz w:val="19"/>
          <w:szCs w:val="19"/>
        </w:rPr>
        <w:t xml:space="preserve">Foody, G.M. (2004). Thematic map comparison: evaluating the statistical significance of differences in classification accuracy. Photogramm. Eng. Remote Sens. 70(5), 627–633.</w:t>
      </w:r>
    </w:p>
    <w:p>
      <w:pPr>
        <w:spacing w:after="80" w:line="252"/>
        <w:ind w:left="360" w:hanging="360"/>
      </w:pPr>
      <w:r>
        <w:rPr>
          <w:sz w:val="19"/>
          <w:szCs w:val="19"/>
        </w:rPr>
        <w:t xml:space="preserve">Ghassemian, H. (2016). A review of remote sensing image fusion methods. Information Fusion 32, 75–89.</w:t>
      </w:r>
    </w:p>
    <w:p>
      <w:pPr>
        <w:spacing w:after="80" w:line="252"/>
        <w:ind w:left="360" w:hanging="360"/>
      </w:pPr>
      <w:r>
        <w:rPr>
          <w:sz w:val="19"/>
          <w:szCs w:val="19"/>
        </w:rPr>
        <w:t xml:space="preserve">Gómez-Chova, L., Tuia, D., Moser, G., Camps-Valls, G. (2015). Multimodal classification of remote sensing images: a review and future directions. Proc. IEEE 103(9), 1560–1584.</w:t>
      </w:r>
    </w:p>
    <w:p>
      <w:pPr>
        <w:spacing w:after="80" w:line="252"/>
        <w:ind w:left="360" w:hanging="360"/>
      </w:pPr>
      <w:r>
        <w:rPr>
          <w:sz w:val="19"/>
          <w:szCs w:val="19"/>
        </w:rPr>
        <w:t xml:space="preserve">Gönen, M., Alpaydın, E. (2011). Multiple kernel learning algorithms. J. Mach. Learn. Res. 12, 2211–2268.</w:t>
      </w:r>
    </w:p>
    <w:p>
      <w:pPr>
        <w:spacing w:after="80" w:line="252"/>
        <w:ind w:left="360" w:hanging="360"/>
      </w:pPr>
      <w:r>
        <w:rPr>
          <w:sz w:val="19"/>
          <w:szCs w:val="19"/>
        </w:rPr>
        <w:t xml:space="preserve">Guo, A., et al. (2021). Wheat yellow rust detection using UAV-based hyperspectral technology. Remote Sens. 13(1), 123.</w:t>
      </w:r>
    </w:p>
    <w:p>
      <w:pPr>
        <w:spacing w:after="80" w:line="252"/>
        <w:ind w:left="360" w:hanging="360"/>
      </w:pPr>
      <w:r>
        <w:rPr>
          <w:sz w:val="19"/>
          <w:szCs w:val="19"/>
        </w:rPr>
        <w:t xml:space="preserve">Guyon, I., Elisseeff, A. (2003). An introduction to variable and feature selection. J. Mach. Learn. Res. 3, 1157–1182.</w:t>
      </w:r>
    </w:p>
    <w:p>
      <w:pPr>
        <w:spacing w:after="80" w:line="252"/>
        <w:ind w:left="360" w:hanging="360"/>
      </w:pPr>
      <w:r>
        <w:rPr>
          <w:sz w:val="19"/>
          <w:szCs w:val="19"/>
        </w:rPr>
        <w:t xml:space="preserve">Haghighat, M., Abdel-Mottaleb, M., Alhalabi, W. (2016). Discriminant correlation analysis: real-time feature level fusion for multimodal biometric recognition. IEEE Trans. Inf. Forensics Secur. 11(9), 1984–1996.</w:t>
      </w:r>
    </w:p>
    <w:p>
      <w:pPr>
        <w:spacing w:after="80" w:line="252"/>
        <w:ind w:left="360" w:hanging="360"/>
      </w:pPr>
      <w:r>
        <w:rPr>
          <w:sz w:val="19"/>
          <w:szCs w:val="19"/>
        </w:rPr>
        <w:t xml:space="preserve">Hall, D.L., Llinas, J. (1997). An introduction to multisensor data fusion. Proc. IEEE 85(1), 6–23.</w:t>
      </w:r>
    </w:p>
    <w:p>
      <w:pPr>
        <w:spacing w:after="80" w:line="252"/>
        <w:ind w:left="360" w:hanging="360"/>
      </w:pPr>
      <w:r>
        <w:rPr>
          <w:sz w:val="19"/>
          <w:szCs w:val="19"/>
        </w:rPr>
        <w:t xml:space="preserve">He, K., et al. (2022). Masked autoencoders are scalable vision learners. Proc. CVPR, 16000–16009.</w:t>
      </w:r>
    </w:p>
    <w:p>
      <w:pPr>
        <w:spacing w:after="80" w:line="252"/>
        <w:ind w:left="360" w:hanging="360"/>
      </w:pPr>
      <w:r>
        <w:rPr>
          <w:sz w:val="19"/>
          <w:szCs w:val="19"/>
        </w:rPr>
        <w:t xml:space="preserve">He, K., Zhang, X., Ren, S., Sun, J. (2016). Deep residual learning for image recognition. Proc. CVPR, 770–778.</w:t>
      </w:r>
    </w:p>
    <w:p>
      <w:pPr>
        <w:spacing w:after="80" w:line="252"/>
        <w:ind w:left="360" w:hanging="360"/>
      </w:pPr>
      <w:r>
        <w:rPr>
          <w:sz w:val="19"/>
          <w:szCs w:val="19"/>
        </w:rPr>
        <w:t xml:space="preserve">Hong, D., et al. (2021). More diverse means better: multimodal deep learning meets remote-sensing imagery classification. IEEE TGRS 59(5), 4340–4354.</w:t>
      </w:r>
    </w:p>
    <w:p>
      <w:pPr>
        <w:spacing w:after="80" w:line="252"/>
        <w:ind w:left="360" w:hanging="360"/>
      </w:pPr>
      <w:r>
        <w:rPr>
          <w:sz w:val="19"/>
          <w:szCs w:val="19"/>
        </w:rPr>
        <w:t xml:space="preserve">Hong, D., et al. (2022). SpectralFormer: rethinking hyperspectral image classification with transformers. IEEE TGRS 60, 5518615.</w:t>
      </w:r>
    </w:p>
    <w:p>
      <w:pPr>
        <w:spacing w:after="80" w:line="252"/>
        <w:ind w:left="360" w:hanging="360"/>
      </w:pPr>
      <w:r>
        <w:rPr>
          <w:sz w:val="19"/>
          <w:szCs w:val="19"/>
        </w:rPr>
        <w:t xml:space="preserve">Hotelling, H. (1936). Relations between two sets of variates. Biometrika 28, 321–377.</w:t>
      </w:r>
    </w:p>
    <w:p>
      <w:pPr>
        <w:spacing w:after="80" w:line="252"/>
        <w:ind w:left="360" w:hanging="360"/>
      </w:pPr>
      <w:r>
        <w:rPr>
          <w:sz w:val="19"/>
          <w:szCs w:val="19"/>
        </w:rPr>
        <w:t xml:space="preserve">Hu, J., Shen, L., Sun, G. (2018). Squeeze-and-excitation networks. Proc. CVPR, 7132–7141.</w:t>
      </w:r>
    </w:p>
    <w:p>
      <w:pPr>
        <w:spacing w:after="80" w:line="252"/>
        <w:ind w:left="360" w:hanging="360"/>
      </w:pPr>
      <w:r>
        <w:rPr>
          <w:sz w:val="19"/>
          <w:szCs w:val="19"/>
        </w:rPr>
        <w:t xml:space="preserve">Ilse, M., Tomczak, J., Welling, M. (2018). Attention-based deep multiple instance learning. Proc. ICML, 2127–2136.</w:t>
      </w:r>
    </w:p>
    <w:p>
      <w:pPr>
        <w:spacing w:after="80" w:line="252"/>
        <w:ind w:left="360" w:hanging="360"/>
      </w:pPr>
      <w:r>
        <w:rPr>
          <w:sz w:val="19"/>
          <w:szCs w:val="19"/>
        </w:rPr>
        <w:t xml:space="preserve">Jones, H.G. (2004). Application of thermal imaging and infrared sensing in plant physiology and ecophysiology. Adv. Bot. Res. 41, 107–163.</w:t>
      </w:r>
    </w:p>
    <w:p>
      <w:pPr>
        <w:spacing w:after="80" w:line="252"/>
        <w:ind w:left="360" w:hanging="360"/>
      </w:pPr>
      <w:r>
        <w:rPr>
          <w:sz w:val="19"/>
          <w:szCs w:val="19"/>
        </w:rPr>
        <w:t xml:space="preserve">Kerkech, M., Hafiane, A., Canals, R. (2020a). Vine disease detection in UAV multispectral images using optimized image registration and deep learning segmentation approach. Comput. Electron. Agric. 174, 105446.</w:t>
      </w:r>
    </w:p>
    <w:p>
      <w:pPr>
        <w:spacing w:after="80" w:line="252"/>
        <w:ind w:left="360" w:hanging="360"/>
      </w:pPr>
      <w:r>
        <w:rPr>
          <w:sz w:val="19"/>
          <w:szCs w:val="19"/>
        </w:rPr>
        <w:t xml:space="preserve">Kerkech, M., Hafiane, A., Canals, R. (2020b). VddNet: vine disease detection network based on multispectral images and depth map. Remote Sens. 12(20), 3305.</w:t>
      </w:r>
    </w:p>
    <w:p>
      <w:pPr>
        <w:spacing w:after="80" w:line="252"/>
        <w:ind w:left="360" w:hanging="360"/>
      </w:pPr>
      <w:r>
        <w:rPr>
          <w:sz w:val="19"/>
          <w:szCs w:val="19"/>
        </w:rPr>
        <w:t xml:space="preserve">Kittler, J., Hatef, M., Duin, R.P.W., Matas, J. (1998). On combining classifiers. IEEE TPAMI 20(3), 226–239.</w:t>
      </w:r>
    </w:p>
    <w:p>
      <w:pPr>
        <w:spacing w:after="80" w:line="252"/>
        <w:ind w:left="360" w:hanging="360"/>
      </w:pPr>
      <w:r>
        <w:rPr>
          <w:sz w:val="19"/>
          <w:szCs w:val="19"/>
        </w:rPr>
        <w:t xml:space="preserve">Kononenko, I. (1994). Estimating attributes: analysis and extensions of RELIEF. Proc. ECML-94, LNCS 784, 171–182.</w:t>
      </w:r>
    </w:p>
    <w:p>
      <w:pPr>
        <w:spacing w:after="80" w:line="252"/>
        <w:ind w:left="360" w:hanging="360"/>
      </w:pPr>
      <w:r>
        <w:rPr>
          <w:sz w:val="19"/>
          <w:szCs w:val="19"/>
        </w:rPr>
        <w:t xml:space="preserve">Kursa, M.B., Rudnicki, W.R. (2010). Feature selection with the Boruta package. J. Stat. Softw. 36(11), 1–13.</w:t>
      </w:r>
    </w:p>
    <w:p>
      <w:pPr>
        <w:spacing w:after="80" w:line="252"/>
        <w:ind w:left="360" w:hanging="360"/>
      </w:pPr>
      <w:r>
        <w:rPr>
          <w:sz w:val="19"/>
          <w:szCs w:val="19"/>
        </w:rPr>
        <w:t xml:space="preserve">Lahat, D., Adali, T., Jutten, C. (2015). Multimodal data fusion: an overview of methods, challenges, and prospects. Proc. IEEE 103(9), 1449–1477.</w:t>
      </w:r>
    </w:p>
    <w:p>
      <w:pPr>
        <w:spacing w:after="80" w:line="252"/>
        <w:ind w:left="360" w:hanging="360"/>
      </w:pPr>
      <w:r>
        <w:rPr>
          <w:sz w:val="19"/>
          <w:szCs w:val="19"/>
        </w:rPr>
        <w:t xml:space="preserve">Leinonen, I., Jones, H.G. (2004). Combining thermal and visible imagery for estimating canopy temperature and identifying plant stress. J. Exp. Bot. 55, 1423–1431.</w:t>
      </w:r>
    </w:p>
    <w:p>
      <w:pPr>
        <w:spacing w:after="80" w:line="252"/>
        <w:ind w:left="360" w:hanging="360"/>
      </w:pPr>
      <w:r>
        <w:rPr>
          <w:sz w:val="19"/>
          <w:szCs w:val="19"/>
        </w:rPr>
        <w:t xml:space="preserve">Li, H., Wu, X.-J. (2019). DenseFuse: a fusion approach to infrared and visible images. IEEE Trans. Image Process. 28(5), 2614–2623.</w:t>
      </w:r>
    </w:p>
    <w:p>
      <w:pPr>
        <w:spacing w:after="80" w:line="252"/>
        <w:ind w:left="360" w:hanging="360"/>
      </w:pPr>
      <w:r>
        <w:rPr>
          <w:sz w:val="19"/>
          <w:szCs w:val="19"/>
        </w:rPr>
        <w:t xml:space="preserve">Liu, Y., et al. (2024). Exploring multi-features in UAV based optical and thermal infrared images to estimate disease severity of wheat powdery mildew. Comput. Electron. Agric. 225, 109285.</w:t>
      </w:r>
    </w:p>
    <w:p>
      <w:pPr>
        <w:spacing w:after="80" w:line="252"/>
        <w:ind w:left="360" w:hanging="360"/>
      </w:pPr>
      <w:r>
        <w:rPr>
          <w:sz w:val="19"/>
          <w:szCs w:val="19"/>
        </w:rPr>
        <w:t xml:space="preserve">Lowe, D.G. (2004). Distinctive image features from scale-invariant keypoints. Int. J. Comput. Vis. 60, 91–110.</w:t>
      </w:r>
    </w:p>
    <w:p>
      <w:pPr>
        <w:spacing w:after="80" w:line="252"/>
        <w:ind w:left="360" w:hanging="360"/>
      </w:pPr>
      <w:r>
        <w:rPr>
          <w:sz w:val="19"/>
          <w:szCs w:val="19"/>
        </w:rPr>
        <w:t xml:space="preserve">Ma, J., Ma, Y., Li, C. (2019). Infrared and visible image fusion methods and applications: a survey. Information Fusion 45, 153–178.</w:t>
      </w:r>
    </w:p>
    <w:p>
      <w:pPr>
        <w:spacing w:after="80" w:line="252"/>
        <w:ind w:left="360" w:hanging="360"/>
      </w:pPr>
      <w:r>
        <w:rPr>
          <w:sz w:val="19"/>
          <w:szCs w:val="19"/>
        </w:rPr>
        <w:t xml:space="preserve">Maes, F., et al. (1997). Multimodality image registration by maximization of mutual information. IEEE Trans. Med. Imaging 16(2), 187–198.</w:t>
      </w:r>
    </w:p>
    <w:p>
      <w:pPr>
        <w:spacing w:after="80" w:line="252"/>
        <w:ind w:left="360" w:hanging="360"/>
      </w:pPr>
      <w:r>
        <w:rPr>
          <w:sz w:val="19"/>
          <w:szCs w:val="19"/>
        </w:rPr>
        <w:t xml:space="preserve">Mahlein, A.-K. (2016). Plant disease detection by imaging sensors. Plant Dis. 100(2), 241–251.</w:t>
      </w:r>
    </w:p>
    <w:p>
      <w:pPr>
        <w:spacing w:after="80" w:line="252"/>
        <w:ind w:left="360" w:hanging="360"/>
      </w:pPr>
      <w:r>
        <w:rPr>
          <w:sz w:val="19"/>
          <w:szCs w:val="19"/>
        </w:rPr>
        <w:t xml:space="preserve">Mahlein, A.-K., et al. (2019). Comparison and combination of thermal, fluorescence, and hyperspectral imaging for monitoring Fusarium head blight of wheat on spikelet scale. Sensors 19(10), 2281.</w:t>
      </w:r>
    </w:p>
    <w:p>
      <w:pPr>
        <w:spacing w:after="80" w:line="252"/>
        <w:ind w:left="360" w:hanging="360"/>
      </w:pPr>
      <w:r>
        <w:rPr>
          <w:sz w:val="19"/>
          <w:szCs w:val="19"/>
        </w:rPr>
        <w:t xml:space="preserve">Maimaitijiang, M., et al. (2020). Soybean yield prediction from UAV using multimodal data fusion and deep learning. Remote Sens. Environ. 237, 111599.</w:t>
      </w:r>
    </w:p>
    <w:p>
      <w:pPr>
        <w:spacing w:after="80" w:line="252"/>
        <w:ind w:left="360" w:hanging="360"/>
      </w:pPr>
      <w:r>
        <w:rPr>
          <w:sz w:val="19"/>
          <w:szCs w:val="19"/>
        </w:rPr>
        <w:t xml:space="preserve">McKinney, H.H. (1923). Influence of soil temperature and moisture on infection of wheat seedlings by Helminthosporium sativum. J. Agric. Res. 26, 195–218.</w:t>
      </w:r>
    </w:p>
    <w:p>
      <w:pPr>
        <w:spacing w:after="80" w:line="252"/>
        <w:ind w:left="360" w:hanging="360"/>
      </w:pPr>
      <w:r>
        <w:rPr>
          <w:sz w:val="19"/>
          <w:szCs w:val="19"/>
        </w:rPr>
        <w:t xml:space="preserve">Mustafa, G., et al. (2023). Fusarium head blight monitoring in wheat ears using machine learning and multimodal data from asymptomatic to symptomatic periods. Front. Plant Sci. 13, 1102341.</w:t>
      </w:r>
    </w:p>
    <w:p>
      <w:pPr>
        <w:spacing w:after="80" w:line="252"/>
        <w:ind w:left="360" w:hanging="360"/>
      </w:pPr>
      <w:r>
        <w:rPr>
          <w:sz w:val="19"/>
          <w:szCs w:val="19"/>
        </w:rPr>
        <w:t xml:space="preserve">Neverova, N., Wolf, C., Taylor, G., Nebout, F. (2016). ModDrop: adaptive multi-modal gesture recognition. IEEE TPAMI 38(8), 1692–1706.</w:t>
      </w:r>
    </w:p>
    <w:p>
      <w:pPr>
        <w:spacing w:after="80" w:line="252"/>
        <w:ind w:left="360" w:hanging="360"/>
      </w:pPr>
      <w:r>
        <w:rPr>
          <w:sz w:val="19"/>
          <w:szCs w:val="19"/>
        </w:rPr>
        <w:t xml:space="preserve">Ngiam, J., et al. (2011). Multimodal deep learning. Proc. ICML, 689–696.</w:t>
      </w:r>
    </w:p>
    <w:p>
      <w:pPr>
        <w:spacing w:after="80" w:line="252"/>
        <w:ind w:left="360" w:hanging="360"/>
      </w:pPr>
      <w:r>
        <w:rPr>
          <w:sz w:val="19"/>
          <w:szCs w:val="19"/>
        </w:rPr>
        <w:t xml:space="preserve">Olofsson, P., et al. (2014). Good practices for estimating area and assessing accuracy of land change. Remote Sens. Environ. 148, 42–57.</w:t>
      </w:r>
    </w:p>
    <w:p>
      <w:pPr>
        <w:spacing w:after="80" w:line="252"/>
        <w:ind w:left="360" w:hanging="360"/>
      </w:pPr>
      <w:r>
        <w:rPr>
          <w:sz w:val="19"/>
          <w:szCs w:val="19"/>
        </w:rPr>
        <w:t xml:space="preserve">Pan, Q., et al. (2021). A deep-learning-based approach for wheat yellow rust disease recognition from unmanned aerial vehicle images. Sensors 21(19), 6540.</w:t>
      </w:r>
    </w:p>
    <w:p>
      <w:pPr>
        <w:spacing w:after="80" w:line="252"/>
        <w:ind w:left="360" w:hanging="360"/>
      </w:pPr>
      <w:r>
        <w:rPr>
          <w:sz w:val="19"/>
          <w:szCs w:val="19"/>
        </w:rPr>
        <w:t xml:space="preserve">Platt, J. (1999). Probabilistic outputs for support vector machines and comparisons to regularized likelihood methods. In: Advances in Large Margin Classifiers, MIT Press.</w:t>
      </w:r>
    </w:p>
    <w:p>
      <w:pPr>
        <w:spacing w:after="80" w:line="252"/>
        <w:ind w:left="360" w:hanging="360"/>
      </w:pPr>
      <w:r>
        <w:rPr>
          <w:sz w:val="19"/>
          <w:szCs w:val="19"/>
        </w:rPr>
        <w:t xml:space="preserve">Pohl, C., Van Genderen, J.L. (1998). Multisensor image fusion in remote sensing: concepts, methods and applications. Int. J. Remote Sens. 19(5), 823–854.</w:t>
      </w:r>
    </w:p>
    <w:p>
      <w:pPr>
        <w:spacing w:after="80" w:line="252"/>
        <w:ind w:left="360" w:hanging="360"/>
      </w:pPr>
      <w:r>
        <w:rPr>
          <w:sz w:val="19"/>
          <w:szCs w:val="19"/>
        </w:rPr>
        <w:t xml:space="preserve">Pudil, P., Novovičová, J., Kittler, J. (1994). Floating search methods in feature selection. Pattern Recognit. Lett. 15, 1119–1125.</w:t>
      </w:r>
    </w:p>
    <w:p>
      <w:pPr>
        <w:spacing w:after="80" w:line="252"/>
        <w:ind w:left="360" w:hanging="360"/>
      </w:pPr>
      <w:r>
        <w:rPr>
          <w:sz w:val="19"/>
          <w:szCs w:val="19"/>
        </w:rPr>
        <w:t xml:space="preserve">Quadrianto, N., Smola, A.J., Caetano, T.S., Le, Q.V. (2009). Estimating labels from label proportions. J. Mach. Learn. Res. 10, 2349–2374.</w:t>
      </w:r>
    </w:p>
    <w:p>
      <w:pPr>
        <w:spacing w:after="80" w:line="252"/>
        <w:ind w:left="360" w:hanging="360"/>
      </w:pPr>
      <w:r>
        <w:rPr>
          <w:sz w:val="19"/>
          <w:szCs w:val="19"/>
        </w:rPr>
        <w:t xml:space="preserve">Ramachandram, D., Taylor, G.W. (2017). Deep multimodal learning: a survey on recent advances and trends. IEEE Signal Process. Mag. 34(6), 96–108.</w:t>
      </w:r>
    </w:p>
    <w:p>
      <w:pPr>
        <w:spacing w:after="80" w:line="252"/>
        <w:ind w:left="360" w:hanging="360"/>
      </w:pPr>
      <w:r>
        <w:rPr>
          <w:sz w:val="19"/>
          <w:szCs w:val="19"/>
        </w:rPr>
        <w:t xml:space="preserve">Roberts, D.R., et al. (2017). Cross-validation strategies for data with temporal, spatial, hierarchical, or phylogenetic structure. Ecography 40, 913–929.</w:t>
      </w:r>
    </w:p>
    <w:p>
      <w:pPr>
        <w:spacing w:after="80" w:line="252"/>
        <w:ind w:left="360" w:hanging="360"/>
      </w:pPr>
      <w:r>
        <w:rPr>
          <w:sz w:val="19"/>
          <w:szCs w:val="19"/>
        </w:rPr>
        <w:t xml:space="preserve">Ronneberger, O., Fischer, P., Brox, T. (2015). U-Net: convolutional networks for biomedical image segmentation. Proc. MICCAI, 234–241.</w:t>
      </w:r>
    </w:p>
    <w:p>
      <w:pPr>
        <w:spacing w:after="80" w:line="252"/>
        <w:ind w:left="360" w:hanging="360"/>
      </w:pPr>
      <w:r>
        <w:rPr>
          <w:sz w:val="19"/>
          <w:szCs w:val="19"/>
        </w:rPr>
        <w:t xml:space="preserve">Roy, S.K., et al. (2020). HybridSN: exploring 3-D–2-D CNN feature hierarchy for hyperspectral image classification. IEEE GRSL 17(2), 277–281.</w:t>
      </w:r>
    </w:p>
    <w:p>
      <w:pPr>
        <w:spacing w:after="80" w:line="252"/>
        <w:ind w:left="360" w:hanging="360"/>
      </w:pPr>
      <w:r>
        <w:rPr>
          <w:sz w:val="19"/>
          <w:szCs w:val="19"/>
        </w:rPr>
        <w:t xml:space="preserve">Selvaraju, R.R., et al. (2017). Grad-CAM: visual explanations from deep networks via gradient-based localization. Proc. ICCV, 618–626.</w:t>
      </w:r>
    </w:p>
    <w:p>
      <w:pPr>
        <w:spacing w:after="80" w:line="252"/>
        <w:ind w:left="360" w:hanging="360"/>
      </w:pPr>
      <w:r>
        <w:rPr>
          <w:sz w:val="19"/>
          <w:szCs w:val="19"/>
        </w:rPr>
        <w:t xml:space="preserve">Shafer, G. (1976). A Mathematical Theory of Evidence. Princeton University Press.</w:t>
      </w:r>
    </w:p>
    <w:p>
      <w:pPr>
        <w:spacing w:after="80" w:line="252"/>
        <w:ind w:left="360" w:hanging="360"/>
      </w:pPr>
      <w:r>
        <w:rPr>
          <w:sz w:val="19"/>
          <w:szCs w:val="19"/>
        </w:rPr>
        <w:t xml:space="preserve">Shafiee, S., et al. (2021). Sequential forward selection and support vector regression in comparison to LASSO regression for spring wheat yield prediction based on UAV imagery. Comput. Electron. Agric. 183, 106036.</w:t>
      </w:r>
    </w:p>
    <w:p>
      <w:pPr>
        <w:spacing w:after="80" w:line="252"/>
        <w:ind w:left="360" w:hanging="360"/>
      </w:pPr>
      <w:r>
        <w:rPr>
          <w:sz w:val="19"/>
          <w:szCs w:val="19"/>
        </w:rPr>
        <w:t xml:space="preserve">Shi, Y., et al. (2022). Novel CropdocNet model for automated potato late blight disease detection from UAV-based hyperspectral imagery. Remote Sens. 14(2), 396.</w:t>
      </w:r>
    </w:p>
    <w:p>
      <w:pPr>
        <w:spacing w:after="80" w:line="252"/>
        <w:ind w:left="360" w:hanging="360"/>
      </w:pPr>
      <w:r>
        <w:rPr>
          <w:sz w:val="19"/>
          <w:szCs w:val="19"/>
        </w:rPr>
        <w:t xml:space="preserve">Snoek, C.G.M., Worring, M., Smeulders, A.W.M. (2005). Early versus late fusion in semantic video analysis. Proc. ACM Multimedia, 399–402.</w:t>
      </w:r>
    </w:p>
    <w:p>
      <w:pPr>
        <w:spacing w:after="80" w:line="252"/>
        <w:ind w:left="360" w:hanging="360"/>
      </w:pPr>
      <w:r>
        <w:rPr>
          <w:sz w:val="19"/>
          <w:szCs w:val="19"/>
        </w:rPr>
        <w:t xml:space="preserve">Su, J., et al. (2018). Wheat yellow rust monitoring by learning from multispectral UAV aerial imagery. Comput. Electron. Agric. 155, 157–166.</w:t>
      </w:r>
    </w:p>
    <w:p>
      <w:pPr>
        <w:spacing w:after="80" w:line="252"/>
        <w:ind w:left="360" w:hanging="360"/>
      </w:pPr>
      <w:r>
        <w:rPr>
          <w:sz w:val="19"/>
          <w:szCs w:val="19"/>
        </w:rPr>
        <w:t xml:space="preserve">Tian, L., et al. (2021). Spectroscopic detection of rice leaf blast infection from asymptomatic to mild stages with integrated machine learning and feature selection. Remote Sens. Environ. 257, 112350.</w:t>
      </w:r>
    </w:p>
    <w:p>
      <w:pPr>
        <w:spacing w:after="80" w:line="252"/>
        <w:ind w:left="360" w:hanging="360"/>
      </w:pPr>
      <w:r>
        <w:rPr>
          <w:sz w:val="19"/>
          <w:szCs w:val="19"/>
        </w:rPr>
        <w:t xml:space="preserve">Tibshirani, R. (1996). Regression shrinkage and selection via the lasso. J. R. Stat. Soc. B 58(1), 267–288.</w:t>
      </w:r>
    </w:p>
    <w:p>
      <w:pPr>
        <w:spacing w:after="80" w:line="252"/>
        <w:ind w:left="360" w:hanging="360"/>
      </w:pPr>
      <w:r>
        <w:rPr>
          <w:sz w:val="19"/>
          <w:szCs w:val="19"/>
        </w:rPr>
        <w:t xml:space="preserve">Varma, S., Simon, R. (2006). Bias in error estimation when using cross-validation for model selection. BMC Bioinformatics 7, 91.</w:t>
      </w:r>
    </w:p>
    <w:p>
      <w:pPr>
        <w:spacing w:after="80" w:line="252"/>
        <w:ind w:left="360" w:hanging="360"/>
      </w:pPr>
      <w:r>
        <w:rPr>
          <w:sz w:val="19"/>
          <w:szCs w:val="19"/>
        </w:rPr>
        <w:t xml:space="preserve">Vaswani, A., et al. (2017). Attention is all you need. Proc. NeurIPS, 5998–6008.</w:t>
      </w:r>
    </w:p>
    <w:p>
      <w:pPr>
        <w:spacing w:after="80" w:line="252"/>
        <w:ind w:left="360" w:hanging="360"/>
      </w:pPr>
      <w:r>
        <w:rPr>
          <w:sz w:val="19"/>
          <w:szCs w:val="19"/>
        </w:rPr>
        <w:t xml:space="preserve">Vivone, G., et al. (2015). A critical comparison among pansharpening algorithms. IEEE TGRS 53(5), 2565–2586.</w:t>
      </w:r>
    </w:p>
    <w:p>
      <w:pPr>
        <w:spacing w:after="80" w:line="252"/>
        <w:ind w:left="360" w:hanging="360"/>
      </w:pPr>
      <w:r>
        <w:rPr>
          <w:sz w:val="19"/>
          <w:szCs w:val="19"/>
        </w:rPr>
        <w:t xml:space="preserve">Wald, L., Ranchin, T., Mangolini, M. (1997). Fusion of satellite images of different spatial resolutions: assessing the quality of resulting images. Photogramm. Eng. Remote Sens. 63(6), 691–699.</w:t>
      </w:r>
    </w:p>
    <w:p>
      <w:pPr>
        <w:spacing w:after="80" w:line="252"/>
        <w:ind w:left="360" w:hanging="360"/>
      </w:pPr>
      <w:r>
        <w:rPr>
          <w:sz w:val="19"/>
          <w:szCs w:val="19"/>
        </w:rPr>
        <w:t xml:space="preserve">Wang, W., Tran, D., Feiszli, M. (2020). What makes training multi-modal classification networks hard? Proc. CVPR, 12695–12705.</w:t>
      </w:r>
    </w:p>
    <w:p>
      <w:pPr>
        <w:spacing w:after="80" w:line="252"/>
        <w:ind w:left="360" w:hanging="360"/>
      </w:pPr>
      <w:r>
        <w:rPr>
          <w:sz w:val="19"/>
          <w:szCs w:val="19"/>
        </w:rPr>
        <w:t xml:space="preserve">Wang, Z., Bovik, A.C., Sheikh, H.R., Simoncelli, E.P. (2004). Image quality assessment: from error visibility to structural similarity. IEEE Trans. Image Process. 13(4), 600–612.</w:t>
      </w:r>
    </w:p>
    <w:p>
      <w:pPr>
        <w:spacing w:after="80" w:line="252"/>
        <w:ind w:left="360" w:hanging="360"/>
      </w:pPr>
      <w:r>
        <w:rPr>
          <w:sz w:val="19"/>
          <w:szCs w:val="19"/>
        </w:rPr>
        <w:t xml:space="preserve">Whetton, R.L., Waine, T.W., Mouazen, A.M. (2018). Hyperspectral measurements of yellow rust and fusarium head blight in cereal crops: Part 2. Biosyst. Eng. 167, 144–158.</w:t>
      </w:r>
    </w:p>
    <w:p>
      <w:pPr>
        <w:spacing w:after="80" w:line="252"/>
        <w:ind w:left="360" w:hanging="360"/>
      </w:pPr>
      <w:r>
        <w:rPr>
          <w:sz w:val="19"/>
          <w:szCs w:val="19"/>
        </w:rPr>
        <w:t xml:space="preserve">Wold, S., Sjöström, M., Eriksson, L. (2001). PLS-regression: a basic tool of chemometrics. Chemom. Intell. Lab. Syst. 58, 109–130.</w:t>
      </w:r>
    </w:p>
    <w:p>
      <w:pPr>
        <w:spacing w:after="80" w:line="252"/>
        <w:ind w:left="360" w:hanging="360"/>
      </w:pPr>
      <w:r>
        <w:rPr>
          <w:sz w:val="19"/>
          <w:szCs w:val="19"/>
        </w:rPr>
        <w:t xml:space="preserve">Wolpert, D.H. (1992). Stacked generalization. Neural Networks 5(2), 241–259.</w:t>
      </w:r>
    </w:p>
    <w:p>
      <w:pPr>
        <w:spacing w:after="80" w:line="252"/>
        <w:ind w:left="360" w:hanging="360"/>
      </w:pPr>
      <w:r>
        <w:rPr>
          <w:sz w:val="19"/>
          <w:szCs w:val="19"/>
        </w:rPr>
        <w:t xml:space="preserve">Yokoya, N., Grohnfeldt, C., Chanussot, J. (2017). Hyperspectral and multispectral data fusion: a comparative review of the recent literature. IEEE Geosci. Remote Sens. Mag. 5(2), 29–56.</w:t>
      </w:r>
    </w:p>
    <w:p>
      <w:pPr>
        <w:spacing w:after="80" w:line="252"/>
        <w:ind w:left="360" w:hanging="360"/>
      </w:pPr>
      <w:r>
        <w:rPr>
          <w:sz w:val="19"/>
          <w:szCs w:val="19"/>
        </w:rPr>
        <w:t xml:space="preserve">Yokoya, N., Yairi, T., Iwasaki, A. (2012). Coupled nonnegative matrix factorization unmixing for hyperspectral and multispectral data fusion. IEEE TGRS 50(2), 528–537.</w:t>
      </w:r>
    </w:p>
    <w:p>
      <w:pPr>
        <w:spacing w:after="80" w:line="252"/>
        <w:ind w:left="360" w:hanging="360"/>
      </w:pPr>
      <w:r>
        <w:rPr>
          <w:sz w:val="19"/>
          <w:szCs w:val="19"/>
        </w:rPr>
        <w:t xml:space="preserve">Zarco-Tejada, P.J., et al. (2018). Previsual symptoms of Xylella fastidiosa infection revealed in spectral plant-trait alterations. Nature Plants 4, 432–439.</w:t>
      </w:r>
    </w:p>
    <w:p>
      <w:pPr>
        <w:spacing w:after="80" w:line="252"/>
        <w:ind w:left="360" w:hanging="360"/>
      </w:pPr>
      <w:r>
        <w:rPr>
          <w:sz w:val="19"/>
          <w:szCs w:val="19"/>
        </w:rPr>
        <w:t xml:space="preserve">Zhang, J.-C., et al. (2012). Detecting powdery mildew of winter wheat using leaf level hyperspectral measurements. Comput. Electron. Agric. 85, 13–23.</w:t>
      </w:r>
    </w:p>
    <w:p>
      <w:pPr>
        <w:spacing w:after="80" w:line="252"/>
        <w:ind w:left="360" w:hanging="360"/>
      </w:pPr>
      <w:r>
        <w:rPr>
          <w:sz w:val="19"/>
          <w:szCs w:val="19"/>
        </w:rPr>
        <w:t xml:space="preserve">Zhang, X., et al. (2019). A deep learning-based approach for automated yellow rust disease detection from high-resolution hyperspectral UAV images. Remote Sens. 11(13), 1554.</w:t>
      </w:r>
    </w:p>
    <w:p>
      <w:pPr>
        <w:spacing w:after="80" w:line="252"/>
        <w:ind w:left="360" w:hanging="360"/>
      </w:pPr>
      <w:r>
        <w:rPr>
          <w:sz w:val="19"/>
          <w:szCs w:val="19"/>
        </w:rPr>
        <w:t xml:space="preserve">Zitová, B., Flusser, J. (2003). Image registration methods: a survey. Image Vis. Comput. 21(11), 977–1000.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7A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E7A7E"/>
        <w:sz w:val="16"/>
        <w:szCs w:val="16"/>
      </w:rPr>
      <w:t xml:space="preserve">MuDAS-AI · Multimodal image fusion: concepts, methods and case studies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A40"/>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C7C78"/>
      <w:sz w:val="27"/>
      <w:szCs w:val="27"/>
    </w:rPr>
  </w:style>
  <w:style w:type="paragraph" w:styleId="Heading3">
    <w:name w:val="Heading 3"/>
    <w:basedOn w:val="Normal"/>
    <w:next w:val="Normal"/>
    <w:qFormat/>
    <w:pPr>
      <w:keepNext/>
      <w:spacing w:after="80" w:before="180"/>
      <w:outlineLvl w:val="2"/>
    </w:pPr>
    <w:rPr>
      <w:rFonts w:ascii="Calibri" w:cs="Calibri" w:eastAsia="Calibri" w:hAnsi="Calibri"/>
      <w:b/>
      <w:bCs/>
      <w:color w:val="1F3A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b360ad8c3ebbed3c4075dece45d2ef04719a1f.png"/><Relationship Id="rId10" Type="http://schemas.openxmlformats.org/officeDocument/2006/relationships/image" Target="media/4d110278d905e5f03a97b7c5089bf06c63f4e0fc.png"/><Relationship Id="rId11" Type="http://schemas.openxmlformats.org/officeDocument/2006/relationships/image" Target="media/f6f6847e79cac10d4f4f31dc5943c26a7ad80ae3.png"/><Relationship Id="rId12" Type="http://schemas.openxmlformats.org/officeDocument/2006/relationships/image" Target="media/baaf0f87b5597cfff57af0ab7f9a99a68f99f3e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image fusion for UAV-based disease severity assessment</dc:title>
  <dc:creator>Animesh Panda</dc:creator>
  <cp:lastModifiedBy>Un-named</cp:lastModifiedBy>
  <cp:revision>1</cp:revision>
  <dcterms:created xsi:type="dcterms:W3CDTF">2026-10-12T08:17:48.274Z</dcterms:created>
  <dcterms:modified xsi:type="dcterms:W3CDTF">2026-10-12T08:17:48.274Z</dcterms:modified>
</cp:coreProperties>
</file>

<file path=docProps/custom.xml><?xml version="1.0" encoding="utf-8"?>
<Properties xmlns="http://schemas.openxmlformats.org/officeDocument/2006/custom-properties" xmlns:vt="http://schemas.openxmlformats.org/officeDocument/2006/docPropsVTypes"/>
</file>