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b/>
          <w:bCs/>
          <w:color w:val="2E5A45"/>
          <w:sz w:val="28"/>
          <w:szCs w:val="28"/>
        </w:rPr>
        <w:t xml:space="preserve">METHODOLOGY</w:t>
      </w:r>
    </w:p>
    <w:p>
      <w:pPr>
        <w:spacing w:after="400"/>
        <w:jc w:val="center"/>
      </w:pPr>
      <w:r>
        <w:rPr>
          <w:b/>
          <w:bCs/>
          <w:sz w:val="32"/>
          <w:szCs w:val="32"/>
        </w:rPr>
        <w:t xml:space="preserve">Multimodal Disease-Specific Feature Selection and Feature-Level Fusion for UAV-Based Detection and Severity Mapping of White Rust (</w:t>
      </w:r>
      <w:r>
        <w:rPr>
          <w:b/>
          <w:bCs/>
          <w:i/>
          <w:iCs/>
          <w:sz w:val="32"/>
          <w:szCs w:val="32"/>
        </w:rPr>
        <w:t xml:space="preserve">Albugo candida</w:t>
      </w:r>
      <w:r>
        <w:rPr>
          <w:b/>
          <w:bCs/>
          <w:sz w:val="32"/>
          <w:szCs w:val="32"/>
        </w:rPr>
        <w:t xml:space="preserve">) in Indian Mustard</w:t>
      </w:r>
    </w:p>
    <w:p>
      <w:pPr>
        <w:spacing w:after="600"/>
        <w:jc w:val="center"/>
      </w:pPr>
      <w:r>
        <w:rPr>
          <w:i/>
          <w:iCs/>
          <w:sz w:val="24"/>
          <w:szCs w:val="24"/>
        </w:rPr>
        <w:t xml:space="preserve">A step-by-step research protocol with rationale, equations, implementation guide and references</w:t>
      </w:r>
    </w:p>
    <w:p>
      <w:pPr>
        <w:spacing w:after="200"/>
        <w:jc w:val="center"/>
      </w:pPr>
      <w:r>
        <w:rPr>
          <w:sz w:val="22"/>
          <w:szCs w:val="22"/>
        </w:rPr>
        <w:t xml:space="preserve">Ph.D. research: “AI-Based Multimodal UAV Sensing of White Rust in Mustard”</w:t>
      </w:r>
    </w:p>
    <w:p>
      <w:pPr>
        <w:spacing w:after="600"/>
        <w:jc w:val="center"/>
      </w:pPr>
      <w:r>
        <w:rPr>
          <w:sz w:val="22"/>
          <w:szCs w:val="22"/>
        </w:rPr>
        <w:t xml:space="preserve">Objective 1 (characterisation) and Objective 2 (detection and severity discrimination through multimodal fusion)</w:t>
      </w:r>
    </w:p>
    <w:p>
      <w:pPr>
        <w:spacing w:after="80"/>
        <w:jc w:val="center"/>
      </w:pPr>
      <w:r>
        <w:rPr>
          <w:b/>
          <w:bCs/>
          <w:sz w:val="24"/>
          <w:szCs w:val="24"/>
        </w:rPr>
        <w:t xml:space="preserve">Animesh Panda</w:t>
      </w:r>
    </w:p>
    <w:p>
      <w:pPr>
        <w:spacing w:after="80"/>
        <w:jc w:val="center"/>
      </w:pPr>
      <w:r>
        <w:rPr>
          <w:sz w:val="22"/>
          <w:szCs w:val="22"/>
        </w:rPr>
        <w:t xml:space="preserve">Ph.D. Scholar (Roll No. 13098), Division of Agricultural Physics</w:t>
      </w:r>
    </w:p>
    <w:p>
      <w:pPr>
        <w:spacing w:after="600"/>
        <w:jc w:val="center"/>
      </w:pPr>
      <w:r>
        <w:rPr>
          <w:sz w:val="22"/>
          <w:szCs w:val="22"/>
        </w:rPr>
        <w:t xml:space="preserve">ICAR–Indian Agricultural Research Institute, New Delhi 110012</w:t>
      </w:r>
    </w:p>
    <w:p>
      <w:pPr>
        <w:spacing w:after="200"/>
        <w:jc w:val="center"/>
      </w:pPr>
      <w:r>
        <w:rPr>
          <w:i/>
          <w:iCs/>
          <w:sz w:val="20"/>
          <w:szCs w:val="20"/>
        </w:rPr>
        <w:t xml:space="preserve">Prepared as a thesis methods chapter and as the technical reference for the FAO/ITU/IFAD/WFP International Hackathon on AI for Agrifood Systems (8–9 October 2026, NASC Complex, New Delhi)</w:t>
      </w:r>
    </w:p>
    <w:p>
      <w:pPr>
        <w:spacing w:after="200"/>
        <w:jc w:val="center"/>
      </w:pPr>
      <w:r>
        <w:rPr>
          <w:sz w:val="22"/>
          <w:szCs w:val="22"/>
        </w:rPr>
        <w:t xml:space="preserve">October 2026</w:t>
      </w:r>
    </w:p>
    <w:p>
      <w:r>
        <w:br w:type="page"/>
      </w:r>
    </w:p>
    <w:p>
      <w:pPr>
        <w:pStyle w:val="Heading1"/>
      </w:pPr>
      <w:r>
        <w:t xml:space="preserve">How to use this document</w:t>
      </w:r>
    </w:p>
    <w:p>
      <w:pPr>
        <w:spacing w:after="120" w:line="360"/>
        <w:jc w:val="both"/>
      </w:pPr>
      <w:r>
        <w:t xml:space="preserve">This document sets out, step by step, how the features measured by four UAV sensors are turned into a white rust severity map and a spray-decision map. It is written so that it can be (i) followed in the field and in the analysis, (ii) adapted into the Materials and Methods chapter of the thesis, and (iii) used to explain and defend the methodology at the hackathon. Each step states its </w:t>
      </w:r>
      <w:r>
        <w:rPr>
          <w:b/>
          <w:bCs/>
        </w:rPr>
        <w:t xml:space="preserve">aim</w:t>
      </w:r>
      <w:r>
        <w:t xml:space="preserve">, the </w:t>
      </w:r>
      <w:r>
        <w:rPr>
          <w:b/>
          <w:bCs/>
        </w:rPr>
        <w:t xml:space="preserve">procedure</w:t>
      </w:r>
      <w:r>
        <w:t xml:space="preserve">, the </w:t>
      </w:r>
      <w:r>
        <w:rPr>
          <w:b/>
          <w:bCs/>
        </w:rPr>
        <w:t xml:space="preserve">decision rule</w:t>
      </w:r>
      <w:r>
        <w:t xml:space="preserve"> (thresholds), its </w:t>
      </w:r>
      <w:r>
        <w:rPr>
          <w:b/>
          <w:bCs/>
        </w:rPr>
        <w:t xml:space="preserve">output</w:t>
      </w:r>
      <w:r>
        <w:t xml:space="preserve"> and the </w:t>
      </w:r>
      <w:r>
        <w:rPr>
          <w:b/>
          <w:bCs/>
        </w:rPr>
        <w:t xml:space="preserve">reason</w:t>
      </w:r>
      <w:r>
        <w:t xml:space="preserve"> it is placed where it is, with references.</w:t>
      </w:r>
    </w:p>
    <w:p>
      <w:pPr>
        <w:spacing w:after="120" w:line="360"/>
        <w:jc w:val="both"/>
      </w:pPr>
      <w:r>
        <w:t xml:space="preserve">Chapters 1–2 give the framework and the data. Chapters 3–5 describe the three analytical phases. Chapter 6 covers validation and the safeguards that keep the reported accuracy honest. Chapter 7 shows where other machine-learning (ML) and deep-learning (DL) models can be added. Chapter 8 is an implementation guide with R code. Chapter 9 is a question-and-answer bank for the hackathon. Chapter 10 is a one-page checklist of all steps. Appendix A lists inconsistencies found between the ORW documents that should be resolved before the thesis is submitted.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808080" w:sz="4"/>
              <w:bottom w:val="single" w:color="808080" w:sz="4"/>
              <w:right w:val="single" w:color="808080" w:sz="4"/>
            </w:tcBorders>
            <w:shd w:fill="EAF2F6" w:color="auto" w:val="clear"/>
            <w:tcMar>
              <w:top w:type="dxa" w:w="120"/>
              <w:left w:type="dxa" w:w="160"/>
              <w:bottom w:type="dxa" w:w="120"/>
              <w:right w:type="dxa" w:w="160"/>
            </w:tcMar>
          </w:tcPr>
          <w:p>
            <w:pPr>
              <w:spacing w:after="80"/>
            </w:pPr>
            <w:r>
              <w:rPr>
                <w:b/>
                <w:bCs/>
                <w:sz w:val="22"/>
                <w:szCs w:val="22"/>
              </w:rPr>
              <w:t xml:space="preserve">Scope</w:t>
            </w:r>
          </w:p>
          <w:p>
            <w:pPr>
              <w:spacing w:after="60" w:line="276"/>
              <w:jc w:val="both"/>
            </w:pPr>
            <w:r>
              <w:rPr>
                <w:sz w:val="21"/>
                <w:szCs w:val="21"/>
              </w:rPr>
              <w:t xml:space="preserve">Pre-symptomatic detection (Objective 3) is outside the scope of this document. Classification uses machine learning (Random Forest, Support Vector Machine and k-Nearest Neighbours as the core models); deep-learning models such as RustQNet are treated only as optional benchmarks (Chapter 7).</w:t>
            </w:r>
          </w:p>
          <w:p>
            <w:pPr>
              <w:spacing w:after="60" w:line="276"/>
              <w:jc w:val="both"/>
            </w:pPr>
            <w:r>
              <w:rPr>
                <w:sz w:val="21"/>
                <w:szCs w:val="21"/>
              </w:rPr>
              <w:t xml:space="preserve">Thresholds marked as “recommended default” are design choices with a stated justification. They should be fixed before the analysis starts and reported in the thesis; they should not be tuned after looking at the test results.</w:t>
            </w:r>
          </w:p>
          <w:p>
            <w:pPr>
              <w:spacing w:after="60" w:line="276"/>
              <w:jc w:val="both"/>
            </w:pPr>
            <w:r>
              <w:rPr>
                <w:sz w:val="21"/>
                <w:szCs w:val="21"/>
              </w:rPr>
              <w:t xml:space="preserve">References were compiled from the ORW write-up and the methodological literature. Verify every volume, page number and DOI against the original source before submission.</w:t>
            </w:r>
          </w:p>
        </w:tc>
      </w:tr>
    </w:tbl>
    <w:p>
      <w:pPr>
        <w:spacing w:after="60"/>
      </w:pP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60"/>
        <w:jc w:val="left"/>
      </w:pPr>
      <w:r>
        <w:rPr>
          <w:i/>
          <w:iCs/>
        </w:rPr>
        <w:t xml:space="preserve">Right-click the table of contents in Word and choose “Update Field” if page numbers are not shown.</w:t>
      </w:r>
    </w:p>
    <w:p>
      <w:pPr>
        <w:pStyle w:val="Heading1"/>
        <w:pageBreakBefore/>
      </w:pPr>
      <w:r>
        <w:t xml:space="preserve">Abbreviations and notation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blHeader/>
        </w:trPr>
        <w:tc>
          <w:tcPr>
            <w:tcW w:type="dxa" w:w="182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Term</w:t>
            </w:r>
          </w:p>
        </w:tc>
        <w:tc>
          <w:tcPr>
            <w:tcW w:type="dxa" w:w="6479"/>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Meaning</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DSF</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Disease-Specific Feature: a feature that responds significantly and consistently to white rust (output of Phase 1)</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OFC</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Optimal Feature Combination: the subset of DSFs selected by SFFS for one classifier (output of Phases 2 and 3)</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Disease Index (%), computed from the 0–6 leaf rating scale</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Number of features (predictor variables, the columns of the data table)</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Number of observations (rows). In this study an observation is one plot on one date; the independent unit is the plot</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RGB, MS, HS, TIR</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Red–green–blue camera; multispectral camera; hyperspectral imager; thermal infrared camera</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GLCM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Grey-Level Co-occurrence Matrix (texture features)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VI</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Vegetation index</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CT, CTD, CTR, NRCT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Canopy temperature; canopy temperature difference; canopy temperature ratio; normalised relative canopy temperature</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ANOVA, KW</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Analysis of variance; Kruskal–Wallis rank test</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FDR</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False discovery rate (Benjamini–Hochberg)</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 JM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Bhattacharyya distance; Jeffries–Matusita distance</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RF, SVM, KNN</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Random Forest; Support Vector Machine; k-Nearest Neighbours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VIF</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Variance Inflation Factor</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SPA, CARS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Successive Projections Algorithm; Competitive Adaptive Reweighted Sampling</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SFFS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Sequential Floating Forward Selection</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RFE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Recursive Feature Elimination</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SHAP</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SHapley Additive exPlanations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CV</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Cross-validation</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OA, F1, κ</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Overall accuracy; F1-score; Cohen’s kappa</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DAS, DAI</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Days after sowing; days after inoculation</w:t>
            </w:r>
          </w:p>
        </w:tc>
      </w:tr>
    </w:tbl>
    <w:p>
      <w:pPr>
        <w:spacing w:after="60"/>
      </w:pPr>
    </w:p>
    <w:p>
      <w:pPr>
        <w:pStyle w:val="Heading1"/>
        <w:pageBreakBefore/>
      </w:pPr>
      <w:r>
        <w:t xml:space="preserve">1. Methodological framework</w:t>
      </w:r>
    </w:p>
    <w:p>
      <w:pPr>
        <w:pStyle w:val="Heading2"/>
      </w:pPr>
      <w:r>
        <w:t xml:space="preserve">1.1 Research objectives covered</w:t>
      </w:r>
    </w:p>
    <w:p>
      <w:pPr>
        <w:spacing w:after="120" w:line="360"/>
        <w:jc w:val="both"/>
      </w:pPr>
      <w:r>
        <w:rPr>
          <w:b/>
          <w:bCs/>
        </w:rPr>
        <w:t xml:space="preserve">Objective 1.</w:t>
      </w:r>
      <w:r>
        <w:t xml:space="preserve"> To characterise white rust of mustard through multimodal sensing from a UAV platform, i.e., to identify which spectral, textural and thermal features respond to </w:t>
      </w:r>
      <w:r>
        <w:rPr>
          <w:i/>
          <w:iCs/>
        </w:rPr>
        <w:t xml:space="preserve">Albugo candida</w:t>
      </w:r>
      <w:r>
        <w:t xml:space="preserve"> infection, in which sensor, and how strongly.</w:t>
      </w:r>
    </w:p>
    <w:p>
      <w:pPr>
        <w:spacing w:after="120" w:line="360"/>
        <w:jc w:val="both"/>
      </w:pPr>
      <w:r>
        <w:rPr>
          <w:b/>
          <w:bCs/>
        </w:rPr>
        <w:t xml:space="preserve">Objective 2.</w:t>
      </w:r>
      <w:r>
        <w:t xml:space="preserve"> To detect and discriminate the severity of white rust through AI-based multimodal data fusion: Activity 2.1 evaluates each sensor alone; Activity 2.2 fuses the features of all sensors at feature level; Activity 2.3 tests the best model at IIRMR, Bharatpur and in adjoining farmers’ fields.</w:t>
      </w:r>
    </w:p>
    <w:p>
      <w:pPr>
        <w:spacing w:after="120" w:line="360"/>
        <w:jc w:val="both"/>
      </w:pPr>
      <w:r>
        <w:t xml:space="preserve">The final product is a plot-level disease severity map (six classes, 0 = healthy to 5 = very high) that is translated into a three-zone spray-decision map.</w:t>
      </w:r>
    </w:p>
    <w:p>
      <w:pPr>
        <w:pStyle w:val="Heading2"/>
      </w:pPr>
      <w:r>
        <w:t xml:space="preserve">1.2 The three analytical phases</w:t>
      </w:r>
    </w:p>
    <w:p>
      <w:pPr>
        <w:spacing w:after="120" w:line="360"/>
        <w:jc w:val="both"/>
      </w:pPr>
      <w:r>
        <w:t xml:space="preserve">The analysis is organised in three phases. They use different kinds of feature selection because they answer different questions (Table 1.1).</w:t>
      </w:r>
    </w:p>
    <w:p>
      <w:pPr>
        <w:keepNext/>
        <w:spacing w:after="80" w:before="160"/>
        <w:jc w:val="center"/>
      </w:pPr>
      <w:r>
        <w:rPr>
          <w:b/>
          <w:bCs/>
          <w:sz w:val="22"/>
          <w:szCs w:val="22"/>
        </w:rPr>
        <w:t xml:space="preserve">Table 1.1: The three analytical phases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2243"/>
        <w:gridCol w:w="2243"/>
        <w:gridCol w:w="2325"/>
      </w:tblGrid>
      <w:tr>
        <w:trPr>
          <w:cantSplit/>
          <w:tblHeader/>
        </w:trPr>
        <w:tc>
          <w:tcPr>
            <w:tcW w:type="dxa" w:w="1495"/>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p>
        </w:tc>
        <w:tc>
          <w:tcPr>
            <w:tcW w:type="dxa" w:w="224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Phase 1</w:t>
            </w:r>
          </w:p>
        </w:tc>
        <w:tc>
          <w:tcPr>
            <w:tcW w:type="dxa" w:w="224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Phase 2</w:t>
            </w:r>
          </w:p>
        </w:tc>
        <w:tc>
          <w:tcPr>
            <w:tcW w:type="dxa" w:w="2325"/>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Phase 3</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ORW activity</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Objective 1 (Activity 1.4)</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Activity 2.1</w:t>
            </w:r>
          </w:p>
        </w:tc>
        <w:tc>
          <w:tcPr>
            <w:tcW w:type="dxa" w:w="232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Activity 2.2</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Question</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Which features respond to white rust?</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How well does each sensor classify severity on its own?</w:t>
            </w:r>
          </w:p>
        </w:tc>
        <w:tc>
          <w:tcPr>
            <w:tcW w:type="dxa" w:w="232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Which cross-sensor feature combination classifies severity best?</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Feature-selection problem</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All-relevant</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Minimal-optimal</w:t>
            </w:r>
          </w:p>
        </w:tc>
        <w:tc>
          <w:tcPr>
            <w:tcW w:type="dxa" w:w="232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Minimal-optimal</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Data</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Each sensor separately</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Each sensor separately</w:t>
            </w:r>
          </w:p>
        </w:tc>
        <w:tc>
          <w:tcPr>
            <w:tcW w:type="dxa" w:w="232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All sensors pooled</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Selection methods</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Statistical filters (ANOVA/KW + FDR, JM distance), ReliefF, RF importance, Boruta</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VIF (SPA/CARS for raw HS bands) then SFFS per classifier</w:t>
            </w:r>
          </w:p>
        </w:tc>
        <w:tc>
          <w:tcPr>
            <w:tcW w:type="dxa" w:w="232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Pooled VIF then SFFS per classifier</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Collinear features</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Kept</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Removed</w:t>
            </w:r>
          </w:p>
        </w:tc>
        <w:tc>
          <w:tcPr>
            <w:tcW w:type="dxa" w:w="232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Removed (including cross-sensor)</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Output</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Candidate DSFs per sensor</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OFC per sensor × classifier; single-sensor accuracy</w:t>
            </w:r>
          </w:p>
        </w:tc>
        <w:tc>
          <w:tcPr>
            <w:tcW w:type="dxa" w:w="232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Fused OFC per classifier; fusion gain; severity map</w:t>
            </w:r>
          </w:p>
        </w:tc>
      </w:tr>
    </w:tbl>
    <w:p>
      <w:pPr>
        <w:spacing w:after="60"/>
      </w:pPr>
    </w:p>
    <w:p>
      <w:pPr>
        <w:keepNext/>
        <w:spacing w:after="80" w:before="160"/>
        <w:jc w:val="center"/>
      </w:pPr>
      <w:r>
        <w:rPr>
          <w:b/>
          <w:bCs/>
          <w:sz w:val="22"/>
          <w:szCs w:val="22"/>
        </w:rPr>
        <w:t xml:space="preserve">Figure 1.1: Workflow schematic</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808080" w:sz="4"/>
              <w:left w:val="single" w:color="808080" w:sz="4"/>
              <w:bottom w:val="single" w:color="808080" w:sz="4"/>
              <w:right w:val="single" w:color="808080" w:sz="4"/>
            </w:tcBorders>
            <w:shd w:fill="E3ECF5" w:color="auto" w:val="clear"/>
            <w:tcMar>
              <w:top w:type="dxa" w:w="70"/>
              <w:left w:type="dxa" w:w="140"/>
              <w:bottom w:type="dxa" w:w="70"/>
              <w:right w:type="dxa" w:w="140"/>
            </w:tcMar>
          </w:tcPr>
          <w:p>
            <w:pPr>
              <w:spacing w:after="0"/>
              <w:jc w:val="center"/>
            </w:pPr>
            <w:r>
              <w:rPr>
                <w:b/>
                <w:bCs/>
                <w:sz w:val="20"/>
                <w:szCs w:val="20"/>
              </w:rPr>
              <w:t xml:space="preserve">Inputs:</w:t>
            </w:r>
            <w:r>
              <w:rPr>
                <w:sz w:val="20"/>
                <w:szCs w:val="20"/>
              </w:rPr>
              <w:t xml:space="preserve"> UAV imagery (RGB, MS, HS, TIR) at each flight date + field-scored Disease Index per plot</w:t>
            </w:r>
          </w:p>
        </w:tc>
      </w:tr>
      <w:tr>
        <w:trPr>
          <w:cantSplit/>
        </w:trPr>
        <w:tc>
          <w:tcPr>
            <w:tcW w:type="dxa" w:w="8306"/>
            <w:tcBorders>
              <w:top w:val="none" w:color="FFFFFF" w:sz="0"/>
              <w:left w:val="none" w:color="FFFFFF" w:sz="0"/>
              <w:bottom w:val="none" w:color="FFFFFF" w:sz="0"/>
              <w:right w:val="none" w:color="FFFFFF" w:sz="0"/>
            </w:tcBorders>
          </w:tcPr>
          <w:p>
            <w:pPr>
              <w:spacing w:after="0"/>
              <w:jc w:val="center"/>
            </w:pPr>
            <w:r>
              <w:rPr>
                <w:b/>
                <w:bCs/>
                <w:sz w:val="24"/>
                <w:szCs w:val="24"/>
              </w:rPr>
              <w:t xml:space="preserve">↓</w:t>
            </w:r>
          </w:p>
        </w:tc>
      </w:tr>
      <w:tr>
        <w:trPr>
          <w:cantSplit/>
        </w:trPr>
        <w:tc>
          <w:tcPr>
            <w:tcW w:type="dxa" w:w="8306"/>
            <w:tcBorders>
              <w:top w:val="single" w:color="808080" w:sz="4"/>
              <w:left w:val="single" w:color="808080" w:sz="4"/>
              <w:bottom w:val="single" w:color="808080" w:sz="4"/>
              <w:right w:val="single" w:color="808080" w:sz="4"/>
            </w:tcBorders>
            <w:shd w:fill="FFFFFF" w:color="auto" w:val="clear"/>
            <w:tcMar>
              <w:top w:type="dxa" w:w="70"/>
              <w:left w:type="dxa" w:w="140"/>
              <w:bottom w:type="dxa" w:w="70"/>
              <w:right w:type="dxa" w:w="140"/>
            </w:tcMar>
          </w:tcPr>
          <w:p>
            <w:pPr>
              <w:spacing w:after="0"/>
              <w:jc w:val="center"/>
            </w:pPr>
            <w:r>
              <w:rPr>
                <w:b/>
                <w:bCs/>
                <w:sz w:val="20"/>
                <w:szCs w:val="20"/>
              </w:rPr>
              <w:t xml:space="preserve">Pre-processing:</w:t>
            </w:r>
            <w:r>
              <w:rPr>
                <w:sz w:val="20"/>
                <w:szCs w:val="20"/>
              </w:rPr>
              <w:t xml:space="preserve"> calibration, orthomosaic, co-registration, crop-pixel mask, plot-mean extraction (Section 2.5)</w:t>
            </w:r>
          </w:p>
        </w:tc>
      </w:tr>
      <w:tr>
        <w:trPr>
          <w:cantSplit/>
        </w:trPr>
        <w:tc>
          <w:tcPr>
            <w:tcW w:type="dxa" w:w="8306"/>
            <w:tcBorders>
              <w:top w:val="none" w:color="FFFFFF" w:sz="0"/>
              <w:left w:val="none" w:color="FFFFFF" w:sz="0"/>
              <w:bottom w:val="none" w:color="FFFFFF" w:sz="0"/>
              <w:right w:val="none" w:color="FFFFFF" w:sz="0"/>
            </w:tcBorders>
          </w:tcPr>
          <w:p>
            <w:pPr>
              <w:spacing w:after="0"/>
              <w:jc w:val="center"/>
            </w:pPr>
            <w:r>
              <w:rPr>
                <w:b/>
                <w:bCs/>
                <w:sz w:val="24"/>
                <w:szCs w:val="24"/>
              </w:rPr>
              <w:t xml:space="preserve">↓</w:t>
            </w:r>
          </w:p>
        </w:tc>
      </w:tr>
      <w:tr>
        <w:trPr>
          <w:cantSplit/>
        </w:trPr>
        <w:tc>
          <w:tcPr>
            <w:tcW w:type="dxa" w:w="8306"/>
            <w:tcBorders>
              <w:top w:val="single" w:color="808080" w:sz="4"/>
              <w:left w:val="single" w:color="808080" w:sz="4"/>
              <w:bottom w:val="single" w:color="808080" w:sz="4"/>
              <w:right w:val="single" w:color="808080" w:sz="4"/>
            </w:tcBorders>
            <w:shd w:fill="FDF3DA" w:color="auto" w:val="clear"/>
            <w:tcMar>
              <w:top w:type="dxa" w:w="70"/>
              <w:left w:type="dxa" w:w="140"/>
              <w:bottom w:type="dxa" w:w="70"/>
              <w:right w:type="dxa" w:w="140"/>
            </w:tcMar>
          </w:tcPr>
          <w:p>
            <w:pPr>
              <w:spacing w:after="0"/>
              <w:jc w:val="center"/>
            </w:pPr>
            <w:r>
              <w:rPr>
                <w:b/>
                <w:bCs/>
                <w:sz w:val="20"/>
                <w:szCs w:val="20"/>
              </w:rPr>
              <w:t xml:space="preserve">Phase 1 — Characterise (all-relevant, per sensor):</w:t>
            </w:r>
            <w:r>
              <w:rPr>
                <w:sz w:val="20"/>
                <w:szCs w:val="20"/>
              </w:rPr>
              <w:t xml:space="preserve"> feature extraction → quality control → ANOVA/KW + FDR → JM separability → ReliefF, RF importance, Boruta → consensus DSFs (collinearity kept)</w:t>
            </w:r>
          </w:p>
        </w:tc>
      </w:tr>
      <w:tr>
        <w:trPr>
          <w:cantSplit/>
        </w:trPr>
        <w:tc>
          <w:tcPr>
            <w:tcW w:type="dxa" w:w="8306"/>
            <w:tcBorders>
              <w:top w:val="none" w:color="FFFFFF" w:sz="0"/>
              <w:left w:val="none" w:color="FFFFFF" w:sz="0"/>
              <w:bottom w:val="none" w:color="FFFFFF" w:sz="0"/>
              <w:right w:val="none" w:color="FFFFFF" w:sz="0"/>
            </w:tcBorders>
          </w:tcPr>
          <w:p>
            <w:pPr>
              <w:spacing w:after="0"/>
              <w:jc w:val="center"/>
            </w:pPr>
            <w:r>
              <w:rPr>
                <w:b/>
                <w:bCs/>
                <w:sz w:val="24"/>
                <w:szCs w:val="24"/>
              </w:rPr>
              <w:t xml:space="preserve">↓</w:t>
            </w:r>
          </w:p>
        </w:tc>
      </w:tr>
      <w:tr>
        <w:trPr>
          <w:cantSplit/>
        </w:trPr>
        <w:tc>
          <w:tcPr>
            <w:tcW w:type="dxa" w:w="8306"/>
            <w:tcBorders>
              <w:top w:val="single" w:color="808080" w:sz="4"/>
              <w:left w:val="single" w:color="808080" w:sz="4"/>
              <w:bottom w:val="single" w:color="808080" w:sz="4"/>
              <w:right w:val="single" w:color="808080" w:sz="4"/>
            </w:tcBorders>
            <w:shd w:fill="E3F0F1" w:color="auto" w:val="clear"/>
            <w:tcMar>
              <w:top w:type="dxa" w:w="70"/>
              <w:left w:type="dxa" w:w="140"/>
              <w:bottom w:type="dxa" w:w="70"/>
              <w:right w:type="dxa" w:w="140"/>
            </w:tcMar>
          </w:tcPr>
          <w:p>
            <w:pPr>
              <w:spacing w:after="0"/>
              <w:jc w:val="center"/>
            </w:pPr>
            <w:r>
              <w:rPr>
                <w:b/>
                <w:bCs/>
                <w:sz w:val="20"/>
                <w:szCs w:val="20"/>
              </w:rPr>
              <w:t xml:space="preserve">Phase 2 — Per-sensor OFC:</w:t>
            </w:r>
            <w:r>
              <w:rPr>
                <w:sz w:val="20"/>
                <w:szCs w:val="20"/>
              </w:rPr>
              <w:t xml:space="preserve"> VIF (SPA/CARS for raw HS) → normalise → SFFS per classifier → RF / SVM / KNN → single-sensor baseline</w:t>
            </w:r>
          </w:p>
        </w:tc>
      </w:tr>
      <w:tr>
        <w:trPr>
          <w:cantSplit/>
        </w:trPr>
        <w:tc>
          <w:tcPr>
            <w:tcW w:type="dxa" w:w="8306"/>
            <w:tcBorders>
              <w:top w:val="none" w:color="FFFFFF" w:sz="0"/>
              <w:left w:val="none" w:color="FFFFFF" w:sz="0"/>
              <w:bottom w:val="none" w:color="FFFFFF" w:sz="0"/>
              <w:right w:val="none" w:color="FFFFFF" w:sz="0"/>
            </w:tcBorders>
          </w:tcPr>
          <w:p>
            <w:pPr>
              <w:spacing w:after="0"/>
              <w:jc w:val="center"/>
            </w:pPr>
            <w:r>
              <w:rPr>
                <w:b/>
                <w:bCs/>
                <w:sz w:val="24"/>
                <w:szCs w:val="24"/>
              </w:rPr>
              <w:t xml:space="preserve">↓  (the same candidate DSFs feed Phases 2 and 3)  ↓</w:t>
            </w:r>
          </w:p>
        </w:tc>
      </w:tr>
      <w:tr>
        <w:trPr>
          <w:cantSplit/>
        </w:trPr>
        <w:tc>
          <w:tcPr>
            <w:tcW w:type="dxa" w:w="8306"/>
            <w:tcBorders>
              <w:top w:val="single" w:color="808080" w:sz="4"/>
              <w:left w:val="single" w:color="808080" w:sz="4"/>
              <w:bottom w:val="single" w:color="808080" w:sz="4"/>
              <w:right w:val="single" w:color="808080" w:sz="4"/>
            </w:tcBorders>
            <w:shd w:fill="F7E4D8" w:color="auto" w:val="clear"/>
            <w:tcMar>
              <w:top w:type="dxa" w:w="70"/>
              <w:left w:type="dxa" w:w="140"/>
              <w:bottom w:type="dxa" w:w="70"/>
              <w:right w:type="dxa" w:w="140"/>
            </w:tcMar>
          </w:tcPr>
          <w:p>
            <w:pPr>
              <w:spacing w:after="0"/>
              <w:jc w:val="center"/>
            </w:pPr>
            <w:r>
              <w:rPr>
                <w:b/>
                <w:bCs/>
                <w:sz w:val="20"/>
                <w:szCs w:val="20"/>
              </w:rPr>
              <w:t xml:space="preserve">Phase 3 — Feature-level fusion:</w:t>
            </w:r>
            <w:r>
              <w:rPr>
                <w:sz w:val="20"/>
                <w:szCs w:val="20"/>
              </w:rPr>
              <w:t xml:space="preserve"> concatenate DSFs of all sensors → pooled VIF → normalise → SFFS per classifier → RF / SVM / KNN + SHAP → fusion gain over Phase 2</w:t>
            </w:r>
          </w:p>
        </w:tc>
      </w:tr>
      <w:tr>
        <w:trPr>
          <w:cantSplit/>
        </w:trPr>
        <w:tc>
          <w:tcPr>
            <w:tcW w:type="dxa" w:w="8306"/>
            <w:tcBorders>
              <w:top w:val="none" w:color="FFFFFF" w:sz="0"/>
              <w:left w:val="none" w:color="FFFFFF" w:sz="0"/>
              <w:bottom w:val="none" w:color="FFFFFF" w:sz="0"/>
              <w:right w:val="none" w:color="FFFFFF" w:sz="0"/>
            </w:tcBorders>
          </w:tcPr>
          <w:p>
            <w:pPr>
              <w:spacing w:after="0"/>
              <w:jc w:val="center"/>
            </w:pPr>
            <w:r>
              <w:rPr>
                <w:b/>
                <w:bCs/>
                <w:sz w:val="24"/>
                <w:szCs w:val="24"/>
              </w:rPr>
              <w:t xml:space="preserve">↓</w:t>
            </w:r>
          </w:p>
        </w:tc>
      </w:tr>
      <w:tr>
        <w:trPr>
          <w:cantSplit/>
        </w:trPr>
        <w:tc>
          <w:tcPr>
            <w:tcW w:type="dxa" w:w="8306"/>
            <w:tcBorders>
              <w:top w:val="single" w:color="808080" w:sz="4"/>
              <w:left w:val="single" w:color="808080" w:sz="4"/>
              <w:bottom w:val="single" w:color="808080" w:sz="4"/>
              <w:right w:val="single" w:color="808080" w:sz="4"/>
            </w:tcBorders>
            <w:shd w:fill="E3ECF5" w:color="auto" w:val="clear"/>
            <w:tcMar>
              <w:top w:type="dxa" w:w="70"/>
              <w:left w:type="dxa" w:w="140"/>
              <w:bottom w:type="dxa" w:w="70"/>
              <w:right w:type="dxa" w:w="140"/>
            </w:tcMar>
          </w:tcPr>
          <w:p>
            <w:pPr>
              <w:spacing w:after="0"/>
              <w:jc w:val="center"/>
            </w:pPr>
            <w:r>
              <w:rPr>
                <w:b/>
                <w:bCs/>
                <w:sz w:val="20"/>
                <w:szCs w:val="20"/>
              </w:rPr>
              <w:t xml:space="preserve">Output:</w:t>
            </w:r>
            <w:r>
              <w:rPr>
                <w:sz w:val="20"/>
                <w:szCs w:val="20"/>
              </w:rPr>
              <w:t xml:space="preserve"> best fused model applied plot-wise → severity map (classes 0–5) → spray-decision map (skip / spray / too late)</w:t>
            </w:r>
          </w:p>
        </w:tc>
      </w:tr>
      <w:tr>
        <w:trPr>
          <w:cantSplit/>
        </w:trPr>
        <w:tc>
          <w:tcPr>
            <w:tcW w:type="dxa" w:w="8306"/>
            <w:tcBorders>
              <w:top w:val="none" w:color="FFFFFF" w:sz="0"/>
              <w:left w:val="none" w:color="FFFFFF" w:sz="0"/>
              <w:bottom w:val="none" w:color="FFFFFF" w:sz="0"/>
              <w:right w:val="none" w:color="FFFFFF" w:sz="0"/>
            </w:tcBorders>
          </w:tcPr>
          <w:p>
            <w:pPr>
              <w:spacing w:after="0"/>
              <w:jc w:val="center"/>
            </w:pPr>
            <w:r>
              <w:rPr>
                <w:b/>
                <w:bCs/>
                <w:sz w:val="24"/>
                <w:szCs w:val="24"/>
              </w:rPr>
              <w:t xml:space="preserve">↓</w:t>
            </w:r>
          </w:p>
        </w:tc>
      </w:tr>
      <w:tr>
        <w:trPr>
          <w:cantSplit/>
        </w:trPr>
        <w:tc>
          <w:tcPr>
            <w:tcW w:type="dxa" w:w="8306"/>
            <w:tcBorders>
              <w:top w:val="single" w:color="808080" w:sz="4"/>
              <w:left w:val="single" w:color="808080" w:sz="4"/>
              <w:bottom w:val="single" w:color="808080" w:sz="4"/>
              <w:right w:val="single" w:color="808080" w:sz="4"/>
            </w:tcBorders>
            <w:shd w:fill="FFFFFF" w:color="auto" w:val="clear"/>
            <w:tcMar>
              <w:top w:type="dxa" w:w="70"/>
              <w:left w:type="dxa" w:w="140"/>
              <w:bottom w:type="dxa" w:w="70"/>
              <w:right w:type="dxa" w:w="140"/>
            </w:tcMar>
          </w:tcPr>
          <w:p>
            <w:pPr>
              <w:spacing w:after="0"/>
              <w:jc w:val="center"/>
            </w:pPr>
            <w:r>
              <w:rPr>
                <w:b/>
                <w:bCs/>
                <w:sz w:val="20"/>
                <w:szCs w:val="20"/>
              </w:rPr>
              <w:t xml:space="preserve">External validation:</w:t>
            </w:r>
            <w:r>
              <w:rPr>
                <w:sz w:val="20"/>
                <w:szCs w:val="20"/>
              </w:rPr>
              <w:t xml:space="preserve"> Tier 1 IIRMR Bharatpur; Tier 2 farmers’ fields</w:t>
            </w:r>
          </w:p>
        </w:tc>
      </w:tr>
    </w:tbl>
    <w:p>
      <w:pPr>
        <w:spacing w:after="60"/>
      </w:pPr>
    </w:p>
    <w:p>
      <w:pPr>
        <w:pStyle w:val="Heading2"/>
      </w:pPr>
      <w:r>
        <w:t xml:space="preserve">1.3 All-relevant versus minimal-optimal selection</w:t>
      </w:r>
    </w:p>
    <w:p>
      <w:pPr>
        <w:spacing w:after="120" w:line="360"/>
        <w:jc w:val="both"/>
      </w:pPr>
      <w:r>
        <w:t xml:space="preserve">Feature selection can serve two different goals (Nilsson et al., 2007; Kursa &amp; Rudnicki, 2010). The </w:t>
      </w:r>
      <w:r>
        <w:rPr>
          <w:b/>
          <w:bCs/>
        </w:rPr>
        <w:t xml:space="preserve">all-relevant</w:t>
      </w:r>
      <w:r>
        <w:t xml:space="preserve"> problem asks for every feature that carries information about the disease. It is the right goal for characterisation, because each relevant feature is evidence about how the crop responds to infection. The </w:t>
      </w:r>
      <w:r>
        <w:rPr>
          <w:b/>
          <w:bCs/>
        </w:rPr>
        <w:t xml:space="preserve">minimal-optimal</w:t>
      </w:r>
      <w:r>
        <w:t xml:space="preserve"> problem asks for the smallest set of features that gives the best prediction. It is the right goal for building a classifier.</w:t>
      </w:r>
    </w:p>
    <w:p>
      <w:pPr>
        <w:spacing w:after="120" w:line="360"/>
        <w:jc w:val="both"/>
      </w:pPr>
      <w:r>
        <w:t xml:space="preserve">The two goals treat correlated features differently. NDVI, GNDVI and NDRE are strongly correlated because all three track chlorophyll loss. For characterisation, the fact that all three respond is itself the finding, so all are kept. For classification, the three carry nearly the same information; keeping all of them adds variance and destabilises the search, so redundancy is removed. This is why redundancy removal (VIF, SPA) appears only in Phases 2 and 3.</w:t>
      </w:r>
    </w:p>
    <w:p>
      <w:pPr>
        <w:pStyle w:val="Heading2"/>
      </w:pPr>
      <w:r>
        <w:t xml:space="preserve">1.4 Taxonomy of the selection methods used</w:t>
      </w:r>
    </w:p>
    <w:p>
      <w:pPr>
        <w:spacing w:after="120" w:line="360"/>
        <w:jc w:val="both"/>
      </w:pPr>
      <w:r>
        <w:t xml:space="preserve">Feature-selection methods are grouped into filter, wrapper and embedded methods (Guyon &amp; Elisseeff, 2003; Saeys et al., 2007). Filters score features with a statistic, independent of any classifier. Wrappers search for subsets using the accuracy of a classifier as the objective (Kohavi &amp; John, 1997). Embedded methods select features as part of model training. Independently of this, a method is </w:t>
      </w:r>
      <w:r>
        <w:rPr>
          <w:b/>
          <w:bCs/>
        </w:rPr>
        <w:t xml:space="preserve">supervised</w:t>
      </w:r>
      <w:r>
        <w:t xml:space="preserve"> if it uses the severity labels and </w:t>
      </w:r>
      <w:r>
        <w:rPr>
          <w:b/>
          <w:bCs/>
        </w:rPr>
        <w:t xml:space="preserve">unsupervised</w:t>
      </w:r>
      <w:r>
        <w:t xml:space="preserve"> if it uses only the feature values.</w:t>
      </w:r>
    </w:p>
    <w:p>
      <w:pPr>
        <w:keepNext/>
        <w:spacing w:after="80" w:before="160"/>
        <w:jc w:val="center"/>
      </w:pPr>
      <w:r>
        <w:rPr>
          <w:b/>
          <w:bCs/>
          <w:sz w:val="22"/>
          <w:szCs w:val="22"/>
        </w:rPr>
        <w:t xml:space="preserve">Table 1.2: Methods used in this study, by supervision and family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78"/>
        <w:gridCol w:w="748"/>
        <w:gridCol w:w="1163"/>
        <w:gridCol w:w="748"/>
        <w:gridCol w:w="2077"/>
        <w:gridCol w:w="1992"/>
      </w:tblGrid>
      <w:tr>
        <w:trPr>
          <w:cantSplit/>
          <w:tblHeader/>
        </w:trPr>
        <w:tc>
          <w:tcPr>
            <w:tcW w:type="dxa" w:w="1578"/>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Method</w:t>
            </w:r>
          </w:p>
        </w:tc>
        <w:tc>
          <w:tcPr>
            <w:tcW w:type="dxa" w:w="748"/>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Uses labels?</w:t>
            </w:r>
          </w:p>
        </w:tc>
        <w:tc>
          <w:tcPr>
            <w:tcW w:type="dxa" w:w="116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Family</w:t>
            </w:r>
          </w:p>
        </w:tc>
        <w:tc>
          <w:tcPr>
            <w:tcW w:type="dxa" w:w="748"/>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Phase</w:t>
            </w:r>
          </w:p>
        </w:tc>
        <w:tc>
          <w:tcPr>
            <w:tcW w:type="dxa" w:w="207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Main benefit</w:t>
            </w:r>
          </w:p>
        </w:tc>
        <w:tc>
          <w:tcPr>
            <w:tcW w:type="dxa" w:w="1992"/>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Main limitation</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Near-zero-variance / quality control</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Filter</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Removes uninformative or corrupt features; cannot leak label information</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Blind to disease relevance</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Correlation clustering</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Diagnostic</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Shows redundancy structure for interpretation</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Does not select</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ANOVA / Kruskal–Wallis + FDR</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Univariate filter</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Fast, statistically defensible, interpretable</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Ignores interactions and redundancy</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Jeffries–Matusita distance</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Separability filter</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Bounded (0–2) measure of class separation</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Assumes Gaussian classes</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ReliefF</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Multivariate filter</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Captures feature interactions; robust to noise; multi-class</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Does not remove redundancy</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RF permutation importance</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Embedded</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Non-linear, model-aware ranking</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Importance is shared among correlated features</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Boruta</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All-relevant wrapper</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Finds all features better than random “shadow” copies</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Computationally heavy</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VIF</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Redundancy filter</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2, 3</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Detects multicollinearity involving several features at once</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Needs n ≫ p; drops features blind to relevance unless guided</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SPA / CARS</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Partly / 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Wavelength selection</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 (raw HS)</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Works when p ≫ n (full spectra)</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Designed for ordered continuous spectra</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SFFS</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Wrapper (minimal-optimal)</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2, 3</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Works with any classifier; floating step escapes local optima</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Computationally expensive; overfits without nested CV</w:t>
            </w:r>
          </w:p>
        </w:tc>
      </w:tr>
      <w:tr>
        <w:trPr>
          <w:cantSplit/>
        </w:trPr>
        <w:tc>
          <w:tcPr>
            <w:tcW w:type="dxa" w:w="157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RFE</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Wrapper (model-based)</w:t>
            </w:r>
          </w:p>
        </w:tc>
        <w:tc>
          <w:tcPr>
            <w:tcW w:type="dxa" w:w="7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 3 (cross-check)</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Efficient backward elimination</w:t>
            </w:r>
          </w:p>
        </w:tc>
        <w:tc>
          <w:tcPr>
            <w:tcW w:type="dxa" w:w="19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Needs a model that ranks its own features (not KNN)</w:t>
            </w:r>
          </w:p>
        </w:tc>
      </w:tr>
    </w:tbl>
    <w:p>
      <w:pPr>
        <w:spacing w:after="60"/>
      </w:pPr>
    </w:p>
    <w:p>
      <w:pPr>
        <w:pStyle w:val="Heading2"/>
      </w:pPr>
      <w:r>
        <w:t xml:space="preserve">1.5 Principles that fix the order of the steps</w:t>
      </w:r>
    </w:p>
    <w:p>
      <w:pPr>
        <w:pStyle w:val="ListParagraph"/>
        <w:numPr>
          <w:ilvl w:val="0"/>
          <w:numId w:val="2"/>
        </w:numPr>
        <w:spacing w:after="60" w:line="312"/>
        <w:jc w:val="both"/>
      </w:pPr>
      <w:r>
        <w:rPr>
          <w:b/>
          <w:bCs/>
        </w:rPr>
        <w:t xml:space="preserve">Relevance before redundancy</w:t>
      </w:r>
      <w:r>
        <w:t xml:space="preserve"> (Yu &amp; Liu, 2004; Peng et al., 2005). If redundancy is removed first, VIF discards the feature with the highest VIF, which may be the most disease-relevant one. Relevance is therefore established in Phase 1, and redundancy is removed in Phase 2 using that relevance to decide which of two collinear features to keep.</w:t>
      </w:r>
    </w:p>
    <w:p>
      <w:pPr>
        <w:pStyle w:val="ListParagraph"/>
        <w:numPr>
          <w:ilvl w:val="0"/>
          <w:numId w:val="2"/>
        </w:numPr>
        <w:spacing w:after="60" w:line="312"/>
        <w:jc w:val="both"/>
      </w:pPr>
      <w:r>
        <w:rPr>
          <w:b/>
          <w:bCs/>
        </w:rPr>
        <w:t xml:space="preserve">Cheap and coarse before expensive and fine</w:t>
      </w:r>
      <w:r>
        <w:t xml:space="preserve"> (Kohavi &amp; John, 1997; Hsu et al., 2011). Filters shrink the search space so that the wrapper (SFFS) runs faster and overfits less; wrapper performance degrades when the starting space is large relative to the sample size (Jain &amp; Zongker, 1997).</w:t>
      </w:r>
    </w:p>
    <w:p>
      <w:pPr>
        <w:pStyle w:val="ListParagraph"/>
        <w:numPr>
          <w:ilvl w:val="0"/>
          <w:numId w:val="2"/>
        </w:numPr>
        <w:spacing w:after="60" w:line="312"/>
        <w:jc w:val="both"/>
      </w:pPr>
      <w:r>
        <w:rPr>
          <w:b/>
          <w:bCs/>
        </w:rPr>
        <w:t xml:space="preserve">Classifier-independent before classifier-dependent.</w:t>
      </w:r>
      <w:r>
        <w:t xml:space="preserve"> DSFs are identified without reference to any classifier, so they describe the biology rather than the quirks of one algorithm. Only then is each classifier allowed to choose its own subset.</w:t>
      </w:r>
    </w:p>
    <w:p>
      <w:pPr>
        <w:pStyle w:val="ListParagraph"/>
        <w:numPr>
          <w:ilvl w:val="0"/>
          <w:numId w:val="2"/>
        </w:numPr>
        <w:spacing w:after="60" w:line="312"/>
        <w:jc w:val="both"/>
      </w:pPr>
      <w:r>
        <w:rPr>
          <w:b/>
          <w:bCs/>
        </w:rPr>
        <w:t xml:space="preserve">No step that uses labels may see the test data</w:t>
      </w:r>
      <w:r>
        <w:t xml:space="preserve"> (Ambroise &amp; McLachlan, 2002; Varma &amp; Simon, 2006). Every supervised step runs inside the training folds of a nested, plot-grouped cross-validation (Chapter 6).</w:t>
      </w:r>
    </w:p>
    <w:p>
      <w:pPr>
        <w:pStyle w:val="Heading1"/>
        <w:pageBreakBefore/>
      </w:pPr>
      <w:r>
        <w:t xml:space="preserve">2. Experimental material and data acquisition</w:t>
      </w:r>
    </w:p>
    <w:p>
      <w:pPr>
        <w:pStyle w:val="Heading2"/>
      </w:pPr>
      <w:r>
        <w:t xml:space="preserve">2.1 Site, design and treatments</w:t>
      </w:r>
    </w:p>
    <w:p>
      <w:pPr>
        <w:spacing w:after="120" w:line="360"/>
        <w:jc w:val="both"/>
      </w:pPr>
      <w:r>
        <w:t xml:space="preserve">The field experiment is conducted at the IARI Research Farm, New Delhi (2025–26 and 2026–27), with model testing at the IIRMR Research Farm, Bharatpur and adjoining farmers’ fields. The design described in the ORW write-up is a factorial randomised block design with three factors (Table 2.1). Staggered sowing at 10-day intervals (22 November, 2 December, 12 December and 22 December 2025) with a single inoculation date (12 January 2026) produces four growth stages at inoculation.</w:t>
      </w:r>
    </w:p>
    <w:p>
      <w:pPr>
        <w:keepNext/>
        <w:spacing w:after="80" w:before="160"/>
        <w:jc w:val="center"/>
      </w:pPr>
      <w:r>
        <w:rPr>
          <w:b/>
          <w:bCs/>
          <w:sz w:val="22"/>
          <w:szCs w:val="22"/>
        </w:rPr>
        <w:t xml:space="preserve">Table 2.1: Treatment structure (as in the ORW write-up)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5814"/>
      </w:tblGrid>
      <w:tr>
        <w:trPr>
          <w:cantSplit/>
          <w:tblHeader/>
        </w:trPr>
        <w:tc>
          <w:tcPr>
            <w:tcW w:type="dxa" w:w="2492"/>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Factor</w:t>
            </w:r>
          </w:p>
        </w:tc>
        <w:tc>
          <w:tcPr>
            <w:tcW w:type="dxa" w:w="5814"/>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Levels</w:t>
            </w:r>
          </w:p>
        </w:tc>
      </w:tr>
      <w:tr>
        <w:trPr>
          <w:cantSplit/>
        </w:trPr>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Growth stage at inoculation (G)</w:t>
            </w:r>
          </w:p>
        </w:tc>
        <w:tc>
          <w:tcPr>
            <w:tcW w:type="dxa" w:w="58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G1: 50 DAS; G2: 40 DAS; G3: 30 DAS; G4: 20 DAS</w:t>
            </w:r>
          </w:p>
        </w:tc>
      </w:tr>
      <w:tr>
        <w:trPr>
          <w:cantSplit/>
        </w:trPr>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Variety (V)</w:t>
            </w:r>
          </w:p>
        </w:tc>
        <w:tc>
          <w:tcPr>
            <w:tcW w:type="dxa" w:w="58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V1: Varuna (highly susceptible); V2: Pusa Vijay (moderately susceptible); V3: PM 30 (moderately susceptible)</w:t>
            </w:r>
          </w:p>
        </w:tc>
      </w:tr>
      <w:tr>
        <w:trPr>
          <w:cantSplit/>
        </w:trPr>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Inoculation (D)</w:t>
            </w:r>
          </w:p>
        </w:tc>
        <w:tc>
          <w:tcPr>
            <w:tcW w:type="dxa" w:w="58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D1: uninoculated control; D2: zoosporangial suspension, 1.5 × 10⁵ zoosporangia mL⁻¹</w:t>
            </w:r>
          </w:p>
        </w:tc>
      </w:tr>
      <w:tr>
        <w:trPr>
          <w:cantSplit/>
        </w:trPr>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Treatments × replications</w:t>
            </w:r>
          </w:p>
        </w:tc>
        <w:tc>
          <w:tcPr>
            <w:tcW w:type="dxa" w:w="58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4 × 3 × 2 = 24 treatments × 3 replications = 72 plots (plot size 5 m × 2.4 m; field 48 m × 24 m)</w:t>
            </w:r>
          </w:p>
        </w:tc>
      </w:tr>
    </w:tbl>
    <w:p>
      <w:pPr>
        <w:spacing w:after="6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808080" w:sz="4"/>
              <w:bottom w:val="single" w:color="808080" w:sz="4"/>
              <w:right w:val="single" w:color="808080" w:sz="4"/>
            </w:tcBorders>
            <w:shd w:fill="FFF6DC" w:color="auto" w:val="clear"/>
            <w:tcMar>
              <w:top w:type="dxa" w:w="120"/>
              <w:left w:type="dxa" w:w="160"/>
              <w:bottom w:type="dxa" w:w="120"/>
              <w:right w:type="dxa" w:w="160"/>
            </w:tcMar>
          </w:tcPr>
          <w:p>
            <w:pPr>
              <w:spacing w:after="80"/>
            </w:pPr>
            <w:r>
              <w:rPr>
                <w:b/>
                <w:bCs/>
                <w:sz w:val="22"/>
                <w:szCs w:val="22"/>
              </w:rPr>
              <w:t xml:space="preserve">Check before writing the thesis</w:t>
            </w:r>
          </w:p>
          <w:p>
            <w:pPr>
              <w:spacing w:after="60" w:line="276"/>
              <w:jc w:val="both"/>
            </w:pPr>
            <w:r>
              <w:rPr>
                <w:sz w:val="21"/>
                <w:szCs w:val="21"/>
              </w:rPr>
              <w:t xml:space="preserve">The ORW presentation shows a 48-plot layout with different variety names, and the hackathon application states 48 plots. Section A.1 of the appendix lists the differences. This document follows the ORW write-up (72 plots); replace the numbers if the final design differs. The analysis steps do not change, only n.</w:t>
            </w:r>
          </w:p>
        </w:tc>
      </w:tr>
    </w:tbl>
    <w:p>
      <w:pPr>
        <w:spacing w:after="60"/>
      </w:pPr>
    </w:p>
    <w:p>
      <w:pPr>
        <w:pStyle w:val="Heading2"/>
      </w:pPr>
      <w:r>
        <w:t xml:space="preserve">2.2 Sensors and flight protocol</w:t>
      </w:r>
    </w:p>
    <w:p>
      <w:pPr>
        <w:keepNext/>
        <w:spacing w:after="80" w:before="160"/>
        <w:jc w:val="center"/>
      </w:pPr>
      <w:r>
        <w:rPr>
          <w:b/>
          <w:bCs/>
          <w:sz w:val="22"/>
          <w:szCs w:val="22"/>
        </w:rPr>
        <w:t xml:space="preserve">Table 2.2: Sensors (from the ORW write-up)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1827"/>
        <w:gridCol w:w="1246"/>
        <w:gridCol w:w="1163"/>
        <w:gridCol w:w="2243"/>
      </w:tblGrid>
      <w:tr>
        <w:trPr>
          <w:cantSplit/>
          <w:tblHeader/>
        </w:trPr>
        <w:tc>
          <w:tcPr>
            <w:tcW w:type="dxa" w:w="182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Sensor</w:t>
            </w:r>
          </w:p>
        </w:tc>
        <w:tc>
          <w:tcPr>
            <w:tcW w:type="dxa" w:w="182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Bands / range</w:t>
            </w:r>
          </w:p>
        </w:tc>
        <w:tc>
          <w:tcPr>
            <w:tcW w:type="dxa" w:w="124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Resolution</w:t>
            </w:r>
          </w:p>
        </w:tc>
        <w:tc>
          <w:tcPr>
            <w:tcW w:type="dxa" w:w="116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GSD at 30 m</w:t>
            </w:r>
          </w:p>
        </w:tc>
        <w:tc>
          <w:tcPr>
            <w:tcW w:type="dxa" w:w="224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Feature types derived</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RGB (DJI Phantom 4 Pro)</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 bands (R, G, B)</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5472 × 3648</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 0.8 cm</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GLCM texture (8 metrics × 3 bands)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Multispectral (MicaSense RedEdge-MX)</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 475, G 560, R 668, RE 717, NIR 840 nm</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1280 × 960</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 2 cm</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Band reflectance, broadband VIs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Hyperspectral (Headwall co-aligned VNIR–SWIR)</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491 bands; VNIR 400–1000 nm, SWIR 1000–2500 nm</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VNIR 640, SWIR 320 pixels</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 9.7 cm (VNIR), 36 cm (SWIR)</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Band reflectance, narrow-band VIs, derivatives, continuum-removed features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Thermal (FLIR Vue Pro R)</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7.5–13.5 µm</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640 × 480</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 2 cm</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CT, CTD, CTR, NRCT, thermal statistics and texture</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ASD FieldSpec 4 (ground)</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2151 bands, 350–2500 nm</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c>
          <w:tcPr>
            <w:tcW w:type="dxa" w:w="224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Reference spectra for validating UAV hyperspectral data</w:t>
            </w:r>
          </w:p>
        </w:tc>
      </w:tr>
    </w:tbl>
    <w:p>
      <w:pPr>
        <w:spacing w:after="60"/>
      </w:pPr>
    </w:p>
    <w:p>
      <w:pPr>
        <w:spacing w:after="120" w:line="360"/>
        <w:jc w:val="both"/>
      </w:pPr>
      <w:r>
        <w:rPr>
          <w:i/>
          <w:iCs/>
        </w:rPr>
        <w:t xml:space="preserve">Note: the RGB GSD in the ORW table (8.2 cm/px at 30 m) appears to be a typographical error; at 30 m the Phantom 4 Pro gives roughly 0.8 cm/px. Confirm from the flight-planning software.</w:t>
      </w:r>
    </w:p>
    <w:p>
      <w:pPr>
        <w:spacing w:after="120" w:line="360"/>
        <w:jc w:val="both"/>
      </w:pPr>
      <w:r>
        <w:t xml:space="preserve">Flights are made at 30 m above ground with 85 % front and 80 % side overlap, between 11:00 and 14:00 local time, under clear sky and low wind. UAV and handheld data are collected at 1, 3, 5, 9, 11 and 13 DAI, then every 5 days until maturity of the latest-sown stage (G4). This yields 432 plot-date observations in the pre-symptomatic phase and 1,296 in the post-symptomatic phase (72 plots × 18 dates). Only post-symptomatic data are used in this document.</w:t>
      </w:r>
    </w:p>
    <w:p>
      <w:pPr>
        <w:pStyle w:val="Heading2"/>
      </w:pPr>
      <w:r>
        <w:t xml:space="preserve">2.3 Ground truth: disease rating and Disease Index</w:t>
      </w:r>
    </w:p>
    <w:p>
      <w:pPr>
        <w:spacing w:after="120" w:line="360"/>
        <w:jc w:val="both"/>
      </w:pPr>
      <w:r>
        <w:t xml:space="preserve">At each sampling date, white rust severity is scored at the centre and four corners of each plot on all fully expanded leaves of uniformly grown plants, using the 0–6 scale in Table 2.3. The Disease Index of the plot is then computed (Liu et al., 2024):</w:t>
      </w:r>
    </w:p>
    <w:p>
      <w:pPr>
        <w:tabs>
          <w:tab w:val="center" w:pos="4153"/>
          <w:tab w:val="right" w:pos="8306"/>
        </w:tabs>
        <w:spacing w:after="120" w:before="80"/>
      </w:pPr>
      <w:r>
        <w:t xml:space="preserve">	</w:t>
      </w:r>
      <w:r>
        <w:rPr>
          <w:rFonts w:ascii="Cambria" w:cs="Cambria" w:eastAsia="Cambria" w:hAnsi="Cambria"/>
        </w:rPr>
        <w:t xml:space="preserve">DI (%) = [ Σ (x × f) ] / ( n × Σ f ) × 100</w:t>
      </w:r>
      <w:r>
        <w:t xml:space="preserve">	(Eq. 1)</w:t>
      </w:r>
    </w:p>
    <w:p>
      <w:pPr>
        <w:spacing w:after="120" w:line="360"/>
        <w:jc w:val="both"/>
      </w:pPr>
      <w:r>
        <w:t xml:space="preserve">where </w:t>
      </w:r>
      <w:r>
        <w:rPr>
          <w:i/>
          <w:iCs/>
        </w:rPr>
        <w:t xml:space="preserve">x</w:t>
      </w:r>
      <w:r>
        <w:t xml:space="preserve"> is the severity rating, </w:t>
      </w:r>
      <w:r>
        <w:rPr>
          <w:i/>
          <w:iCs/>
        </w:rPr>
        <w:t xml:space="preserve">f</w:t>
      </w:r>
      <w:r>
        <w:t xml:space="preserve"> is the number of leaves with rating </w:t>
      </w:r>
      <w:r>
        <w:rPr>
          <w:i/>
          <w:iCs/>
        </w:rPr>
        <w:t xml:space="preserve">x</w:t>
      </w:r>
      <w:r>
        <w:t xml:space="preserve">, and </w:t>
      </w:r>
      <w:r>
        <w:rPr>
          <w:i/>
          <w:iCs/>
        </w:rPr>
        <w:t xml:space="preserve">n</w:t>
      </w:r>
      <w:r>
        <w:t xml:space="preserve"> is the highest rating (6). After inflorescence initiation, staghead severity is also recorded (Ram &amp; Awasthi, 2018):</w:t>
      </w:r>
    </w:p>
    <w:p>
      <w:pPr>
        <w:tabs>
          <w:tab w:val="center" w:pos="4153"/>
          <w:tab w:val="right" w:pos="8306"/>
        </w:tabs>
        <w:spacing w:after="120" w:before="80"/>
      </w:pPr>
      <w:r>
        <w:t xml:space="preserve">	</w:t>
      </w:r>
      <w:r>
        <w:rPr>
          <w:rFonts w:ascii="Cambria" w:cs="Cambria" w:eastAsia="Cambria" w:hAnsi="Cambria"/>
        </w:rPr>
        <w:t xml:space="preserve">Staghead severity (%) = number of infected racemes / total racemes × 100</w:t>
      </w:r>
      <w:r>
        <w:t xml:space="preserve">	(Eq. 2)</w:t>
      </w:r>
    </w:p>
    <w:p>
      <w:pPr>
        <w:keepNext/>
        <w:spacing w:after="80" w:before="160"/>
        <w:jc w:val="center"/>
      </w:pPr>
      <w:r>
        <w:rPr>
          <w:b/>
          <w:bCs/>
          <w:sz w:val="22"/>
          <w:szCs w:val="22"/>
        </w:rPr>
        <w:t xml:space="preserve">Table 2.3: Leaf rating scale and Disease Index classes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1"/>
        <w:gridCol w:w="2326"/>
        <w:gridCol w:w="1495"/>
        <w:gridCol w:w="1993"/>
        <w:gridCol w:w="1661"/>
      </w:tblGrid>
      <w:tr>
        <w:trPr>
          <w:cantSplit/>
          <w:tblHeader/>
        </w:trPr>
        <w:tc>
          <w:tcPr>
            <w:tcW w:type="dxa" w:w="83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Rating</w:t>
            </w:r>
          </w:p>
        </w:tc>
        <w:tc>
          <w:tcPr>
            <w:tcW w:type="dxa" w:w="232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Leaf area covered by pustules (%)</w:t>
            </w:r>
          </w:p>
        </w:tc>
        <w:tc>
          <w:tcPr>
            <w:tcW w:type="dxa" w:w="1495"/>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DI range (%)</w:t>
            </w:r>
          </w:p>
        </w:tc>
        <w:tc>
          <w:tcPr>
            <w:tcW w:type="dxa" w:w="199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Severity class</w:t>
            </w:r>
          </w:p>
        </w:tc>
        <w:tc>
          <w:tcPr>
            <w:tcW w:type="dxa" w:w="166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Class label</w:t>
            </w:r>
          </w:p>
        </w:tc>
      </w:tr>
      <w:tr>
        <w:trPr>
          <w:cantSplit/>
        </w:trPr>
        <w:tc>
          <w:tcPr>
            <w:tcW w:type="dxa" w:w="8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0</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 symptoms</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0</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Healthy</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0</w:t>
            </w:r>
          </w:p>
        </w:tc>
      </w:tr>
      <w:tr>
        <w:trPr>
          <w:cantSplit/>
        </w:trPr>
        <w:tc>
          <w:tcPr>
            <w:tcW w:type="dxa" w:w="8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0–5</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1–5</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Very low</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w:t>
            </w:r>
          </w:p>
        </w:tc>
      </w:tr>
      <w:tr>
        <w:trPr>
          <w:cantSplit/>
        </w:trPr>
        <w:tc>
          <w:tcPr>
            <w:tcW w:type="dxa" w:w="8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5–10</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6–10</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Low</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w:t>
            </w:r>
          </w:p>
        </w:tc>
      </w:tr>
      <w:tr>
        <w:trPr>
          <w:cantSplit/>
        </w:trPr>
        <w:tc>
          <w:tcPr>
            <w:tcW w:type="dxa" w:w="8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10–20</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11–25</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Moderate</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w:t>
            </w:r>
          </w:p>
        </w:tc>
      </w:tr>
      <w:tr>
        <w:trPr>
          <w:cantSplit/>
        </w:trPr>
        <w:tc>
          <w:tcPr>
            <w:tcW w:type="dxa" w:w="8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4</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20–35</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26–50</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High</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4</w:t>
            </w:r>
          </w:p>
        </w:tc>
      </w:tr>
      <w:tr>
        <w:trPr>
          <w:cantSplit/>
        </w:trPr>
        <w:tc>
          <w:tcPr>
            <w:tcW w:type="dxa" w:w="8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5</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35–50</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&gt; 50</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Very high</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5</w:t>
            </w:r>
          </w:p>
        </w:tc>
      </w:tr>
      <w:tr>
        <w:trPr>
          <w:cantSplit/>
        </w:trPr>
        <w:tc>
          <w:tcPr>
            <w:tcW w:type="dxa" w:w="8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6</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&gt; 50</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p>
        </w:tc>
      </w:tr>
    </w:tbl>
    <w:p>
      <w:pPr>
        <w:spacing w:after="60"/>
      </w:pPr>
    </w:p>
    <w:p>
      <w:pPr>
        <w:spacing w:after="120" w:line="360"/>
        <w:jc w:val="both"/>
      </w:pPr>
      <w:r>
        <w:t xml:space="preserve">The class label (0–5) is the target of the classifiers; the continuous DI is the target of the regression models.</w:t>
      </w:r>
    </w:p>
    <w:p>
      <w:pPr>
        <w:pStyle w:val="Heading2"/>
      </w:pPr>
      <w:r>
        <w:t xml:space="preserve">2.4 Image pre-processing</w:t>
      </w:r>
    </w:p>
    <w:p>
      <w:pPr>
        <w:pStyle w:val="ListParagraph"/>
        <w:numPr>
          <w:ilvl w:val="0"/>
          <w:numId w:val="3"/>
        </w:numPr>
        <w:spacing w:after="60" w:line="312"/>
        <w:jc w:val="both"/>
      </w:pPr>
      <w:r>
        <w:rPr>
          <w:b/>
          <w:bCs/>
        </w:rPr>
        <w:t xml:space="preserve">Radiometric calibration.</w:t>
      </w:r>
      <w:r>
        <w:t xml:space="preserve"> Convert multispectral and hyperspectral digital numbers to reflectance using the calibration panel images captured before and after each flight; convert thermal data to temperature in FLIR Tools.</w:t>
      </w:r>
    </w:p>
    <w:p>
      <w:pPr>
        <w:pStyle w:val="ListParagraph"/>
        <w:numPr>
          <w:ilvl w:val="0"/>
          <w:numId w:val="3"/>
        </w:numPr>
        <w:spacing w:after="60" w:line="312"/>
        <w:jc w:val="both"/>
      </w:pPr>
      <w:r>
        <w:rPr>
          <w:b/>
          <w:bCs/>
        </w:rPr>
        <w:t xml:space="preserve">Orthomosaic generation and geometric correction</w:t>
      </w:r>
      <w:r>
        <w:t xml:space="preserve"> for each sensor and date; perform band alignment for the hyperspectral cube.</w:t>
      </w:r>
    </w:p>
    <w:p>
      <w:pPr>
        <w:pStyle w:val="ListParagraph"/>
        <w:numPr>
          <w:ilvl w:val="0"/>
          <w:numId w:val="3"/>
        </w:numPr>
        <w:spacing w:after="60" w:line="312"/>
        <w:jc w:val="both"/>
      </w:pPr>
      <w:r>
        <w:rPr>
          <w:b/>
          <w:bCs/>
        </w:rPr>
        <w:t xml:space="preserve">Co-registration and resampling.</w:t>
      </w:r>
      <w:r>
        <w:t xml:space="preserve"> Register all sensors to a common grid; resample to a common spatial resolution using nearest-neighbour resampling so that original values are preserved (Guo et al., 2021).</w:t>
      </w:r>
    </w:p>
    <w:p>
      <w:pPr>
        <w:pStyle w:val="ListParagraph"/>
        <w:numPr>
          <w:ilvl w:val="0"/>
          <w:numId w:val="3"/>
        </w:numPr>
        <w:spacing w:after="60" w:line="312"/>
        <w:jc w:val="both"/>
      </w:pPr>
      <w:r>
        <w:rPr>
          <w:b/>
          <w:bCs/>
        </w:rPr>
        <w:t xml:space="preserve">Crop-pixel masking.</w:t>
      </w:r>
      <w:r>
        <w:t xml:space="preserve"> Remove soil and shadow with an NDVI threshold (Rouse et al., 1974) and/or K-means clustering (Feng et al., 2022). For thermal data this step matters most, because soil is much warmer than canopy.</w:t>
      </w:r>
    </w:p>
    <w:p>
      <w:pPr>
        <w:pStyle w:val="ListParagraph"/>
        <w:numPr>
          <w:ilvl w:val="0"/>
          <w:numId w:val="3"/>
        </w:numPr>
        <w:spacing w:after="60" w:line="312"/>
        <w:jc w:val="both"/>
      </w:pPr>
      <w:r>
        <w:rPr>
          <w:b/>
          <w:bCs/>
        </w:rPr>
        <w:t xml:space="preserve">Plot extraction.</w:t>
      </w:r>
      <w:r>
        <w:t xml:space="preserve"> Digitise one polygon per plot (inset from the plot edge to avoid border effects) and extract the mean of crop pixels for every band, index and texture layer.</w:t>
      </w:r>
    </w:p>
    <w:p>
      <w:pPr>
        <w:pStyle w:val="ListParagraph"/>
        <w:numPr>
          <w:ilvl w:val="0"/>
          <w:numId w:val="3"/>
        </w:numPr>
        <w:spacing w:after="60" w:line="312"/>
        <w:jc w:val="both"/>
      </w:pPr>
      <w:r>
        <w:rPr>
          <w:b/>
          <w:bCs/>
        </w:rPr>
        <w:t xml:space="preserve">Hyperspectral cleaning.</w:t>
      </w:r>
      <w:r>
        <w:t xml:space="preserve"> Remove water-absorption and noisy bands (around 1350–1450 nm and 1800–1950 nm and the noisy detector edges) and smooth spectra with a Savitzky–Golay filter (Savitzky &amp; Golay, 1964).</w:t>
      </w:r>
    </w:p>
    <w:p>
      <w:pPr>
        <w:pStyle w:val="Heading2"/>
      </w:pPr>
      <w:r>
        <w:t xml:space="preserve">2.5 Unit of analysis, p and n</w:t>
      </w:r>
    </w:p>
    <w:p>
      <w:pPr>
        <w:spacing w:after="120" w:line="360"/>
        <w:jc w:val="both"/>
      </w:pPr>
      <w:r>
        <w:t xml:space="preserve">The observation (row of the data table) is </w:t>
      </w:r>
      <w:r>
        <w:rPr>
          <w:b/>
          <w:bCs/>
        </w:rPr>
        <w:t xml:space="preserve">one plot on one date</w:t>
      </w:r>
      <w:r>
        <w:t xml:space="preserve">. The independent experimental unit is the </w:t>
      </w:r>
      <w:r>
        <w:rPr>
          <w:b/>
          <w:bCs/>
        </w:rPr>
        <w:t xml:space="preserve">plot</w:t>
      </w:r>
      <w:r>
        <w:t xml:space="preserve">: repeated dates on the same plot are not independent. Two quantities recur throughout the document:</w:t>
      </w:r>
    </w:p>
    <w:p>
      <w:pPr>
        <w:pStyle w:val="ListParagraph"/>
        <w:numPr>
          <w:ilvl w:val="0"/>
          <w:numId w:val="4"/>
        </w:numPr>
        <w:spacing w:after="60" w:line="312"/>
        <w:jc w:val="both"/>
      </w:pPr>
      <w:r>
        <w:rPr>
          <w:b/>
          <w:bCs/>
        </w:rPr>
        <w:t xml:space="preserve">p</w:t>
      </w:r>
      <w:r>
        <w:t xml:space="preserve"> = the number of features (columns) entering a step: for example, 491 raw hyperspectral bands, or about 30–40 pooled DSFs in Phase 3.</w:t>
      </w:r>
    </w:p>
    <w:p>
      <w:pPr>
        <w:pStyle w:val="ListParagraph"/>
        <w:numPr>
          <w:ilvl w:val="0"/>
          <w:numId w:val="4"/>
        </w:numPr>
        <w:spacing w:after="60" w:line="312"/>
        <w:jc w:val="both"/>
      </w:pPr>
      <w:r>
        <w:rPr>
          <w:b/>
          <w:bCs/>
        </w:rPr>
        <w:t xml:space="preserve">n</w:t>
      </w:r>
      <w:r>
        <w:t xml:space="preserve"> = the number of observations (rows): 72 plots per date, or 1,296 plot-date observations when all post-symptomatic dates are pooled.</w:t>
      </w:r>
    </w:p>
    <w:p>
      <w:pPr>
        <w:spacing w:after="120" w:line="360"/>
        <w:jc w:val="both"/>
      </w:pPr>
      <w:r>
        <w:t xml:space="preserve">Because dates on the same plot are correlated, the effective sample size for model validation is governed by the 72 plots. Cross-validation folds are therefore formed by </w:t>
      </w:r>
      <w:r>
        <w:rPr>
          <w:b/>
          <w:bCs/>
        </w:rPr>
        <w:t xml:space="preserve">plot</w:t>
      </w:r>
      <w:r>
        <w:t xml:space="preserve">, never by date or by pixel (Roberts et al., 2017). Pixels are not samples: all pixels in a plot share one DI.</w:t>
      </w:r>
    </w:p>
    <w:p>
      <w:pPr>
        <w:pStyle w:val="Heading1"/>
        <w:pageBreakBefore/>
      </w:pPr>
      <w:r>
        <w:t xml:space="preserve">3. Phase 1: Characterisation of disease-specific features (Objective 1)</w:t>
      </w:r>
    </w:p>
    <w:p>
      <w:pPr>
        <w:pStyle w:val="Heading2"/>
      </w:pPr>
      <w:r>
        <w:t xml:space="preserve">3.1 Aim and output</w:t>
      </w:r>
    </w:p>
    <w:p>
      <w:pPr>
        <w:spacing w:after="120" w:line="360"/>
        <w:jc w:val="both"/>
      </w:pPr>
      <w:r>
        <w:rPr>
          <w:b/>
          <w:bCs/>
        </w:rPr>
        <w:t xml:space="preserve">Aim:</w:t>
      </w:r>
      <w:r>
        <w:t xml:space="preserve"> to identify, separately for each sensor, every feature that responds significantly and consistently to white rust (the all-relevant problem). </w:t>
      </w:r>
      <w:r>
        <w:rPr>
          <w:b/>
          <w:bCs/>
        </w:rPr>
        <w:t xml:space="preserve">Output:</w:t>
      </w:r>
      <w:r>
        <w:t xml:space="preserve"> a list of candidate DSFs per sensor, with their statistics, separability and rankings, and their physiological interpretation. Phase 1 is classifier-independent and does not remove collinear features.</w:t>
      </w:r>
    </w:p>
    <w:p>
      <w:pPr>
        <w:keepNext/>
        <w:spacing w:after="80" w:before="160"/>
        <w:jc w:val="center"/>
      </w:pPr>
      <w:r>
        <w:rPr>
          <w:b/>
          <w:bCs/>
          <w:sz w:val="22"/>
          <w:szCs w:val="22"/>
        </w:rPr>
        <w:t xml:space="preserve">Table 3.1: Steps of Phase 1</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64"/>
        <w:gridCol w:w="4153"/>
        <w:gridCol w:w="997"/>
        <w:gridCol w:w="2492"/>
      </w:tblGrid>
      <w:tr>
        <w:trPr>
          <w:cantSplit/>
          <w:tblHeader/>
        </w:trPr>
        <w:tc>
          <w:tcPr>
            <w:tcW w:type="dxa" w:w="664"/>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Step</w:t>
            </w:r>
          </w:p>
        </w:tc>
        <w:tc>
          <w:tcPr>
            <w:tcW w:type="dxa" w:w="415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Action</w:t>
            </w:r>
          </w:p>
        </w:tc>
        <w:tc>
          <w:tcPr>
            <w:tcW w:type="dxa" w:w="99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Uses labels?</w:t>
            </w:r>
          </w:p>
        </w:tc>
        <w:tc>
          <w:tcPr>
            <w:tcW w:type="dxa" w:w="2492"/>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Key references</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1.1</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Extract features from each sensor</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Haralick et al. (1973); ORW feature list</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1.2</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Quality control: near-zero variance, saturated, missing and outlying values</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Kuhn &amp; Johnson (2013)</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1.3</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Univariate statistical screening with FDR correction</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Abdulridha et al. (2023); Benjamini &amp; Hochberg (1995)</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1.4</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Class separability: JM distance and separability scalogram</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Cheng et al. (2010); Wang et al. (2019)</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1.5</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Multivariate relevance: ReliefF</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Kononenko (1994); Mahlein et al. (2013)</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1.6</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Embedded and all-relevant ranking: RF permutation importance and Boruta</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Breiman (2001); Kursa &amp; Rudnicki (2010)</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1.7</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Consensus and stability rule → candidate DSFs</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Meinshausen &amp; Bühlmann (2010)</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1.8</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Physiological interpretation and correlation clustering (nothing removed)</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Partly</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Dormann et al. (2013)</w:t>
            </w:r>
          </w:p>
        </w:tc>
      </w:tr>
    </w:tbl>
    <w:p>
      <w:pPr>
        <w:spacing w:after="60"/>
      </w:pPr>
    </w:p>
    <w:p>
      <w:pPr>
        <w:pStyle w:val="Heading2"/>
      </w:pPr>
      <w:r>
        <w:t xml:space="preserve">3.2 Step 1.1: Feature extraction</w:t>
      </w:r>
    </w:p>
    <w:p>
      <w:pPr>
        <w:pStyle w:val="Heading3"/>
      </w:pPr>
      <w:r>
        <w:t xml:space="preserve">3.2.1 RGB: GLCM texture</w:t>
      </w:r>
    </w:p>
    <w:p>
      <w:pPr>
        <w:spacing w:after="120" w:line="360"/>
        <w:jc w:val="both"/>
      </w:pPr>
      <w:r>
        <w:t xml:space="preserve">White rust produces white pustules, chlorotic patches and, later, distorted (staghead) inflorescences, which change canopy texture. Each RGB band is quantised to grey levels, and a GLCM is computed in a 3 × 3 moving window in four directions (0°, 45°, 90° and 135°). The eight Haralick metrics in Table 3.2 are averaged over the four directions to remove directional bias (Haralick et al., 1973), giving 8 metrics × 3 bands = 24 texture features. In Table 3.2, P(i, j) is the normalised co-occurrence probability of grey levels </w:t>
      </w:r>
      <w:r>
        <w:rPr>
          <w:i/>
          <w:iCs/>
        </w:rPr>
        <w:t xml:space="preserve">i</w:t>
      </w:r>
      <w:r>
        <w:t xml:space="preserve"> and </w:t>
      </w:r>
      <w:r>
        <w:rPr>
          <w:i/>
          <w:iCs/>
        </w:rPr>
        <w:t xml:space="preserve">j</w:t>
      </w:r>
      <w:r>
        <w:t xml:space="preserve">, μ is the GLCM mean and σ the GLCM standard deviation.</w:t>
      </w:r>
    </w:p>
    <w:p>
      <w:pPr>
        <w:keepNext/>
        <w:spacing w:after="80" w:before="160"/>
        <w:jc w:val="center"/>
      </w:pPr>
      <w:r>
        <w:rPr>
          <w:b/>
          <w:bCs/>
          <w:sz w:val="22"/>
          <w:szCs w:val="22"/>
        </w:rPr>
        <w:t xml:space="preserve">Table 3.2: GLCM texture metrics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3738"/>
        <w:gridCol w:w="2907"/>
      </w:tblGrid>
      <w:tr>
        <w:trPr>
          <w:cantSplit/>
          <w:tblHeader/>
        </w:trPr>
        <w:tc>
          <w:tcPr>
            <w:tcW w:type="dxa" w:w="166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Metric</w:t>
            </w:r>
          </w:p>
        </w:tc>
        <w:tc>
          <w:tcPr>
            <w:tcW w:type="dxa" w:w="3738"/>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Formula</w:t>
            </w:r>
          </w:p>
        </w:tc>
        <w:tc>
          <w:tcPr>
            <w:tcW w:type="dxa" w:w="290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Interpretation</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Mean</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μ = Σᵢ Σⱼ i · P(i, j)</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Average grey level</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Variance</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Σᵢ Σⱼ (i − μ)² · P(i, j)</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Spread of grey levels</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Homogeneity</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Σᵢ Σⱼ P(i, j) / [1 + (i − j)²]</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Local uniformity; falls as pustules appear</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Contrast</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Σᵢ Σⱼ (i − j)² · P(i, j)</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Local intensity variation</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Dissimilarity</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Σᵢ Σⱼ |i − j| · P(i, j)</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Linear version of contrast</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Entropy</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 Σᵢ Σⱼ P(i, j) · ln P(i, j)</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Disorder of the texture</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Second moment (ASM)</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Σᵢ Σⱼ P(i, j)²</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Orderliness / energy</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Correlation</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Σᵢ Σⱼ (i − μᵢ)(j − μⱼ) P(i, j) / (σᵢ σⱼ)</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Linear dependency of neighbouring grey levels</w:t>
            </w:r>
          </w:p>
        </w:tc>
      </w:tr>
    </w:tbl>
    <w:p>
      <w:pPr>
        <w:spacing w:after="60"/>
      </w:pPr>
    </w:p>
    <w:p>
      <w:pPr>
        <w:pStyle w:val="Heading3"/>
      </w:pPr>
      <w:r>
        <w:t xml:space="preserve">3.2.2 Multispectral: band reflectance and broadband VIs</w:t>
      </w:r>
    </w:p>
    <w:p>
      <w:pPr>
        <w:spacing w:after="120" w:line="360"/>
        <w:jc w:val="both"/>
      </w:pPr>
      <w:r>
        <w:t xml:space="preserve">The five band reflectances and the indices in Table 3.3 are computed per plot. They target chlorophyll, leaf area, biomass and senescence (Liu et al., 2024). Where an index was defined for narrow bands, the nearest MicaSense band is used, and this approximation must be stated in the thesis.</w:t>
      </w:r>
    </w:p>
    <w:p>
      <w:pPr>
        <w:keepNext/>
        <w:spacing w:after="80" w:before="160"/>
        <w:jc w:val="center"/>
      </w:pPr>
      <w:r>
        <w:rPr>
          <w:b/>
          <w:bCs/>
          <w:sz w:val="22"/>
          <w:szCs w:val="22"/>
        </w:rPr>
        <w:t xml:space="preserve">Table 3.3: Multispectral vegetation indices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80"/>
        <w:gridCol w:w="3073"/>
        <w:gridCol w:w="2077"/>
        <w:gridCol w:w="2076"/>
      </w:tblGrid>
      <w:tr>
        <w:trPr>
          <w:cantSplit/>
          <w:tblHeader/>
        </w:trPr>
        <w:tc>
          <w:tcPr>
            <w:tcW w:type="dxa" w:w="1080"/>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Index</w:t>
            </w:r>
          </w:p>
        </w:tc>
        <w:tc>
          <w:tcPr>
            <w:tcW w:type="dxa" w:w="307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Formula (MicaSense bands)</w:t>
            </w:r>
          </w:p>
        </w:tc>
        <w:tc>
          <w:tcPr>
            <w:tcW w:type="dxa" w:w="207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Targets</w:t>
            </w:r>
          </w:p>
        </w:tc>
        <w:tc>
          <w:tcPr>
            <w:tcW w:type="dxa" w:w="207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Reference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NDVI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R) / (NIR + R)</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Green biomass</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Rouse et al. (1974)</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GNDVI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G) / (NIR + G)</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Chlorophyll</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Gitelson et al. (1996)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NDRE</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RE) / (NIR + RE)</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Chlorophyll (red edge)</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Gitelson &amp; Merzlyak (1994)</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CIre</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RE − 1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Canopy chlorophyll, LAI</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Gitelson et al. (2003)</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CIg</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G − 1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Canopy chlorophyll, LAI</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Gitelson et al. (2003)</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MTCI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RE) / (RE − R)</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Chlorophyll</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Dash &amp; Curran (2004)</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TCARI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3[(RE − R) − 0.2(RE − G)(RE / R)]</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Chlorophyll (soil-resistant)</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Haboudane et al. (2002)</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SAVI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1.5 (NIR − R) / (NIR + R + 0.5)</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Biomass, soil-adjusted</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Huete (1988)</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OSAVI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R) / (NIR + R + 0.16)</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Biomass, soil-adjusted</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Rondeaux et al. (1996)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MSR</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R − 1) / (√(NIR / R) + 1)</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Biomass, LAI</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Chen (1996)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SR (RVI)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NIR / R</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Biomass, LAI</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Jordan (1969)</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PSRI</w:t>
            </w:r>
          </w:p>
        </w:tc>
        <w:tc>
          <w:tcPr>
            <w:tcW w:type="dxa" w:w="30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 − B) / NIR</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Senescence, carotenoid/chlorophyll ratio</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Merzlyak et al. (1999)</w:t>
            </w:r>
          </w:p>
        </w:tc>
      </w:tr>
    </w:tbl>
    <w:p>
      <w:pPr>
        <w:spacing w:after="60"/>
      </w:pPr>
    </w:p>
    <w:p>
      <w:pPr>
        <w:pStyle w:val="Heading3"/>
      </w:pPr>
      <w:r>
        <w:t xml:space="preserve">3.2.3 Hyperspectral: reflectance, derivatives, continuum removal and narrow-band VIs</w:t>
      </w:r>
    </w:p>
    <w:p>
      <w:pPr>
        <w:spacing w:after="120" w:line="360"/>
        <w:jc w:val="both"/>
      </w:pPr>
      <w:r>
        <w:t xml:space="preserve">Four feature sets are extracted from the cleaned, smoothed spectra (Zhang et al., 2012): (i) reflectance of every retained band; (ii) first-derivative features: the amplitude and position of the maximum first derivative in the blue edge (490–530 nm), yellow edge (550–582 nm) and red edge (680–760 nm), and the sum of first derivatives within each edge; (iii) continuum-removed absorption depth, width and area around the chlorophyll absorption at about 670 nm and the water absorptions near 970 and 1200 nm (Clark &amp; Roush, 1984); and (iv) the narrow-band indices in Table 3.4.</w:t>
      </w:r>
    </w:p>
    <w:p>
      <w:pPr>
        <w:keepNext/>
        <w:spacing w:after="80" w:before="160"/>
        <w:jc w:val="center"/>
      </w:pPr>
      <w:r>
        <w:rPr>
          <w:b/>
          <w:bCs/>
          <w:sz w:val="22"/>
          <w:szCs w:val="22"/>
        </w:rPr>
        <w:t xml:space="preserve">Table 3.4: Examples of narrow-band hyperspectral indices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46"/>
        <w:gridCol w:w="3322"/>
        <w:gridCol w:w="2077"/>
        <w:gridCol w:w="1661"/>
      </w:tblGrid>
      <w:tr>
        <w:trPr>
          <w:cantSplit/>
          <w:tblHeader/>
        </w:trPr>
        <w:tc>
          <w:tcPr>
            <w:tcW w:type="dxa" w:w="124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Index</w:t>
            </w:r>
          </w:p>
        </w:tc>
        <w:tc>
          <w:tcPr>
            <w:tcW w:type="dxa" w:w="3322"/>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Formula</w:t>
            </w:r>
          </w:p>
        </w:tc>
        <w:tc>
          <w:tcPr>
            <w:tcW w:type="dxa" w:w="207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Targets</w:t>
            </w:r>
          </w:p>
        </w:tc>
        <w:tc>
          <w:tcPr>
            <w:tcW w:type="dxa" w:w="166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Reference</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PRI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(R531 − R570) / (R531 + R570)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Photosynthetic efficiency, xanthophyll cycle</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Gamon et al. (1992)</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MCARI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[(R700 − R670) − 0.2(R700 − R550)] (R700 / R670)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Chlorophyll</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Daughtry et al. (2000)</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TCARI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3[(R700 − R670) − 0.2(R700 − R550)(R700 / R670)]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Chlorophyll</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Haboudane et al. (2002)</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PSRI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(R680 − R500) / R750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Senescence</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Merzlyak et al. (1999)</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SIPI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(R800 − R445) / (R800 − R680)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Carotenoid/chlorophyll ratio</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Peñuelas et al. (1995)</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ARI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1/R550 − 1/R700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Anthocyanins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Gitelson et al. (2001)</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NDWI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(R860 − R1240) / (R860 + R1240)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Canopy water</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Gao (1996)</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WI</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R900 / R970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Canopy water</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Peñuelas et al. (1997)</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REP</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700 + 40 [ (R670 + R780)/2 − R700 ] / (R740 − R700)</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Red-edge position (chlorophyll)</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Guyot &amp; Baret (1988)</w:t>
            </w:r>
          </w:p>
        </w:tc>
      </w:tr>
      <w:tr>
        <w:trPr>
          <w:cantSplit/>
        </w:trPr>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HI (Healthy Index)</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(R534 − R698) / (R534 + R698) − 0.5 R704</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Disease-specific index (sugar beet)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Mahlein et al. (2013)</w:t>
            </w:r>
          </w:p>
        </w:tc>
      </w:tr>
    </w:tbl>
    <w:p>
      <w:pPr>
        <w:spacing w:after="60"/>
      </w:pPr>
    </w:p>
    <w:p>
      <w:pPr>
        <w:pStyle w:val="Heading3"/>
      </w:pPr>
      <w:r>
        <w:t xml:space="preserve">3.2.4 Thermal: canopy temperature parameters</w:t>
      </w:r>
    </w:p>
    <w:p>
      <w:pPr>
        <w:spacing w:after="120" w:line="360"/>
        <w:jc w:val="both"/>
      </w:pPr>
      <w:r>
        <w:t xml:space="preserve">Infection disturbs stomatal regulation and transpiration, which changes canopy temperature. Canopy temperature (CTᵢ) is taken from crop pixels only. Because CT varies with air temperature on the day of flight, three normalised parameters are computed (Feng et al., 2022; Elsayed et al., 2017):</w:t>
      </w:r>
    </w:p>
    <w:p>
      <w:pPr>
        <w:tabs>
          <w:tab w:val="center" w:pos="4153"/>
          <w:tab w:val="right" w:pos="8306"/>
        </w:tabs>
        <w:spacing w:after="120" w:before="80"/>
      </w:pPr>
      <w:r>
        <w:t xml:space="preserve">	</w:t>
      </w:r>
      <w:r>
        <w:rPr>
          <w:rFonts w:ascii="Cambria" w:cs="Cambria" w:eastAsia="Cambria" w:hAnsi="Cambria"/>
        </w:rPr>
        <w:t xml:space="preserve">CTD = CTᵢ − AT</w:t>
      </w:r>
      <w:r>
        <w:t xml:space="preserve">	(Eq. 3)</w:t>
      </w:r>
    </w:p>
    <w:p>
      <w:pPr>
        <w:tabs>
          <w:tab w:val="center" w:pos="4153"/>
          <w:tab w:val="right" w:pos="8306"/>
        </w:tabs>
        <w:spacing w:after="120" w:before="80"/>
      </w:pPr>
      <w:r>
        <w:t xml:space="preserve">	</w:t>
      </w:r>
      <w:r>
        <w:rPr>
          <w:rFonts w:ascii="Cambria" w:cs="Cambria" w:eastAsia="Cambria" w:hAnsi="Cambria"/>
        </w:rPr>
        <w:t xml:space="preserve">CTR = CTᵢ / AT</w:t>
      </w:r>
      <w:r>
        <w:t xml:space="preserve">	(Eq. 4)</w:t>
      </w:r>
    </w:p>
    <w:p>
      <w:pPr>
        <w:tabs>
          <w:tab w:val="center" w:pos="4153"/>
          <w:tab w:val="right" w:pos="8306"/>
        </w:tabs>
        <w:spacing w:after="120" w:before="80"/>
      </w:pPr>
      <w:r>
        <w:t xml:space="preserve">	</w:t>
      </w:r>
      <w:r>
        <w:rPr>
          <w:rFonts w:ascii="Cambria" w:cs="Cambria" w:eastAsia="Cambria" w:hAnsi="Cambria"/>
        </w:rPr>
        <w:t xml:space="preserve">NRCT = (CTᵢ − CTmin) / (CTmax − CTmin)</w:t>
      </w:r>
      <w:r>
        <w:t xml:space="preserve">	(Eq. 5)</w:t>
      </w:r>
    </w:p>
    <w:p>
      <w:pPr>
        <w:spacing w:after="120" w:line="360"/>
        <w:jc w:val="both"/>
      </w:pPr>
      <w:r>
        <w:t xml:space="preserve">where AT is the air temperature at the time of the flight, CTᵢ is the canopy temperature of the plot, and CTmin and CTmax are the minimum and maximum canopy temperatures in the experimental field on that date. Plot-level statistics (mean, standard deviation, 10th and 90th percentiles) and the eight GLCM metrics of the thermal image are also extracted.</w:t>
      </w:r>
    </w:p>
    <w:p>
      <w:pPr>
        <w:pStyle w:val="Heading3"/>
      </w:pPr>
      <w:r>
        <w:t xml:space="preserve">3.2.5 Feature inventory</w:t>
      </w:r>
    </w:p>
    <w:p>
      <w:pPr>
        <w:keepNext/>
        <w:spacing w:after="80" w:before="160"/>
        <w:jc w:val="center"/>
      </w:pPr>
      <w:r>
        <w:rPr>
          <w:b/>
          <w:bCs/>
          <w:sz w:val="22"/>
          <w:szCs w:val="22"/>
        </w:rPr>
        <w:t xml:space="preserve">Table 3.5: Approximate number of candidate features per sensor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5150"/>
        <w:gridCol w:w="1661"/>
      </w:tblGrid>
      <w:tr>
        <w:trPr>
          <w:cantSplit/>
          <w:tblHeader/>
        </w:trPr>
        <w:tc>
          <w:tcPr>
            <w:tcW w:type="dxa" w:w="1495"/>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Sensor</w:t>
            </w:r>
          </w:p>
        </w:tc>
        <w:tc>
          <w:tcPr>
            <w:tcW w:type="dxa" w:w="5150"/>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Feature groups</w:t>
            </w:r>
          </w:p>
        </w:tc>
        <w:tc>
          <w:tcPr>
            <w:tcW w:type="dxa" w:w="166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Approximate count</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RGB</w:t>
            </w:r>
          </w:p>
        </w:tc>
        <w:tc>
          <w:tcPr>
            <w:tcW w:type="dxa" w:w="5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GLCM: 8 metrics × 3 bands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24</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Multispectral</w:t>
            </w:r>
          </w:p>
        </w:tc>
        <w:tc>
          <w:tcPr>
            <w:tcW w:type="dxa" w:w="5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5 band reflectances + 12 VIs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17</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Hyperspectral</w:t>
            </w:r>
          </w:p>
        </w:tc>
        <w:tc>
          <w:tcPr>
            <w:tcW w:type="dxa" w:w="5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Retained bands (≈ 400 after cleaning) + derivative, continuum-removed and VI features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 450</w:t>
            </w:r>
          </w:p>
        </w:tc>
      </w:tr>
      <w:tr>
        <w:trPr>
          <w:cantSplit/>
        </w:trPr>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Thermal</w:t>
            </w:r>
          </w:p>
        </w:tc>
        <w:tc>
          <w:tcPr>
            <w:tcW w:type="dxa" w:w="5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CTD, CTR, NRCT + 4 statistics + 8 GLCM metrics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15</w:t>
            </w:r>
          </w:p>
        </w:tc>
      </w:tr>
    </w:tbl>
    <w:p>
      <w:pPr>
        <w:spacing w:after="60"/>
      </w:pPr>
    </w:p>
    <w:p>
      <w:pPr>
        <w:pStyle w:val="Heading2"/>
      </w:pPr>
      <w:r>
        <w:t xml:space="preserve">3.3 Step 1.2: Quality control (unsupervised)</w:t>
      </w:r>
    </w:p>
    <w:p>
      <w:pPr>
        <w:pStyle w:val="ListParagraph"/>
        <w:numPr>
          <w:ilvl w:val="0"/>
          <w:numId w:val="5"/>
        </w:numPr>
        <w:spacing w:after="60" w:line="312"/>
        <w:jc w:val="both"/>
      </w:pPr>
      <w:r>
        <w:t xml:space="preserve">Remove features with near-zero variance: frequency ratio of the most common to the second most common value &gt; 19 and fewer than 10 % distinct values (Kuhn &amp; Johnson, 2013).</w:t>
      </w:r>
    </w:p>
    <w:p>
      <w:pPr>
        <w:pStyle w:val="ListParagraph"/>
        <w:numPr>
          <w:ilvl w:val="0"/>
          <w:numId w:val="5"/>
        </w:numPr>
        <w:spacing w:after="60" w:line="312"/>
        <w:jc w:val="both"/>
      </w:pPr>
      <w:r>
        <w:t xml:space="preserve">Remove features that are saturated, undefined (e.g., division by zero in a ratio index) or missing in more than 5 % of observations; otherwise impute the median within the same date.</w:t>
      </w:r>
    </w:p>
    <w:p>
      <w:pPr>
        <w:pStyle w:val="ListParagraph"/>
        <w:numPr>
          <w:ilvl w:val="0"/>
          <w:numId w:val="5"/>
        </w:numPr>
        <w:spacing w:after="60" w:line="312"/>
        <w:jc w:val="both"/>
      </w:pPr>
      <w:r>
        <w:t xml:space="preserve">Flag outlying observations with the modified z-score |Mᵢ| &gt; 3.5, where Mᵢ = 0.6745 (xᵢ − median) / MAD (Iglewicz &amp; Hoaglin, 1993). Inspect flagged plots (cloud shadow, lodging, mis-registration) before excluding them, and report every exclusion.</w:t>
      </w:r>
    </w:p>
    <w:p>
      <w:pPr>
        <w:spacing w:after="120" w:line="360"/>
        <w:jc w:val="both"/>
      </w:pPr>
      <w:r>
        <w:rPr>
          <w:i/>
          <w:iCs/>
        </w:rPr>
        <w:t xml:space="preserve">Why first:</w:t>
      </w:r>
      <w:r>
        <w:t xml:space="preserve"> these checks use no labels, so they cannot bias later steps, and they prevent corrupted features from entering the statistics.</w:t>
      </w:r>
    </w:p>
    <w:p>
      <w:pPr>
        <w:pStyle w:val="Heading2"/>
      </w:pPr>
      <w:r>
        <w:t xml:space="preserve">3.4 Step 1.3: Univariate statistical screening</w:t>
      </w:r>
    </w:p>
    <w:p>
      <w:pPr>
        <w:spacing w:after="120" w:line="360"/>
        <w:jc w:val="both"/>
      </w:pPr>
      <w:r>
        <w:rPr>
          <w:b/>
          <w:bCs/>
        </w:rPr>
        <w:t xml:space="preserve">Aim:</w:t>
      </w:r>
      <w:r>
        <w:t xml:space="preserve"> retain only features whose values differ significantly among severity classes. The tests are run separately for each sensor and, to capture consistency across disease progression and crop growth stages, separately for each sampling date (or growth-stage window).</w:t>
      </w:r>
    </w:p>
    <w:p>
      <w:pPr>
        <w:pStyle w:val="ListParagraph"/>
        <w:numPr>
          <w:ilvl w:val="0"/>
          <w:numId w:val="6"/>
        </w:numPr>
        <w:spacing w:after="60" w:line="312"/>
        <w:jc w:val="both"/>
      </w:pPr>
      <w:r>
        <w:t xml:space="preserve">For each feature, test normality of residuals (Shapiro &amp; Wilk, 1965) and homogeneity of variances (Levene, 1960).</w:t>
      </w:r>
    </w:p>
    <w:p>
      <w:pPr>
        <w:pStyle w:val="ListParagraph"/>
        <w:numPr>
          <w:ilvl w:val="0"/>
          <w:numId w:val="6"/>
        </w:numPr>
        <w:spacing w:after="60" w:line="312"/>
        <w:jc w:val="both"/>
      </w:pPr>
      <w:r>
        <w:t xml:space="preserve">If assumptions hold, use one-way ANOVA across the six severity classes (Eq. 6). If variances are unequal, use Welch’s ANOVA (Welch, 1951). If residuals are clearly non-normal, use the Kruskal–Wallis test (Eq. 7; Kruskal &amp; Wallis, 1952). For the binary contrast healthy vs diseased, use Welch’s t-test.</w:t>
      </w:r>
    </w:p>
    <w:p>
      <w:pPr>
        <w:pStyle w:val="ListParagraph"/>
        <w:numPr>
          <w:ilvl w:val="0"/>
          <w:numId w:val="6"/>
        </w:numPr>
        <w:spacing w:after="60" w:line="312"/>
        <w:jc w:val="both"/>
      </w:pPr>
      <w:r>
        <w:t xml:space="preserve">Correct the p-values of all features within a sensor and date for multiple testing with the Benjamini–Hochberg procedure (Eq. 8), at q = 0.05.</w:t>
      </w:r>
    </w:p>
    <w:p>
      <w:pPr>
        <w:pStyle w:val="ListParagraph"/>
        <w:numPr>
          <w:ilvl w:val="0"/>
          <w:numId w:val="6"/>
        </w:numPr>
        <w:spacing w:after="60" w:line="312"/>
        <w:jc w:val="both"/>
      </w:pPr>
      <w:r>
        <w:t xml:space="preserve">Record the effect size (η² for ANOVA, ε² for Kruskal–Wallis) and run post-hoc comparisons (Tukey HSD, or Dunn’s test after Kruskal–Wallis; Dunn, 1964) to see which classes a feature separates.</w:t>
      </w:r>
    </w:p>
    <w:p>
      <w:pPr>
        <w:pStyle w:val="ListParagraph"/>
        <w:numPr>
          <w:ilvl w:val="0"/>
          <w:numId w:val="6"/>
        </w:numPr>
        <w:spacing w:after="60" w:line="312"/>
        <w:jc w:val="both"/>
      </w:pPr>
      <w:r>
        <w:rPr>
          <w:b/>
          <w:bCs/>
        </w:rPr>
        <w:t xml:space="preserve">Decision rule (recommended default):</w:t>
      </w:r>
      <w:r>
        <w:t xml:space="preserve"> a feature passes Step 1.3 if it is FDR-significant (q &lt; 0.05) on at least half of the post-symptomatic dates.</w:t>
      </w:r>
    </w:p>
    <w:p>
      <w:pPr>
        <w:tabs>
          <w:tab w:val="center" w:pos="4153"/>
          <w:tab w:val="right" w:pos="8306"/>
        </w:tabs>
        <w:spacing w:after="120" w:before="80"/>
      </w:pPr>
      <w:r>
        <w:t xml:space="preserve">	</w:t>
      </w:r>
      <w:r>
        <w:rPr>
          <w:rFonts w:ascii="Cambria" w:cs="Cambria" w:eastAsia="Cambria" w:hAnsi="Cambria"/>
        </w:rPr>
        <w:t xml:space="preserve">F = [ Σₖ nₖ (x̄ₖ − x̄)² / (K − 1) ] / [ Σₖ Σᵢ (xᵢₖ − x̄ₖ)² / (N − K) ]</w:t>
      </w:r>
      <w:r>
        <w:t xml:space="preserve">	(Eq. 6)</w:t>
      </w:r>
    </w:p>
    <w:p>
      <w:pPr>
        <w:tabs>
          <w:tab w:val="center" w:pos="4153"/>
          <w:tab w:val="right" w:pos="8306"/>
        </w:tabs>
        <w:spacing w:after="120" w:before="80"/>
      </w:pPr>
      <w:r>
        <w:t xml:space="preserve">	</w:t>
      </w:r>
      <w:r>
        <w:rPr>
          <w:rFonts w:ascii="Cambria" w:cs="Cambria" w:eastAsia="Cambria" w:hAnsi="Cambria"/>
        </w:rPr>
        <w:t xml:space="preserve">H = [ 12 / (N(N + 1)) ] Σₖ ( Rₖ² / nₖ ) − 3(N + 1)</w:t>
      </w:r>
      <w:r>
        <w:t xml:space="preserve">	(Eq. 7)</w:t>
      </w:r>
    </w:p>
    <w:p>
      <w:pPr>
        <w:tabs>
          <w:tab w:val="center" w:pos="4153"/>
          <w:tab w:val="right" w:pos="8306"/>
        </w:tabs>
        <w:spacing w:after="120" w:before="80"/>
      </w:pPr>
      <w:r>
        <w:t xml:space="preserve">	</w:t>
      </w:r>
      <w:r>
        <w:rPr>
          <w:rFonts w:ascii="Cambria" w:cs="Cambria" w:eastAsia="Cambria" w:hAnsi="Cambria"/>
        </w:rPr>
        <w:t xml:space="preserve">Reject H₀ for the i smallest p-values, where i is the largest rank with p₍ᵢ₎ ≤ (i / m) · q</w:t>
      </w:r>
      <w:r>
        <w:t xml:space="preserve">	(Eq. 8)</w:t>
      </w:r>
    </w:p>
    <w:p>
      <w:pPr>
        <w:spacing w:after="120" w:line="360"/>
        <w:jc w:val="both"/>
      </w:pPr>
      <w:r>
        <w:t xml:space="preserve">Here K is the number of classes, nₖ the size of class k, N the total number of observations, Rₖ the rank sum of class k, and m the number of features tested. </w:t>
      </w:r>
      <w:r>
        <w:rPr>
          <w:i/>
          <w:iCs/>
        </w:rPr>
        <w:t xml:space="preserve">Why FDR:</w:t>
      </w:r>
      <w:r>
        <w:t xml:space="preserve"> with several hundred features, about 5 % would pass at p &lt; 0.05 by chance alone; FDR control keeps the expected proportion of false discoveries among the selected features at q (Benjamini &amp; Hochberg, 1995).</w:t>
      </w:r>
    </w:p>
    <w:p>
      <w:pPr>
        <w:pStyle w:val="Heading2"/>
      </w:pPr>
      <w:r>
        <w:t xml:space="preserve">3.5 Step 1.4: Class separability (Jeffries–Matusita distance)</w:t>
      </w:r>
    </w:p>
    <w:p>
      <w:pPr>
        <w:spacing w:after="120" w:line="360"/>
        <w:jc w:val="both"/>
      </w:pPr>
      <w:r>
        <w:rPr>
          <w:b/>
          <w:bCs/>
        </w:rPr>
        <w:t xml:space="preserve">Aim:</w:t>
      </w:r>
      <w:r>
        <w:t xml:space="preserve"> a feature can differ significantly in mean yet still overlap heavily between classes. Separability measures how well two classes can actually be told apart. For two classes with means μ₁, μ₂ and variances σ₁², σ₂², the Bhattacharyya distance B and the Jeffries–Matusita distance are:</w:t>
      </w:r>
    </w:p>
    <w:p>
      <w:pPr>
        <w:tabs>
          <w:tab w:val="center" w:pos="4153"/>
          <w:tab w:val="right" w:pos="8306"/>
        </w:tabs>
        <w:spacing w:after="120" w:before="80"/>
      </w:pPr>
      <w:r>
        <w:t xml:space="preserve">	</w:t>
      </w:r>
      <w:r>
        <w:rPr>
          <w:rFonts w:ascii="Cambria" w:cs="Cambria" w:eastAsia="Cambria" w:hAnsi="Cambria"/>
        </w:rPr>
        <w:t xml:space="preserve">B = (μ₁ − μ₂)² / [ 4 (σ₁² + σ₂²) ] + ½ ln [ (σ₁² + σ₂²) / (2 σ₁ σ₂) ]</w:t>
      </w:r>
      <w:r>
        <w:t xml:space="preserve">	(Eq. 9)</w:t>
      </w:r>
    </w:p>
    <w:p>
      <w:pPr>
        <w:tabs>
          <w:tab w:val="center" w:pos="4153"/>
          <w:tab w:val="right" w:pos="8306"/>
        </w:tabs>
        <w:spacing w:after="120" w:before="80"/>
      </w:pPr>
      <w:r>
        <w:t xml:space="preserve">	</w:t>
      </w:r>
      <w:r>
        <w:rPr>
          <w:rFonts w:ascii="Cambria" w:cs="Cambria" w:eastAsia="Cambria" w:hAnsi="Cambria"/>
        </w:rPr>
        <w:t xml:space="preserve">JM = 2 (1 − e^(−B))</w:t>
      </w:r>
      <w:r>
        <w:t xml:space="preserve">	(Eq. 10)</w:t>
      </w:r>
    </w:p>
    <w:p>
      <w:pPr>
        <w:spacing w:after="120" w:line="360"/>
        <w:jc w:val="both"/>
      </w:pPr>
      <w:r>
        <w:t xml:space="preserve">For several features jointly (multivariate normal classes with covariance matrices Σ₁, Σ₂ and Σ = (Σ₁ + Σ₂)/2):</w:t>
      </w:r>
    </w:p>
    <w:p>
      <w:pPr>
        <w:tabs>
          <w:tab w:val="center" w:pos="4153"/>
          <w:tab w:val="right" w:pos="8306"/>
        </w:tabs>
        <w:spacing w:after="120" w:before="80"/>
      </w:pPr>
      <w:r>
        <w:t xml:space="preserve">	</w:t>
      </w:r>
      <w:r>
        <w:rPr>
          <w:rFonts w:ascii="Cambria" w:cs="Cambria" w:eastAsia="Cambria" w:hAnsi="Cambria"/>
        </w:rPr>
        <w:t xml:space="preserve">B = ⅛ (μ₁ − μ₂)ᵀ Σ⁻¹ (μ₁ − μ₂) + ½ ln [ |Σ| / √(|Σ₁| |Σ₂|) ]</w:t>
      </w:r>
      <w:r>
        <w:t xml:space="preserve">	(Eq. 11)</w:t>
      </w:r>
    </w:p>
    <w:p>
      <w:pPr>
        <w:spacing w:after="120" w:line="360"/>
        <w:jc w:val="both"/>
      </w:pPr>
      <w:r>
        <w:t xml:space="preserve">JM is a bounded transformation of B: it ranges from 0 (complete overlap) to 2 (complete separation) and saturates for well-separated classes, which makes it easier to interpret than B (Richards &amp; Jia, 2006). The two are therefore not alternatives: B is computed first and JM is derived from it.</w:t>
      </w:r>
    </w:p>
    <w:p>
      <w:pPr>
        <w:pStyle w:val="ListParagraph"/>
        <w:numPr>
          <w:ilvl w:val="0"/>
          <w:numId w:val="7"/>
        </w:numPr>
        <w:spacing w:after="60" w:line="312"/>
        <w:jc w:val="both"/>
      </w:pPr>
      <w:r>
        <w:t xml:space="preserve">Compute JM between the healthy class and each infected severity class (healthy vs very low, healthy vs low, … healthy vs very high), for every feature and date.</w:t>
      </w:r>
    </w:p>
    <w:p>
      <w:pPr>
        <w:pStyle w:val="ListParagraph"/>
        <w:numPr>
          <w:ilvl w:val="0"/>
          <w:numId w:val="7"/>
        </w:numPr>
        <w:spacing w:after="60" w:line="312"/>
        <w:jc w:val="both"/>
      </w:pPr>
      <w:r>
        <w:rPr>
          <w:b/>
          <w:bCs/>
        </w:rPr>
        <w:t xml:space="preserve">Hyperspectral bands:</w:t>
      </w:r>
      <w:r>
        <w:t xml:space="preserve"> plot JM against wavelength to produce a separability scalogram (Cheng et al., 2010). Retain wavelengths with JM &gt; 1.94 as disease-sensitive spectral features (DSSFs), following the ORW write-up and Wang et al. (2019), and keep only those that are stable across dates and replicates.</w:t>
      </w:r>
    </w:p>
    <w:p>
      <w:pPr>
        <w:pStyle w:val="ListParagraph"/>
        <w:numPr>
          <w:ilvl w:val="0"/>
          <w:numId w:val="7"/>
        </w:numPr>
        <w:spacing w:after="60" w:line="312"/>
        <w:jc w:val="both"/>
      </w:pPr>
      <w:r>
        <w:rPr>
          <w:b/>
          <w:bCs/>
        </w:rPr>
        <w:t xml:space="preserve">Derived features (VIs, textures, thermal):</w:t>
      </w:r>
      <w:r>
        <w:t xml:space="preserve"> </w:t>
      </w:r>
      <w:r>
        <w:rPr>
          <w:b/>
          <w:bCs/>
        </w:rPr>
        <w:t xml:space="preserve">recommended default</w:t>
      </w:r>
      <w:r>
        <w:t xml:space="preserve"> JM ≥ 1.0 for at least one healthy-vs-infected contrast, since early severity classes overlap more. Report the full JM matrix in the thesis.</w:t>
      </w:r>
    </w:p>
    <w:p>
      <w:pPr>
        <w:pStyle w:val="ListParagraph"/>
        <w:numPr>
          <w:ilvl w:val="0"/>
          <w:numId w:val="7"/>
        </w:numPr>
        <w:spacing w:after="60" w:line="312"/>
        <w:jc w:val="both"/>
      </w:pPr>
      <w:r>
        <w:t xml:space="preserve">Also compute JM between adjacent severity classes (e.g., low vs moderate). These values show where severity discrimination will be hardest.</w:t>
      </w:r>
    </w:p>
    <w:p>
      <w:pPr>
        <w:pStyle w:val="Heading2"/>
      </w:pPr>
      <w:r>
        <w:t xml:space="preserve">3.6 Step 1.5: ReliefF (multivariate filter)</w:t>
      </w:r>
    </w:p>
    <w:p>
      <w:pPr>
        <w:spacing w:after="120" w:line="360"/>
        <w:jc w:val="both"/>
      </w:pPr>
      <w:r>
        <w:rPr>
          <w:b/>
          <w:bCs/>
        </w:rPr>
        <w:t xml:space="preserve">Aim:</w:t>
      </w:r>
      <w:r>
        <w:t xml:space="preserve"> univariate tests miss features that are informative only in combination with others. ReliefF estimates relevance from the nearest neighbours of each observation: a feature gains weight if it differs between an observation and its nearest neighbours of other classes (misses) and loses weight if it differs from its nearest neighbours of the same class (hits) (Kira &amp; Rendell, 1992; Kononenko, 1994; Robnik-Šikonja &amp; Kononenko, 2003). For each sampled observation Rᵢ, with k nearest hits Hⱼ and k nearest misses Mⱼ(C) in every other class C:</w:t>
      </w:r>
    </w:p>
    <w:p>
      <w:pPr>
        <w:tabs>
          <w:tab w:val="center" w:pos="4153"/>
          <w:tab w:val="right" w:pos="8306"/>
        </w:tabs>
        <w:spacing w:after="120" w:before="80"/>
      </w:pPr>
      <w:r>
        <w:t xml:space="preserve">	</w:t>
      </w:r>
      <w:r>
        <w:rPr>
          <w:rFonts w:ascii="Cambria" w:cs="Cambria" w:eastAsia="Cambria" w:hAnsi="Cambria"/>
        </w:rPr>
        <w:t xml:space="preserve">W[A] ← W[A] − Σⱼ diff(A, Rᵢ, Hⱼ) / (m k) + Σ_C≠class(Rᵢ) [ P(C) / (1 − P(class(Rᵢ))) ] Σⱼ diff(A, Rᵢ, Mⱼ(C)) / (m k)</w:t>
      </w:r>
      <w:r>
        <w:t xml:space="preserve">	(Eq. 12)</w:t>
      </w:r>
    </w:p>
    <w:p>
      <w:pPr>
        <w:spacing w:after="120" w:line="360"/>
        <w:jc w:val="both"/>
      </w:pPr>
      <w:r>
        <w:rPr>
          <w:b/>
          <w:bCs/>
        </w:rPr>
        <w:t xml:space="preserve">Settings (recommended defaults):</w:t>
      </w:r>
      <w:r>
        <w:t xml:space="preserve"> k = 10 neighbours, m = all observations, features scaled to [0, 1] before computing diff. Mahlein et al. (2013) used RELIEF-F to select the wavelengths of disease-specific spectral indices, which is the same purpose here. </w:t>
      </w:r>
      <w:r>
        <w:rPr>
          <w:b/>
          <w:bCs/>
        </w:rPr>
        <w:t xml:space="preserve">Decision rule:</w:t>
      </w:r>
      <w:r>
        <w:t xml:space="preserve"> a feature is “ReliefF-relevant” if its weight is positive and in the top half of its sensor’s ranking.</w:t>
      </w:r>
    </w:p>
    <w:p>
      <w:pPr>
        <w:pStyle w:val="Heading2"/>
      </w:pPr>
      <w:r>
        <w:t xml:space="preserve">3.7 Step 1.6: Embedded and all-relevant ranking (RF importance and Boruta)</w:t>
      </w:r>
    </w:p>
    <w:p>
      <w:pPr>
        <w:pStyle w:val="Heading3"/>
      </w:pPr>
      <w:r>
        <w:t xml:space="preserve">3.7.1 Random-forest permutation importance</w:t>
      </w:r>
    </w:p>
    <w:p>
      <w:pPr>
        <w:spacing w:after="120" w:line="360"/>
        <w:jc w:val="both"/>
      </w:pPr>
      <w:r>
        <w:t xml:space="preserve">A random forest (1,000 trees) is fitted to each sensor’s features. The importance of feature </w:t>
      </w:r>
      <w:r>
        <w:rPr>
          <w:i/>
          <w:iCs/>
        </w:rPr>
        <w:t xml:space="preserve">j</w:t>
      </w:r>
      <w:r>
        <w:t xml:space="preserve"> is the increase in out-of-bag error when its values are randomly permuted, averaged over the trees (Breiman, 2001):</w:t>
      </w:r>
    </w:p>
    <w:p>
      <w:pPr>
        <w:tabs>
          <w:tab w:val="center" w:pos="4153"/>
          <w:tab w:val="right" w:pos="8306"/>
        </w:tabs>
        <w:spacing w:after="120" w:before="80"/>
      </w:pPr>
      <w:r>
        <w:t xml:space="preserve">	</w:t>
      </w:r>
      <w:r>
        <w:rPr>
          <w:rFonts w:ascii="Cambria" w:cs="Cambria" w:eastAsia="Cambria" w:hAnsi="Cambria"/>
        </w:rPr>
        <w:t xml:space="preserve">VIⱼ = (1/T) Σₜ [ err_OOB,t(xⱼ permuted) − err_OOB,t ]</w:t>
      </w:r>
      <w:r>
        <w:t xml:space="preserve">	(Eq. 13)</w:t>
      </w:r>
    </w:p>
    <w:p>
      <w:pPr>
        <w:spacing w:after="120" w:line="360"/>
        <w:jc w:val="both"/>
      </w:pPr>
      <w:r>
        <w:t xml:space="preserve">Permutation importance is used instead of Gini importance, which is biased towards features with many distinct values (Strobl et al., 2007). Because importance is shared among correlated features, a low value does not mean a feature is irrelevant; conditional importance can be computed when this matters (Strobl et al., 2008).</w:t>
      </w:r>
    </w:p>
    <w:p>
      <w:pPr>
        <w:pStyle w:val="Heading3"/>
      </w:pPr>
      <w:r>
        <w:t xml:space="preserve">3.7.2 Boruta</w:t>
      </w:r>
    </w:p>
    <w:p>
      <w:pPr>
        <w:pStyle w:val="ListParagraph"/>
        <w:numPr>
          <w:ilvl w:val="0"/>
          <w:numId w:val="8"/>
        </w:numPr>
        <w:spacing w:after="60" w:line="312"/>
        <w:jc w:val="both"/>
      </w:pPr>
      <w:r>
        <w:t xml:space="preserve">For every feature, create a “shadow” copy with its values randomly shuffled, which destroys any relation to the class.</w:t>
      </w:r>
    </w:p>
    <w:p>
      <w:pPr>
        <w:pStyle w:val="ListParagraph"/>
        <w:numPr>
          <w:ilvl w:val="0"/>
          <w:numId w:val="8"/>
        </w:numPr>
        <w:spacing w:after="60" w:line="312"/>
        <w:jc w:val="both"/>
      </w:pPr>
      <w:r>
        <w:t xml:space="preserve">Fit a random forest on the original plus shadow features and compute Z-scores of importance.</w:t>
      </w:r>
    </w:p>
    <w:p>
      <w:pPr>
        <w:pStyle w:val="ListParagraph"/>
        <w:numPr>
          <w:ilvl w:val="0"/>
          <w:numId w:val="8"/>
        </w:numPr>
        <w:spacing w:after="60" w:line="312"/>
        <w:jc w:val="both"/>
      </w:pPr>
      <w:r>
        <w:t xml:space="preserve">A feature scores a “hit” when its importance exceeds that of the best shadow feature. Over repeated runs, a two-sided binomial test classifies each feature as confirmed, rejected or tentative (Kursa &amp; Rudnicki, 2010).</w:t>
      </w:r>
    </w:p>
    <w:p>
      <w:pPr>
        <w:pStyle w:val="ListParagraph"/>
        <w:numPr>
          <w:ilvl w:val="0"/>
          <w:numId w:val="8"/>
        </w:numPr>
        <w:spacing w:after="60" w:line="312"/>
        <w:jc w:val="both"/>
      </w:pPr>
      <w:r>
        <w:rPr>
          <w:b/>
          <w:bCs/>
        </w:rPr>
        <w:t xml:space="preserve">Settings (recommended defaults):</w:t>
      </w:r>
      <w:r>
        <w:t xml:space="preserve"> up to 500 runs, p = 0.01 with multiple-comparison adjustment; resolve remaining tentative features with the rough-fix rule and report them.</w:t>
      </w:r>
    </w:p>
    <w:p>
      <w:pPr>
        <w:spacing w:after="120" w:line="360"/>
        <w:jc w:val="both"/>
      </w:pPr>
      <w:r>
        <w:t xml:space="preserve">Boruta solves the all-relevant problem directly, which is exactly the Phase 1 goal; Mustafa et al. (2023) used it for multimodal disease features.</w:t>
      </w:r>
    </w:p>
    <w:p>
      <w:pPr>
        <w:spacing w:after="120" w:line="360"/>
        <w:jc w:val="both"/>
      </w:pPr>
      <w:r>
        <w:rPr>
          <w:i/>
          <w:iCs/>
        </w:rPr>
        <w:t xml:space="preserve">About RFE in Phase 1:</w:t>
      </w:r>
      <w:r>
        <w:t xml:space="preserve"> the ORW lists Recursive Feature Elimination (Liu et al., 2024) as an option. RFE solves the minimal-optimal problem, so it drops a feature when a correlated partner remains. It is therefore better used in Phase 2 as a cross-check on SFFS (Section 4.4) than as a DSF criterion.</w:t>
      </w:r>
    </w:p>
    <w:p>
      <w:pPr>
        <w:pStyle w:val="Heading2"/>
      </w:pPr>
      <w:r>
        <w:t xml:space="preserve">3.8 Step 1.7: Consensus and stability → candidate DSFs</w:t>
      </w:r>
    </w:p>
    <w:p>
      <w:pPr>
        <w:spacing w:after="120" w:line="360"/>
        <w:jc w:val="both"/>
      </w:pPr>
      <w:r>
        <w:t xml:space="preserve">No single method is reliable on its own; combining several rankings makes the selection more stable (Bolón-Canedo &amp; Alonso-Betanzos, 2019). </w:t>
      </w:r>
      <w:r>
        <w:rPr>
          <w:b/>
          <w:bCs/>
        </w:rPr>
        <w:t xml:space="preserve">Decision rule (recommended default):</w:t>
      </w:r>
      <w:r>
        <w:t xml:space="preserve"> a feature becomes a candidate DSF if</w:t>
      </w:r>
    </w:p>
    <w:p>
      <w:pPr>
        <w:pStyle w:val="ListParagraph"/>
        <w:numPr>
          <w:ilvl w:val="0"/>
          <w:numId w:val="9"/>
        </w:numPr>
        <w:spacing w:after="60" w:line="312"/>
        <w:jc w:val="both"/>
      </w:pPr>
      <w:r>
        <w:t xml:space="preserve">it passes the statistical screen (Step 1.3) </w:t>
      </w:r>
      <w:r>
        <w:rPr>
          <w:b/>
          <w:bCs/>
        </w:rPr>
        <w:t xml:space="preserve">and</w:t>
      </w:r>
      <w:r>
        <w:t xml:space="preserve"> the separability threshold (Step 1.4), </w:t>
      </w:r>
      <w:r>
        <w:rPr>
          <w:b/>
          <w:bCs/>
        </w:rPr>
        <w:t xml:space="preserve">and</w:t>
      </w:r>
    </w:p>
    <w:p>
      <w:pPr>
        <w:pStyle w:val="ListParagraph"/>
        <w:numPr>
          <w:ilvl w:val="0"/>
          <w:numId w:val="9"/>
        </w:numPr>
        <w:spacing w:after="60" w:line="312"/>
        <w:jc w:val="both"/>
      </w:pPr>
      <w:r>
        <w:t xml:space="preserve">it is supported by at least two of the three rankers: ReliefF-relevant (Step 1.5), in the top half of RF permutation importance, Boruta-confirmed (Step 1.6), </w:t>
      </w:r>
      <w:r>
        <w:rPr>
          <w:b/>
          <w:bCs/>
        </w:rPr>
        <w:t xml:space="preserve">and</w:t>
      </w:r>
    </w:p>
    <w:p>
      <w:pPr>
        <w:pStyle w:val="ListParagraph"/>
        <w:numPr>
          <w:ilvl w:val="0"/>
          <w:numId w:val="9"/>
        </w:numPr>
        <w:spacing w:after="60" w:line="312"/>
        <w:jc w:val="both"/>
      </w:pPr>
      <w:r>
        <w:t xml:space="preserve">it is selected in at least 60 % of bootstrap resamples of the data (resampling plots with replacement), as a stability check in the spirit of stability selection (Meinshausen &amp; Bühlmann, 2010).</w:t>
      </w:r>
    </w:p>
    <w:p>
      <w:pPr>
        <w:spacing w:after="120" w:line="360"/>
        <w:jc w:val="both"/>
      </w:pPr>
      <w:r>
        <w:t xml:space="preserve">The output is a table per sensor listing each candidate DSF with its F (or H) statistic, q-value, effect size, JM values, ReliefF weight, RF importance, Boruta decision and selection frequency.</w:t>
      </w:r>
    </w:p>
    <w:p>
      <w:pPr>
        <w:pStyle w:val="Heading2"/>
      </w:pPr>
      <w:r>
        <w:t xml:space="preserve">3.9 Step 1.8: Physiological interpretation and correlation clustering</w:t>
      </w:r>
    </w:p>
    <w:p>
      <w:pPr>
        <w:pStyle w:val="ListParagraph"/>
        <w:numPr>
          <w:ilvl w:val="0"/>
          <w:numId w:val="10"/>
        </w:numPr>
        <w:spacing w:after="60" w:line="312"/>
        <w:jc w:val="both"/>
      </w:pPr>
      <w:r>
        <w:t xml:space="preserve">Correlate each DSF with DI and with the biophysical and biochemical measurements of Activity 1.2 (e.g., chlorophyll a and b, carotenoids, relative water content, membrane stability) using Spearman’s ρ, at each growth stage.</w:t>
      </w:r>
    </w:p>
    <w:p>
      <w:pPr>
        <w:pStyle w:val="ListParagraph"/>
        <w:numPr>
          <w:ilvl w:val="0"/>
          <w:numId w:val="10"/>
        </w:numPr>
        <w:spacing w:after="60" w:line="312"/>
        <w:jc w:val="both"/>
      </w:pPr>
      <w:r>
        <w:t xml:space="preserve">Cluster the DSFs of each sensor by hierarchical clustering with distance 1 − |ρ| and average linkage; cut the tree at |ρ| = 0.7 (Dormann et al., 2013).</w:t>
      </w:r>
    </w:p>
    <w:p>
      <w:pPr>
        <w:pStyle w:val="ListParagraph"/>
        <w:numPr>
          <w:ilvl w:val="0"/>
          <w:numId w:val="10"/>
        </w:numPr>
        <w:spacing w:after="60" w:line="312"/>
        <w:jc w:val="both"/>
      </w:pPr>
      <w:r>
        <w:t xml:space="preserve">Name each cluster by the physiology it tracks (for example pigment loss, water status, canopy structure, transpiration) using the correlations from item 1.</w:t>
      </w:r>
    </w:p>
    <w:p>
      <w:pPr>
        <w:pStyle w:val="ListParagraph"/>
        <w:numPr>
          <w:ilvl w:val="0"/>
          <w:numId w:val="10"/>
        </w:numPr>
        <w:spacing w:after="60" w:line="312"/>
        <w:jc w:val="both"/>
      </w:pPr>
      <w:r>
        <w:rPr>
          <w:b/>
          <w:bCs/>
        </w:rPr>
        <w:t xml:space="preserve">Nothing is removed in this step.</w:t>
      </w:r>
      <w:r>
        <w:t xml:space="preserve"> Clustering documents redundancy for interpretation; redundancy is removed only in Phase 2.</w:t>
      </w:r>
    </w:p>
    <w:p>
      <w:pPr>
        <w:pStyle w:val="Heading2"/>
      </w:pPr>
      <w:r>
        <w:t xml:space="preserve">3.10 Results to report from Phase 1</w:t>
      </w:r>
    </w:p>
    <w:p>
      <w:pPr>
        <w:pStyle w:val="ListParagraph"/>
        <w:numPr>
          <w:ilvl w:val="0"/>
          <w:numId w:val="4"/>
        </w:numPr>
        <w:spacing w:after="60" w:line="312"/>
        <w:jc w:val="both"/>
      </w:pPr>
      <w:r>
        <w:t xml:space="preserve">F-value and JM scalograms across wavelengths, with the sensitive regions marked.</w:t>
      </w:r>
    </w:p>
    <w:p>
      <w:pPr>
        <w:pStyle w:val="ListParagraph"/>
        <w:numPr>
          <w:ilvl w:val="0"/>
          <w:numId w:val="4"/>
        </w:numPr>
        <w:spacing w:after="60" w:line="312"/>
        <w:jc w:val="both"/>
      </w:pPr>
      <w:r>
        <w:t xml:space="preserve">A DSF table per sensor (statistics as in Section 3.8).</w:t>
      </w:r>
    </w:p>
    <w:p>
      <w:pPr>
        <w:pStyle w:val="ListParagraph"/>
        <w:numPr>
          <w:ilvl w:val="0"/>
          <w:numId w:val="4"/>
        </w:numPr>
        <w:spacing w:after="60" w:line="312"/>
        <w:jc w:val="both"/>
      </w:pPr>
      <w:r>
        <w:t xml:space="preserve">A correlation heatmap of DSFs with DI and physiological parameters, ordered by cluster.</w:t>
      </w:r>
    </w:p>
    <w:p>
      <w:pPr>
        <w:pStyle w:val="ListParagraph"/>
        <w:numPr>
          <w:ilvl w:val="0"/>
          <w:numId w:val="4"/>
        </w:numPr>
        <w:spacing w:after="60" w:line="312"/>
        <w:jc w:val="both"/>
      </w:pPr>
      <w:r>
        <w:t xml:space="preserve">Boxplots of the top DSFs across severity classes and growth stages.</w:t>
      </w:r>
    </w:p>
    <w:p>
      <w:pPr>
        <w:pStyle w:val="Heading1"/>
        <w:pageBreakBefore/>
      </w:pPr>
      <w:r>
        <w:t xml:space="preserve">4. Phase 2: Per-sensor optimal feature combination and classification (Activity 2.1)</w:t>
      </w:r>
    </w:p>
    <w:p>
      <w:pPr>
        <w:pStyle w:val="Heading2"/>
      </w:pPr>
      <w:r>
        <w:t xml:space="preserve">4.1 Aim and output</w:t>
      </w:r>
    </w:p>
    <w:p>
      <w:pPr>
        <w:spacing w:after="120" w:line="360"/>
        <w:jc w:val="both"/>
      </w:pPr>
      <w:r>
        <w:rPr>
          <w:b/>
          <w:bCs/>
        </w:rPr>
        <w:t xml:space="preserve">Aim:</w:t>
      </w:r>
      <w:r>
        <w:t xml:space="preserve"> to measure how well each sensor, used alone, detects white rust and discriminates its severity. This is the first use of SFFS. </w:t>
      </w:r>
      <w:r>
        <w:rPr>
          <w:b/>
          <w:bCs/>
        </w:rPr>
        <w:t xml:space="preserve">Output:</w:t>
      </w:r>
      <w:r>
        <w:t xml:space="preserve"> for every sensor and every classifier, an optimal feature combination (OFC) and its cross-validated performance. These results are the baseline against which fusion (Phase 3) is judged.</w:t>
      </w:r>
    </w:p>
    <w:p>
      <w:pPr>
        <w:keepNext/>
        <w:spacing w:after="80" w:before="160"/>
        <w:jc w:val="center"/>
      </w:pPr>
      <w:r>
        <w:rPr>
          <w:b/>
          <w:bCs/>
          <w:sz w:val="22"/>
          <w:szCs w:val="22"/>
        </w:rPr>
        <w:t xml:space="preserve">Table 4.1: Steps of Phase 2 (repeated for each sensor)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64"/>
        <w:gridCol w:w="4319"/>
        <w:gridCol w:w="1246"/>
        <w:gridCol w:w="2077"/>
      </w:tblGrid>
      <w:tr>
        <w:trPr>
          <w:cantSplit/>
          <w:tblHeader/>
        </w:trPr>
        <w:tc>
          <w:tcPr>
            <w:tcW w:type="dxa" w:w="664"/>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Step</w:t>
            </w:r>
          </w:p>
        </w:tc>
        <w:tc>
          <w:tcPr>
            <w:tcW w:type="dxa" w:w="4319"/>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Action</w:t>
            </w:r>
          </w:p>
        </w:tc>
        <w:tc>
          <w:tcPr>
            <w:tcW w:type="dxa" w:w="124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Uses labels?</w:t>
            </w:r>
          </w:p>
        </w:tc>
        <w:tc>
          <w:tcPr>
            <w:tcW w:type="dxa" w:w="207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Key references</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2.1</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Redundancy removal with relevance-guided VIF (SPA or CARS for raw hyperspectral bands)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 (VIF) / partly (SPA, CARS)</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Dormann et al. (2013); Araújo et al. (2001); Li et al. (2009)</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2.2</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Normalisation fitted on training folds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2.3</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SFFS with each classifier’s cross-validated score as the objective → OFC</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Pudil et al. (1994); Tian et al. (2021)</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2.4</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Train, tune and evaluate RF, SVM and KNN on their own OFC</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Breiman (2001); Cortes &amp; Vapnik (1995); Cover &amp; Hart (1967)</w:t>
            </w:r>
          </w:p>
        </w:tc>
      </w:tr>
    </w:tbl>
    <w:p>
      <w:pPr>
        <w:spacing w:after="60"/>
      </w:pPr>
    </w:p>
    <w:p>
      <w:pPr>
        <w:pStyle w:val="Heading2"/>
      </w:pPr>
      <w:r>
        <w:t xml:space="preserve">4.2 Step 2.1: Redundancy removal</w:t>
      </w:r>
    </w:p>
    <w:p>
      <w:pPr>
        <w:pStyle w:val="Heading3"/>
      </w:pPr>
      <w:r>
        <w:t xml:space="preserve">4.2.1 Variance Inflation Factor</w:t>
      </w:r>
    </w:p>
    <w:p>
      <w:pPr>
        <w:spacing w:after="120" w:line="360"/>
        <w:jc w:val="both"/>
      </w:pPr>
      <w:r>
        <w:t xml:space="preserve">VIF measures how well a feature can be predicted from all the other features. For feature </w:t>
      </w:r>
      <w:r>
        <w:rPr>
          <w:i/>
          <w:iCs/>
        </w:rPr>
        <w:t xml:space="preserve">j</w:t>
      </w:r>
      <w:r>
        <w:t xml:space="preserve">, R²ⱼ is the coefficient of determination of a linear regression of feature </w:t>
      </w:r>
      <w:r>
        <w:rPr>
          <w:i/>
          <w:iCs/>
        </w:rPr>
        <w:t xml:space="preserve">j</w:t>
      </w:r>
      <w:r>
        <w:t xml:space="preserve"> on all other features:</w:t>
      </w:r>
    </w:p>
    <w:p>
      <w:pPr>
        <w:tabs>
          <w:tab w:val="center" w:pos="4153"/>
          <w:tab w:val="right" w:pos="8306"/>
        </w:tabs>
        <w:spacing w:after="120" w:before="80"/>
      </w:pPr>
      <w:r>
        <w:t xml:space="preserve">	</w:t>
      </w:r>
      <w:r>
        <w:rPr>
          <w:rFonts w:ascii="Cambria" w:cs="Cambria" w:eastAsia="Cambria" w:hAnsi="Cambria"/>
        </w:rPr>
        <w:t xml:space="preserve">VIFⱼ = 1 / (1 − R²ⱼ)</w:t>
      </w:r>
      <w:r>
        <w:t xml:space="preserve">	(Eq. 14)</w:t>
      </w:r>
    </w:p>
    <w:p>
      <w:pPr>
        <w:spacing w:after="120" w:line="360"/>
        <w:jc w:val="both"/>
      </w:pPr>
      <w:r>
        <w:t xml:space="preserve">VIF = 1 means no collinearity; VIF &gt; 10 is the conventional threshold for serious multicollinearity (Kutner et al., 2005), and VIF &gt; 5 is a stricter alternative. Rules of thumb should not be applied mechanically (O’Brien, 2007). </w:t>
      </w:r>
      <w:r>
        <w:rPr>
          <w:b/>
          <w:bCs/>
        </w:rPr>
        <w:t xml:space="preserve">Relevance-guided iterative procedure (recommended):</w:t>
      </w:r>
    </w:p>
    <w:p>
      <w:pPr>
        <w:pStyle w:val="ListParagraph"/>
        <w:numPr>
          <w:ilvl w:val="0"/>
          <w:numId w:val="11"/>
        </w:numPr>
        <w:spacing w:after="60" w:line="312"/>
        <w:jc w:val="both"/>
      </w:pPr>
      <w:r>
        <w:t xml:space="preserve">Compute VIF for all candidate DSFs of the sensor.</w:t>
      </w:r>
    </w:p>
    <w:p>
      <w:pPr>
        <w:pStyle w:val="ListParagraph"/>
        <w:numPr>
          <w:ilvl w:val="0"/>
          <w:numId w:val="11"/>
        </w:numPr>
        <w:spacing w:after="60" w:line="312"/>
        <w:jc w:val="both"/>
      </w:pPr>
      <w:r>
        <w:t xml:space="preserve">If every VIF is below 10, stop.</w:t>
      </w:r>
    </w:p>
    <w:p>
      <w:pPr>
        <w:pStyle w:val="ListParagraph"/>
        <w:numPr>
          <w:ilvl w:val="0"/>
          <w:numId w:val="11"/>
        </w:numPr>
        <w:spacing w:after="60" w:line="312"/>
        <w:jc w:val="both"/>
      </w:pPr>
      <w:r>
        <w:t xml:space="preserve">Among the features with VIF ≥ 10, remove the one with the </w:t>
      </w:r>
      <w:r>
        <w:rPr>
          <w:b/>
          <w:bCs/>
        </w:rPr>
        <w:t xml:space="preserve">lowest Phase 1 consensus rank</w:t>
      </w:r>
      <w:r>
        <w:t xml:space="preserve"> (not simply the one with the highest VIF), so that the more disease-relevant member of a collinear pair survives.</w:t>
      </w:r>
    </w:p>
    <w:p>
      <w:pPr>
        <w:pStyle w:val="ListParagraph"/>
        <w:numPr>
          <w:ilvl w:val="0"/>
          <w:numId w:val="11"/>
        </w:numPr>
        <w:spacing w:after="60" w:line="312"/>
        <w:jc w:val="both"/>
      </w:pPr>
      <w:r>
        <w:t xml:space="preserve">Recompute VIF for the remaining features and repeat from item 2.</w:t>
      </w:r>
    </w:p>
    <w:p>
      <w:pPr>
        <w:spacing w:after="120" w:line="360"/>
        <w:jc w:val="both"/>
      </w:pPr>
      <w:r>
        <w:t xml:space="preserve">The thesis should report which features were removed and which feature each was collinear with. Mustafa et al. (2023) used the same threshold (VIF &lt; 10) before classification.</w:t>
      </w:r>
    </w:p>
    <w:p>
      <w:pPr>
        <w:pStyle w:val="Heading3"/>
      </w:pPr>
      <w:r>
        <w:t xml:space="preserve">4.2.2 Why VIF cannot be used on raw hyperspectral bands</w:t>
      </w:r>
    </w:p>
    <w:p>
      <w:pPr>
        <w:spacing w:after="120" w:line="360"/>
        <w:jc w:val="both"/>
      </w:pPr>
      <w:r>
        <w:t xml:space="preserve">The regression behind VIF estimates p coefficients from n observations. When p ≥ n (for example 491 bands and 72 plots on one date) the regression fits every observation exactly, R²ⱼ = 1 and VIFⱼ is infinite for every band. Even when dates are pooled (n = 1,296 &gt; p = 491), neighbouring bands are almost identical (r &gt; 0.99), the correlation matrix is nearly singular and VIF values are numerically meaningless. Raw bands therefore need a method designed for spectra.</w:t>
      </w:r>
    </w:p>
    <w:p>
      <w:pPr>
        <w:pStyle w:val="Heading3"/>
      </w:pPr>
      <w:r>
        <w:t xml:space="preserve">4.2.3 Successive Projections Algorithm (SPA)</w:t>
      </w:r>
    </w:p>
    <w:p>
      <w:pPr>
        <w:spacing w:after="120" w:line="360"/>
        <w:jc w:val="both"/>
      </w:pPr>
      <w:r>
        <w:t xml:space="preserve">SPA selects wavelengths with minimum collinearity by forward selection with orthogonal projections (Araújo et al., 2001; Zhu et al., 2017):</w:t>
      </w:r>
    </w:p>
    <w:p>
      <w:pPr>
        <w:pStyle w:val="ListParagraph"/>
        <w:numPr>
          <w:ilvl w:val="0"/>
          <w:numId w:val="12"/>
        </w:numPr>
        <w:spacing w:after="60" w:line="312"/>
        <w:jc w:val="both"/>
      </w:pPr>
      <w:r>
        <w:t xml:space="preserve">Start from one wavelength k(0) and set it as the first selected variable.</w:t>
      </w:r>
    </w:p>
    <w:p>
      <w:pPr>
        <w:pStyle w:val="ListParagraph"/>
        <w:numPr>
          <w:ilvl w:val="0"/>
          <w:numId w:val="12"/>
        </w:numPr>
        <w:spacing w:after="60" w:line="312"/>
        <w:jc w:val="both"/>
      </w:pPr>
      <w:r>
        <w:t xml:space="preserve">Project every unselected column xⱼ onto the subspace orthogonal to the last selected column x_k:  P xⱼ = xⱼ − (xⱼᵀ x_k) x_k (x_kᵀ x_k)⁻¹.</w:t>
      </w:r>
    </w:p>
    <w:p>
      <w:pPr>
        <w:pStyle w:val="ListParagraph"/>
        <w:numPr>
          <w:ilvl w:val="0"/>
          <w:numId w:val="12"/>
        </w:numPr>
        <w:spacing w:after="60" w:line="312"/>
        <w:jc w:val="both"/>
      </w:pPr>
      <w:r>
        <w:t xml:space="preserve">Select the wavelength whose projected vector has the largest norm, i.e., the one least explained by the variables already selected.</w:t>
      </w:r>
    </w:p>
    <w:p>
      <w:pPr>
        <w:pStyle w:val="ListParagraph"/>
        <w:numPr>
          <w:ilvl w:val="0"/>
          <w:numId w:val="12"/>
        </w:numPr>
        <w:spacing w:after="60" w:line="312"/>
        <w:jc w:val="both"/>
      </w:pPr>
      <w:r>
        <w:t xml:space="preserve">Repeat until the maximum number of variables is reached; repeat the whole procedure from every starting wavelength.</w:t>
      </w:r>
    </w:p>
    <w:p>
      <w:pPr>
        <w:pStyle w:val="ListParagraph"/>
        <w:numPr>
          <w:ilvl w:val="0"/>
          <w:numId w:val="12"/>
        </w:numPr>
        <w:spacing w:after="60" w:line="312"/>
        <w:jc w:val="both"/>
      </w:pPr>
      <w:r>
        <w:t xml:space="preserve">Choose the subset (starting wavelength and number of variables) that minimises the validation error of a simple model; for classification use SPA-LDA (Pontes et al., 2005).</w:t>
      </w:r>
    </w:p>
    <w:p>
      <w:pPr>
        <w:spacing w:after="120" w:line="360"/>
        <w:jc w:val="both"/>
      </w:pPr>
      <w:r>
        <w:t xml:space="preserve">Apply SPA only within the sensitive spectral regions identified in Step 1.4, so that the selected wavelengths are both non-redundant and disease-related. </w:t>
      </w:r>
      <w:r>
        <w:rPr>
          <w:b/>
          <w:bCs/>
        </w:rPr>
        <w:t xml:space="preserve">Competitive Adaptive Reweighted Sampling (CARS)</w:t>
      </w:r>
      <w:r>
        <w:t xml:space="preserve"> is an alternative that selects wavelengths through PLS coefficients and Monte-Carlo sampling (Li et al., 2009).</w:t>
      </w:r>
    </w:p>
    <w:p>
      <w:pPr>
        <w:keepNext/>
        <w:spacing w:after="80" w:before="160"/>
        <w:jc w:val="center"/>
      </w:pPr>
      <w:r>
        <w:rPr>
          <w:b/>
          <w:bCs/>
          <w:sz w:val="22"/>
          <w:szCs w:val="22"/>
        </w:rPr>
        <w:t xml:space="preserve">Table 4.2: VIF and SPA compared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3239"/>
        <w:gridCol w:w="3240"/>
      </w:tblGrid>
      <w:tr>
        <w:trPr>
          <w:cantSplit/>
          <w:tblHeader/>
        </w:trPr>
        <w:tc>
          <w:tcPr>
            <w:tcW w:type="dxa" w:w="182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p>
        </w:tc>
        <w:tc>
          <w:tcPr>
            <w:tcW w:type="dxa" w:w="3239"/>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SPA</w:t>
            </w:r>
          </w:p>
        </w:tc>
        <w:tc>
          <w:tcPr>
            <w:tcW w:type="dxa" w:w="3240"/>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VIF</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Principle</w:t>
            </w:r>
          </w:p>
        </w:tc>
        <w:tc>
          <w:tcPr>
            <w:tcW w:type="dxa" w:w="32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Forward selection; each new variable is the one least collinear with those already chosen</w:t>
            </w:r>
          </w:p>
        </w:tc>
        <w:tc>
          <w:tcPr>
            <w:tcW w:type="dxa" w:w="3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Diagnostic per feature from a regression on all other features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Works when p ≥ n?</w:t>
            </w:r>
          </w:p>
        </w:tc>
        <w:tc>
          <w:tcPr>
            <w:tcW w:type="dxa" w:w="32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 designed for full spectra</w:t>
            </w:r>
          </w:p>
        </w:tc>
        <w:tc>
          <w:tcPr>
            <w:tcW w:type="dxa" w:w="3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 R² = 1 and VIF is infinite</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Uses labels?</w:t>
            </w:r>
          </w:p>
        </w:tc>
        <w:tc>
          <w:tcPr>
            <w:tcW w:type="dxa" w:w="32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Partly: the subset size is chosen by validation error</w:t>
            </w:r>
          </w:p>
        </w:tc>
        <w:tc>
          <w:tcPr>
            <w:tcW w:type="dxa" w:w="3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Input</w:t>
            </w:r>
          </w:p>
        </w:tc>
        <w:tc>
          <w:tcPr>
            <w:tcW w:type="dxa" w:w="32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Ordered, continuous spectral bands</w:t>
            </w:r>
          </w:p>
        </w:tc>
        <w:tc>
          <w:tcPr>
            <w:tcW w:type="dxa" w:w="3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Mixed table of derived features</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Used in this study for</w:t>
            </w:r>
          </w:p>
        </w:tc>
        <w:tc>
          <w:tcPr>
            <w:tcW w:type="dxa" w:w="32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Raw hyperspectral bands → characteristic wavelengths</w:t>
            </w:r>
          </w:p>
        </w:tc>
        <w:tc>
          <w:tcPr>
            <w:tcW w:type="dxa" w:w="3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Per-sensor DSF tables (Phase 2) and the pooled DSF table (Phase 3)</w:t>
            </w:r>
          </w:p>
        </w:tc>
      </w:tr>
      <w:tr>
        <w:trPr>
          <w:cantSplit/>
        </w:trPr>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Catches cross-sensor redundancy?</w:t>
            </w:r>
          </w:p>
        </w:tc>
        <w:tc>
          <w:tcPr>
            <w:tcW w:type="dxa" w:w="32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 (applied within one sensor)</w:t>
            </w:r>
          </w:p>
        </w:tc>
        <w:tc>
          <w:tcPr>
            <w:tcW w:type="dxa" w:w="3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 when applied to the pooled table</w:t>
            </w:r>
          </w:p>
        </w:tc>
      </w:tr>
    </w:tbl>
    <w:p>
      <w:pPr>
        <w:spacing w:after="60"/>
      </w:pPr>
    </w:p>
    <w:p>
      <w:pPr>
        <w:pStyle w:val="Heading3"/>
      </w:pPr>
      <w:r>
        <w:t xml:space="preserve">4.2.4 Why redundancy matters even for robust classifiers</w:t>
      </w:r>
    </w:p>
    <w:p>
      <w:pPr>
        <w:spacing w:after="120" w:line="360"/>
        <w:jc w:val="both"/>
      </w:pPr>
      <w:r>
        <w:t xml:space="preserve">Random-forest predictions are fairly robust to collinearity, but its importance values are diluted across correlated features (Strobl et al., 2008). KNN distances are dominated by redundant dimensions. SFFS becomes unstable when several near-duplicate features compete for the same slot. Removing redundancy therefore improves stability and interpretability for all three classifiers.</w:t>
      </w:r>
    </w:p>
    <w:p>
      <w:pPr>
        <w:pStyle w:val="Heading2"/>
      </w:pPr>
      <w:r>
        <w:t xml:space="preserve">4.3 Step 2.2: Normalisation</w:t>
      </w:r>
    </w:p>
    <w:p>
      <w:pPr>
        <w:spacing w:after="120" w:line="360"/>
        <w:jc w:val="both"/>
      </w:pPr>
      <w:r>
        <w:t xml:space="preserve">Features are on different scales (unitless textures, indices between −1 and 1, temperatures in °C). Distance-based (KNN) and kernel (SVM) classifiers are sensitive to scale. Use z-score standardisation (Eq. 15) or min–max scaling (Eq. 16). </w:t>
      </w:r>
      <w:r>
        <w:rPr>
          <w:b/>
          <w:bCs/>
        </w:rPr>
        <w:t xml:space="preserve">The mean, standard deviation, minimum and maximum are computed on the training fold only</w:t>
      </w:r>
      <w:r>
        <w:t xml:space="preserve"> and then applied to the test fold.</w:t>
      </w:r>
    </w:p>
    <w:p>
      <w:pPr>
        <w:tabs>
          <w:tab w:val="center" w:pos="4153"/>
          <w:tab w:val="right" w:pos="8306"/>
        </w:tabs>
        <w:spacing w:after="120" w:before="80"/>
      </w:pPr>
      <w:r>
        <w:t xml:space="preserve">	</w:t>
      </w:r>
      <w:r>
        <w:rPr>
          <w:rFonts w:ascii="Cambria" w:cs="Cambria" w:eastAsia="Cambria" w:hAnsi="Cambria"/>
        </w:rPr>
        <w:t xml:space="preserve">z = (x − x̄_train) / s_train</w:t>
      </w:r>
      <w:r>
        <w:t xml:space="preserve">	(Eq. 15)</w:t>
      </w:r>
    </w:p>
    <w:p>
      <w:pPr>
        <w:tabs>
          <w:tab w:val="center" w:pos="4153"/>
          <w:tab w:val="right" w:pos="8306"/>
        </w:tabs>
        <w:spacing w:after="120" w:before="80"/>
      </w:pPr>
      <w:r>
        <w:t xml:space="preserve">	</w:t>
      </w:r>
      <w:r>
        <w:rPr>
          <w:rFonts w:ascii="Cambria" w:cs="Cambria" w:eastAsia="Cambria" w:hAnsi="Cambria"/>
        </w:rPr>
        <w:t xml:space="preserve">x′ = (x − min_train) / (max_train − min_train)</w:t>
      </w:r>
      <w:r>
        <w:t xml:space="preserve">	(Eq. 16)</w:t>
      </w:r>
    </w:p>
    <w:p>
      <w:pPr>
        <w:pStyle w:val="Heading2"/>
      </w:pPr>
      <w:r>
        <w:t xml:space="preserve">4.4 Step 2.3: Sequential Floating Forward Selection (SFFS)</w:t>
      </w:r>
    </w:p>
    <w:p>
      <w:pPr>
        <w:spacing w:after="120" w:line="360"/>
        <w:jc w:val="both"/>
      </w:pPr>
      <w:r>
        <w:rPr>
          <w:b/>
          <w:bCs/>
        </w:rPr>
        <w:t xml:space="preserve">Aim:</w:t>
      </w:r>
      <w:r>
        <w:t xml:space="preserve"> find, for each classifier, the subset of non-redundant DSFs that maximises cross-validated performance. SFFS (Pudil et al., 1994) is a wrapper: its objective J(S) is the performance of the classifier trained on subset S, measured by inner cross-validation. Tian et al. (2021) used SFFS with machine-learning objectives to find optimal disease-specific feature combinations for rice blast; the ORW applies the same approach (ML-SFFS).</w:t>
      </w:r>
    </w:p>
    <w:p>
      <w:pPr>
        <w:tabs>
          <w:tab w:val="center" w:pos="4153"/>
          <w:tab w:val="right" w:pos="8306"/>
        </w:tabs>
        <w:spacing w:after="120" w:before="80"/>
      </w:pPr>
      <w:r>
        <w:t xml:space="preserve">	</w:t>
      </w:r>
      <w:r>
        <w:rPr>
          <w:rFonts w:ascii="Cambria" w:cs="Cambria" w:eastAsia="Cambria" w:hAnsi="Cambria"/>
        </w:rPr>
        <w:t xml:space="preserve">J(S) = mean macro-F1 of the classifier over the inner CV folds, using only the features in S</w:t>
      </w:r>
      <w:r>
        <w:t xml:space="preserve">	(Eq. 17)</w:t>
      </w:r>
    </w:p>
    <w:p>
      <w:pPr>
        <w:spacing w:after="120" w:line="360"/>
        <w:jc w:val="both"/>
      </w:pPr>
      <w:r>
        <w:rPr>
          <w:b/>
          <w:bCs/>
        </w:rPr>
        <w:t xml:space="preserve">Algorithm</w:t>
      </w:r>
      <w:r>
        <w:t xml:space="preserve"> (start with S = ∅, k = 0):</w:t>
      </w:r>
    </w:p>
    <w:p>
      <w:pPr>
        <w:pStyle w:val="ListParagraph"/>
        <w:numPr>
          <w:ilvl w:val="0"/>
          <w:numId w:val="13"/>
        </w:numPr>
        <w:spacing w:after="60" w:line="312"/>
        <w:jc w:val="both"/>
      </w:pPr>
      <w:r>
        <w:rPr>
          <w:b/>
          <w:bCs/>
        </w:rPr>
        <w:t xml:space="preserve">Inclusion.</w:t>
      </w:r>
      <w:r>
        <w:t xml:space="preserve"> Among the features not in S, add the one that gives the largest J(S ∪ {f}). Set k = k + 1. If J(S) is the best value yet seen for subsets of size k, store S as the best k-subset.</w:t>
      </w:r>
    </w:p>
    <w:p>
      <w:pPr>
        <w:pStyle w:val="ListParagraph"/>
        <w:numPr>
          <w:ilvl w:val="0"/>
          <w:numId w:val="13"/>
        </w:numPr>
        <w:spacing w:after="60" w:line="312"/>
        <w:jc w:val="both"/>
      </w:pPr>
      <w:r>
        <w:rPr>
          <w:b/>
          <w:bCs/>
        </w:rPr>
        <w:t xml:space="preserve">Conditional exclusion (the “floating” step).</w:t>
      </w:r>
      <w:r>
        <w:t xml:space="preserve"> Find the feature in S (other than the one just added) whose removal gives the largest J(S − {f}). If that value is higher than the best value stored for subsets of size k − 1, remove the feature, store the new subset as the best (k − 1)-subset, set k = k − 1 and repeat this step. Otherwise go back to Inclusion.</w:t>
      </w:r>
    </w:p>
    <w:p>
      <w:pPr>
        <w:pStyle w:val="ListParagraph"/>
        <w:numPr>
          <w:ilvl w:val="0"/>
          <w:numId w:val="13"/>
        </w:numPr>
        <w:spacing w:after="60" w:line="312"/>
        <w:jc w:val="both"/>
      </w:pPr>
      <w:r>
        <w:rPr>
          <w:b/>
          <w:bCs/>
        </w:rPr>
        <w:t xml:space="preserve">Stopping.</w:t>
      </w:r>
      <w:r>
        <w:t xml:space="preserve"> Stop when k reaches a preset maximum (e.g., 15 features, or all features if fewer) or when no inclusion improves J for several consecutive sizes.</w:t>
      </w:r>
    </w:p>
    <w:p>
      <w:pPr>
        <w:pStyle w:val="ListParagraph"/>
        <w:numPr>
          <w:ilvl w:val="0"/>
          <w:numId w:val="13"/>
        </w:numPr>
        <w:spacing w:after="60" w:line="312"/>
        <w:jc w:val="both"/>
      </w:pPr>
      <w:r>
        <w:rPr>
          <w:b/>
          <w:bCs/>
        </w:rPr>
        <w:t xml:space="preserve">Choosing the subset size.</w:t>
      </w:r>
      <w:r>
        <w:t xml:space="preserve"> Plot the best J against k. Choose the smallest k whose J is within one standard error of the maximum (one-standard-error rule; Hastie et al., 2009). This favours compact, more transferable models.</w:t>
      </w:r>
    </w:p>
    <w:p>
      <w:pPr>
        <w:spacing w:after="120" w:line="360"/>
        <w:jc w:val="both"/>
      </w:pPr>
      <w:r>
        <w:t xml:space="preserve">Run SFFS separately for RF, SVM and KNN, giving </w:t>
      </w:r>
      <w:r>
        <w:rPr>
          <w:b/>
          <w:bCs/>
        </w:rPr>
        <w:t xml:space="preserve">OFC_RF, OFC_SVM and OFC_KNN</w:t>
      </w:r>
      <w:r>
        <w:t xml:space="preserve"> for every sensor. Each classifier keeps its own OFC; the OFC chosen for one classifier must not be reused for another.</w:t>
      </w:r>
    </w:p>
    <w:p>
      <w:pPr>
        <w:pStyle w:val="Heading3"/>
      </w:pPr>
      <w:r>
        <w:t xml:space="preserve">4.4.1 Why SFFS rather than other wrappers</w:t>
      </w:r>
    </w:p>
    <w:p>
      <w:pPr>
        <w:pStyle w:val="ListParagraph"/>
        <w:numPr>
          <w:ilvl w:val="0"/>
          <w:numId w:val="4"/>
        </w:numPr>
        <w:spacing w:after="60" w:line="312"/>
        <w:jc w:val="both"/>
      </w:pPr>
      <w:r>
        <w:t xml:space="preserve">Plain sequential forward selection cannot remove a feature once added; the floating step corrects this “nesting” problem and was among the best performers in the comparison by Jain and Zongker (1997).</w:t>
      </w:r>
    </w:p>
    <w:p>
      <w:pPr>
        <w:pStyle w:val="ListParagraph"/>
        <w:numPr>
          <w:ilvl w:val="0"/>
          <w:numId w:val="4"/>
        </w:numPr>
        <w:spacing w:after="60" w:line="312"/>
        <w:jc w:val="both"/>
      </w:pPr>
      <w:r>
        <w:t xml:space="preserve">SFFS needs only the classifier’s score, so it works for any classifier, including KNN and RBF-kernel SVM, which do not rank their own features. RFE needs a model with built-in importance (RF, linear SVM) and cannot be used with KNN (Guyon et al., 2002).</w:t>
      </w:r>
    </w:p>
    <w:p>
      <w:pPr>
        <w:pStyle w:val="ListParagraph"/>
        <w:numPr>
          <w:ilvl w:val="0"/>
          <w:numId w:val="4"/>
        </w:numPr>
        <w:spacing w:after="60" w:line="312"/>
        <w:jc w:val="both"/>
      </w:pPr>
      <w:r>
        <w:t xml:space="preserve">PCA or other projections would destroy the physical meaning of the DSFs, which is central to Objective 1.</w:t>
      </w:r>
    </w:p>
    <w:p>
      <w:pPr>
        <w:spacing w:after="120" w:line="360"/>
        <w:jc w:val="both"/>
      </w:pPr>
      <w:r>
        <w:rPr>
          <w:b/>
          <w:bCs/>
        </w:rPr>
        <w:t xml:space="preserve">Cross-check (optional):</w:t>
      </w:r>
      <w:r>
        <w:t xml:space="preserve"> run RF-RFE (Granitto et al., 2006) and linear SVM-RFE and compare their subsets with OFC_RF and OFC_SVM. Agreement increases confidence in the selected features.</w:t>
      </w:r>
    </w:p>
    <w:p>
      <w:pPr>
        <w:pStyle w:val="Heading2"/>
      </w:pPr>
      <w:r>
        <w:t xml:space="preserve">4.5 Step 2.4: Classifiers, tuning and tasks</w:t>
      </w:r>
    </w:p>
    <w:p>
      <w:pPr>
        <w:keepNext/>
        <w:spacing w:after="80" w:before="160"/>
        <w:jc w:val="center"/>
      </w:pPr>
      <w:r>
        <w:rPr>
          <w:b/>
          <w:bCs/>
          <w:sz w:val="22"/>
          <w:szCs w:val="22"/>
        </w:rPr>
        <w:t xml:space="preserve">Table 4.3: Core classifiers and tuning grids (recommended defaults)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2492"/>
        <w:gridCol w:w="2658"/>
        <w:gridCol w:w="1495"/>
      </w:tblGrid>
      <w:tr>
        <w:trPr>
          <w:cantSplit/>
          <w:tblHeader/>
        </w:trPr>
        <w:tc>
          <w:tcPr>
            <w:tcW w:type="dxa" w:w="166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Classifier</w:t>
            </w:r>
          </w:p>
        </w:tc>
        <w:tc>
          <w:tcPr>
            <w:tcW w:type="dxa" w:w="2492"/>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Principle</w:t>
            </w:r>
          </w:p>
        </w:tc>
        <w:tc>
          <w:tcPr>
            <w:tcW w:type="dxa" w:w="2658"/>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Hyperparameters tuned in inner CV</w:t>
            </w:r>
          </w:p>
        </w:tc>
        <w:tc>
          <w:tcPr>
            <w:tcW w:type="dxa" w:w="1495"/>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Reference</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Random Forest (RF)</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Ensemble of decorrelated decision trees; majority vote</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mtry ∈ {1, …, √p … p/2}; 500–1,000 trees; minimum node size ∈ {1, 5}</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Breiman (2001)</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Support Vector Machine (SVM, RBF kernel)</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Maximum-margin hyperplane in kernel space</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 ∈ {2⁻⁵, 2⁻³, …, 2¹⁵}; γ ∈ {2⁻¹⁵, 2⁻¹³, …, 2³}</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Cortes &amp; Vapnik (1995); Hsu et al. (2003)</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k-Nearest Neighbours (KNN)</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Majority class of the k closest training observations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k ∈ {3, 5, 7, …, 15}; distance weighting on/off</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Cover &amp; Hart (1967)</w:t>
            </w:r>
          </w:p>
        </w:tc>
      </w:tr>
    </w:tbl>
    <w:p>
      <w:pPr>
        <w:spacing w:after="60"/>
      </w:pPr>
    </w:p>
    <w:p>
      <w:pPr>
        <w:spacing w:after="120" w:line="360"/>
        <w:jc w:val="both"/>
      </w:pPr>
      <w:r>
        <w:t xml:space="preserve">The three classifiers have different inductive biases (axis-aligned tree splits, maximum-margin kernel boundaries and local instance-based voting), so agreement among them shows that the results do not depend on one algorithm. The other models listed in the ORW (BPNN, ELM, LS-SVM, PLS-DA, QDA) can be added in the same way, each with its own SFFS run (Chapter 7).</w:t>
      </w:r>
    </w:p>
    <w:p>
      <w:pPr>
        <w:spacing w:after="120" w:line="360"/>
        <w:jc w:val="both"/>
      </w:pPr>
      <w:r>
        <w:rPr>
          <w:b/>
          <w:bCs/>
        </w:rPr>
        <w:t xml:space="preserve">Tasks.</w:t>
      </w:r>
      <w:r>
        <w:t xml:space="preserve"> (i) Binary classification: healthy vs diseased. (ii) Multi-class classification: the six severity classes of Table 2.3. (iii) Regression of the continuous DI with RF regression, support vector regression and PLSR; for regression, SFFS uses the cross-validated RMSE as its objective.</w:t>
      </w:r>
    </w:p>
    <w:p>
      <w:pPr>
        <w:spacing w:after="120" w:line="360"/>
        <w:jc w:val="both"/>
      </w:pPr>
      <w:r>
        <w:rPr>
          <w:b/>
          <w:bCs/>
        </w:rPr>
        <w:t xml:space="preserve">Class imbalance.</w:t>
      </w:r>
      <w:r>
        <w:t xml:space="preserve"> Healthy and very-high classes may be unequal in size. Use stratified folds where possible, class weights in RF and SVM, and macro-averaged F1 as the selection objective. If oversampling is used (e.g., SMOTE; Chawla et al., 2002), apply it inside the training folds only.</w:t>
      </w:r>
    </w:p>
    <w:p>
      <w:pPr>
        <w:pStyle w:val="Heading2"/>
      </w:pPr>
      <w:r>
        <w:t xml:space="preserve">4.6 Evaluation metrics</w:t>
      </w:r>
    </w:p>
    <w:p>
      <w:pPr>
        <w:spacing w:after="120" w:line="360"/>
        <w:jc w:val="both"/>
      </w:pPr>
      <w:r>
        <w:t xml:space="preserve">From the confusion matrix (TP, TN, FP and FN computed for each class against all others):</w:t>
      </w:r>
    </w:p>
    <w:p>
      <w:pPr>
        <w:tabs>
          <w:tab w:val="center" w:pos="4153"/>
          <w:tab w:val="right" w:pos="8306"/>
        </w:tabs>
        <w:spacing w:after="120" w:before="80"/>
      </w:pPr>
      <w:r>
        <w:t xml:space="preserve">	</w:t>
      </w:r>
      <w:r>
        <w:rPr>
          <w:rFonts w:ascii="Cambria" w:cs="Cambria" w:eastAsia="Cambria" w:hAnsi="Cambria"/>
        </w:rPr>
        <w:t xml:space="preserve">OA = Σᵢ nᵢᵢ / N</w:t>
      </w:r>
      <w:r>
        <w:t xml:space="preserve">	(Eq. 18)</w:t>
      </w:r>
    </w:p>
    <w:p>
      <w:pPr>
        <w:tabs>
          <w:tab w:val="center" w:pos="4153"/>
          <w:tab w:val="right" w:pos="8306"/>
        </w:tabs>
        <w:spacing w:after="120" w:before="80"/>
      </w:pPr>
      <w:r>
        <w:t xml:space="preserve">	</w:t>
      </w:r>
      <w:r>
        <w:rPr>
          <w:rFonts w:ascii="Cambria" w:cs="Cambria" w:eastAsia="Cambria" w:hAnsi="Cambria"/>
        </w:rPr>
        <w:t xml:space="preserve">Precision = TP / (TP + FP);   Recall (sensitivity) = TP / (TP + FN)</w:t>
      </w:r>
      <w:r>
        <w:t xml:space="preserve">	(Eq. 19)</w:t>
      </w:r>
    </w:p>
    <w:p>
      <w:pPr>
        <w:tabs>
          <w:tab w:val="center" w:pos="4153"/>
          <w:tab w:val="right" w:pos="8306"/>
        </w:tabs>
        <w:spacing w:after="120" w:before="80"/>
      </w:pPr>
      <w:r>
        <w:t xml:space="preserve">	</w:t>
      </w:r>
      <w:r>
        <w:rPr>
          <w:rFonts w:ascii="Cambria" w:cs="Cambria" w:eastAsia="Cambria" w:hAnsi="Cambria"/>
        </w:rPr>
        <w:t xml:space="preserve">Specificity = TN / (TN + FP)</w:t>
      </w:r>
      <w:r>
        <w:t xml:space="preserve">	(Eq. 20)</w:t>
      </w:r>
    </w:p>
    <w:p>
      <w:pPr>
        <w:tabs>
          <w:tab w:val="center" w:pos="4153"/>
          <w:tab w:val="right" w:pos="8306"/>
        </w:tabs>
        <w:spacing w:after="120" w:before="80"/>
      </w:pPr>
      <w:r>
        <w:t xml:space="preserve">	</w:t>
      </w:r>
      <w:r>
        <w:rPr>
          <w:rFonts w:ascii="Cambria" w:cs="Cambria" w:eastAsia="Cambria" w:hAnsi="Cambria"/>
        </w:rPr>
        <w:t xml:space="preserve">F1 = 2 · Precision · Recall / (Precision + Recall);   macro-F1 = (1/K) Σₖ F1ₖ</w:t>
      </w:r>
      <w:r>
        <w:t xml:space="preserve">	(Eq. 21)</w:t>
      </w:r>
    </w:p>
    <w:p>
      <w:pPr>
        <w:tabs>
          <w:tab w:val="center" w:pos="4153"/>
          <w:tab w:val="right" w:pos="8306"/>
        </w:tabs>
        <w:spacing w:after="120" w:before="80"/>
      </w:pPr>
      <w:r>
        <w:t xml:space="preserve">	</w:t>
      </w:r>
      <w:r>
        <w:rPr>
          <w:rFonts w:ascii="Cambria" w:cs="Cambria" w:eastAsia="Cambria" w:hAnsi="Cambria"/>
        </w:rPr>
        <w:t xml:space="preserve">κ = (pₒ − pₑ) / (1 − pₑ),   pₒ = Σᵢ nᵢᵢ / N,   pₑ = Σᵢ (nᵢ₊ · n₊ᵢ) / N²</w:t>
      </w:r>
      <w:r>
        <w:t xml:space="preserve">	(Eq. 22)</w:t>
      </w:r>
    </w:p>
    <w:p>
      <w:pPr>
        <w:spacing w:after="120" w:line="360"/>
        <w:jc w:val="both"/>
      </w:pPr>
      <w:r>
        <w:t xml:space="preserve">Producer’s and user’s accuracies per class should also be reported (Congalton, 1991). Kappa is reported for comparison with earlier studies but should not be the sole criterion (Pontius &amp; Millones, 2011). For regression:</w:t>
      </w:r>
    </w:p>
    <w:p>
      <w:pPr>
        <w:tabs>
          <w:tab w:val="center" w:pos="4153"/>
          <w:tab w:val="right" w:pos="8306"/>
        </w:tabs>
        <w:spacing w:after="120" w:before="80"/>
      </w:pPr>
      <w:r>
        <w:t xml:space="preserve">	</w:t>
      </w:r>
      <w:r>
        <w:rPr>
          <w:rFonts w:ascii="Cambria" w:cs="Cambria" w:eastAsia="Cambria" w:hAnsi="Cambria"/>
        </w:rPr>
        <w:t xml:space="preserve">R² = 1 − Σ (xᵢ − yᵢ)² / Σ (xᵢ − x̄)²;   RMSE = √[ Σ (xᵢ − yᵢ)² / n ];   RE (%) = RMSE / x̄ × 100</w:t>
      </w:r>
      <w:r>
        <w:t xml:space="preserve">	(Eq. 23)</w:t>
      </w:r>
    </w:p>
    <w:p>
      <w:pPr>
        <w:spacing w:after="120" w:line="360"/>
        <w:jc w:val="both"/>
      </w:pPr>
      <w:r>
        <w:t xml:space="preserve">where </w:t>
      </w:r>
      <w:r>
        <w:rPr>
          <w:i/>
          <w:iCs/>
        </w:rPr>
        <w:t xml:space="preserve">xᵢ</w:t>
      </w:r>
      <w:r>
        <w:t xml:space="preserve"> is the measured DI and </w:t>
      </w:r>
      <w:r>
        <w:rPr>
          <w:i/>
          <w:iCs/>
        </w:rPr>
        <w:t xml:space="preserve">yᵢ</w:t>
      </w:r>
      <w:r>
        <w:t xml:space="preserve"> the predicted DI. </w:t>
      </w:r>
      <w:r>
        <w:rPr>
          <w:b/>
          <w:bCs/>
        </w:rPr>
        <w:t xml:space="preserve">Comparing models:</w:t>
      </w:r>
      <w:r>
        <w:t xml:space="preserve"> use McNemar’s test on paired predictions (McNemar, 1947; Foody, 2004) or the corrected resampled t-test across CV repetitions (Nadeau &amp; Bengio, 2003).</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808080" w:sz="4"/>
              <w:bottom w:val="single" w:color="808080" w:sz="4"/>
              <w:right w:val="single" w:color="808080" w:sz="4"/>
            </w:tcBorders>
            <w:shd w:fill="FFF6DC" w:color="auto" w:val="clear"/>
            <w:tcMar>
              <w:top w:type="dxa" w:w="120"/>
              <w:left w:type="dxa" w:w="160"/>
              <w:bottom w:type="dxa" w:w="120"/>
              <w:right w:type="dxa" w:w="160"/>
            </w:tcMar>
          </w:tcPr>
          <w:p>
            <w:pPr>
              <w:spacing w:after="80"/>
            </w:pPr>
            <w:r>
              <w:rPr>
                <w:b/>
                <w:bCs/>
                <w:sz w:val="22"/>
                <w:szCs w:val="22"/>
              </w:rPr>
              <w:t xml:space="preserve">Correction to the ORW formulas</w:t>
            </w:r>
          </w:p>
          <w:p>
            <w:pPr>
              <w:spacing w:after="60" w:line="276"/>
              <w:jc w:val="both"/>
            </w:pPr>
            <w:r>
              <w:rPr>
                <w:sz w:val="21"/>
                <w:szCs w:val="21"/>
              </w:rPr>
              <w:t xml:space="preserve">The ORW write-up gives specificity as SP = 1 − FP/(TP + FP) and sensitivity as SN = 1 − FN/(TN + FN). These are not the standard definitions. Use Specificity = TN/(TN + FP) and Sensitivity = TP/(TP + FN) (Eq. 20 and Eq. 19 above).</w:t>
            </w:r>
          </w:p>
          <w:p>
            <w:pPr>
              <w:spacing w:after="60" w:line="276"/>
              <w:jc w:val="both"/>
            </w:pPr>
            <w:r>
              <w:rPr>
                <w:sz w:val="21"/>
                <w:szCs w:val="21"/>
              </w:rPr>
              <w:t xml:space="preserve">The kappa formula in the ORW is the two-class form. For six severity classes use the general form κ = (pₒ − pₑ)/(1 − pₑ) (Eq. 22).</w:t>
            </w:r>
          </w:p>
        </w:tc>
      </w:tr>
    </w:tbl>
    <w:p>
      <w:pPr>
        <w:spacing w:after="60"/>
      </w:pPr>
    </w:p>
    <w:p>
      <w:pPr>
        <w:pStyle w:val="Heading1"/>
        <w:pageBreakBefore/>
      </w:pPr>
      <w:r>
        <w:t xml:space="preserve">5. Phase 3: Multimodal feature-level fusion and severity mapping (Activity 2.2)</w:t>
      </w:r>
    </w:p>
    <w:p>
      <w:pPr>
        <w:pStyle w:val="Heading2"/>
      </w:pPr>
      <w:r>
        <w:t xml:space="preserve">5.1 Aim and choice of fusion level</w:t>
      </w:r>
    </w:p>
    <w:p>
      <w:pPr>
        <w:spacing w:after="120" w:line="360"/>
        <w:jc w:val="both"/>
      </w:pPr>
      <w:r>
        <w:rPr>
          <w:b/>
          <w:bCs/>
        </w:rPr>
        <w:t xml:space="preserve">Aim:</w:t>
      </w:r>
      <w:r>
        <w:t xml:space="preserve"> to find the combination of features across sensors that classifies severity best, and to quantify the gain over the best single sensor. This is the second use of SFFS, now over the pooled feature space.</w:t>
      </w:r>
    </w:p>
    <w:p>
      <w:pPr>
        <w:spacing w:after="120" w:line="360"/>
        <w:jc w:val="both"/>
      </w:pPr>
      <w:r>
        <w:t xml:space="preserve">Multisensor fusion can be done at three levels (Hall &amp; Llinas, 1997; Zhang, 2010): </w:t>
      </w:r>
      <w:r>
        <w:rPr>
          <w:b/>
          <w:bCs/>
        </w:rPr>
        <w:t xml:space="preserve">data (pixel) level</w:t>
      </w:r>
      <w:r>
        <w:t xml:space="preserve">, where co-registered images are stacked before features are extracted; </w:t>
      </w:r>
      <w:r>
        <w:rPr>
          <w:b/>
          <w:bCs/>
        </w:rPr>
        <w:t xml:space="preserve">feature level</w:t>
      </w:r>
      <w:r>
        <w:t xml:space="preserve">, where features extracted from each sensor are concatenated; and </w:t>
      </w:r>
      <w:r>
        <w:rPr>
          <w:b/>
          <w:bCs/>
        </w:rPr>
        <w:t xml:space="preserve">decision level</w:t>
      </w:r>
      <w:r>
        <w:t xml:space="preserve">, where separate per-sensor models vote or are stacked. Feature-level fusion is chosen because (i) the sensors have very different spatial resolutions, which makes pixel-level stacking error-prone; (ii) plot-level DSFs are already physically interpretable, so the fused model can be explained in terms of Phase 1 features; and (iii) with 72 plots, tabular feature-level models are far less data-hungry than image-level deep networks. Decision-level fusion is evaluated as a benchmark (Chapter 7).</w:t>
      </w:r>
    </w:p>
    <w:p>
      <w:pPr>
        <w:keepNext/>
        <w:spacing w:after="80" w:before="160"/>
        <w:jc w:val="center"/>
      </w:pPr>
      <w:r>
        <w:rPr>
          <w:b/>
          <w:bCs/>
          <w:sz w:val="22"/>
          <w:szCs w:val="22"/>
        </w:rPr>
        <w:t xml:space="preserve">Table 5.1: Fusion scenarios (from the ORW write-up)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7"/>
        <w:gridCol w:w="3322"/>
        <w:gridCol w:w="3987"/>
      </w:tblGrid>
      <w:tr>
        <w:trPr>
          <w:cantSplit/>
          <w:tblHeader/>
        </w:trPr>
        <w:tc>
          <w:tcPr>
            <w:tcW w:type="dxa" w:w="99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Scenario</w:t>
            </w:r>
          </w:p>
        </w:tc>
        <w:tc>
          <w:tcPr>
            <w:tcW w:type="dxa" w:w="3322"/>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Sensors combined</w:t>
            </w:r>
          </w:p>
        </w:tc>
        <w:tc>
          <w:tcPr>
            <w:tcW w:type="dxa" w:w="398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Question answered</w:t>
            </w:r>
          </w:p>
        </w:tc>
      </w:tr>
      <w:tr>
        <w:trPr>
          <w:cantSplit/>
        </w:trPr>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F1</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RGB + Thermal</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Does low-cost texture plus temperature suffice?</w:t>
            </w:r>
          </w:p>
        </w:tc>
      </w:tr>
      <w:tr>
        <w:trPr>
          <w:cantSplit/>
        </w:trPr>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F2</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Multispectral + Thermal</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 practical, affordable payload</w:t>
            </w:r>
          </w:p>
        </w:tc>
      </w:tr>
      <w:tr>
        <w:trPr>
          <w:cantSplit/>
        </w:trPr>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F3</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Hyperspectral + Thermal</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Best spectral detail plus physiology</w:t>
            </w:r>
          </w:p>
        </w:tc>
      </w:tr>
      <w:tr>
        <w:trPr>
          <w:cantSplit/>
        </w:trPr>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F4</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RGB + Multispectral + Hyperspectral + Thermal</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Upper bound of the full sensor suite</w:t>
            </w:r>
          </w:p>
        </w:tc>
      </w:tr>
    </w:tbl>
    <w:p>
      <w:pPr>
        <w:spacing w:after="60"/>
      </w:pPr>
    </w:p>
    <w:p>
      <w:pPr>
        <w:pStyle w:val="Heading2"/>
      </w:pPr>
      <w:r>
        <w:t xml:space="preserve">5.2 Steps of Phase 3</w:t>
      </w:r>
    </w:p>
    <w:p>
      <w:pPr>
        <w:keepNext/>
        <w:spacing w:after="80" w:before="160"/>
        <w:jc w:val="center"/>
      </w:pPr>
      <w:r>
        <w:rPr>
          <w:b/>
          <w:bCs/>
          <w:sz w:val="22"/>
          <w:szCs w:val="22"/>
        </w:rPr>
        <w:t xml:space="preserve">Table 5.2: Steps of Phase 3 (repeated for each fusion scenario)</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64"/>
        <w:gridCol w:w="4319"/>
        <w:gridCol w:w="997"/>
        <w:gridCol w:w="2326"/>
      </w:tblGrid>
      <w:tr>
        <w:trPr>
          <w:cantSplit/>
          <w:tblHeader/>
        </w:trPr>
        <w:tc>
          <w:tcPr>
            <w:tcW w:type="dxa" w:w="664"/>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Step</w:t>
            </w:r>
          </w:p>
        </w:tc>
        <w:tc>
          <w:tcPr>
            <w:tcW w:type="dxa" w:w="4319"/>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Action</w:t>
            </w:r>
          </w:p>
        </w:tc>
        <w:tc>
          <w:tcPr>
            <w:tcW w:type="dxa" w:w="99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Uses labels?</w:t>
            </w:r>
          </w:p>
        </w:tc>
        <w:tc>
          <w:tcPr>
            <w:tcW w:type="dxa" w:w="232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Key references</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3.1</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Concatenate the candidate DSFs of the sensors in the scenario into one plot-level matrix</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Mustafa et al. (2023)</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3.2</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Pooled, relevance-guided VIF (&lt; 10) to remove cross-sensor redundancy</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Dormann et al. (2013)</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3.3</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Normalisation (training folds only)</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3.4</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SFFS per classifier → fused OFC; identify robust cross-classifier features</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Pudil et al. (1994); Tian et al. (2021)</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3.5</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Classification and regression; fusion gain; SHAP explanation</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Lundberg &amp; Lee (2017)</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3.6</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Severity map and spray-decision map</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3.7</w:t>
            </w:r>
          </w:p>
        </w:tc>
        <w:tc>
          <w:tcPr>
            <w:tcW w:type="dxa" w:w="4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External validation at Tier 1 and Tier 2</w:t>
            </w:r>
          </w:p>
        </w:tc>
        <w:tc>
          <w:tcPr>
            <w:tcW w:type="dxa" w:w="9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Roberts et al. (2017)</w:t>
            </w:r>
          </w:p>
        </w:tc>
      </w:tr>
    </w:tbl>
    <w:p>
      <w:pPr>
        <w:spacing w:after="60"/>
      </w:pPr>
    </w:p>
    <w:p>
      <w:pPr>
        <w:pStyle w:val="Heading2"/>
      </w:pPr>
      <w:r>
        <w:t xml:space="preserve">5.3 Step 3.1: Concatenation</w:t>
      </w:r>
    </w:p>
    <w:p>
      <w:pPr>
        <w:spacing w:after="120" w:line="360"/>
        <w:jc w:val="both"/>
      </w:pPr>
      <w:r>
        <w:t xml:space="preserve">For every plot-date observation, place the candidate DSFs of all sensors in the scenario side by side, keyed by plot ID and date. All features must refer to the same crop pixels of the same plot (common mask and polygon; Section 2.4). Name each column with a sensor prefix (e.g., </w:t>
      </w:r>
      <w:r>
        <w:rPr>
          <w:rFonts w:ascii="Courier New" w:cs="Courier New" w:eastAsia="Courier New" w:hAnsi="Courier New"/>
          <w:sz w:val="20"/>
          <w:szCs w:val="20"/>
        </w:rPr>
        <w:t xml:space="preserve">MS_NDRE</w:t>
      </w:r>
      <w:r>
        <w:t xml:space="preserve">, </w:t>
      </w:r>
      <w:r>
        <w:rPr>
          <w:rFonts w:ascii="Courier New" w:cs="Courier New" w:eastAsia="Courier New" w:hAnsi="Courier New"/>
          <w:sz w:val="20"/>
          <w:szCs w:val="20"/>
        </w:rPr>
        <w:t xml:space="preserve">HS_PRI</w:t>
      </w:r>
      <w:r>
        <w:t xml:space="preserve">, </w:t>
      </w:r>
      <w:r>
        <w:rPr>
          <w:rFonts w:ascii="Courier New" w:cs="Courier New" w:eastAsia="Courier New" w:hAnsi="Courier New"/>
          <w:sz w:val="20"/>
          <w:szCs w:val="20"/>
        </w:rPr>
        <w:t xml:space="preserve">TIR_CTD</w:t>
      </w:r>
      <w:r>
        <w:t xml:space="preserve">, </w:t>
      </w:r>
      <w:r>
        <w:rPr>
          <w:rFonts w:ascii="Courier New" w:cs="Courier New" w:eastAsia="Courier New" w:hAnsi="Courier New"/>
          <w:sz w:val="20"/>
          <w:szCs w:val="20"/>
        </w:rPr>
        <w:t xml:space="preserve">RGB_R_entropy</w:t>
      </w:r>
      <w:r>
        <w:t xml:space="preserve">) so that sensor contributions can be traced later.</w:t>
      </w:r>
    </w:p>
    <w:p>
      <w:pPr>
        <w:pStyle w:val="Heading2"/>
      </w:pPr>
      <w:r>
        <w:t xml:space="preserve">5.4 Step 3.2: Pooled VIF</w:t>
      </w:r>
    </w:p>
    <w:p>
      <w:pPr>
        <w:spacing w:after="120" w:line="360"/>
        <w:jc w:val="both"/>
      </w:pPr>
      <w:r>
        <w:t xml:space="preserve">Apply the relevance-guided VIF of Section 4.2.1 to the pooled table. This step is not redundant with Phase 2: per-sensor VIF cannot see redundancy </w:t>
      </w:r>
      <w:r>
        <w:rPr>
          <w:b/>
          <w:bCs/>
        </w:rPr>
        <w:t xml:space="preserve">between</w:t>
      </w:r>
      <w:r>
        <w:t xml:space="preserve"> sensors, such as NDVI from the multispectral camera and the same index from the hyperspectral imager, or red-edge chlorophyll indices from both. The number of pooled features should stay well below the number of independent plots; if it does not, tighten the Phase 1 consensus rule rather than relaxing VIF (O’Brien, 2007).</w:t>
      </w:r>
    </w:p>
    <w:p>
      <w:pPr>
        <w:pStyle w:val="Heading2"/>
      </w:pPr>
      <w:r>
        <w:t xml:space="preserve">5.5 Step 3.3: Normalisation</w:t>
      </w:r>
    </w:p>
    <w:p>
      <w:pPr>
        <w:spacing w:after="120" w:line="360"/>
        <w:jc w:val="both"/>
      </w:pPr>
      <w:r>
        <w:t xml:space="preserve">As in Section 4.3, fitted on the training folds only. Normalisation is essential here because the pooled table mixes reflectance indices, textures and temperatures.</w:t>
      </w:r>
    </w:p>
    <w:p>
      <w:pPr>
        <w:pStyle w:val="Heading2"/>
      </w:pPr>
      <w:r>
        <w:t xml:space="preserve">5.6 Step 3.4: SFFS on the fused features</w:t>
      </w:r>
    </w:p>
    <w:p>
      <w:pPr>
        <w:spacing w:after="120" w:line="360"/>
        <w:jc w:val="both"/>
      </w:pPr>
      <w:r>
        <w:t xml:space="preserve">Run SFFS (Section 4.4) on the pooled, normalised features separately for each classifier, giving </w:t>
      </w:r>
      <w:r>
        <w:rPr>
          <w:b/>
          <w:bCs/>
        </w:rPr>
        <w:t xml:space="preserve">OFC_F_RF, OFC_F_SVM and OFC_F_KNN</w:t>
      </w:r>
      <w:r>
        <w:t xml:space="preserve"> for each fusion scenario. The floating step is particularly useful here: a feature that is strong on its own may become redundant once a complementary feature from another sensor is in the subset, and the exclusion step can then remove it.</w:t>
      </w:r>
    </w:p>
    <w:p>
      <w:pPr>
        <w:spacing w:after="120" w:line="360"/>
        <w:jc w:val="both"/>
      </w:pPr>
      <w:r>
        <w:rPr>
          <w:b/>
          <w:bCs/>
        </w:rPr>
        <w:t xml:space="preserve">Robust cross-classifier features</w:t>
      </w:r>
      <w:r>
        <w:t xml:space="preserve"> (ORW, Activity 2.2): list the features that appear in at least two of the three fused OFCs. These are the most defensible multimodal DSFs and the best candidates for a simplified operational model.</w:t>
      </w:r>
    </w:p>
    <w:p>
      <w:pPr>
        <w:pStyle w:val="Heading2"/>
      </w:pPr>
      <w:r>
        <w:t xml:space="preserve">5.7 Step 3.5: Classification, fusion gain and explanation</w:t>
      </w:r>
    </w:p>
    <w:p>
      <w:pPr>
        <w:pStyle w:val="ListParagraph"/>
        <w:numPr>
          <w:ilvl w:val="0"/>
          <w:numId w:val="14"/>
        </w:numPr>
        <w:spacing w:after="60" w:line="312"/>
        <w:jc w:val="both"/>
      </w:pPr>
      <w:r>
        <w:t xml:space="preserve">Train and evaluate RF, SVM and KNN on their fused OFCs with the tasks and metrics of Sections 4.5–4.6.</w:t>
      </w:r>
    </w:p>
    <w:p>
      <w:pPr>
        <w:pStyle w:val="ListParagraph"/>
        <w:numPr>
          <w:ilvl w:val="0"/>
          <w:numId w:val="14"/>
        </w:numPr>
        <w:spacing w:after="60" w:line="312"/>
        <w:jc w:val="both"/>
      </w:pPr>
      <w:r>
        <w:t xml:space="preserve">Compute the fusion gain for each classifier and scenario (Eq. 24) and test it with McNemar’s test or the corrected resampled t-test (Section 4.6).</w:t>
      </w:r>
    </w:p>
    <w:p>
      <w:pPr>
        <w:pStyle w:val="ListParagraph"/>
        <w:numPr>
          <w:ilvl w:val="0"/>
          <w:numId w:val="14"/>
        </w:numPr>
        <w:spacing w:after="60" w:line="312"/>
        <w:jc w:val="both"/>
      </w:pPr>
      <w:r>
        <w:t xml:space="preserve">Explain the best model with SHAP values (Lundberg &amp; Lee, 2017): TreeSHAP for RF (Lundberg et al., 2020) and Kernel SHAP for SVM and KNN. Each prediction is decomposed as f(x) = φ₀ + Σⱼ φⱼ. Summing mean |φⱼ| over the features of each sensor gives that sensor’s contribution (Eq. 25).</w:t>
      </w:r>
    </w:p>
    <w:p>
      <w:pPr>
        <w:pStyle w:val="ListParagraph"/>
        <w:numPr>
          <w:ilvl w:val="0"/>
          <w:numId w:val="14"/>
        </w:numPr>
        <w:spacing w:after="60" w:line="312"/>
        <w:jc w:val="both"/>
      </w:pPr>
      <w:r>
        <w:t xml:space="preserve">Link the SHAP ranking back to the Phase 1 physiological clusters, so that the model can be explained in biological terms.</w:t>
      </w:r>
    </w:p>
    <w:p>
      <w:pPr>
        <w:tabs>
          <w:tab w:val="center" w:pos="4153"/>
          <w:tab w:val="right" w:pos="8306"/>
        </w:tabs>
        <w:spacing w:after="120" w:before="80"/>
      </w:pPr>
      <w:r>
        <w:t xml:space="preserve">	</w:t>
      </w:r>
      <w:r>
        <w:rPr>
          <w:rFonts w:ascii="Cambria" w:cs="Cambria" w:eastAsia="Cambria" w:hAnsi="Cambria"/>
        </w:rPr>
        <w:t xml:space="preserve">Fusion gain (ΔOA) = OA_fusion − max over sensors (OA_single sensor)</w:t>
      </w:r>
      <w:r>
        <w:t xml:space="preserve">	(Eq. 24)</w:t>
      </w:r>
    </w:p>
    <w:p>
      <w:pPr>
        <w:tabs>
          <w:tab w:val="center" w:pos="4153"/>
          <w:tab w:val="right" w:pos="8306"/>
        </w:tabs>
        <w:spacing w:after="120" w:before="80"/>
      </w:pPr>
      <w:r>
        <w:t xml:space="preserve">	</w:t>
      </w:r>
      <w:r>
        <w:rPr>
          <w:rFonts w:ascii="Cambria" w:cs="Cambria" w:eastAsia="Cambria" w:hAnsi="Cambria"/>
        </w:rPr>
        <w:t xml:space="preserve">Contribution of sensor s = Σ_{j ∈ s} mean |φⱼ|  /  Σ_{all j} mean |φⱼ|</w:t>
      </w:r>
      <w:r>
        <w:t xml:space="preserve">	(Eq. 25)</w:t>
      </w:r>
    </w:p>
    <w:p>
      <w:pPr>
        <w:pStyle w:val="Heading2"/>
      </w:pPr>
      <w:r>
        <w:t xml:space="preserve">5.8 Step 3.6: Severity map and spray-decision map</w:t>
      </w:r>
    </w:p>
    <w:p>
      <w:pPr>
        <w:pStyle w:val="ListParagraph"/>
        <w:numPr>
          <w:ilvl w:val="0"/>
          <w:numId w:val="15"/>
        </w:numPr>
        <w:spacing w:after="60" w:line="312"/>
        <w:jc w:val="both"/>
      </w:pPr>
      <w:r>
        <w:t xml:space="preserve">Retrain the best model (classifier and scenario) on all training data with its chosen OFC and hyperparameters.</w:t>
      </w:r>
    </w:p>
    <w:p>
      <w:pPr>
        <w:pStyle w:val="ListParagraph"/>
        <w:numPr>
          <w:ilvl w:val="0"/>
          <w:numId w:val="15"/>
        </w:numPr>
        <w:spacing w:after="60" w:line="312"/>
        <w:jc w:val="both"/>
      </w:pPr>
      <w:r>
        <w:t xml:space="preserve">For each new flight, run pre-processing and feature extraction (Sections 2.4 and 3.2) for the OFC features only, and predict the severity class of every plot (or of every management grid cell in a farmer’s field).</w:t>
      </w:r>
    </w:p>
    <w:p>
      <w:pPr>
        <w:pStyle w:val="ListParagraph"/>
        <w:numPr>
          <w:ilvl w:val="0"/>
          <w:numId w:val="15"/>
        </w:numPr>
        <w:spacing w:after="60" w:line="312"/>
        <w:jc w:val="both"/>
      </w:pPr>
      <w:r>
        <w:t xml:space="preserve">Map the predicted classes (0–5) as the severity map.</w:t>
      </w:r>
    </w:p>
    <w:p>
      <w:pPr>
        <w:pStyle w:val="ListParagraph"/>
        <w:numPr>
          <w:ilvl w:val="0"/>
          <w:numId w:val="15"/>
        </w:numPr>
        <w:spacing w:after="60" w:line="312"/>
        <w:jc w:val="both"/>
      </w:pPr>
      <w:r>
        <w:t xml:space="preserve">Translate the classes into a three-zone spray-decision map: </w:t>
      </w:r>
      <w:r>
        <w:rPr>
          <w:b/>
          <w:bCs/>
        </w:rPr>
        <w:t xml:space="preserve">green</w:t>
      </w:r>
      <w:r>
        <w:t xml:space="preserve"> (healthy or very low: no spray needed now; re-survey), </w:t>
      </w:r>
      <w:r>
        <w:rPr>
          <w:b/>
          <w:bCs/>
        </w:rPr>
        <w:t xml:space="preserve">amber</w:t>
      </w:r>
      <w:r>
        <w:t xml:space="preserve"> (low to moderate: spray at the recommended label dose), </w:t>
      </w:r>
      <w:r>
        <w:rPr>
          <w:b/>
          <w:bCs/>
        </w:rPr>
        <w:t xml:space="preserve">red</w:t>
      </w:r>
      <w:r>
        <w:t xml:space="preserve"> (high to very high, or staghead present: protection is too late; record and plan management for the next season). The class-to-zone boundaries must be fixed with plant pathologists before deployment.</w:t>
      </w:r>
    </w:p>
    <w:p>
      <w:pPr>
        <w:pStyle w:val="ListParagraph"/>
        <w:numPr>
          <w:ilvl w:val="0"/>
          <w:numId w:val="15"/>
        </w:numPr>
        <w:spacing w:after="60" w:line="312"/>
        <w:jc w:val="both"/>
      </w:pPr>
      <w:r>
        <w:t xml:space="preserve">The fungicide dose stays at the label rate in every sprayed zone (for example, as per ICAR–DRMR recommendations for white rust); severity decides </w:t>
      </w:r>
      <w:r>
        <w:rPr>
          <w:b/>
          <w:bCs/>
        </w:rPr>
        <w:t xml:space="preserve">where</w:t>
      </w:r>
      <w:r>
        <w:t xml:space="preserve"> to spray, not </w:t>
      </w:r>
      <w:r>
        <w:rPr>
          <w:b/>
          <w:bCs/>
        </w:rPr>
        <w:t xml:space="preserve">how much</w:t>
      </w:r>
      <w:r>
        <w:t xml:space="preserve">. Verify the current product and dose recommendations before deployment.</w:t>
      </w:r>
    </w:p>
    <w:p>
      <w:pPr>
        <w:pStyle w:val="Heading2"/>
      </w:pPr>
      <w:r>
        <w:t xml:space="preserve">5.9 Step 3.7: External validation</w:t>
      </w:r>
    </w:p>
    <w:p>
      <w:pPr>
        <w:spacing w:after="120" w:line="360"/>
        <w:jc w:val="both"/>
      </w:pPr>
      <w:r>
        <w:rPr>
          <w:b/>
          <w:bCs/>
        </w:rPr>
        <w:t xml:space="preserve">Tier 0</w:t>
      </w:r>
      <w:r>
        <w:t xml:space="preserve"> is the nested cross-validation at IARI (Chapter 6). </w:t>
      </w:r>
      <w:r>
        <w:rPr>
          <w:b/>
          <w:bCs/>
        </w:rPr>
        <w:t xml:space="preserve">Tier 1</w:t>
      </w:r>
      <w:r>
        <w:t xml:space="preserve">: apply the final model, without retraining, to the IIRMR Research Farm, Bharatpur (local varieties, different soil and climate), and report the same metrics. </w:t>
      </w:r>
      <w:r>
        <w:rPr>
          <w:b/>
          <w:bCs/>
        </w:rPr>
        <w:t xml:space="preserve">Tier 2</w:t>
      </w:r>
      <w:r>
        <w:t xml:space="preserve">: apply the best model to adjoining farmers’ fields with ground-truth scoring of a sample of plots. A drop in accuracy from Tier 0 to Tiers 1–2 measures sensitivity to site and variety; examine misclassified plots and the distribution of key DSFs to diagnose the cause before any recalibration.</w:t>
      </w:r>
    </w:p>
    <w:p>
      <w:pPr>
        <w:pStyle w:val="Heading1"/>
        <w:pageBreakBefore/>
      </w:pPr>
      <w:r>
        <w:t xml:space="preserve">6. Validation design and safeguards against optimistic bias</w:t>
      </w:r>
    </w:p>
    <w:p>
      <w:pPr>
        <w:pStyle w:val="Heading2"/>
      </w:pPr>
      <w:r>
        <w:t xml:space="preserve">6.1 Why nested, grouped cross-validation</w:t>
      </w:r>
    </w:p>
    <w:p>
      <w:pPr>
        <w:spacing w:after="120" w:line="360"/>
        <w:jc w:val="both"/>
      </w:pPr>
      <w:r>
        <w:t xml:space="preserve">If any step that uses labels (statistical screening, ReliefF, Boruta, SFFS, hyperparameter tuning) sees the observations later used for testing, the reported accuracy is optimistically biased, sometimes severely (Ambroise &amp; McLachlan, 2002; Varma &amp; Simon, 2006; Cawley &amp; Talbot, 2010). With repeated dates on the same plot, splitting by observation also leaks information, because the same plot appears in both training and test sets (Roberts et al., 2017).</w:t>
      </w:r>
    </w:p>
    <w:p>
      <w:pPr>
        <w:pStyle w:val="Heading2"/>
      </w:pPr>
      <w:r>
        <w:t xml:space="preserve">6.2 The design</w:t>
      </w:r>
    </w:p>
    <w:p>
      <w:pPr>
        <w:pStyle w:val="ListParagraph"/>
        <w:numPr>
          <w:ilvl w:val="0"/>
          <w:numId w:val="16"/>
        </w:numPr>
        <w:spacing w:after="60" w:line="312"/>
        <w:jc w:val="both"/>
      </w:pPr>
      <w:r>
        <w:rPr>
          <w:b/>
          <w:bCs/>
        </w:rPr>
        <w:t xml:space="preserve">Outer loop (performance estimate):</w:t>
      </w:r>
      <w:r>
        <w:t xml:space="preserve"> 5-fold cross-validation grouped by plot (all dates of a plot fall in the same fold), stratified by treatment where possible. Alternative: leave-one-replication-out, which also respects the block structure.</w:t>
      </w:r>
    </w:p>
    <w:p>
      <w:pPr>
        <w:pStyle w:val="ListParagraph"/>
        <w:numPr>
          <w:ilvl w:val="0"/>
          <w:numId w:val="16"/>
        </w:numPr>
        <w:spacing w:after="60" w:line="312"/>
        <w:jc w:val="both"/>
      </w:pPr>
      <w:r>
        <w:rPr>
          <w:b/>
          <w:bCs/>
        </w:rPr>
        <w:t xml:space="preserve">Inner loop (selection and tuning):</w:t>
      </w:r>
      <w:r>
        <w:t xml:space="preserve"> within each outer training set, a second grouped 5-fold CV is used by SFFS and for hyperparameter tuning.</w:t>
      </w:r>
    </w:p>
    <w:p>
      <w:pPr>
        <w:pStyle w:val="ListParagraph"/>
        <w:numPr>
          <w:ilvl w:val="0"/>
          <w:numId w:val="16"/>
        </w:numPr>
        <w:spacing w:after="60" w:line="312"/>
        <w:jc w:val="both"/>
      </w:pPr>
      <w:r>
        <w:t xml:space="preserve">Phase 1 supervised steps (1.3–1.7) are re-run inside each outer training set. The DSFs reported in the thesis for Objective 1 come from the full dataset; the DSFs used for the Objective 2 accuracy estimate come from each outer training set.</w:t>
      </w:r>
    </w:p>
    <w:p>
      <w:pPr>
        <w:pStyle w:val="ListParagraph"/>
        <w:numPr>
          <w:ilvl w:val="0"/>
          <w:numId w:val="16"/>
        </w:numPr>
        <w:spacing w:after="60" w:line="312"/>
        <w:jc w:val="both"/>
      </w:pPr>
      <w:r>
        <w:t xml:space="preserve">Repeat the whole outer loop 10 times with different random fold assignments and report the mean and standard deviation of every metric.</w:t>
      </w:r>
    </w:p>
    <w:p>
      <w:pPr>
        <w:pStyle w:val="ListParagraph"/>
        <w:numPr>
          <w:ilvl w:val="0"/>
          <w:numId w:val="16"/>
        </w:numPr>
        <w:spacing w:after="60" w:line="312"/>
        <w:jc w:val="both"/>
      </w:pPr>
      <w:r>
        <w:t xml:space="preserve">Report the features selected in each outer fold and their selection frequency, as a measure of stability.</w:t>
      </w:r>
    </w:p>
    <w:p>
      <w:pPr>
        <w:keepNext/>
        <w:spacing w:after="80" w:before="160"/>
        <w:jc w:val="center"/>
      </w:pPr>
      <w:r>
        <w:rPr>
          <w:b/>
          <w:bCs/>
          <w:sz w:val="22"/>
          <w:szCs w:val="22"/>
        </w:rPr>
        <w:t xml:space="preserve">Table 6.1: Where each step runs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738"/>
        <w:gridCol w:w="1661"/>
        <w:gridCol w:w="2907"/>
      </w:tblGrid>
      <w:tr>
        <w:trPr>
          <w:cantSplit/>
          <w:tblHeader/>
        </w:trPr>
        <w:tc>
          <w:tcPr>
            <w:tcW w:type="dxa" w:w="3738"/>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Step</w:t>
            </w:r>
          </w:p>
        </w:tc>
        <w:tc>
          <w:tcPr>
            <w:tcW w:type="dxa" w:w="166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Uses labels?</w:t>
            </w:r>
          </w:p>
        </w:tc>
        <w:tc>
          <w:tcPr>
            <w:tcW w:type="dxa" w:w="290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Fitted on</w:t>
            </w:r>
          </w:p>
        </w:tc>
      </w:tr>
      <w:tr>
        <w:trPr>
          <w:cantSplit/>
        </w:trPr>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1.1 Feature extraction, 1.2 quality control</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All data (no label information involved)</w:t>
            </w:r>
          </w:p>
        </w:tc>
      </w:tr>
      <w:tr>
        <w:trPr>
          <w:cantSplit/>
        </w:trPr>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1.3–1.7 Screening, JM, ReliefF, RF importance, Boruta, consensus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Outer training folds only (for accuracy estimates)</w:t>
            </w:r>
          </w:p>
        </w:tc>
      </w:tr>
      <w:tr>
        <w:trPr>
          <w:cantSplit/>
        </w:trPr>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2.1 / 3.2 VIF</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 but uses the Phase 1 ranking</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Outer training folds only</w:t>
            </w:r>
          </w:p>
        </w:tc>
      </w:tr>
      <w:tr>
        <w:trPr>
          <w:cantSplit/>
        </w:trPr>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2.2 / 3.3 Normalisation</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Training folds only, then applied to the test fold</w:t>
            </w:r>
          </w:p>
        </w:tc>
      </w:tr>
      <w:tr>
        <w:trPr>
          <w:cantSplit/>
        </w:trPr>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2.3 / 3.4 SFFS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Inner CV within the outer training fold</w:t>
            </w:r>
          </w:p>
        </w:tc>
      </w:tr>
      <w:tr>
        <w:trPr>
          <w:cantSplit/>
        </w:trPr>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Hyperparameter tuning</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Yes</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Inner CV within the outer training fold</w:t>
            </w:r>
          </w:p>
        </w:tc>
      </w:tr>
      <w:tr>
        <w:trPr>
          <w:cantSplit/>
        </w:trPr>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Final evaluation</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Outer test fold (never used for any choice)</w:t>
            </w:r>
          </w:p>
        </w:tc>
      </w:tr>
    </w:tbl>
    <w:p>
      <w:pPr>
        <w:spacing w:after="60"/>
      </w:pPr>
    </w:p>
    <w:p>
      <w:pPr>
        <w:pStyle w:val="Heading2"/>
      </w:pPr>
      <w:r>
        <w:t xml:space="preserve">6.3 Leakage checklist</w:t>
      </w:r>
    </w:p>
    <w:p>
      <w:pPr>
        <w:pStyle w:val="ListParagraph"/>
        <w:numPr>
          <w:ilvl w:val="0"/>
          <w:numId w:val="4"/>
        </w:numPr>
        <w:spacing w:after="60" w:line="312"/>
        <w:jc w:val="both"/>
      </w:pPr>
      <w:r>
        <w:t xml:space="preserve">Folds are defined by plot ID, not by observation, date or pixel.</w:t>
      </w:r>
    </w:p>
    <w:p>
      <w:pPr>
        <w:pStyle w:val="ListParagraph"/>
        <w:numPr>
          <w:ilvl w:val="0"/>
          <w:numId w:val="4"/>
        </w:numPr>
        <w:spacing w:after="60" w:line="312"/>
        <w:jc w:val="both"/>
      </w:pPr>
      <w:r>
        <w:t xml:space="preserve">No statistic, threshold, scaler, feature subset or hyperparameter is computed using a test fold.</w:t>
      </w:r>
    </w:p>
    <w:p>
      <w:pPr>
        <w:pStyle w:val="ListParagraph"/>
        <w:numPr>
          <w:ilvl w:val="0"/>
          <w:numId w:val="4"/>
        </w:numPr>
        <w:spacing w:after="60" w:line="312"/>
        <w:jc w:val="both"/>
      </w:pPr>
      <w:r>
        <w:t xml:space="preserve">Oversampling, if used, is applied inside training folds only.</w:t>
      </w:r>
    </w:p>
    <w:p>
      <w:pPr>
        <w:pStyle w:val="ListParagraph"/>
        <w:numPr>
          <w:ilvl w:val="0"/>
          <w:numId w:val="4"/>
        </w:numPr>
        <w:spacing w:after="60" w:line="312"/>
        <w:jc w:val="both"/>
      </w:pPr>
      <w:r>
        <w:t xml:space="preserve">External validation data (Tiers 1–2) are never used for training or selection.</w:t>
      </w:r>
    </w:p>
    <w:p>
      <w:pPr>
        <w:pStyle w:val="ListParagraph"/>
        <w:numPr>
          <w:ilvl w:val="0"/>
          <w:numId w:val="4"/>
        </w:numPr>
        <w:spacing w:after="60" w:line="312"/>
        <w:jc w:val="both"/>
      </w:pPr>
      <w:r>
        <w:t xml:space="preserve">All thresholds (q, JM, VIF, consensus rule, maximum SFFS size) are fixed before the test results are examined.</w:t>
      </w:r>
    </w:p>
    <w:p>
      <w:pPr>
        <w:pStyle w:val="Heading1"/>
        <w:pageBreakBefore/>
      </w:pPr>
      <w:r>
        <w:t xml:space="preserve">7. Where other machine-learning and deep-learning models fit</w:t>
      </w:r>
    </w:p>
    <w:p>
      <w:pPr>
        <w:keepNext/>
        <w:spacing w:after="80" w:before="160"/>
        <w:jc w:val="center"/>
      </w:pPr>
      <w:r>
        <w:rPr>
          <w:b/>
          <w:bCs/>
          <w:sz w:val="22"/>
          <w:szCs w:val="22"/>
        </w:rPr>
        <w:t xml:space="preserve">Table 7.1: Insertion points for additional models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329"/>
        <w:gridCol w:w="1661"/>
        <w:gridCol w:w="3323"/>
      </w:tblGrid>
      <w:tr>
        <w:trPr>
          <w:cantSplit/>
          <w:tblHeader/>
        </w:trPr>
        <w:tc>
          <w:tcPr>
            <w:tcW w:type="dxa" w:w="199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Model family</w:t>
            </w:r>
          </w:p>
        </w:tc>
        <w:tc>
          <w:tcPr>
            <w:tcW w:type="dxa" w:w="1329"/>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Where it enters</w:t>
            </w:r>
          </w:p>
        </w:tc>
        <w:tc>
          <w:tcPr>
            <w:tcW w:type="dxa" w:w="1661"/>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Feature selection</w:t>
            </w:r>
          </w:p>
        </w:tc>
        <w:tc>
          <w:tcPr>
            <w:tcW w:type="dxa" w:w="332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Notes and references</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Other ML classifiers: XGBoost, LightGBM, PLS-DA, ELM, LS-SVM, BPNN, QDA</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Steps 2.4 and 3.5</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Own SFFS run per model (own OFC)</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Gradient boosting is often strongest on tabular data (Chen &amp; Guestrin, 2016; Ke et al., 2017); PLS-DA handles collinearity natively (Barker &amp; Rayens, 2003)</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RFE (RF-RFE, linear SVM-RFE)</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Steps 2.3 and 3.4</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Alternative wrapper</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Cross-check of SFFS; not usable with KNN (Guyon et al., 2002; Granitto et al., 2006)</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Tabular deep learning: MLP, TabNet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Step 3.5</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Built-in (TabNet attention) or SFFS</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On small tabular data, tree ensembles usually outperform DL (Grinsztajn et al., 2022); Arik &amp; Pfister (2021)</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Image-level CNNs: 2D/3D CNN on hyperspectral or multispectral patches</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Parallel benchmark branch</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Learned by the network; bypasses Phases 1–2</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Zhang et al. (2019); Nagasubramanian et al. (2019); needs many more labelled samples</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Multi-branch DL fusion (e.g., RustQNet-type encoders)</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Parallel benchmark branch</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Learned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Deng et al. (2024); Maimaitijiang et al. (2020)</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Decision-level fusion (stacking)</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After Step 2.4</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Per-sensor OFCs</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Per-sensor models as base learners, meta-learner on their outputs (Wolpert, 1992)</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PCA/ICA + genetic algorithm + feature-vector-based analysis</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Complementary analysis (ORW Activity 2.1)</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Components, not original features</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Muhammed &amp; Larsolle (2003); loses direct physical meaning of features</w:t>
            </w:r>
          </w:p>
        </w:tc>
      </w:tr>
    </w:tbl>
    <w:p>
      <w:pPr>
        <w:spacing w:after="60"/>
      </w:pPr>
    </w:p>
    <w:p>
      <w:pPr>
        <w:spacing w:after="120" w:line="360"/>
        <w:jc w:val="both"/>
      </w:pPr>
      <w:r>
        <w:t xml:space="preserve">Deep-learning models do not produce DSFs, so they cannot replace Objective 1. They are best presented as benchmarks against the interpretable pathway (DSF → OFC → ML). For the hackathon, the solution is presented with RF, SVM and KNN only; deep learning is mentioned as future work.</w:t>
      </w:r>
    </w:p>
    <w:p>
      <w:pPr>
        <w:pStyle w:val="Heading1"/>
        <w:pageBreakBefore/>
      </w:pPr>
      <w:r>
        <w:t xml:space="preserve">8. Implementation guide</w:t>
      </w:r>
    </w:p>
    <w:p>
      <w:pPr>
        <w:pStyle w:val="Heading2"/>
      </w:pPr>
      <w:r>
        <w:t xml:space="preserve">8.1 Software</w:t>
      </w:r>
    </w:p>
    <w:p>
      <w:pPr>
        <w:spacing w:after="120" w:line="360"/>
        <w:jc w:val="both"/>
      </w:pPr>
      <w:r>
        <w:t xml:space="preserve">The ORW specifies the R environment. Table 8.1 lists suitable R packages and Python equivalents.</w:t>
      </w:r>
    </w:p>
    <w:p>
      <w:pPr>
        <w:keepNext/>
        <w:spacing w:after="80" w:before="160"/>
        <w:jc w:val="center"/>
      </w:pPr>
      <w:r>
        <w:rPr>
          <w:b/>
          <w:bCs/>
          <w:sz w:val="22"/>
          <w:szCs w:val="22"/>
        </w:rPr>
        <w:t xml:space="preserve">Table 8.1: Software for each step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3156"/>
        <w:gridCol w:w="3157"/>
      </w:tblGrid>
      <w:tr>
        <w:trPr>
          <w:cantSplit/>
          <w:tblHeader/>
        </w:trPr>
        <w:tc>
          <w:tcPr>
            <w:tcW w:type="dxa" w:w="1993"/>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Step</w:t>
            </w:r>
          </w:p>
        </w:tc>
        <w:tc>
          <w:tcPr>
            <w:tcW w:type="dxa" w:w="315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R</w:t>
            </w:r>
          </w:p>
        </w:tc>
        <w:tc>
          <w:tcPr>
            <w:tcW w:type="dxa" w:w="3157"/>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Python</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Data handling, grouped CV, tuning</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caret (Kuhn, 2008): groupKFold, train</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scikit-learn (Pedregosa et al., 2011): StratifiedGroupKFold, GridSearchCV</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Statistics, FDR</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stats: aov, oneway.test, kruskal.test, p.adjust(method = "BH")</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scipy.stats; statsmodels multipletests</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ReliefF</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CORElearn: attrEval(estimator = "ReliefFequalK")</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skrebate: ReliefF</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RF importance, Boruta</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ranger (Wright &amp; Ziegler, 2017); Boruta</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sklearn permutation_importance; BorutaPy</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VIF</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car::vif or a custom loop (Section 8.3)</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statsmodels variance_inflation_factor</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SFFS</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Custom function (Section 8.4)</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mlxtend SequentialFeatureSelector(floating = True) (Raschka, 2018)</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Classifiers</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ranger, kernlab (Karatzoglou et al., 2004), kknn</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sklearn RandomForestClassifier, SVC, KNeighborsClassifier</w:t>
            </w:r>
          </w:p>
        </w:tc>
      </w:tr>
      <w:tr>
        <w:trPr>
          <w:cantSplit/>
        </w:trPr>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SHAP</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fastshap or kernelshap; shapviz for plots</w:t>
            </w:r>
          </w:p>
        </w:tc>
        <w:tc>
          <w:tcPr>
            <w:tcW w:type="dxa" w:w="315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shap</w:t>
            </w:r>
          </w:p>
        </w:tc>
      </w:tr>
    </w:tbl>
    <w:p>
      <w:pPr>
        <w:spacing w:after="60"/>
      </w:pPr>
    </w:p>
    <w:p>
      <w:pPr>
        <w:pStyle w:val="Heading2"/>
      </w:pPr>
      <w:r>
        <w:t xml:space="preserve">8.2 Phase 1 helpers (R)</w:t>
      </w:r>
    </w:p>
    <w:p>
      <w:pPr>
        <w:shd w:fill="F2F2F2" w:color="auto" w:val="clear"/>
        <w:spacing w:after="0" w:line="240"/>
      </w:pPr>
      <w:r>
        <w:rPr>
          <w:rFonts w:ascii="Courier New" w:cs="Courier New" w:eastAsia="Courier New" w:hAnsi="Courier New"/>
          <w:sz w:val="17"/>
          <w:szCs w:val="17"/>
        </w:rPr>
        <w:t xml:space="preserve"># df: one row per plot-date; columns: plot, date, class (factor 0-5), DI, features...</w:t>
      </w:r>
    </w:p>
    <w:p>
      <w:pPr>
        <w:shd w:fill="F2F2F2" w:color="auto" w:val="clear"/>
        <w:spacing w:after="0" w:line="240"/>
      </w:pPr>
      <w:r>
        <w:rPr>
          <w:rFonts w:ascii="Courier New" w:cs="Courier New" w:eastAsia="Courier New" w:hAnsi="Courier New"/>
          <w:sz w:val="17"/>
          <w:szCs w:val="17"/>
        </w:rPr>
        <w:t xml:space="preserve"># feats: character vector of feature names for ONE sensor</w:t>
      </w:r>
    </w:p>
    <w:p>
      <w:pPr>
        <w:shd w:fill="F2F2F2" w:color="auto" w:val="clear"/>
        <w:spacing w:after="0" w:line="240"/>
      </w:pPr>
      <w:r>
        <w:rPr>
          <w:rFonts w:ascii="Courier New" w:cs="Courier New" w:eastAsia="Courier New" w:hAnsi="Courier New"/>
          <w:sz w:val="17"/>
          <w:szCs w:val="17"/>
        </w:rPr>
        <w:t xml:space="preserve">library(CORElearn); library(ranger); library(Boruta)</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Step 1.3: Kruskal-Wallis (or Welch ANOVA) per feature with BH-FDR</w:t>
      </w:r>
    </w:p>
    <w:p>
      <w:pPr>
        <w:shd w:fill="F2F2F2" w:color="auto" w:val="clear"/>
        <w:spacing w:after="0" w:line="240"/>
      </w:pPr>
      <w:r>
        <w:rPr>
          <w:rFonts w:ascii="Courier New" w:cs="Courier New" w:eastAsia="Courier New" w:hAnsi="Courier New"/>
          <w:sz w:val="17"/>
          <w:szCs w:val="17"/>
        </w:rPr>
        <w:t xml:space="preserve">screen_features &lt;- function(d, feats) {</w:t>
      </w:r>
    </w:p>
    <w:p>
      <w:pPr>
        <w:shd w:fill="F2F2F2" w:color="auto" w:val="clear"/>
        <w:spacing w:after="0" w:line="240"/>
      </w:pPr>
      <w:r>
        <w:rPr>
          <w:rFonts w:ascii="Courier New" w:cs="Courier New" w:eastAsia="Courier New" w:hAnsi="Courier New"/>
          <w:sz w:val="17"/>
          <w:szCs w:val="17"/>
        </w:rPr>
        <w:t xml:space="preserve">  p &lt;- sapply(feats, function(f) kruskal.test(d[[f]] ~ d$class)$p.value)</w:t>
      </w:r>
    </w:p>
    <w:p>
      <w:pPr>
        <w:shd w:fill="F2F2F2" w:color="auto" w:val="clear"/>
        <w:spacing w:after="0" w:line="240"/>
      </w:pPr>
      <w:r>
        <w:rPr>
          <w:rFonts w:ascii="Courier New" w:cs="Courier New" w:eastAsia="Courier New" w:hAnsi="Courier New"/>
          <w:sz w:val="17"/>
          <w:szCs w:val="17"/>
        </w:rPr>
        <w:t xml:space="preserve">  # parametric alternative: oneway.test(d[[f]] ~ d$class, var.equal = FALSE)$p.value</w:t>
      </w:r>
    </w:p>
    <w:p>
      <w:pPr>
        <w:shd w:fill="F2F2F2" w:color="auto" w:val="clear"/>
        <w:spacing w:after="0" w:line="240"/>
      </w:pPr>
      <w:r>
        <w:rPr>
          <w:rFonts w:ascii="Courier New" w:cs="Courier New" w:eastAsia="Courier New" w:hAnsi="Courier New"/>
          <w:sz w:val="17"/>
          <w:szCs w:val="17"/>
        </w:rPr>
        <w:t xml:space="preserve">  data.frame(feature = feats, p = p, q = p.adjust(p, method = "BH"))</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Step 1.4: univariate Jeffries-Matusita distance between two classes</w:t>
      </w:r>
    </w:p>
    <w:p>
      <w:pPr>
        <w:shd w:fill="F2F2F2" w:color="auto" w:val="clear"/>
        <w:spacing w:after="0" w:line="240"/>
      </w:pPr>
      <w:r>
        <w:rPr>
          <w:rFonts w:ascii="Courier New" w:cs="Courier New" w:eastAsia="Courier New" w:hAnsi="Courier New"/>
          <w:sz w:val="17"/>
          <w:szCs w:val="17"/>
        </w:rPr>
        <w:t xml:space="preserve">jm_1d &lt;- function(x1, x2) {</w:t>
      </w:r>
    </w:p>
    <w:p>
      <w:pPr>
        <w:shd w:fill="F2F2F2" w:color="auto" w:val="clear"/>
        <w:spacing w:after="0" w:line="240"/>
      </w:pPr>
      <w:r>
        <w:rPr>
          <w:rFonts w:ascii="Courier New" w:cs="Courier New" w:eastAsia="Courier New" w:hAnsi="Courier New"/>
          <w:sz w:val="17"/>
          <w:szCs w:val="17"/>
        </w:rPr>
        <w:t xml:space="preserve">  m1 &lt;- mean(x1); m2 &lt;- mean(x2); v1 &lt;- var(x1); v2 &lt;- var(x2)</w:t>
      </w:r>
    </w:p>
    <w:p>
      <w:pPr>
        <w:shd w:fill="F2F2F2" w:color="auto" w:val="clear"/>
        <w:spacing w:after="0" w:line="240"/>
      </w:pPr>
      <w:r>
        <w:rPr>
          <w:rFonts w:ascii="Courier New" w:cs="Courier New" w:eastAsia="Courier New" w:hAnsi="Courier New"/>
          <w:sz w:val="17"/>
          <w:szCs w:val="17"/>
        </w:rPr>
        <w:t xml:space="preserve">  B &lt;- (m1 - m2)^2 / (4 * (v1 + v2)) + 0.5 * log((v1 + v2) / (2 * sqrt(v1 * v2)))</w:t>
      </w:r>
    </w:p>
    <w:p>
      <w:pPr>
        <w:shd w:fill="F2F2F2" w:color="auto" w:val="clear"/>
        <w:spacing w:after="0" w:line="240"/>
      </w:pPr>
      <w:r>
        <w:rPr>
          <w:rFonts w:ascii="Courier New" w:cs="Courier New" w:eastAsia="Courier New" w:hAnsi="Courier New"/>
          <w:sz w:val="17"/>
          <w:szCs w:val="17"/>
        </w:rPr>
        <w:t xml:space="preserve">  2 * (1 - exp(-B))</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jm_vs_healthy &lt;- function(d, f) {</w:t>
      </w:r>
    </w:p>
    <w:p>
      <w:pPr>
        <w:shd w:fill="F2F2F2" w:color="auto" w:val="clear"/>
        <w:spacing w:after="0" w:line="240"/>
      </w:pPr>
      <w:r>
        <w:rPr>
          <w:rFonts w:ascii="Courier New" w:cs="Courier New" w:eastAsia="Courier New" w:hAnsi="Courier New"/>
          <w:sz w:val="17"/>
          <w:szCs w:val="17"/>
        </w:rPr>
        <w:t xml:space="preserve">  h &lt;- d[[f]][d$class == "0"]</w:t>
      </w:r>
    </w:p>
    <w:p>
      <w:pPr>
        <w:shd w:fill="F2F2F2" w:color="auto" w:val="clear"/>
        <w:spacing w:after="0" w:line="240"/>
      </w:pPr>
      <w:r>
        <w:rPr>
          <w:rFonts w:ascii="Courier New" w:cs="Courier New" w:eastAsia="Courier New" w:hAnsi="Courier New"/>
          <w:sz w:val="17"/>
          <w:szCs w:val="17"/>
        </w:rPr>
        <w:t xml:space="preserve">  sapply(setdiff(levels(d$class), "0"), function(k) jm_1d(h, d[[f]][d$class == k]))</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Step 1.5: ReliefF weights (k = 10 nearest hits/misses)</w:t>
      </w:r>
    </w:p>
    <w:p>
      <w:pPr>
        <w:shd w:fill="F2F2F2" w:color="auto" w:val="clear"/>
        <w:spacing w:after="0" w:line="240"/>
      </w:pPr>
      <w:r>
        <w:rPr>
          <w:rFonts w:ascii="Courier New" w:cs="Courier New" w:eastAsia="Courier New" w:hAnsi="Courier New"/>
          <w:sz w:val="17"/>
          <w:szCs w:val="17"/>
        </w:rPr>
        <w:t xml:space="preserve">relief &lt;- attrEval(class ~ ., data = d[, c("class", feats)],</w:t>
      </w:r>
    </w:p>
    <w:p>
      <w:pPr>
        <w:shd w:fill="F2F2F2" w:color="auto" w:val="clear"/>
        <w:spacing w:after="0" w:line="240"/>
      </w:pPr>
      <w:r>
        <w:rPr>
          <w:rFonts w:ascii="Courier New" w:cs="Courier New" w:eastAsia="Courier New" w:hAnsi="Courier New"/>
          <w:sz w:val="17"/>
          <w:szCs w:val="17"/>
        </w:rPr>
        <w:t xml:space="preserve">                   estimator = "ReliefFequalK", kNearestEqual = 10)</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Step 1.6: RF permutation importance and Boruta</w:t>
      </w:r>
    </w:p>
    <w:p>
      <w:pPr>
        <w:shd w:fill="F2F2F2" w:color="auto" w:val="clear"/>
        <w:spacing w:after="0" w:line="240"/>
      </w:pPr>
      <w:r>
        <w:rPr>
          <w:rFonts w:ascii="Courier New" w:cs="Courier New" w:eastAsia="Courier New" w:hAnsi="Courier New"/>
          <w:sz w:val="17"/>
          <w:szCs w:val="17"/>
        </w:rPr>
        <w:t xml:space="preserve">rf  &lt;- ranger(x = d[, feats], y = d$class, num.trees = 1000,</w:t>
      </w:r>
    </w:p>
    <w:p>
      <w:pPr>
        <w:shd w:fill="F2F2F2" w:color="auto" w:val="clear"/>
        <w:spacing w:after="0" w:line="240"/>
      </w:pPr>
      <w:r>
        <w:rPr>
          <w:rFonts w:ascii="Courier New" w:cs="Courier New" w:eastAsia="Courier New" w:hAnsi="Courier New"/>
          <w:sz w:val="17"/>
          <w:szCs w:val="17"/>
        </w:rPr>
        <w:t xml:space="preserve">              importance = "permutation")</w:t>
      </w:r>
    </w:p>
    <w:p>
      <w:pPr>
        <w:shd w:fill="F2F2F2" w:color="auto" w:val="clear"/>
        <w:spacing w:after="0" w:line="240"/>
      </w:pPr>
      <w:r>
        <w:rPr>
          <w:rFonts w:ascii="Courier New" w:cs="Courier New" w:eastAsia="Courier New" w:hAnsi="Courier New"/>
          <w:sz w:val="17"/>
          <w:szCs w:val="17"/>
        </w:rPr>
        <w:t xml:space="preserve">imp &lt;- rf$variable.importance</w:t>
      </w:r>
    </w:p>
    <w:p>
      <w:pPr>
        <w:shd w:fill="F2F2F2" w:color="auto" w:val="clear"/>
        <w:spacing w:after="0" w:line="240"/>
      </w:pPr>
      <w:r>
        <w:rPr>
          <w:rFonts w:ascii="Courier New" w:cs="Courier New" w:eastAsia="Courier New" w:hAnsi="Courier New"/>
          <w:sz w:val="17"/>
          <w:szCs w:val="17"/>
        </w:rPr>
        <w:t xml:space="preserve">bor &lt;- TentativeRoughFix(Boruta(x = d[, feats], y = d$class,</w:t>
      </w:r>
    </w:p>
    <w:p>
      <w:pPr>
        <w:shd w:fill="F2F2F2" w:color="auto" w:val="clear"/>
        <w:spacing w:after="0" w:line="240"/>
      </w:pPr>
      <w:r>
        <w:rPr>
          <w:rFonts w:ascii="Courier New" w:cs="Courier New" w:eastAsia="Courier New" w:hAnsi="Courier New"/>
          <w:sz w:val="17"/>
          <w:szCs w:val="17"/>
        </w:rPr>
        <w:t xml:space="preserve">                                maxRuns = 500, pValue = 0.01))</w:t>
      </w:r>
    </w:p>
    <w:p>
      <w:pPr>
        <w:shd w:fill="F2F2F2" w:color="auto" w:val="clear"/>
        <w:spacing w:after="0" w:line="240"/>
      </w:pPr>
      <w:r>
        <w:rPr>
          <w:rFonts w:ascii="Courier New" w:cs="Courier New" w:eastAsia="Courier New" w:hAnsi="Courier New"/>
          <w:sz w:val="17"/>
          <w:szCs w:val="17"/>
        </w:rPr>
        <w:t xml:space="preserve">confirmed &lt;- getSelectedAttributes(bor)</w:t>
      </w:r>
    </w:p>
    <w:p>
      <w:pPr>
        <w:spacing w:after="60"/>
      </w:pPr>
    </w:p>
    <w:p>
      <w:pPr>
        <w:pStyle w:val="Heading2"/>
      </w:pPr>
      <w:r>
        <w:t xml:space="preserve">8.3 Relevance-guided VIF (R)</w:t>
      </w:r>
    </w:p>
    <w:p>
      <w:pPr>
        <w:shd w:fill="F2F2F2" w:color="auto" w:val="clear"/>
        <w:spacing w:after="0" w:line="240"/>
      </w:pPr>
      <w:r>
        <w:rPr>
          <w:rFonts w:ascii="Courier New" w:cs="Courier New" w:eastAsia="Courier New" w:hAnsi="Courier New"/>
          <w:sz w:val="17"/>
          <w:szCs w:val="17"/>
        </w:rPr>
        <w:t xml:space="preserve"># X: data.frame of candidate DSFs; rank: named vector, 1 = most relevant (Phase 1)</w:t>
      </w:r>
    </w:p>
    <w:p>
      <w:pPr>
        <w:shd w:fill="F2F2F2" w:color="auto" w:val="clear"/>
        <w:spacing w:after="0" w:line="240"/>
      </w:pPr>
      <w:r>
        <w:rPr>
          <w:rFonts w:ascii="Courier New" w:cs="Courier New" w:eastAsia="Courier New" w:hAnsi="Courier New"/>
          <w:sz w:val="17"/>
          <w:szCs w:val="17"/>
        </w:rPr>
        <w:t xml:space="preserve">vif_filter &lt;- function(X, rank, thresh = 10) {</w:t>
      </w:r>
    </w:p>
    <w:p>
      <w:pPr>
        <w:shd w:fill="F2F2F2" w:color="auto" w:val="clear"/>
        <w:spacing w:after="0" w:line="240"/>
      </w:pPr>
      <w:r>
        <w:rPr>
          <w:rFonts w:ascii="Courier New" w:cs="Courier New" w:eastAsia="Courier New" w:hAnsi="Courier New"/>
          <w:sz w:val="17"/>
          <w:szCs w:val="17"/>
        </w:rPr>
        <w:t xml:space="preserve">  feats &lt;- colnames(X)</w:t>
      </w:r>
    </w:p>
    <w:p>
      <w:pPr>
        <w:shd w:fill="F2F2F2" w:color="auto" w:val="clear"/>
        <w:spacing w:after="0" w:line="240"/>
      </w:pPr>
      <w:r>
        <w:rPr>
          <w:rFonts w:ascii="Courier New" w:cs="Courier New" w:eastAsia="Courier New" w:hAnsi="Courier New"/>
          <w:sz w:val="17"/>
          <w:szCs w:val="17"/>
        </w:rPr>
        <w:t xml:space="preserve">  repeat {</w:t>
      </w:r>
    </w:p>
    <w:p>
      <w:pPr>
        <w:shd w:fill="F2F2F2" w:color="auto" w:val="clear"/>
        <w:spacing w:after="0" w:line="240"/>
      </w:pPr>
      <w:r>
        <w:rPr>
          <w:rFonts w:ascii="Courier New" w:cs="Courier New" w:eastAsia="Courier New" w:hAnsi="Courier New"/>
          <w:sz w:val="17"/>
          <w:szCs w:val="17"/>
        </w:rPr>
        <w:t xml:space="preserve">    if (length(feats) &lt; 2) break</w:t>
      </w:r>
    </w:p>
    <w:p>
      <w:pPr>
        <w:shd w:fill="F2F2F2" w:color="auto" w:val="clear"/>
        <w:spacing w:after="0" w:line="240"/>
      </w:pPr>
      <w:r>
        <w:rPr>
          <w:rFonts w:ascii="Courier New" w:cs="Courier New" w:eastAsia="Courier New" w:hAnsi="Courier New"/>
          <w:sz w:val="17"/>
          <w:szCs w:val="17"/>
        </w:rPr>
        <w:t xml:space="preserve">    v &lt;- sapply(feats, function(f) {</w:t>
      </w:r>
    </w:p>
    <w:p>
      <w:pPr>
        <w:shd w:fill="F2F2F2" w:color="auto" w:val="clear"/>
        <w:spacing w:after="0" w:line="240"/>
      </w:pPr>
      <w:r>
        <w:rPr>
          <w:rFonts w:ascii="Courier New" w:cs="Courier New" w:eastAsia="Courier New" w:hAnsi="Courier New"/>
          <w:sz w:val="17"/>
          <w:szCs w:val="17"/>
        </w:rPr>
        <w:t xml:space="preserve">      others &lt;- X[, setdiff(feats, f), drop = FALSE]</w:t>
      </w:r>
    </w:p>
    <w:p>
      <w:pPr>
        <w:shd w:fill="F2F2F2" w:color="auto" w:val="clear"/>
        <w:spacing w:after="0" w:line="240"/>
      </w:pPr>
      <w:r>
        <w:rPr>
          <w:rFonts w:ascii="Courier New" w:cs="Courier New" w:eastAsia="Courier New" w:hAnsi="Courier New"/>
          <w:sz w:val="17"/>
          <w:szCs w:val="17"/>
        </w:rPr>
        <w:t xml:space="preserve">      r2 &lt;- summary(lm(X[[f]] ~ ., data = others))$r.squared</w:t>
      </w:r>
    </w:p>
    <w:p>
      <w:pPr>
        <w:shd w:fill="F2F2F2" w:color="auto" w:val="clear"/>
        <w:spacing w:after="0" w:line="240"/>
      </w:pPr>
      <w:r>
        <w:rPr>
          <w:rFonts w:ascii="Courier New" w:cs="Courier New" w:eastAsia="Courier New" w:hAnsi="Courier New"/>
          <w:sz w:val="17"/>
          <w:szCs w:val="17"/>
        </w:rPr>
        <w:t xml:space="preserve">      1 / (1 - r2)</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if (max(v) &lt; thresh) break</w:t>
      </w:r>
    </w:p>
    <w:p>
      <w:pPr>
        <w:shd w:fill="F2F2F2" w:color="auto" w:val="clear"/>
        <w:spacing w:after="0" w:line="240"/>
      </w:pPr>
      <w:r>
        <w:rPr>
          <w:rFonts w:ascii="Courier New" w:cs="Courier New" w:eastAsia="Courier New" w:hAnsi="Courier New"/>
          <w:sz w:val="17"/>
          <w:szCs w:val="17"/>
        </w:rPr>
        <w:t xml:space="preserve">    high &lt;- names(v)[v &gt;= thresh]</w:t>
      </w:r>
    </w:p>
    <w:p>
      <w:pPr>
        <w:shd w:fill="F2F2F2" w:color="auto" w:val="clear"/>
        <w:spacing w:after="0" w:line="240"/>
      </w:pPr>
      <w:r>
        <w:rPr>
          <w:rFonts w:ascii="Courier New" w:cs="Courier New" w:eastAsia="Courier New" w:hAnsi="Courier New"/>
          <w:sz w:val="17"/>
          <w:szCs w:val="17"/>
        </w:rPr>
        <w:t xml:space="preserve">    drop &lt;- high[which.max(rank[high])]   # least relevant among the collinear ones</w:t>
      </w:r>
    </w:p>
    <w:p>
      <w:pPr>
        <w:shd w:fill="F2F2F2" w:color="auto" w:val="clear"/>
        <w:spacing w:after="0" w:line="240"/>
      </w:pPr>
      <w:r>
        <w:rPr>
          <w:rFonts w:ascii="Courier New" w:cs="Courier New" w:eastAsia="Courier New" w:hAnsi="Courier New"/>
          <w:sz w:val="17"/>
          <w:szCs w:val="17"/>
        </w:rPr>
        <w:t xml:space="preserve">    feats &lt;- setdiff(feats, drop)</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feats</w:t>
      </w:r>
    </w:p>
    <w:p>
      <w:pPr>
        <w:shd w:fill="F2F2F2" w:color="auto" w:val="clear"/>
        <w:spacing w:after="0" w:line="240"/>
      </w:pPr>
      <w:r>
        <w:rPr>
          <w:rFonts w:ascii="Courier New" w:cs="Courier New" w:eastAsia="Courier New" w:hAnsi="Courier New"/>
          <w:sz w:val="17"/>
          <w:szCs w:val="17"/>
        </w:rPr>
        <w:t xml:space="preserve">}</w:t>
      </w:r>
    </w:p>
    <w:p>
      <w:pPr>
        <w:spacing w:after="60"/>
      </w:pPr>
    </w:p>
    <w:p>
      <w:pPr>
        <w:pStyle w:val="Heading2"/>
      </w:pPr>
      <w:r>
        <w:t xml:space="preserve">8.4 SFFS with grouped inner cross-validation (R)</w:t>
      </w:r>
    </w:p>
    <w:p>
      <w:pPr>
        <w:shd w:fill="F2F2F2" w:color="auto" w:val="clear"/>
        <w:spacing w:after="0" w:line="240"/>
      </w:pPr>
      <w:r>
        <w:rPr>
          <w:rFonts w:ascii="Courier New" w:cs="Courier New" w:eastAsia="Courier New" w:hAnsi="Courier New"/>
          <w:sz w:val="17"/>
          <w:szCs w:val="17"/>
        </w:rPr>
        <w:t xml:space="preserve">library(caret)</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Inner-CV objective J(S): mean macro-F1 with folds grouped by plot</w:t>
      </w:r>
    </w:p>
    <w:p>
      <w:pPr>
        <w:shd w:fill="F2F2F2" w:color="auto" w:val="clear"/>
        <w:spacing w:after="0" w:line="240"/>
      </w:pPr>
      <w:r>
        <w:rPr>
          <w:rFonts w:ascii="Courier New" w:cs="Courier New" w:eastAsia="Courier New" w:hAnsi="Courier New"/>
          <w:sz w:val="17"/>
          <w:szCs w:val="17"/>
        </w:rPr>
        <w:t xml:space="preserve">cv_score &lt;- function(S, X, y, g, method, k_inner = 5) {</w:t>
      </w:r>
    </w:p>
    <w:p>
      <w:pPr>
        <w:shd w:fill="F2F2F2" w:color="auto" w:val="clear"/>
        <w:spacing w:after="0" w:line="240"/>
      </w:pPr>
      <w:r>
        <w:rPr>
          <w:rFonts w:ascii="Courier New" w:cs="Courier New" w:eastAsia="Courier New" w:hAnsi="Courier New"/>
          <w:sz w:val="17"/>
          <w:szCs w:val="17"/>
        </w:rPr>
        <w:t xml:space="preserve">  ctrl &lt;- trainControl(method = "cv", index = groupKFold(g, k = k_inner),</w:t>
      </w:r>
    </w:p>
    <w:p>
      <w:pPr>
        <w:shd w:fill="F2F2F2" w:color="auto" w:val="clear"/>
        <w:spacing w:after="0" w:line="240"/>
      </w:pPr>
      <w:r>
        <w:rPr>
          <w:rFonts w:ascii="Courier New" w:cs="Courier New" w:eastAsia="Courier New" w:hAnsi="Courier New"/>
          <w:sz w:val="17"/>
          <w:szCs w:val="17"/>
        </w:rPr>
        <w:t xml:space="preserve">                       summaryFunction = multiClassSummary)</w:t>
      </w:r>
    </w:p>
    <w:p>
      <w:pPr>
        <w:shd w:fill="F2F2F2" w:color="auto" w:val="clear"/>
        <w:spacing w:after="0" w:line="240"/>
      </w:pPr>
      <w:r>
        <w:rPr>
          <w:rFonts w:ascii="Courier New" w:cs="Courier New" w:eastAsia="Courier New" w:hAnsi="Courier New"/>
          <w:sz w:val="17"/>
          <w:szCs w:val="17"/>
        </w:rPr>
        <w:t xml:space="preserve">  fit &lt;- train(x = X[, S, drop = FALSE], y = y, method = method,</w:t>
      </w:r>
    </w:p>
    <w:p>
      <w:pPr>
        <w:shd w:fill="F2F2F2" w:color="auto" w:val="clear"/>
        <w:spacing w:after="0" w:line="240"/>
      </w:pPr>
      <w:r>
        <w:rPr>
          <w:rFonts w:ascii="Courier New" w:cs="Courier New" w:eastAsia="Courier New" w:hAnsi="Courier New"/>
          <w:sz w:val="17"/>
          <w:szCs w:val="17"/>
        </w:rPr>
        <w:t xml:space="preserve">               metric = "Mean_F1", trControl = ctrl, tuneLength = 3,</w:t>
      </w:r>
    </w:p>
    <w:p>
      <w:pPr>
        <w:shd w:fill="F2F2F2" w:color="auto" w:val="clear"/>
        <w:spacing w:after="0" w:line="240"/>
      </w:pPr>
      <w:r>
        <w:rPr>
          <w:rFonts w:ascii="Courier New" w:cs="Courier New" w:eastAsia="Courier New" w:hAnsi="Courier New"/>
          <w:sz w:val="17"/>
          <w:szCs w:val="17"/>
        </w:rPr>
        <w:t xml:space="preserve">               preProcess = c("center", "scale"))</w:t>
      </w:r>
    </w:p>
    <w:p>
      <w:pPr>
        <w:shd w:fill="F2F2F2" w:color="auto" w:val="clear"/>
        <w:spacing w:after="0" w:line="240"/>
      </w:pPr>
      <w:r>
        <w:rPr>
          <w:rFonts w:ascii="Courier New" w:cs="Courier New" w:eastAsia="Courier New" w:hAnsi="Courier New"/>
          <w:sz w:val="17"/>
          <w:szCs w:val="17"/>
        </w:rPr>
        <w:t xml:space="preserve">  max(fit$results$Mean_F1, na.rm = TRUE)</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Sequential Floating Forward Selection (Pudil et al., 1994)</w:t>
      </w:r>
    </w:p>
    <w:p>
      <w:pPr>
        <w:shd w:fill="F2F2F2" w:color="auto" w:val="clear"/>
        <w:spacing w:after="0" w:line="240"/>
      </w:pPr>
      <w:r>
        <w:rPr>
          <w:rFonts w:ascii="Courier New" w:cs="Courier New" w:eastAsia="Courier New" w:hAnsi="Courier New"/>
          <w:sz w:val="17"/>
          <w:szCs w:val="17"/>
        </w:rPr>
        <w:t xml:space="preserve">sffs &lt;- function(X, y, g, method, max_k = 15, tol = 1e-4) {</w:t>
      </w:r>
    </w:p>
    <w:p>
      <w:pPr>
        <w:shd w:fill="F2F2F2" w:color="auto" w:val="clear"/>
        <w:spacing w:after="0" w:line="240"/>
      </w:pPr>
      <w:r>
        <w:rPr>
          <w:rFonts w:ascii="Courier New" w:cs="Courier New" w:eastAsia="Courier New" w:hAnsi="Courier New"/>
          <w:sz w:val="17"/>
          <w:szCs w:val="17"/>
        </w:rPr>
        <w:t xml:space="preserve">  S &lt;- character(0); pool &lt;- colnames(X)</w:t>
      </w:r>
    </w:p>
    <w:p>
      <w:pPr>
        <w:shd w:fill="F2F2F2" w:color="auto" w:val="clear"/>
        <w:spacing w:after="0" w:line="240"/>
      </w:pPr>
      <w:r>
        <w:rPr>
          <w:rFonts w:ascii="Courier New" w:cs="Courier New" w:eastAsia="Courier New" w:hAnsi="Courier New"/>
          <w:sz w:val="17"/>
          <w:szCs w:val="17"/>
        </w:rPr>
        <w:t xml:space="preserve">  best_score &lt;- numeric(0); best_set &lt;- list()</w:t>
      </w:r>
    </w:p>
    <w:p>
      <w:pPr>
        <w:shd w:fill="F2F2F2" w:color="auto" w:val="clear"/>
        <w:spacing w:after="0" w:line="240"/>
      </w:pPr>
      <w:r>
        <w:rPr>
          <w:rFonts w:ascii="Courier New" w:cs="Courier New" w:eastAsia="Courier New" w:hAnsi="Courier New"/>
          <w:sz w:val="17"/>
          <w:szCs w:val="17"/>
        </w:rPr>
        <w:t xml:space="preserve">  while (length(S) &lt; max_k &amp;&amp; length(pool) &gt; 0) {</w:t>
      </w:r>
    </w:p>
    <w:p>
      <w:pPr>
        <w:shd w:fill="F2F2F2" w:color="auto" w:val="clear"/>
        <w:spacing w:after="0" w:line="240"/>
      </w:pPr>
      <w:r>
        <w:rPr>
          <w:rFonts w:ascii="Courier New" w:cs="Courier New" w:eastAsia="Courier New" w:hAnsi="Courier New"/>
          <w:sz w:val="17"/>
          <w:szCs w:val="17"/>
        </w:rPr>
        <w:t xml:space="preserve">    # Inclusion</w:t>
      </w:r>
    </w:p>
    <w:p>
      <w:pPr>
        <w:shd w:fill="F2F2F2" w:color="auto" w:val="clear"/>
        <w:spacing w:after="0" w:line="240"/>
      </w:pPr>
      <w:r>
        <w:rPr>
          <w:rFonts w:ascii="Courier New" w:cs="Courier New" w:eastAsia="Courier New" w:hAnsi="Courier New"/>
          <w:sz w:val="17"/>
          <w:szCs w:val="17"/>
        </w:rPr>
        <w:t xml:space="preserve">    s_add &lt;- sapply(pool, function(f) cv_score(c(S, f), X, y, g, method))</w:t>
      </w:r>
    </w:p>
    <w:p>
      <w:pPr>
        <w:shd w:fill="F2F2F2" w:color="auto" w:val="clear"/>
        <w:spacing w:after="0" w:line="240"/>
      </w:pPr>
      <w:r>
        <w:rPr>
          <w:rFonts w:ascii="Courier New" w:cs="Courier New" w:eastAsia="Courier New" w:hAnsi="Courier New"/>
          <w:sz w:val="17"/>
          <w:szCs w:val="17"/>
        </w:rPr>
        <w:t xml:space="preserve">    f_in &lt;- names(which.max(s_add))</w:t>
      </w:r>
    </w:p>
    <w:p>
      <w:pPr>
        <w:shd w:fill="F2F2F2" w:color="auto" w:val="clear"/>
        <w:spacing w:after="0" w:line="240"/>
      </w:pPr>
      <w:r>
        <w:rPr>
          <w:rFonts w:ascii="Courier New" w:cs="Courier New" w:eastAsia="Courier New" w:hAnsi="Courier New"/>
          <w:sz w:val="17"/>
          <w:szCs w:val="17"/>
        </w:rPr>
        <w:t xml:space="preserve">    S &lt;- c(S, f_in); pool &lt;- setdiff(pool, f_in); k &lt;- length(S)</w:t>
      </w:r>
    </w:p>
    <w:p>
      <w:pPr>
        <w:shd w:fill="F2F2F2" w:color="auto" w:val="clear"/>
        <w:spacing w:after="0" w:line="240"/>
      </w:pPr>
      <w:r>
        <w:rPr>
          <w:rFonts w:ascii="Courier New" w:cs="Courier New" w:eastAsia="Courier New" w:hAnsi="Courier New"/>
          <w:sz w:val="17"/>
          <w:szCs w:val="17"/>
        </w:rPr>
        <w:t xml:space="preserve">    if (is.na(best_score[k]) || max(s_add) &gt; best_score[k]) {</w:t>
      </w:r>
    </w:p>
    <w:p>
      <w:pPr>
        <w:shd w:fill="F2F2F2" w:color="auto" w:val="clear"/>
        <w:spacing w:after="0" w:line="240"/>
      </w:pPr>
      <w:r>
        <w:rPr>
          <w:rFonts w:ascii="Courier New" w:cs="Courier New" w:eastAsia="Courier New" w:hAnsi="Courier New"/>
          <w:sz w:val="17"/>
          <w:szCs w:val="17"/>
        </w:rPr>
        <w:t xml:space="preserve">      best_score[k] &lt;- max(s_add); best_set[[k]] &lt;- S</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 Conditional exclusion (floating step)</w:t>
      </w:r>
    </w:p>
    <w:p>
      <w:pPr>
        <w:shd w:fill="F2F2F2" w:color="auto" w:val="clear"/>
        <w:spacing w:after="0" w:line="240"/>
      </w:pPr>
      <w:r>
        <w:rPr>
          <w:rFonts w:ascii="Courier New" w:cs="Courier New" w:eastAsia="Courier New" w:hAnsi="Courier New"/>
          <w:sz w:val="17"/>
          <w:szCs w:val="17"/>
        </w:rPr>
        <w:t xml:space="preserve">    repeat {</w:t>
      </w:r>
    </w:p>
    <w:p>
      <w:pPr>
        <w:shd w:fill="F2F2F2" w:color="auto" w:val="clear"/>
        <w:spacing w:after="0" w:line="240"/>
      </w:pPr>
      <w:r>
        <w:rPr>
          <w:rFonts w:ascii="Courier New" w:cs="Courier New" w:eastAsia="Courier New" w:hAnsi="Courier New"/>
          <w:sz w:val="17"/>
          <w:szCs w:val="17"/>
        </w:rPr>
        <w:t xml:space="preserve">      if (length(S) &lt;= 2) break</w:t>
      </w:r>
    </w:p>
    <w:p>
      <w:pPr>
        <w:shd w:fill="F2F2F2" w:color="auto" w:val="clear"/>
        <w:spacing w:after="0" w:line="240"/>
      </w:pPr>
      <w:r>
        <w:rPr>
          <w:rFonts w:ascii="Courier New" w:cs="Courier New" w:eastAsia="Courier New" w:hAnsi="Courier New"/>
          <w:sz w:val="17"/>
          <w:szCs w:val="17"/>
        </w:rPr>
        <w:t xml:space="preserve">      cand &lt;- setdiff(S, f_in)</w:t>
      </w:r>
    </w:p>
    <w:p>
      <w:pPr>
        <w:shd w:fill="F2F2F2" w:color="auto" w:val="clear"/>
        <w:spacing w:after="0" w:line="240"/>
      </w:pPr>
      <w:r>
        <w:rPr>
          <w:rFonts w:ascii="Courier New" w:cs="Courier New" w:eastAsia="Courier New" w:hAnsi="Courier New"/>
          <w:sz w:val="17"/>
          <w:szCs w:val="17"/>
        </w:rPr>
        <w:t xml:space="preserve">      s_drop &lt;- sapply(cand, function(f) cv_score(setdiff(S, f), X, y, g, method))</w:t>
      </w:r>
    </w:p>
    <w:p>
      <w:pPr>
        <w:shd w:fill="F2F2F2" w:color="auto" w:val="clear"/>
        <w:spacing w:after="0" w:line="240"/>
      </w:pPr>
      <w:r>
        <w:rPr>
          <w:rFonts w:ascii="Courier New" w:cs="Courier New" w:eastAsia="Courier New" w:hAnsi="Courier New"/>
          <w:sz w:val="17"/>
          <w:szCs w:val="17"/>
        </w:rPr>
        <w:t xml:space="preserve">      k1 &lt;- length(S) - 1</w:t>
      </w:r>
    </w:p>
    <w:p>
      <w:pPr>
        <w:shd w:fill="F2F2F2" w:color="auto" w:val="clear"/>
        <w:spacing w:after="0" w:line="240"/>
      </w:pPr>
      <w:r>
        <w:rPr>
          <w:rFonts w:ascii="Courier New" w:cs="Courier New" w:eastAsia="Courier New" w:hAnsi="Courier New"/>
          <w:sz w:val="17"/>
          <w:szCs w:val="17"/>
        </w:rPr>
        <w:t xml:space="preserve">      if (max(s_drop) &gt; best_score[k1] + tol) {</w:t>
      </w:r>
    </w:p>
    <w:p>
      <w:pPr>
        <w:shd w:fill="F2F2F2" w:color="auto" w:val="clear"/>
        <w:spacing w:after="0" w:line="240"/>
      </w:pPr>
      <w:r>
        <w:rPr>
          <w:rFonts w:ascii="Courier New" w:cs="Courier New" w:eastAsia="Courier New" w:hAnsi="Courier New"/>
          <w:sz w:val="17"/>
          <w:szCs w:val="17"/>
        </w:rPr>
        <w:t xml:space="preserve">        f_out &lt;- names(which.max(s_drop))</w:t>
      </w:r>
    </w:p>
    <w:p>
      <w:pPr>
        <w:shd w:fill="F2F2F2" w:color="auto" w:val="clear"/>
        <w:spacing w:after="0" w:line="240"/>
      </w:pPr>
      <w:r>
        <w:rPr>
          <w:rFonts w:ascii="Courier New" w:cs="Courier New" w:eastAsia="Courier New" w:hAnsi="Courier New"/>
          <w:sz w:val="17"/>
          <w:szCs w:val="17"/>
        </w:rPr>
        <w:t xml:space="preserve">        S &lt;- setdiff(S, f_out); pool &lt;- c(pool, f_out)</w:t>
      </w:r>
    </w:p>
    <w:p>
      <w:pPr>
        <w:shd w:fill="F2F2F2" w:color="auto" w:val="clear"/>
        <w:spacing w:after="0" w:line="240"/>
      </w:pPr>
      <w:r>
        <w:rPr>
          <w:rFonts w:ascii="Courier New" w:cs="Courier New" w:eastAsia="Courier New" w:hAnsi="Courier New"/>
          <w:sz w:val="17"/>
          <w:szCs w:val="17"/>
        </w:rPr>
        <w:t xml:space="preserve">        best_score[k1] &lt;- max(s_drop); best_set[[k1]] &lt;- S</w:t>
      </w:r>
    </w:p>
    <w:p>
      <w:pPr>
        <w:shd w:fill="F2F2F2" w:color="auto" w:val="clear"/>
        <w:spacing w:after="0" w:line="240"/>
      </w:pPr>
      <w:r>
        <w:rPr>
          <w:rFonts w:ascii="Courier New" w:cs="Courier New" w:eastAsia="Courier New" w:hAnsi="Courier New"/>
          <w:sz w:val="17"/>
          <w:szCs w:val="17"/>
        </w:rPr>
        <w:t xml:space="preserve">      } else break</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list(score = best_score, set = best_set)</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Smallest subset within 'tol_se' of the best score (approximate 1-SE rule)</w:t>
      </w:r>
    </w:p>
    <w:p>
      <w:pPr>
        <w:shd w:fill="F2F2F2" w:color="auto" w:val="clear"/>
        <w:spacing w:after="0" w:line="240"/>
      </w:pPr>
      <w:r>
        <w:rPr>
          <w:rFonts w:ascii="Courier New" w:cs="Courier New" w:eastAsia="Courier New" w:hAnsi="Courier New"/>
          <w:sz w:val="17"/>
          <w:szCs w:val="17"/>
        </w:rPr>
        <w:t xml:space="preserve">choose_ofc &lt;- function(res, tol_se = 0.01) {</w:t>
      </w:r>
    </w:p>
    <w:p>
      <w:pPr>
        <w:shd w:fill="F2F2F2" w:color="auto" w:val="clear"/>
        <w:spacing w:after="0" w:line="240"/>
      </w:pPr>
      <w:r>
        <w:rPr>
          <w:rFonts w:ascii="Courier New" w:cs="Courier New" w:eastAsia="Courier New" w:hAnsi="Courier New"/>
          <w:sz w:val="17"/>
          <w:szCs w:val="17"/>
        </w:rPr>
        <w:t xml:space="preserve">  k &lt;- min(which(res$score &gt;= max(res$score) - tol_se))</w:t>
      </w:r>
    </w:p>
    <w:p>
      <w:pPr>
        <w:shd w:fill="F2F2F2" w:color="auto" w:val="clear"/>
        <w:spacing w:after="0" w:line="240"/>
      </w:pPr>
      <w:r>
        <w:rPr>
          <w:rFonts w:ascii="Courier New" w:cs="Courier New" w:eastAsia="Courier New" w:hAnsi="Courier New"/>
          <w:sz w:val="17"/>
          <w:szCs w:val="17"/>
        </w:rPr>
        <w:t xml:space="preserve">  res$set[[k]]</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caret method names: "ranger" (RF), "svmRadial" (SVM), "kknn" (KNN)</w:t>
      </w:r>
    </w:p>
    <w:p>
      <w:pPr>
        <w:spacing w:after="60"/>
      </w:pPr>
    </w:p>
    <w:p>
      <w:pPr>
        <w:pStyle w:val="Heading2"/>
      </w:pPr>
      <w:r>
        <w:t xml:space="preserve">8.5 Outer loop (R)</w:t>
      </w:r>
    </w:p>
    <w:p>
      <w:pPr>
        <w:shd w:fill="F2F2F2" w:color="auto" w:val="clear"/>
        <w:spacing w:after="0" w:line="240"/>
      </w:pPr>
      <w:r>
        <w:rPr>
          <w:rFonts w:ascii="Courier New" w:cs="Courier New" w:eastAsia="Courier New" w:hAnsi="Courier New"/>
          <w:sz w:val="17"/>
          <w:szCs w:val="17"/>
        </w:rPr>
        <w:t xml:space="preserve">set.seed(2026)</w:t>
      </w:r>
    </w:p>
    <w:p>
      <w:pPr>
        <w:shd w:fill="F2F2F2" w:color="auto" w:val="clear"/>
        <w:spacing w:after="0" w:line="240"/>
      </w:pPr>
      <w:r>
        <w:rPr>
          <w:rFonts w:ascii="Courier New" w:cs="Courier New" w:eastAsia="Courier New" w:hAnsi="Courier New"/>
          <w:sz w:val="17"/>
          <w:szCs w:val="17"/>
        </w:rPr>
        <w:t xml:space="preserve">outer &lt;- groupKFold(d$plot, k = 5)            # list of training indices</w:t>
      </w:r>
    </w:p>
    <w:p>
      <w:pPr>
        <w:shd w:fill="F2F2F2" w:color="auto" w:val="clear"/>
        <w:spacing w:after="0" w:line="240"/>
      </w:pPr>
      <w:r>
        <w:rPr>
          <w:rFonts w:ascii="Courier New" w:cs="Courier New" w:eastAsia="Courier New" w:hAnsi="Courier New"/>
          <w:sz w:val="17"/>
          <w:szCs w:val="17"/>
        </w:rPr>
        <w:t xml:space="preserve">results &lt;- list()</w:t>
      </w:r>
    </w:p>
    <w:p>
      <w:pPr>
        <w:shd w:fill="F2F2F2" w:color="auto" w:val="clear"/>
        <w:spacing w:after="0" w:line="240"/>
      </w:pPr>
      <w:r>
        <w:rPr>
          <w:rFonts w:ascii="Courier New" w:cs="Courier New" w:eastAsia="Courier New" w:hAnsi="Courier New"/>
          <w:sz w:val="17"/>
          <w:szCs w:val="17"/>
        </w:rPr>
        <w:t xml:space="preserve">for (i in seq_along(outer)) {</w:t>
      </w:r>
    </w:p>
    <w:p>
      <w:pPr>
        <w:shd w:fill="F2F2F2" w:color="auto" w:val="clear"/>
        <w:spacing w:after="0" w:line="240"/>
      </w:pPr>
      <w:r>
        <w:rPr>
          <w:rFonts w:ascii="Courier New" w:cs="Courier New" w:eastAsia="Courier New" w:hAnsi="Courier New"/>
          <w:sz w:val="17"/>
          <w:szCs w:val="17"/>
        </w:rPr>
        <w:t xml:space="preserve">  tr &lt;- outer[[i]]; te &lt;- setdiff(seq_len(nrow(d)), tr)</w:t>
      </w:r>
    </w:p>
    <w:p>
      <w:pPr>
        <w:shd w:fill="F2F2F2" w:color="auto" w:val="clear"/>
        <w:spacing w:after="0" w:line="240"/>
      </w:pPr>
      <w:r>
        <w:rPr>
          <w:rFonts w:ascii="Courier New" w:cs="Courier New" w:eastAsia="Courier New" w:hAnsi="Courier New"/>
          <w:sz w:val="17"/>
          <w:szCs w:val="17"/>
        </w:rPr>
        <w:t xml:space="preserve">  dtr &lt;- d[tr, ]; dte &lt;- d[te, ]</w:t>
      </w:r>
    </w:p>
    <w:p>
      <w:pPr>
        <w:shd w:fill="F2F2F2" w:color="auto" w:val="clear"/>
        <w:spacing w:after="0" w:line="240"/>
      </w:pPr>
      <w:r>
        <w:rPr>
          <w:rFonts w:ascii="Courier New" w:cs="Courier New" w:eastAsia="Courier New" w:hAnsi="Courier New"/>
          <w:sz w:val="17"/>
          <w:szCs w:val="17"/>
        </w:rPr>
        <w:t xml:space="preserve">  # 1. Phase 1 on dtr only -&gt; candidate DSFs and their consensus rank</w:t>
      </w:r>
    </w:p>
    <w:p>
      <w:pPr>
        <w:shd w:fill="F2F2F2" w:color="auto" w:val="clear"/>
        <w:spacing w:after="0" w:line="240"/>
      </w:pPr>
      <w:r>
        <w:rPr>
          <w:rFonts w:ascii="Courier New" w:cs="Courier New" w:eastAsia="Courier New" w:hAnsi="Courier New"/>
          <w:sz w:val="17"/>
          <w:szCs w:val="17"/>
        </w:rPr>
        <w:t xml:space="preserve">  # 2. VIF on dtr -&gt; non-redundant DSFs</w:t>
      </w:r>
    </w:p>
    <w:p>
      <w:pPr>
        <w:shd w:fill="F2F2F2" w:color="auto" w:val="clear"/>
        <w:spacing w:after="0" w:line="240"/>
      </w:pPr>
      <w:r>
        <w:rPr>
          <w:rFonts w:ascii="Courier New" w:cs="Courier New" w:eastAsia="Courier New" w:hAnsi="Courier New"/>
          <w:sz w:val="17"/>
          <w:szCs w:val="17"/>
        </w:rPr>
        <w:t xml:space="preserve">  # 3. For each method in c("ranger", "svmRadial", "kknn"):</w:t>
      </w:r>
    </w:p>
    <w:p>
      <w:pPr>
        <w:shd w:fill="F2F2F2" w:color="auto" w:val="clear"/>
        <w:spacing w:after="0" w:line="240"/>
      </w:pPr>
      <w:r>
        <w:rPr>
          <w:rFonts w:ascii="Courier New" w:cs="Courier New" w:eastAsia="Courier New" w:hAnsi="Courier New"/>
          <w:sz w:val="17"/>
          <w:szCs w:val="17"/>
        </w:rPr>
        <w:t xml:space="preserve">  #      res &lt;- sffs(dtr[, dsf], dtr$class, dtr$plot, method)</w:t>
      </w:r>
    </w:p>
    <w:p>
      <w:pPr>
        <w:shd w:fill="F2F2F2" w:color="auto" w:val="clear"/>
        <w:spacing w:after="0" w:line="240"/>
      </w:pPr>
      <w:r>
        <w:rPr>
          <w:rFonts w:ascii="Courier New" w:cs="Courier New" w:eastAsia="Courier New" w:hAnsi="Courier New"/>
          <w:sz w:val="17"/>
          <w:szCs w:val="17"/>
        </w:rPr>
        <w:t xml:space="preserve">  #      ofc &lt;- choose_ofc(res)</w:t>
      </w:r>
    </w:p>
    <w:p>
      <w:pPr>
        <w:shd w:fill="F2F2F2" w:color="auto" w:val="clear"/>
        <w:spacing w:after="0" w:line="240"/>
      </w:pPr>
      <w:r>
        <w:rPr>
          <w:rFonts w:ascii="Courier New" w:cs="Courier New" w:eastAsia="Courier New" w:hAnsi="Courier New"/>
          <w:sz w:val="17"/>
          <w:szCs w:val="17"/>
        </w:rPr>
        <w:t xml:space="preserve">  #      fit &lt;- train(dtr[, ofc], dtr$class, method = method, ...)   # tuned by inner grouped CV</w:t>
      </w:r>
    </w:p>
    <w:p>
      <w:pPr>
        <w:shd w:fill="F2F2F2" w:color="auto" w:val="clear"/>
        <w:spacing w:after="0" w:line="240"/>
      </w:pPr>
      <w:r>
        <w:rPr>
          <w:rFonts w:ascii="Courier New" w:cs="Courier New" w:eastAsia="Courier New" w:hAnsi="Courier New"/>
          <w:sz w:val="17"/>
          <w:szCs w:val="17"/>
        </w:rPr>
        <w:t xml:space="preserve">  #      pred &lt;- predict(fit, dte[, ofc])</w:t>
      </w:r>
    </w:p>
    <w:p>
      <w:pPr>
        <w:shd w:fill="F2F2F2" w:color="auto" w:val="clear"/>
        <w:spacing w:after="0" w:line="240"/>
      </w:pPr>
      <w:r>
        <w:rPr>
          <w:rFonts w:ascii="Courier New" w:cs="Courier New" w:eastAsia="Courier New" w:hAnsi="Courier New"/>
          <w:sz w:val="17"/>
          <w:szCs w:val="17"/>
        </w:rPr>
        <w:t xml:space="preserve">  #      results[[paste(i, method)]] &lt;- confusionMatrix(pred, dte$class)</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 Repeat the whole loop with 10 different seeds; report mean and SD of OA, macro-F1, kappa.</w:t>
      </w:r>
    </w:p>
    <w:p>
      <w:pPr>
        <w:spacing w:after="60"/>
      </w:pPr>
    </w:p>
    <w:p>
      <w:pPr>
        <w:spacing w:after="120" w:line="360"/>
        <w:jc w:val="both"/>
      </w:pPr>
      <w:r>
        <w:rPr>
          <w:i/>
          <w:iCs/>
        </w:rPr>
        <w:t xml:space="preserve">Computational note:</w:t>
      </w:r>
      <w:r>
        <w:t xml:space="preserve"> SFFS calls the inner CV many times. Run sensors and classifiers in parallel (e.g., the doParallel package), and reduce the tuning grid during SFFS (tuneLength = 3), then tune the final model on the chosen OFC with the full grid.</w:t>
      </w:r>
    </w:p>
    <w:p>
      <w:pPr>
        <w:pStyle w:val="Heading1"/>
        <w:pageBreakBefore/>
      </w:pPr>
      <w:r>
        <w:t xml:space="preserve">9. Defending the methodology: questions and answers</w:t>
      </w:r>
    </w:p>
    <w:p>
      <w:pPr>
        <w:spacing w:after="120" w:line="360"/>
        <w:jc w:val="both"/>
      </w:pPr>
      <w:r>
        <w:t xml:space="preserve">Short answers to questions likely to be asked by hackathon judges, ORW committees and examiners.</w:t>
      </w:r>
    </w:p>
    <w:p>
      <w:pPr>
        <w:keepNext/>
        <w:spacing w:after="40" w:before="120"/>
      </w:pPr>
      <w:r>
        <w:rPr>
          <w:b/>
          <w:bCs/>
        </w:rPr>
        <w:t xml:space="preserve">Q1. What is a Disease-Specific Feature (DSF)?</w:t>
      </w:r>
    </w:p>
    <w:p>
      <w:pPr>
        <w:spacing w:after="120" w:line="360"/>
        <w:jc w:val="both"/>
      </w:pPr>
      <w:r>
        <w:t xml:space="preserve">A spectral, textural or thermal feature that differs significantly and consistently between healthy and infected plots and separates severity classes. In this study a DSF must pass FDR-corrected statistical screening and a JM separability threshold, and be supported by at least two of ReliefF, RF importance and Boruta, and be stable under resampling (Section 3.8).</w:t>
      </w:r>
    </w:p>
    <w:p>
      <w:pPr>
        <w:keepNext/>
        <w:spacing w:after="40" w:before="120"/>
      </w:pPr>
      <w:r>
        <w:rPr>
          <w:b/>
          <w:bCs/>
        </w:rPr>
        <w:t xml:space="preserve">Q2. Why is SFFS used twice?</w:t>
      </w:r>
    </w:p>
    <w:p>
      <w:pPr>
        <w:spacing w:after="120" w:line="360"/>
        <w:jc w:val="both"/>
      </w:pPr>
      <w:r>
        <w:t xml:space="preserve">The two uses answer different questions. In Phase 2 it searches within one sensor, giving the best each sensor can do alone. In Phase 3 it searches over the pooled features of all sensors, giving the best cross-sensor combination. Comparing the two gives the fusion gain.</w:t>
      </w:r>
    </w:p>
    <w:p>
      <w:pPr>
        <w:keepNext/>
        <w:spacing w:after="40" w:before="120"/>
      </w:pPr>
      <w:r>
        <w:rPr>
          <w:b/>
          <w:bCs/>
        </w:rPr>
        <w:t xml:space="preserve">Q3. Why is SFFS not used in Phase 1?</w:t>
      </w:r>
    </w:p>
    <w:p>
      <w:pPr>
        <w:spacing w:after="120" w:line="360"/>
        <w:jc w:val="both"/>
      </w:pPr>
      <w:r>
        <w:t xml:space="preserve">Phase 1 is characterisation, an all-relevant problem: the aim is to find every feature that responds to the disease, independent of any classifier. SFFS solves the minimal-optimal problem for one classifier and would discard relevant but redundant features.</w:t>
      </w:r>
    </w:p>
    <w:p>
      <w:pPr>
        <w:keepNext/>
        <w:spacing w:after="40" w:before="120"/>
      </w:pPr>
      <w:r>
        <w:rPr>
          <w:b/>
          <w:bCs/>
        </w:rPr>
        <w:t xml:space="preserve">Q4. Why are collinear features kept in Phase 1?</w:t>
      </w:r>
    </w:p>
    <w:p>
      <w:pPr>
        <w:spacing w:after="120" w:line="360"/>
        <w:jc w:val="both"/>
      </w:pPr>
      <w:r>
        <w:t xml:space="preserve">Because collinearity is part of the finding: NDVI, GNDVI and NDRE all respond to chlorophyll loss. Removing two of them would make the characterisation depend on an arbitrary choice. Collinearity harms model fitting, so it is removed in Phases 2 and 3.</w:t>
      </w:r>
    </w:p>
    <w:p>
      <w:pPr>
        <w:keepNext/>
        <w:spacing w:after="40" w:before="120"/>
      </w:pPr>
      <w:r>
        <w:rPr>
          <w:b/>
          <w:bCs/>
        </w:rPr>
        <w:t xml:space="preserve">Q5. What are p and n in your study?</w:t>
      </w:r>
    </w:p>
    <w:p>
      <w:pPr>
        <w:spacing w:after="120" w:line="360"/>
        <w:jc w:val="both"/>
      </w:pPr>
      <w:r>
        <w:t xml:space="preserve">p is the number of features and n the number of observations. On one date n = 72 plots; pooled over post-symptomatic dates n = 1,296 plot-date observations, but the independent unit remains the plot, so validation folds are grouped by plot.</w:t>
      </w:r>
    </w:p>
    <w:p>
      <w:pPr>
        <w:keepNext/>
        <w:spacing w:after="40" w:before="120"/>
      </w:pPr>
      <w:r>
        <w:rPr>
          <w:b/>
          <w:bCs/>
        </w:rPr>
        <w:t xml:space="preserve">Q6. What is the difference between VIF and SPA, and why use both?</w:t>
      </w:r>
    </w:p>
    <w:p>
      <w:pPr>
        <w:spacing w:after="120" w:line="360"/>
        <w:jc w:val="both"/>
      </w:pPr>
      <w:r>
        <w:t xml:space="preserve">VIF is a per-feature diagnostic from a regression on all other features; it needs n well above p and fails on raw spectra (491 near-identical bands). SPA is a forward selection designed for spectra that picks the least collinear wavelengths and works when p ≥ n. SPA is used on raw hyperspectral bands; VIF on the derived feature tables, including the pooled table where it also removes redundancy between sensors.</w:t>
      </w:r>
    </w:p>
    <w:p>
      <w:pPr>
        <w:keepNext/>
        <w:spacing w:after="40" w:before="120"/>
      </w:pPr>
      <w:r>
        <w:rPr>
          <w:b/>
          <w:bCs/>
        </w:rPr>
        <w:t xml:space="preserve">Q7. Why Jeffries–Matusita and not Bhattacharyya distance?</w:t>
      </w:r>
    </w:p>
    <w:p>
      <w:pPr>
        <w:spacing w:after="120" w:line="360"/>
        <w:jc w:val="both"/>
      </w:pPr>
      <w:r>
        <w:t xml:space="preserve">They are not alternatives: JM = 2(1 − e^(−B)) is computed from the Bhattacharyya distance B. JM is bounded between 0 and 2 and saturates for well-separated classes, so it is easier to interpret and compare across features.</w:t>
      </w:r>
    </w:p>
    <w:p>
      <w:pPr>
        <w:keepNext/>
        <w:spacing w:after="40" w:before="120"/>
      </w:pPr>
      <w:r>
        <w:rPr>
          <w:b/>
          <w:bCs/>
        </w:rPr>
        <w:t xml:space="preserve">Q8. Why the threshold JM &gt; 1.94 for hyperspectral bands?</w:t>
      </w:r>
    </w:p>
    <w:p>
      <w:pPr>
        <w:spacing w:after="120" w:line="360"/>
        <w:jc w:val="both"/>
      </w:pPr>
      <w:r>
        <w:t xml:space="preserve">It follows the ORW and Wang et al. (2019): only wavelengths with near-complete separation between healthy and infected classes are retained as disease-sensitive spectral features. For derived features a less strict threshold (JM ≥ 1.0 for at least one contrast) is used, because early severity classes overlap more; the full JM matrix is reported.</w:t>
      </w:r>
    </w:p>
    <w:p>
      <w:pPr>
        <w:keepNext/>
        <w:spacing w:after="40" w:before="120"/>
      </w:pPr>
      <w:r>
        <w:rPr>
          <w:b/>
          <w:bCs/>
        </w:rPr>
        <w:t xml:space="preserve">Q9. Why use ReliefF and Boruta in addition to ANOVA?</w:t>
      </w:r>
    </w:p>
    <w:p>
      <w:pPr>
        <w:spacing w:after="120" w:line="360"/>
        <w:jc w:val="both"/>
      </w:pPr>
      <w:r>
        <w:t xml:space="preserve">ANOVA is univariate: it tests one feature at a time and misses features that are informative only together. ReliefF captures interactions through nearest neighbours; Boruta captures non-linear relevance through a random forest and directly targets the all-relevant set. A consensus of different methods is more stable than any single one.</w:t>
      </w:r>
    </w:p>
    <w:p>
      <w:pPr>
        <w:keepNext/>
        <w:spacing w:after="40" w:before="120"/>
      </w:pPr>
      <w:r>
        <w:rPr>
          <w:b/>
          <w:bCs/>
        </w:rPr>
        <w:t xml:space="preserve">Q10. Why FDR correction?</w:t>
      </w:r>
    </w:p>
    <w:p>
      <w:pPr>
        <w:spacing w:after="120" w:line="360"/>
        <w:jc w:val="both"/>
      </w:pPr>
      <w:r>
        <w:t xml:space="preserve">Hundreds of features are tested. At p &lt; 0.05 about 5 % would be significant by chance. Benjamini–Hochberg FDR control keeps the expected proportion of false discoveries among the selected features at 5 %.</w:t>
      </w:r>
    </w:p>
    <w:p>
      <w:pPr>
        <w:keepNext/>
        <w:spacing w:after="40" w:before="120"/>
      </w:pPr>
      <w:r>
        <w:rPr>
          <w:b/>
          <w:bCs/>
        </w:rPr>
        <w:t xml:space="preserve">Q11. Why SFFS rather than RFE, LASSO or PCA?</w:t>
      </w:r>
    </w:p>
    <w:p>
      <w:pPr>
        <w:spacing w:after="120" w:line="360"/>
        <w:jc w:val="both"/>
      </w:pPr>
      <w:r>
        <w:t xml:space="preserve">SFFS works with any classifier, including KNN and RBF-SVM, which RFE cannot handle; its floating step avoids the nesting problem of simple forward selection. LASSO assumes a linear model and picks arbitrarily among correlated features. PCA creates components that are mixtures of features, which destroys the physical meaning that Objective 1 is about.</w:t>
      </w:r>
    </w:p>
    <w:p>
      <w:pPr>
        <w:keepNext/>
        <w:spacing w:after="40" w:before="120"/>
      </w:pPr>
      <w:r>
        <w:rPr>
          <w:b/>
          <w:bCs/>
        </w:rPr>
        <w:t xml:space="preserve">Q12. Why RF, SVM and KNN?</w:t>
      </w:r>
    </w:p>
    <w:p>
      <w:pPr>
        <w:spacing w:after="120" w:line="360"/>
        <w:jc w:val="both"/>
      </w:pPr>
      <w:r>
        <w:t xml:space="preserve">They represent three different learning principles: ensembles of decision trees, maximum-margin kernel boundaries and local instance-based voting. If all three agree on the important features and the benefit of fusion, the conclusion does not depend on one algorithm. All three work well with small tabular datasets.</w:t>
      </w:r>
    </w:p>
    <w:p>
      <w:pPr>
        <w:keepNext/>
        <w:spacing w:after="40" w:before="120"/>
      </w:pPr>
      <w:r>
        <w:rPr>
          <w:b/>
          <w:bCs/>
        </w:rPr>
        <w:t xml:space="preserve">Q13. Why not deep learning?</w:t>
      </w:r>
    </w:p>
    <w:p>
      <w:pPr>
        <w:spacing w:after="120" w:line="360"/>
        <w:jc w:val="both"/>
      </w:pPr>
      <w:r>
        <w:t xml:space="preserve">With 72 plots the data are small and tabular, where tree ensembles usually outperform deep networks (Grinsztajn et al., 2022). Deep networks also learn their own features and do not yield interpretable DSFs, which is the scientific aim of Objective 1. DL is kept as a benchmark and future work.</w:t>
      </w:r>
    </w:p>
    <w:p>
      <w:pPr>
        <w:keepNext/>
        <w:spacing w:after="40" w:before="120"/>
      </w:pPr>
      <w:r>
        <w:rPr>
          <w:b/>
          <w:bCs/>
        </w:rPr>
        <w:t xml:space="preserve">Q14. How do you avoid overfitting with so few plots?</w:t>
      </w:r>
    </w:p>
    <w:p>
      <w:pPr>
        <w:spacing w:after="120" w:line="360"/>
        <w:jc w:val="both"/>
      </w:pPr>
      <w:r>
        <w:t xml:space="preserve">By filtering before wrapping, removing redundancy, limiting the SFFS subset size with the one-standard-error rule, and above all by nested, plot-grouped cross-validation repeated 10 times, followed by external validation at Bharatpur and in farmers’ fields.</w:t>
      </w:r>
    </w:p>
    <w:p>
      <w:pPr>
        <w:keepNext/>
        <w:spacing w:after="40" w:before="120"/>
      </w:pPr>
      <w:r>
        <w:rPr>
          <w:b/>
          <w:bCs/>
        </w:rPr>
        <w:t xml:space="preserve">Q15. How do you prevent data leakage?</w:t>
      </w:r>
    </w:p>
    <w:p>
      <w:pPr>
        <w:spacing w:after="120" w:line="360"/>
        <w:jc w:val="both"/>
      </w:pPr>
      <w:r>
        <w:t xml:space="preserve">Every step that uses labels (screening, ReliefF, Boruta, SFFS, tuning) and every scaler is fitted on training folds only; folds are grouped by plot so that no plot appears in both training and test data; external validation data are never used for any choice (Section 6.3).</w:t>
      </w:r>
    </w:p>
    <w:p>
      <w:pPr>
        <w:keepNext/>
        <w:spacing w:after="40" w:before="120"/>
      </w:pPr>
      <w:r>
        <w:rPr>
          <w:b/>
          <w:bCs/>
        </w:rPr>
        <w:t xml:space="preserve">Q16. Why plot-level features rather than pixels?</w:t>
      </w:r>
    </w:p>
    <w:p>
      <w:pPr>
        <w:spacing w:after="120" w:line="360"/>
        <w:jc w:val="both"/>
      </w:pPr>
      <w:r>
        <w:t xml:space="preserve">Ground truth (DI) is measured per plot, so all pixels of a plot share one label. Treating pixels as independent samples would inflate the sample size and the accuracy. Plot means also reduce noise and mis-registration between sensors.</w:t>
      </w:r>
    </w:p>
    <w:p>
      <w:pPr>
        <w:keepNext/>
        <w:spacing w:after="40" w:before="120"/>
      </w:pPr>
      <w:r>
        <w:rPr>
          <w:b/>
          <w:bCs/>
        </w:rPr>
        <w:t xml:space="preserve">Q17. Why feature-level fusion?</w:t>
      </w:r>
    </w:p>
    <w:p>
      <w:pPr>
        <w:spacing w:after="120" w:line="360"/>
        <w:jc w:val="both"/>
      </w:pPr>
      <w:r>
        <w:t xml:space="preserve">The sensors have very different resolutions, which makes pixel-level stacking error-prone; feature-level fusion keeps interpretable DSFs; and it suits small datasets. Decision-level fusion (stacking) is run as a benchmark.</w:t>
      </w:r>
    </w:p>
    <w:p>
      <w:pPr>
        <w:keepNext/>
        <w:spacing w:after="40" w:before="120"/>
      </w:pPr>
      <w:r>
        <w:rPr>
          <w:b/>
          <w:bCs/>
        </w:rPr>
        <w:t xml:space="preserve">Q18. How do you measure the benefit of fusion?</w:t>
      </w:r>
    </w:p>
    <w:p>
      <w:pPr>
        <w:spacing w:after="120" w:line="360"/>
        <w:jc w:val="both"/>
      </w:pPr>
      <w:r>
        <w:t xml:space="preserve">Fusion gain = accuracy of the fused model minus the accuracy of the best single sensor, tested for significance with McNemar’s test or the corrected resampled t-test; SHAP shows how much each sensor contributes.</w:t>
      </w:r>
    </w:p>
    <w:p>
      <w:pPr>
        <w:keepNext/>
        <w:spacing w:after="40" w:before="120"/>
      </w:pPr>
      <w:r>
        <w:rPr>
          <w:b/>
          <w:bCs/>
        </w:rPr>
        <w:t xml:space="preserve">Q19. White rust pustules are on the lower leaf surface. How can a UAV detect them?</w:t>
      </w:r>
    </w:p>
    <w:p>
      <w:pPr>
        <w:spacing w:after="120" w:line="360"/>
        <w:jc w:val="both"/>
      </w:pPr>
      <w:r>
        <w:t xml:space="preserve">The UAV detects the secondary effects of infection seen from above: chlorosis and pigment changes (VIs, red-edge features), changes in transpiration and canopy temperature (thermal), altered canopy texture, and later stagheads. Multimodal fusion exists precisely because no single signal captures these effects completely.</w:t>
      </w:r>
    </w:p>
    <w:p>
      <w:pPr>
        <w:keepNext/>
        <w:spacing w:after="40" w:before="120"/>
      </w:pPr>
      <w:r>
        <w:rPr>
          <w:b/>
          <w:bCs/>
        </w:rPr>
        <w:t xml:space="preserve">Q20. How is the severity map turned into a spray decision? Why not a variable dose?</w:t>
      </w:r>
    </w:p>
    <w:p>
      <w:pPr>
        <w:spacing w:after="120" w:line="360"/>
        <w:jc w:val="both"/>
      </w:pPr>
      <w:r>
        <w:t xml:space="preserve">Classes are grouped into three zones: green (no spray now), amber (spray at the label dose) and red (too late to protect). Fungicide doses are fixed by label recommendations; a higher dose does not compensate for late application. Severity therefore decides where to spray, not how much.</w:t>
      </w:r>
    </w:p>
    <w:p>
      <w:pPr>
        <w:keepNext/>
        <w:spacing w:after="40" w:before="120"/>
      </w:pPr>
      <w:r>
        <w:rPr>
          <w:b/>
          <w:bCs/>
        </w:rPr>
        <w:t xml:space="preserve">Q21. Will the model work in other places and varieties?</w:t>
      </w:r>
    </w:p>
    <w:p>
      <w:pPr>
        <w:spacing w:after="120" w:line="360"/>
        <w:jc w:val="both"/>
      </w:pPr>
      <w:r>
        <w:t xml:space="preserve">This is tested directly: Tier 1 at IIRMR Bharatpur with local varieties and Tier 2 in farmers’ fields, without retraining. Using normalised thermal parameters and physiologically interpretable DSFs is intended to improve transferability.</w:t>
      </w:r>
    </w:p>
    <w:p>
      <w:pPr>
        <w:keepNext/>
        <w:spacing w:after="40" w:before="120"/>
      </w:pPr>
      <w:r>
        <w:rPr>
          <w:b/>
          <w:bCs/>
        </w:rPr>
        <w:t xml:space="preserve">Q22. What if a farmer or agency can afford only one sensor?</w:t>
      </w:r>
    </w:p>
    <w:p>
      <w:pPr>
        <w:spacing w:after="120" w:line="360"/>
        <w:jc w:val="both"/>
      </w:pPr>
      <w:r>
        <w:t xml:space="preserve">Phase 2 answers this: it ranks the sensors by their stand-alone accuracy, and the fusion scenarios (e.g., multispectral + thermal) show the accuracy of affordable payloads relative to the full suite.</w:t>
      </w:r>
    </w:p>
    <w:p>
      <w:pPr>
        <w:keepNext/>
        <w:spacing w:after="40" w:before="120"/>
      </w:pPr>
      <w:r>
        <w:rPr>
          <w:b/>
          <w:bCs/>
        </w:rPr>
        <w:t xml:space="preserve">Q23. What about class imbalance?</w:t>
      </w:r>
    </w:p>
    <w:p>
      <w:pPr>
        <w:spacing w:after="120" w:line="360"/>
        <w:jc w:val="both"/>
      </w:pPr>
      <w:r>
        <w:t xml:space="preserve">Stratified grouped folds, class weights, and macro-averaged F1 as the selection objective; oversampling, if needed, only inside training folds.</w:t>
      </w:r>
    </w:p>
    <w:p>
      <w:pPr>
        <w:keepNext/>
        <w:spacing w:after="40" w:before="120"/>
      </w:pPr>
      <w:r>
        <w:rPr>
          <w:b/>
          <w:bCs/>
        </w:rPr>
        <w:t xml:space="preserve">Q24. What results do you have so far?</w:t>
      </w:r>
    </w:p>
    <w:p>
      <w:pPr>
        <w:spacing w:after="120" w:line="360"/>
        <w:jc w:val="both"/>
      </w:pPr>
      <w:r>
        <w:t xml:space="preserve">Answer truthfully with the current stage of data collection and analysis. Do not quote expected accuracies as results.</w:t>
      </w:r>
    </w:p>
    <w:p>
      <w:pPr>
        <w:keepNext/>
        <w:spacing w:after="40" w:before="120"/>
      </w:pPr>
      <w:r>
        <w:rPr>
          <w:b/>
          <w:bCs/>
        </w:rPr>
        <w:t xml:space="preserve">Q25. What is new in this work?</w:t>
      </w:r>
    </w:p>
    <w:p>
      <w:pPr>
        <w:spacing w:after="120" w:line="360"/>
        <w:jc w:val="both"/>
      </w:pPr>
      <w:r>
        <w:t xml:space="preserve">A disease-specific, multimodal feature characterisation of white rust in mustard from a UAV platform, a transparent three-phase pipeline from characterisation to fusion, and a decision-oriented output (spray-zone map) validated across sites.</w:t>
      </w:r>
    </w:p>
    <w:p>
      <w:pPr>
        <w:pStyle w:val="Heading1"/>
        <w:pageBreakBefore/>
      </w:pPr>
      <w:r>
        <w:t xml:space="preserve">10. Step-by-step checklist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98"/>
        <w:gridCol w:w="3156"/>
        <w:gridCol w:w="1495"/>
        <w:gridCol w:w="2492"/>
        <w:gridCol w:w="665"/>
      </w:tblGrid>
      <w:tr>
        <w:trPr>
          <w:cantSplit/>
          <w:tblHeader/>
        </w:trPr>
        <w:tc>
          <w:tcPr>
            <w:tcW w:type="dxa" w:w="498"/>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w:t>
            </w:r>
          </w:p>
        </w:tc>
        <w:tc>
          <w:tcPr>
            <w:tcW w:type="dxa" w:w="3156"/>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Step</w:t>
            </w:r>
          </w:p>
        </w:tc>
        <w:tc>
          <w:tcPr>
            <w:tcW w:type="dxa" w:w="1495"/>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Input</w:t>
            </w:r>
          </w:p>
        </w:tc>
        <w:tc>
          <w:tcPr>
            <w:tcW w:type="dxa" w:w="2492"/>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Output</w:t>
            </w:r>
          </w:p>
        </w:tc>
        <w:tc>
          <w:tcPr>
            <w:tcW w:type="dxa" w:w="665"/>
            <w:tcBorders>
              <w:top w:val="single" w:color="808080" w:sz="4"/>
              <w:left w:val="single" w:color="808080" w:sz="4"/>
              <w:bottom w:val="single" w:color="808080" w:sz="4"/>
              <w:right w:val="single" w:color="808080" w:sz="4"/>
            </w:tcBorders>
            <w:shd w:fill="DCE6DF" w:color="auto" w:val="clear"/>
            <w:tcMar>
              <w:top w:type="dxa" w:w="50"/>
              <w:left w:type="dxa" w:w="90"/>
              <w:bottom w:type="dxa" w:w="50"/>
              <w:right w:type="dxa" w:w="90"/>
            </w:tcMar>
            <w:vAlign w:val="top"/>
          </w:tcPr>
          <w:p>
            <w:pPr>
              <w:spacing w:after="30" w:line="252"/>
              <w:jc w:val="left"/>
            </w:pPr>
            <w:r>
              <w:rPr>
                <w:b/>
                <w:bCs/>
                <w:sz w:val="20"/>
                <w:szCs w:val="20"/>
              </w:rPr>
              <w:t xml:space="preserve">Done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0.1</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Flights, calibration, orthomosaics, co-registration, crop mask, plot means</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Raw imagery</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Plot-date reflectance, temperature and texture layers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0.2</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Field scoring, DI and severity class per plot-date</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Leaf ratings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Labels (class, DI)</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1.1</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Feature extraction per sensor</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Plot layers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Feature tables per sensor</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1.2</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Quality control</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Feature tables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Clean feature tables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1.3</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ANOVA/Welch/KW + BH-FDR per date</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Clean features + labels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q-values, effect sizes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1.4</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JM distance; HS scalogram (JM &gt; 1.94)</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As above</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JM matrix; sensitive regions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1.5</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ReliefF (k = 10)</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As above</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Relevance weights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1.6</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RF permutation importance; Boruta</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As above</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Importance; confirmed features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1.7</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Consensus + bootstrap stability (≥ 60 %)</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Steps 1.3–1.6</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Candidate DSFs per sensor</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1.8</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Correlation with DI/physiology; clustering at |ρ| = 0.7</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DSFs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Physiological groups (nothing removed)</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2.1</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Relevance-guided VIF &lt; 10; SPA/CARS for raw HS</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DSFs per sensor</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Non-redundant DSFs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2.2</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Normalise (training folds)</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Non-redundant DSFs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Scaled features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2.3</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SFFS per classifier (inner grouped CV, macro-F1, 1-SE)</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Scaled features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OFC per sensor × classifier</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2.4</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Tune and evaluate RF, SVM, KNN</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OFCs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Single-sensor accuracy (baseline)</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3.1</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Concatenate DSFs per fusion scenario</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DSFs of all sensors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Pooled matrix</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3.2</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Pooled relevance-guided VIF</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Pooled matrix</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Non-redundant pooled features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3.3</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Normalise (training folds)</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As above</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Scaled pooled features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3.4</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SFFS per classifier; robust cross-classifier features</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Scaled pooled features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Fused OFCs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3.5</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Classify/regress; fusion gain + test; SHAP</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Fused OFCs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Best model; sensor contributions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3.6</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Severity map → spray-zone map</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Best model + new flight</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Maps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3.7</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Tier 1 (Bharatpur) and Tier 2 (farmers’ fields) validation</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Final model</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Transfer accuracy</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r>
        <w:trPr>
          <w:cantSplit/>
        </w:trPr>
        <w:tc>
          <w:tcPr>
            <w:tcW w:type="dxa" w:w="49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6</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Nested, plot-grouped CV, 10 repeats, leakage checklist</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All steps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Unbiased estimates</w:t>
            </w:r>
          </w:p>
        </w:tc>
        <w:tc>
          <w:tcPr>
            <w:tcW w:type="dxa" w:w="6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52"/>
              <w:jc w:val="left"/>
            </w:pPr>
            <w:r>
              <w:rPr>
                <w:sz w:val="20"/>
                <w:szCs w:val="20"/>
              </w:rPr>
              <w:t xml:space="preserve">☐</w:t>
            </w:r>
          </w:p>
        </w:tc>
      </w:tr>
    </w:tbl>
    <w:p>
      <w:pPr>
        <w:spacing w:after="60"/>
      </w:pPr>
    </w:p>
    <w:p>
      <w:pPr>
        <w:pStyle w:val="Heading1"/>
        <w:pageBreakBefore/>
      </w:pPr>
      <w:r>
        <w:t xml:space="preserve">Appendix A. Consistency notes for the thesis</w:t>
      </w:r>
    </w:p>
    <w:p>
      <w:pPr>
        <w:spacing w:after="120" w:line="360"/>
        <w:jc w:val="both"/>
      </w:pPr>
      <w:r>
        <w:t xml:space="preserve">The following differences were found while preparing this document. They should be resolved before the thesis and the hackathon materials are finalised.</w:t>
      </w:r>
    </w:p>
    <w:p>
      <w:pPr>
        <w:pStyle w:val="ListParagraph"/>
        <w:numPr>
          <w:ilvl w:val="0"/>
          <w:numId w:val="17"/>
        </w:numPr>
        <w:spacing w:after="60" w:line="312"/>
        <w:jc w:val="both"/>
      </w:pPr>
      <w:r>
        <w:rPr>
          <w:b/>
          <w:bCs/>
        </w:rPr>
        <w:t xml:space="preserve">Experimental design.</w:t>
      </w:r>
      <w:r>
        <w:t xml:space="preserve"> The ORW write-up describes 24 treatments × 3 replications = 72 plots, with varieties Varuna, Pusa Vijay and PM 30. The ORW presentation shows a 48-plot layout (main plots 20/30/40/50 DAS; varieties Pusa Mustard 26, Pusa Vijay and Pusa Mustard 37; three replications plus a control). The hackathon application states “3 varieties × 4 inoculation timings × 3 replications = 48 plots”, but 3 × 4 × 3 = 36; 48 is reached only with 12 control plots. Fix one design and use it everywhere.</w:t>
      </w:r>
    </w:p>
    <w:p>
      <w:pPr>
        <w:pStyle w:val="ListParagraph"/>
        <w:numPr>
          <w:ilvl w:val="0"/>
          <w:numId w:val="17"/>
        </w:numPr>
        <w:spacing w:after="60" w:line="312"/>
        <w:jc w:val="both"/>
      </w:pPr>
      <w:r>
        <w:rPr>
          <w:b/>
          <w:bCs/>
        </w:rPr>
        <w:t xml:space="preserve">Observation counts.</w:t>
      </w:r>
      <w:r>
        <w:t xml:space="preserve"> 432 pre-symptomatic and 1,296 post-symptomatic observations are consistent with 72 plots (72 × 6 and 72 × 18). If the design is 48 plots, these numbers must change.</w:t>
      </w:r>
    </w:p>
    <w:p>
      <w:pPr>
        <w:pStyle w:val="ListParagraph"/>
        <w:numPr>
          <w:ilvl w:val="0"/>
          <w:numId w:val="17"/>
        </w:numPr>
        <w:spacing w:after="60" w:line="312"/>
        <w:jc w:val="both"/>
      </w:pPr>
      <w:r>
        <w:rPr>
          <w:b/>
          <w:bCs/>
        </w:rPr>
        <w:t xml:space="preserve">Tian et al.</w:t>
      </w:r>
      <w:r>
        <w:t xml:space="preserve"> Activity 2.1 cites “Tian et al., 2024” for ML-SFFS, but the reference list contains Tian et al. (2021), </w:t>
      </w:r>
      <w:r>
        <w:rPr>
          <w:i/>
          <w:iCs/>
        </w:rPr>
        <w:t xml:space="preserve">Remote Sensing of Environment</w:t>
      </w:r>
      <w:r>
        <w:t xml:space="preserve"> 257, 112350. Use 2021 unless a 2024 paper is intended.</w:t>
      </w:r>
    </w:p>
    <w:p>
      <w:pPr>
        <w:pStyle w:val="ListParagraph"/>
        <w:numPr>
          <w:ilvl w:val="0"/>
          <w:numId w:val="17"/>
        </w:numPr>
        <w:spacing w:after="60" w:line="312"/>
        <w:jc w:val="both"/>
      </w:pPr>
      <w:r>
        <w:rPr>
          <w:b/>
          <w:bCs/>
        </w:rPr>
        <w:t xml:space="preserve">Mustafa et al.</w:t>
      </w:r>
      <w:r>
        <w:t xml:space="preserve"> The text cites both 2022 and 2023 for the same work (</w:t>
      </w:r>
      <w:r>
        <w:rPr>
          <w:i/>
          <w:iCs/>
        </w:rPr>
        <w:t xml:space="preserve">Frontiers in Plant Science</w:t>
      </w:r>
      <w:r>
        <w:t xml:space="preserve"> 13, 1102341: volume 13 is 2022, the article was published in January 2023). Use one year consistently.</w:t>
      </w:r>
    </w:p>
    <w:p>
      <w:pPr>
        <w:pStyle w:val="ListParagraph"/>
        <w:numPr>
          <w:ilvl w:val="0"/>
          <w:numId w:val="17"/>
        </w:numPr>
        <w:spacing w:after="60" w:line="312"/>
        <w:jc w:val="both"/>
      </w:pPr>
      <w:r>
        <w:rPr>
          <w:b/>
          <w:bCs/>
        </w:rPr>
        <w:t xml:space="preserve">Feng et al.</w:t>
      </w:r>
      <w:r>
        <w:t xml:space="preserve"> The text cites 2022 and the list gives 2021 for </w:t>
      </w:r>
      <w:r>
        <w:rPr>
          <w:i/>
          <w:iCs/>
        </w:rPr>
        <w:t xml:space="preserve">Sensors</w:t>
      </w:r>
      <w:r>
        <w:t xml:space="preserve"> 22(1), 31. Use one year consistently.</w:t>
      </w:r>
    </w:p>
    <w:p>
      <w:pPr>
        <w:pStyle w:val="ListParagraph"/>
        <w:numPr>
          <w:ilvl w:val="0"/>
          <w:numId w:val="17"/>
        </w:numPr>
        <w:spacing w:after="60" w:line="312"/>
        <w:jc w:val="both"/>
      </w:pPr>
      <w:r>
        <w:rPr>
          <w:b/>
          <w:bCs/>
        </w:rPr>
        <w:t xml:space="preserve">Rouse et al.</w:t>
      </w:r>
      <w:r>
        <w:t xml:space="preserve"> The ORW list shows the author as “Jw, R. (1973)”. The standard citation is Rouse, Haas, Schell &amp; Deering (1974).</w:t>
      </w:r>
    </w:p>
    <w:p>
      <w:pPr>
        <w:pStyle w:val="ListParagraph"/>
        <w:numPr>
          <w:ilvl w:val="0"/>
          <w:numId w:val="17"/>
        </w:numPr>
        <w:spacing w:after="60" w:line="312"/>
        <w:jc w:val="both"/>
      </w:pPr>
      <w:r>
        <w:rPr>
          <w:b/>
          <w:bCs/>
        </w:rPr>
        <w:t xml:space="preserve">Evaluation formulas.</w:t>
      </w:r>
      <w:r>
        <w:t xml:space="preserve"> Specificity, sensitivity and kappa formulas in the ORW need correction (Section 4.6).</w:t>
      </w:r>
    </w:p>
    <w:p>
      <w:pPr>
        <w:pStyle w:val="ListParagraph"/>
        <w:numPr>
          <w:ilvl w:val="0"/>
          <w:numId w:val="17"/>
        </w:numPr>
        <w:spacing w:after="60" w:line="312"/>
        <w:jc w:val="both"/>
      </w:pPr>
      <w:r>
        <w:rPr>
          <w:b/>
          <w:bCs/>
        </w:rPr>
        <w:t xml:space="preserve">RGB GSD.</w:t>
      </w:r>
      <w:r>
        <w:t xml:space="preserve"> 8.2 cm/px at 30 m for the Phantom 4 Pro is probably a typographical error for about 0.8 cm/px.</w:t>
      </w:r>
    </w:p>
    <w:p>
      <w:pPr>
        <w:pStyle w:val="ListParagraph"/>
        <w:numPr>
          <w:ilvl w:val="0"/>
          <w:numId w:val="17"/>
        </w:numPr>
        <w:spacing w:after="60" w:line="312"/>
        <w:jc w:val="both"/>
      </w:pPr>
      <w:r>
        <w:rPr>
          <w:b/>
          <w:bCs/>
        </w:rPr>
        <w:t xml:space="preserve">JM threshold in the slide deck.</w:t>
      </w:r>
      <w:r>
        <w:t xml:space="preserve"> The methodology slides show JM ≥ 1.0 for derived features; this document keeps that and adds the ORW rule JM &gt; 1.94 for hyperspectral wavelengths.</w:t>
      </w:r>
    </w:p>
    <w:p>
      <w:pPr>
        <w:pStyle w:val="Heading1"/>
        <w:pageBreakBefore/>
      </w:pPr>
      <w:r>
        <w:t xml:space="preserve">References</w:t>
      </w:r>
    </w:p>
    <w:p>
      <w:pPr>
        <w:spacing w:after="100" w:line="276"/>
        <w:ind w:left="567" w:hanging="567"/>
        <w:jc w:val="left"/>
      </w:pPr>
      <w:r>
        <w:t xml:space="preserve">Abdulridha, J., Batuman, O., &amp; Ampatzidis, Y. (2019). UAV-based remote sensing technique to detect citrus canker disease utilizing hyperspectral imaging and machine learning. </w:t>
      </w:r>
      <w:r>
        <w:rPr>
          <w:i/>
          <w:iCs/>
        </w:rPr>
        <w:t xml:space="preserve">Remote Sensing, 11</w:t>
      </w:r>
      <w:r>
        <w:t xml:space="preserve">(11), 1373.</w:t>
      </w:r>
    </w:p>
    <w:p>
      <w:pPr>
        <w:spacing w:after="100" w:line="276"/>
        <w:ind w:left="567" w:hanging="567"/>
        <w:jc w:val="left"/>
      </w:pPr>
      <w:r>
        <w:t xml:space="preserve">Abdulridha, J., Min, A., Rouse, M. N., Kianian, S., Isler, V., &amp; Yang, C. (2023). Evaluation of stem rust disease in wheat fields by drone hyperspectral imaging. </w:t>
      </w:r>
      <w:r>
        <w:rPr>
          <w:i/>
          <w:iCs/>
        </w:rPr>
        <w:t xml:space="preserve">Sensors, 23</w:t>
      </w:r>
      <w:r>
        <w:t xml:space="preserve">(8), 4154.</w:t>
      </w:r>
    </w:p>
    <w:p>
      <w:pPr>
        <w:spacing w:after="100" w:line="276"/>
        <w:ind w:left="567" w:hanging="567"/>
        <w:jc w:val="left"/>
      </w:pPr>
      <w:r>
        <w:t xml:space="preserve">Ambroise, C., &amp; McLachlan, G. J. (2002). Selection bias in gene extraction on the basis of microarray gene-expression data. </w:t>
      </w:r>
      <w:r>
        <w:rPr>
          <w:i/>
          <w:iCs/>
        </w:rPr>
        <w:t xml:space="preserve">Proceedings of the National Academy of Sciences, 99</w:t>
      </w:r>
      <w:r>
        <w:t xml:space="preserve">(10), 6562–6566.</w:t>
      </w:r>
    </w:p>
    <w:p>
      <w:pPr>
        <w:spacing w:after="100" w:line="276"/>
        <w:ind w:left="567" w:hanging="567"/>
        <w:jc w:val="left"/>
      </w:pPr>
      <w:r>
        <w:t xml:space="preserve">Araújo, M. C. U., Saldanha, T. C. B., Galvão, R. K. H., Yoneyama, T., Chame, H. C., &amp; Visani, V. (2001). The successive projections algorithm for variable selection in spectroscopic multicomponent analysis. </w:t>
      </w:r>
      <w:r>
        <w:rPr>
          <w:i/>
          <w:iCs/>
        </w:rPr>
        <w:t xml:space="preserve">Chemometrics and Intelligent Laboratory Systems, 57</w:t>
      </w:r>
      <w:r>
        <w:t xml:space="preserve">(2), 65–73.</w:t>
      </w:r>
    </w:p>
    <w:p>
      <w:pPr>
        <w:spacing w:after="100" w:line="276"/>
        <w:ind w:left="567" w:hanging="567"/>
        <w:jc w:val="left"/>
      </w:pPr>
      <w:r>
        <w:t xml:space="preserve">Arik, S. Ö., &amp; Pfister, T. (2021). TabNet: Attentive interpretable tabular learning. </w:t>
      </w:r>
      <w:r>
        <w:rPr>
          <w:i/>
          <w:iCs/>
        </w:rPr>
        <w:t xml:space="preserve">Proceedings of the AAAI Conference on Artificial Intelligence, 35</w:t>
      </w:r>
      <w:r>
        <w:t xml:space="preserve">(8), 6679–6687.</w:t>
      </w:r>
    </w:p>
    <w:p>
      <w:pPr>
        <w:spacing w:after="100" w:line="276"/>
        <w:ind w:left="567" w:hanging="567"/>
        <w:jc w:val="left"/>
      </w:pPr>
      <w:r>
        <w:t xml:space="preserve">Barker, M., &amp; Rayens, W. (2003). Partial least squares for discrimination. </w:t>
      </w:r>
      <w:r>
        <w:rPr>
          <w:i/>
          <w:iCs/>
        </w:rPr>
        <w:t xml:space="preserve">Journal of Chemometrics, 17</w:t>
      </w:r>
      <w:r>
        <w:t xml:space="preserve">(3), 166–173.</w:t>
      </w:r>
    </w:p>
    <w:p>
      <w:pPr>
        <w:spacing w:after="100" w:line="276"/>
        <w:ind w:left="567" w:hanging="567"/>
        <w:jc w:val="left"/>
      </w:pPr>
      <w:r>
        <w:t xml:space="preserve">Benjamini, Y., &amp; Hochberg, Y. (1995). Controlling the false discovery rate: A practical and powerful approach to multiple testing. </w:t>
      </w:r>
      <w:r>
        <w:rPr>
          <w:i/>
          <w:iCs/>
        </w:rPr>
        <w:t xml:space="preserve">Journal of the Royal Statistical Society: Series B, 57</w:t>
      </w:r>
      <w:r>
        <w:t xml:space="preserve">(1), 289–300.</w:t>
      </w:r>
    </w:p>
    <w:p>
      <w:pPr>
        <w:spacing w:after="100" w:line="276"/>
        <w:ind w:left="567" w:hanging="567"/>
        <w:jc w:val="left"/>
      </w:pPr>
      <w:r>
        <w:t xml:space="preserve">Bolón-Canedo, V., &amp; Alonso-Betanzos, A. (2019). Ensembles for feature selection: A review and future trends. </w:t>
      </w:r>
      <w:r>
        <w:rPr>
          <w:i/>
          <w:iCs/>
        </w:rPr>
        <w:t xml:space="preserve">Information Fusion, 52</w:t>
      </w:r>
      <w:r>
        <w:t xml:space="preserve">, 1–12.</w:t>
      </w:r>
    </w:p>
    <w:p>
      <w:pPr>
        <w:spacing w:after="100" w:line="276"/>
        <w:ind w:left="567" w:hanging="567"/>
        <w:jc w:val="left"/>
      </w:pPr>
      <w:r>
        <w:t xml:space="preserve">Breiman, L. (2001). Random forests. </w:t>
      </w:r>
      <w:r>
        <w:rPr>
          <w:i/>
          <w:iCs/>
        </w:rPr>
        <w:t xml:space="preserve">Machine Learning, 45</w:t>
      </w:r>
      <w:r>
        <w:t xml:space="preserve">(1), 5–32.</w:t>
      </w:r>
    </w:p>
    <w:p>
      <w:pPr>
        <w:spacing w:after="100" w:line="276"/>
        <w:ind w:left="567" w:hanging="567"/>
        <w:jc w:val="left"/>
      </w:pPr>
      <w:r>
        <w:t xml:space="preserve">Cawley, G. C., &amp; Talbot, N. L. C. (2010). On over-fitting in model selection and subsequent selection bias in performance evaluation. </w:t>
      </w:r>
      <w:r>
        <w:rPr>
          <w:i/>
          <w:iCs/>
        </w:rPr>
        <w:t xml:space="preserve">Journal of Machine Learning Research, 11</w:t>
      </w:r>
      <w:r>
        <w:t xml:space="preserve">, 2079–2107.</w:t>
      </w:r>
    </w:p>
    <w:p>
      <w:pPr>
        <w:spacing w:after="100" w:line="276"/>
        <w:ind w:left="567" w:hanging="567"/>
        <w:jc w:val="left"/>
      </w:pPr>
      <w:r>
        <w:t xml:space="preserve">Chawla, N. V., Bowyer, K. W., Hall, L. O., &amp; Kegelmeyer, W. P. (2002). SMOTE: Synthetic minority over-sampling technique. </w:t>
      </w:r>
      <w:r>
        <w:rPr>
          <w:i/>
          <w:iCs/>
        </w:rPr>
        <w:t xml:space="preserve">Journal of Artificial Intelligence Research, 16</w:t>
      </w:r>
      <w:r>
        <w:t xml:space="preserve">, 321–357.</w:t>
      </w:r>
    </w:p>
    <w:p>
      <w:pPr>
        <w:spacing w:after="100" w:line="276"/>
        <w:ind w:left="567" w:hanging="567"/>
        <w:jc w:val="left"/>
      </w:pPr>
      <w:r>
        <w:t xml:space="preserve">Chen, J. M. (1996). Evaluation of vegetation indices and a modified simple ratio for boreal applications. </w:t>
      </w:r>
      <w:r>
        <w:rPr>
          <w:i/>
          <w:iCs/>
        </w:rPr>
        <w:t xml:space="preserve">Canadian Journal of Remote Sensing, 22</w:t>
      </w:r>
      <w:r>
        <w:t xml:space="preserve">(3), 229–242.</w:t>
      </w:r>
    </w:p>
    <w:p>
      <w:pPr>
        <w:spacing w:after="100" w:line="276"/>
        <w:ind w:left="567" w:hanging="567"/>
        <w:jc w:val="left"/>
      </w:pPr>
      <w:r>
        <w:t xml:space="preserve">Chen, T., &amp; Guestrin, C. (2016). XGBoost: A scalable tree boosting system. </w:t>
      </w:r>
      <w:r>
        <w:rPr>
          <w:i/>
          <w:iCs/>
        </w:rPr>
        <w:t xml:space="preserve">Proceedings of the 22nd ACM SIGKDD International Conference on Knowledge Discovery and Data Mining</w:t>
      </w:r>
      <w:r>
        <w:t xml:space="preserve">, 785–794.</w:t>
      </w:r>
    </w:p>
    <w:p>
      <w:pPr>
        <w:spacing w:after="100" w:line="276"/>
        <w:ind w:left="567" w:hanging="567"/>
        <w:jc w:val="left"/>
      </w:pPr>
      <w:r>
        <w:t xml:space="preserve">Cheng, T., Rivard, B., Sánchez-Azofeifa, G. A., Feng, J., &amp; Calvo-Polanco, M. (2010). Continuous wavelet analysis for the detection of green attack damage due to mountain pine beetle infestation. </w:t>
      </w:r>
      <w:r>
        <w:rPr>
          <w:i/>
          <w:iCs/>
        </w:rPr>
        <w:t xml:space="preserve">Remote Sensing of Environment, 114</w:t>
      </w:r>
      <w:r>
        <w:t xml:space="preserve">(4), 899–910.</w:t>
      </w:r>
    </w:p>
    <w:p>
      <w:pPr>
        <w:spacing w:after="100" w:line="276"/>
        <w:ind w:left="567" w:hanging="567"/>
        <w:jc w:val="left"/>
      </w:pPr>
      <w:r>
        <w:t xml:space="preserve">Clark, R. N., &amp; Roush, T. L. (1984). Reflectance spectroscopy: Quantitative analysis techniques for remote sensing applications. </w:t>
      </w:r>
      <w:r>
        <w:rPr>
          <w:i/>
          <w:iCs/>
        </w:rPr>
        <w:t xml:space="preserve">Journal of Geophysical Research, 89</w:t>
      </w:r>
      <w:r>
        <w:t xml:space="preserve">(B7), 6329–6340.</w:t>
      </w:r>
    </w:p>
    <w:p>
      <w:pPr>
        <w:spacing w:after="100" w:line="276"/>
        <w:ind w:left="567" w:hanging="567"/>
        <w:jc w:val="left"/>
      </w:pPr>
      <w:r>
        <w:t xml:space="preserve">Cohen, J. (1960). A coefficient of agreement for nominal scales. </w:t>
      </w:r>
      <w:r>
        <w:rPr>
          <w:i/>
          <w:iCs/>
        </w:rPr>
        <w:t xml:space="preserve">Educational and Psychological Measurement, 20</w:t>
      </w:r>
      <w:r>
        <w:t xml:space="preserve">(1), 37–46.</w:t>
      </w:r>
    </w:p>
    <w:p>
      <w:pPr>
        <w:spacing w:after="100" w:line="276"/>
        <w:ind w:left="567" w:hanging="567"/>
        <w:jc w:val="left"/>
      </w:pPr>
      <w:r>
        <w:t xml:space="preserve">Congalton, R. G. (1991). A review of assessing the accuracy of classifications of remotely sensed data. </w:t>
      </w:r>
      <w:r>
        <w:rPr>
          <w:i/>
          <w:iCs/>
        </w:rPr>
        <w:t xml:space="preserve">Remote Sensing of Environment, 37</w:t>
      </w:r>
      <w:r>
        <w:t xml:space="preserve">(1), 35–46.</w:t>
      </w:r>
    </w:p>
    <w:p>
      <w:pPr>
        <w:spacing w:after="100" w:line="276"/>
        <w:ind w:left="567" w:hanging="567"/>
        <w:jc w:val="left"/>
      </w:pPr>
      <w:r>
        <w:t xml:space="preserve">Cortes, C., &amp; Vapnik, V. (1995). Support-vector networks. </w:t>
      </w:r>
      <w:r>
        <w:rPr>
          <w:i/>
          <w:iCs/>
        </w:rPr>
        <w:t xml:space="preserve">Machine Learning, 20</w:t>
      </w:r>
      <w:r>
        <w:t xml:space="preserve">(3), 273–297.</w:t>
      </w:r>
    </w:p>
    <w:p>
      <w:pPr>
        <w:spacing w:after="100" w:line="276"/>
        <w:ind w:left="567" w:hanging="567"/>
        <w:jc w:val="left"/>
      </w:pPr>
      <w:r>
        <w:t xml:space="preserve">Cover, T., &amp; Hart, P. (1967). Nearest neighbor pattern classification. </w:t>
      </w:r>
      <w:r>
        <w:rPr>
          <w:i/>
          <w:iCs/>
        </w:rPr>
        <w:t xml:space="preserve">IEEE Transactions on Information Theory, 13</w:t>
      </w:r>
      <w:r>
        <w:t xml:space="preserve">(1), 21–27.</w:t>
      </w:r>
    </w:p>
    <w:p>
      <w:pPr>
        <w:spacing w:after="100" w:line="276"/>
        <w:ind w:left="567" w:hanging="567"/>
        <w:jc w:val="left"/>
      </w:pPr>
      <w:r>
        <w:t xml:space="preserve">Dash, J., &amp; Curran, P. J. (2004). The MERIS terrestrial chlorophyll index. </w:t>
      </w:r>
      <w:r>
        <w:rPr>
          <w:i/>
          <w:iCs/>
        </w:rPr>
        <w:t xml:space="preserve">International Journal of Remote Sensing, 25</w:t>
      </w:r>
      <w:r>
        <w:t xml:space="preserve">(23), 5403–5413.</w:t>
      </w:r>
    </w:p>
    <w:p>
      <w:pPr>
        <w:spacing w:after="100" w:line="276"/>
        <w:ind w:left="567" w:hanging="567"/>
        <w:jc w:val="left"/>
      </w:pPr>
      <w:r>
        <w:t xml:space="preserve">Daughtry, C. S. T., Walthall, C. L., Kim, M. S., Brown de Colstoun, E., &amp; McMurtrey, J. E. (2000). Estimating corn leaf chlorophyll concentration from leaf and canopy reflectance. </w:t>
      </w:r>
      <w:r>
        <w:rPr>
          <w:i/>
          <w:iCs/>
        </w:rPr>
        <w:t xml:space="preserve">Remote Sensing of Environment, 74</w:t>
      </w:r>
      <w:r>
        <w:t xml:space="preserve">(2), 229–239.</w:t>
      </w:r>
    </w:p>
    <w:p>
      <w:pPr>
        <w:spacing w:after="100" w:line="276"/>
        <w:ind w:left="567" w:hanging="567"/>
        <w:jc w:val="left"/>
      </w:pPr>
      <w:r>
        <w:t xml:space="preserve">Deng, J., Hong, D., Li, C., Yao, J., Yang, Z., Zhang, Z., &amp; Chanussot, J. (2024). RustQNet: Multimodal deep learning for quantitative inversion of wheat stripe rust disease index. </w:t>
      </w:r>
      <w:r>
        <w:rPr>
          <w:i/>
          <w:iCs/>
        </w:rPr>
        <w:t xml:space="preserve">Computers and Electronics in Agriculture, 225</w:t>
      </w:r>
      <w:r>
        <w:t xml:space="preserve">, 109245.</w:t>
      </w:r>
    </w:p>
    <w:p>
      <w:pPr>
        <w:spacing w:after="100" w:line="276"/>
        <w:ind w:left="567" w:hanging="567"/>
        <w:jc w:val="left"/>
      </w:pPr>
      <w:r>
        <w:t xml:space="preserve">Dormann, C. F., Elith, J., Bacher, S., Buchmann, C., Carl, G., Carré, G., … Lautenbach, S. (2013). Collinearity: A review of methods to deal with it and a simulation study evaluating their performance. </w:t>
      </w:r>
      <w:r>
        <w:rPr>
          <w:i/>
          <w:iCs/>
        </w:rPr>
        <w:t xml:space="preserve">Ecography, 36</w:t>
      </w:r>
      <w:r>
        <w:t xml:space="preserve">(1), 27–46.</w:t>
      </w:r>
    </w:p>
    <w:p>
      <w:pPr>
        <w:spacing w:after="100" w:line="276"/>
        <w:ind w:left="567" w:hanging="567"/>
        <w:jc w:val="left"/>
      </w:pPr>
      <w:r>
        <w:t xml:space="preserve">Dunn, O. J. (1964). Multiple comparisons using rank sums. </w:t>
      </w:r>
      <w:r>
        <w:rPr>
          <w:i/>
          <w:iCs/>
        </w:rPr>
        <w:t xml:space="preserve">Technometrics, 6</w:t>
      </w:r>
      <w:r>
        <w:t xml:space="preserve">(3), 241–252.</w:t>
      </w:r>
    </w:p>
    <w:p>
      <w:pPr>
        <w:spacing w:after="100" w:line="276"/>
        <w:ind w:left="567" w:hanging="567"/>
        <w:jc w:val="left"/>
      </w:pPr>
      <w:r>
        <w:t xml:space="preserve">Elsayed, S., Elhoweity, M., Ibrahim, H. H., Dewir, Y. H., Migdadi, H. M., &amp; Schmidhalter, U. (2017). Thermal imaging and passive reflectance sensing to estimate the water status and grain yield of wheat under different irrigation regimes. </w:t>
      </w:r>
      <w:r>
        <w:rPr>
          <w:i/>
          <w:iCs/>
        </w:rPr>
        <w:t xml:space="preserve">Agricultural Water Management, 189</w:t>
      </w:r>
      <w:r>
        <w:t xml:space="preserve">, 98–110.</w:t>
      </w:r>
    </w:p>
    <w:p>
      <w:pPr>
        <w:spacing w:after="100" w:line="276"/>
        <w:ind w:left="567" w:hanging="567"/>
        <w:jc w:val="left"/>
      </w:pPr>
      <w:r>
        <w:t xml:space="preserve">Feng, Z., Song, L., Duan, J., He, L., Zhang, Y., Wei, Y., &amp; Feng, W. (2022). Monitoring wheat powdery mildew based on hyperspectral, thermal infrared, and RGB image data fusion. </w:t>
      </w:r>
      <w:r>
        <w:rPr>
          <w:i/>
          <w:iCs/>
        </w:rPr>
        <w:t xml:space="preserve">Sensors, 22</w:t>
      </w:r>
      <w:r>
        <w:t xml:space="preserve">(1), 31.</w:t>
      </w:r>
    </w:p>
    <w:p>
      <w:pPr>
        <w:spacing w:after="100" w:line="276"/>
        <w:ind w:left="567" w:hanging="567"/>
        <w:jc w:val="left"/>
      </w:pPr>
      <w:r>
        <w:t xml:space="preserve">Foody, G. M. (2004). Thematic map comparison: Evaluating the statistical significance of differences in classification accuracy. </w:t>
      </w:r>
      <w:r>
        <w:rPr>
          <w:i/>
          <w:iCs/>
        </w:rPr>
        <w:t xml:space="preserve">Photogrammetric Engineering &amp; Remote Sensing, 70</w:t>
      </w:r>
      <w:r>
        <w:t xml:space="preserve">(5), 627–633.</w:t>
      </w:r>
    </w:p>
    <w:p>
      <w:pPr>
        <w:spacing w:after="100" w:line="276"/>
        <w:ind w:left="567" w:hanging="567"/>
        <w:jc w:val="left"/>
      </w:pPr>
      <w:r>
        <w:t xml:space="preserve">Gamon, J. A., Peñuelas, J., &amp; Field, C. B. (1992). A narrow-waveband spectral index that tracks diurnal changes in photosynthetic efficiency. </w:t>
      </w:r>
      <w:r>
        <w:rPr>
          <w:i/>
          <w:iCs/>
        </w:rPr>
        <w:t xml:space="preserve">Remote Sensing of Environment, 41</w:t>
      </w:r>
      <w:r>
        <w:t xml:space="preserve">(1), 35–44.</w:t>
      </w:r>
    </w:p>
    <w:p>
      <w:pPr>
        <w:spacing w:after="100" w:line="276"/>
        <w:ind w:left="567" w:hanging="567"/>
        <w:jc w:val="left"/>
      </w:pPr>
      <w:r>
        <w:t xml:space="preserve">Gao, B.-C. (1996). NDWI—A normalized difference water index for remote sensing of vegetation liquid water from space. </w:t>
      </w:r>
      <w:r>
        <w:rPr>
          <w:i/>
          <w:iCs/>
        </w:rPr>
        <w:t xml:space="preserve">Remote Sensing of Environment, 58</w:t>
      </w:r>
      <w:r>
        <w:t xml:space="preserve">(3), 257–266.</w:t>
      </w:r>
    </w:p>
    <w:p>
      <w:pPr>
        <w:spacing w:after="100" w:line="276"/>
        <w:ind w:left="567" w:hanging="567"/>
        <w:jc w:val="left"/>
      </w:pPr>
      <w:r>
        <w:t xml:space="preserve">Gitelson, A. A., Gritz, Y., &amp; Merzlyak, M. N. (2003). Relationships between leaf chlorophyll content and spectral reflectance and algorithms for non-destructive chlorophyll assessment in higher plant leaves. </w:t>
      </w:r>
      <w:r>
        <w:rPr>
          <w:i/>
          <w:iCs/>
        </w:rPr>
        <w:t xml:space="preserve">Journal of Plant Physiology, 160</w:t>
      </w:r>
      <w:r>
        <w:t xml:space="preserve">(3), 271–282.</w:t>
      </w:r>
    </w:p>
    <w:p>
      <w:pPr>
        <w:spacing w:after="100" w:line="276"/>
        <w:ind w:left="567" w:hanging="567"/>
        <w:jc w:val="left"/>
      </w:pPr>
      <w:r>
        <w:t xml:space="preserve">Gitelson, A. A., Kaufman, Y. J., &amp; Merzlyak, M. N. (1996). Use of a green channel in remote sensing of global vegetation from EOS-MODIS. </w:t>
      </w:r>
      <w:r>
        <w:rPr>
          <w:i/>
          <w:iCs/>
        </w:rPr>
        <w:t xml:space="preserve">Remote Sensing of Environment, 58</w:t>
      </w:r>
      <w:r>
        <w:t xml:space="preserve">(3), 289–298.</w:t>
      </w:r>
    </w:p>
    <w:p>
      <w:pPr>
        <w:spacing w:after="100" w:line="276"/>
        <w:ind w:left="567" w:hanging="567"/>
        <w:jc w:val="left"/>
      </w:pPr>
      <w:r>
        <w:t xml:space="preserve">Gitelson, A., &amp; Merzlyak, M. N. (1994). Spectral reflectance changes associated with autumn senescence of </w:t>
      </w:r>
      <w:r>
        <w:rPr>
          <w:i/>
          <w:iCs/>
        </w:rPr>
        <w:t xml:space="preserve">Aesculus hippocastanum</w:t>
      </w:r>
      <w:r>
        <w:t xml:space="preserve"> L. and </w:t>
      </w:r>
      <w:r>
        <w:rPr>
          <w:i/>
          <w:iCs/>
        </w:rPr>
        <w:t xml:space="preserve">Acer platanoides</w:t>
      </w:r>
      <w:r>
        <w:t xml:space="preserve"> L. leaves. </w:t>
      </w:r>
      <w:r>
        <w:rPr>
          <w:i/>
          <w:iCs/>
        </w:rPr>
        <w:t xml:space="preserve">Journal of Plant Physiology, 143</w:t>
      </w:r>
      <w:r>
        <w:t xml:space="preserve">(3), 286–292.</w:t>
      </w:r>
    </w:p>
    <w:p>
      <w:pPr>
        <w:spacing w:after="100" w:line="276"/>
        <w:ind w:left="567" w:hanging="567"/>
        <w:jc w:val="left"/>
      </w:pPr>
      <w:r>
        <w:t xml:space="preserve">Gitelson, A. A., Merzlyak, M. N., &amp; Chivkunova, O. B. (2001). Optical properties and nondestructive estimation of anthocyanin content in plant leaves. </w:t>
      </w:r>
      <w:r>
        <w:rPr>
          <w:i/>
          <w:iCs/>
        </w:rPr>
        <w:t xml:space="preserve">Photochemistry and Photobiology, 74</w:t>
      </w:r>
      <w:r>
        <w:t xml:space="preserve">(1), 38–45.</w:t>
      </w:r>
    </w:p>
    <w:p>
      <w:pPr>
        <w:spacing w:after="100" w:line="276"/>
        <w:ind w:left="567" w:hanging="567"/>
        <w:jc w:val="left"/>
      </w:pPr>
      <w:r>
        <w:t xml:space="preserve">Granitto, P. M., Furlanello, C., Biasioli, F., &amp; Gasperi, F. (2006). Recursive feature elimination with random forest for PTR-MS analysis of agroindustrial products. </w:t>
      </w:r>
      <w:r>
        <w:rPr>
          <w:i/>
          <w:iCs/>
        </w:rPr>
        <w:t xml:space="preserve">Chemometrics and Intelligent Laboratory Systems, 83</w:t>
      </w:r>
      <w:r>
        <w:t xml:space="preserve">(2), 83–90.</w:t>
      </w:r>
    </w:p>
    <w:p>
      <w:pPr>
        <w:spacing w:after="100" w:line="276"/>
        <w:ind w:left="567" w:hanging="567"/>
        <w:jc w:val="left"/>
      </w:pPr>
      <w:r>
        <w:t xml:space="preserve">Grinsztajn, L., Oyallon, E., &amp; Varoquaux, G. (2022). Why do tree-based models still outperform deep learning on typical tabular data? </w:t>
      </w:r>
      <w:r>
        <w:rPr>
          <w:i/>
          <w:iCs/>
        </w:rPr>
        <w:t xml:space="preserve">Advances in Neural Information Processing Systems 35 (Datasets and Benchmarks Track)</w:t>
      </w:r>
      <w:r>
        <w:t xml:space="preserve">.</w:t>
      </w:r>
    </w:p>
    <w:p>
      <w:pPr>
        <w:spacing w:after="100" w:line="276"/>
        <w:ind w:left="567" w:hanging="567"/>
        <w:jc w:val="left"/>
      </w:pPr>
      <w:r>
        <w:t xml:space="preserve">Guo, A., Huang, W., Dong, Y., Ye, H., Ma, H., Liu, B., … Geng, Y. (2021). Wheat yellow rust detection using UAV-based hyperspectral technology. </w:t>
      </w:r>
      <w:r>
        <w:rPr>
          <w:i/>
          <w:iCs/>
        </w:rPr>
        <w:t xml:space="preserve">Remote Sensing, 13</w:t>
      </w:r>
      <w:r>
        <w:t xml:space="preserve">(1), 123.</w:t>
      </w:r>
    </w:p>
    <w:p>
      <w:pPr>
        <w:spacing w:after="100" w:line="276"/>
        <w:ind w:left="567" w:hanging="567"/>
        <w:jc w:val="left"/>
      </w:pPr>
      <w:r>
        <w:t xml:space="preserve">Guyon, I., &amp; Elisseeff, A. (2003). An introduction to variable and feature selection. </w:t>
      </w:r>
      <w:r>
        <w:rPr>
          <w:i/>
          <w:iCs/>
        </w:rPr>
        <w:t xml:space="preserve">Journal of Machine Learning Research, 3</w:t>
      </w:r>
      <w:r>
        <w:t xml:space="preserve">, 1157–1182.</w:t>
      </w:r>
    </w:p>
    <w:p>
      <w:pPr>
        <w:spacing w:after="100" w:line="276"/>
        <w:ind w:left="567" w:hanging="567"/>
        <w:jc w:val="left"/>
      </w:pPr>
      <w:r>
        <w:t xml:space="preserve">Guyon, I., Weston, J., Barnhill, S., &amp; Vapnik, V. (2002). Gene selection for cancer classification using support vector machines. </w:t>
      </w:r>
      <w:r>
        <w:rPr>
          <w:i/>
          <w:iCs/>
        </w:rPr>
        <w:t xml:space="preserve">Machine Learning, 46</w:t>
      </w:r>
      <w:r>
        <w:t xml:space="preserve">, 389–422.</w:t>
      </w:r>
    </w:p>
    <w:p>
      <w:pPr>
        <w:spacing w:after="100" w:line="276"/>
        <w:ind w:left="567" w:hanging="567"/>
        <w:jc w:val="left"/>
      </w:pPr>
      <w:r>
        <w:t xml:space="preserve">Guyot, G., &amp; Baret, F. (1988). Utilisation de la haute résolution spectrale pour suivre l’état des couverts végétaux. </w:t>
      </w:r>
      <w:r>
        <w:rPr>
          <w:i/>
          <w:iCs/>
        </w:rPr>
        <w:t xml:space="preserve">Proceedings of the 4th International Colloquium on Spectral Signatures of Objects in Remote Sensing</w:t>
      </w:r>
      <w:r>
        <w:t xml:space="preserve"> (ESA SP-287), 279–286.</w:t>
      </w:r>
    </w:p>
    <w:p>
      <w:pPr>
        <w:spacing w:after="100" w:line="276"/>
        <w:ind w:left="567" w:hanging="567"/>
        <w:jc w:val="left"/>
      </w:pPr>
      <w:r>
        <w:t xml:space="preserve">Haboudane, D., Miller, J. R., Tremblay, N., Zarco-Tejada, P. J., &amp; Dextraze, L. (2002). Integrated narrow-band vegetation indices for prediction of crop chlorophyll content for application to precision agriculture. </w:t>
      </w:r>
      <w:r>
        <w:rPr>
          <w:i/>
          <w:iCs/>
        </w:rPr>
        <w:t xml:space="preserve">Remote Sensing of Environment, 81</w:t>
      </w:r>
      <w:r>
        <w:t xml:space="preserve">(2–3), 416–426.</w:t>
      </w:r>
    </w:p>
    <w:p>
      <w:pPr>
        <w:spacing w:after="100" w:line="276"/>
        <w:ind w:left="567" w:hanging="567"/>
        <w:jc w:val="left"/>
      </w:pPr>
      <w:r>
        <w:t xml:space="preserve">Hall, D. L., &amp; Llinas, J. (1997). An introduction to multisensor data fusion. </w:t>
      </w:r>
      <w:r>
        <w:rPr>
          <w:i/>
          <w:iCs/>
        </w:rPr>
        <w:t xml:space="preserve">Proceedings of the IEEE, 85</w:t>
      </w:r>
      <w:r>
        <w:t xml:space="preserve">(1), 6–23.</w:t>
      </w:r>
    </w:p>
    <w:p>
      <w:pPr>
        <w:spacing w:after="100" w:line="276"/>
        <w:ind w:left="567" w:hanging="567"/>
        <w:jc w:val="left"/>
      </w:pPr>
      <w:r>
        <w:t xml:space="preserve">Haralick, R. M., Shanmugam, K., &amp; Dinstein, I. (1973). Textural features for image classification. </w:t>
      </w:r>
      <w:r>
        <w:rPr>
          <w:i/>
          <w:iCs/>
        </w:rPr>
        <w:t xml:space="preserve">IEEE Transactions on Systems, Man, and Cybernetics, SMC-3</w:t>
      </w:r>
      <w:r>
        <w:t xml:space="preserve">(6), 610–621.</w:t>
      </w:r>
    </w:p>
    <w:p>
      <w:pPr>
        <w:spacing w:after="100" w:line="276"/>
        <w:ind w:left="567" w:hanging="567"/>
        <w:jc w:val="left"/>
      </w:pPr>
      <w:r>
        <w:t xml:space="preserve">Hastie, T., Tibshirani, R., &amp; Friedman, J. (2009). </w:t>
      </w:r>
      <w:r>
        <w:rPr>
          <w:i/>
          <w:iCs/>
        </w:rPr>
        <w:t xml:space="preserve">The elements of statistical learning</w:t>
      </w:r>
      <w:r>
        <w:t xml:space="preserve"> (2nd ed.). Springer.</w:t>
      </w:r>
    </w:p>
    <w:p>
      <w:pPr>
        <w:spacing w:after="100" w:line="276"/>
        <w:ind w:left="567" w:hanging="567"/>
        <w:jc w:val="left"/>
      </w:pPr>
      <w:r>
        <w:t xml:space="preserve">Hsu, C.-W., Chang, C.-C., &amp; Lin, C.-J. (2003). </w:t>
      </w:r>
      <w:r>
        <w:rPr>
          <w:i/>
          <w:iCs/>
        </w:rPr>
        <w:t xml:space="preserve">A practical guide to support vector classification</w:t>
      </w:r>
      <w:r>
        <w:t xml:space="preserve"> (Technical report). National Taiwan University.</w:t>
      </w:r>
    </w:p>
    <w:p>
      <w:pPr>
        <w:spacing w:after="100" w:line="276"/>
        <w:ind w:left="567" w:hanging="567"/>
        <w:jc w:val="left"/>
      </w:pPr>
      <w:r>
        <w:t xml:space="preserve">Hsu, H.-H., Hsieh, C.-W., &amp; Lu, M.-D. (2011). Hybrid feature selection by combining filters and wrappers. </w:t>
      </w:r>
      <w:r>
        <w:rPr>
          <w:i/>
          <w:iCs/>
        </w:rPr>
        <w:t xml:space="preserve">Expert Systems with Applications, 38</w:t>
      </w:r>
      <w:r>
        <w:t xml:space="preserve">(7), 8144–8150.</w:t>
      </w:r>
    </w:p>
    <w:p>
      <w:pPr>
        <w:spacing w:after="100" w:line="276"/>
        <w:ind w:left="567" w:hanging="567"/>
        <w:jc w:val="left"/>
      </w:pPr>
      <w:r>
        <w:t xml:space="preserve">Huete, A. R. (1988). A soil-adjusted vegetation index (SAVI). </w:t>
      </w:r>
      <w:r>
        <w:rPr>
          <w:i/>
          <w:iCs/>
        </w:rPr>
        <w:t xml:space="preserve">Remote Sensing of Environment, 25</w:t>
      </w:r>
      <w:r>
        <w:t xml:space="preserve">(3), 295–309.</w:t>
      </w:r>
    </w:p>
    <w:p>
      <w:pPr>
        <w:spacing w:after="100" w:line="276"/>
        <w:ind w:left="567" w:hanging="567"/>
        <w:jc w:val="left"/>
      </w:pPr>
      <w:r>
        <w:t xml:space="preserve">Iglewicz, B., &amp; Hoaglin, D. C. (1993). </w:t>
      </w:r>
      <w:r>
        <w:rPr>
          <w:i/>
          <w:iCs/>
        </w:rPr>
        <w:t xml:space="preserve">How to detect and handle outliers</w:t>
      </w:r>
      <w:r>
        <w:t xml:space="preserve">. ASQC Quality Press.</w:t>
      </w:r>
    </w:p>
    <w:p>
      <w:pPr>
        <w:spacing w:after="100" w:line="276"/>
        <w:ind w:left="567" w:hanging="567"/>
        <w:jc w:val="left"/>
      </w:pPr>
      <w:r>
        <w:t xml:space="preserve">Jain, A., &amp; Zongker, D. (1997). Feature selection: Evaluation, application, and small sample performance. </w:t>
      </w:r>
      <w:r>
        <w:rPr>
          <w:i/>
          <w:iCs/>
        </w:rPr>
        <w:t xml:space="preserve">IEEE Transactions on Pattern Analysis and Machine Intelligence, 19</w:t>
      </w:r>
      <w:r>
        <w:t xml:space="preserve">(2), 153–158.</w:t>
      </w:r>
    </w:p>
    <w:p>
      <w:pPr>
        <w:spacing w:after="100" w:line="276"/>
        <w:ind w:left="567" w:hanging="567"/>
        <w:jc w:val="left"/>
      </w:pPr>
      <w:r>
        <w:t xml:space="preserve">Jordan, C. F. (1969). Derivation of leaf-area index from quality of light on the forest floor. </w:t>
      </w:r>
      <w:r>
        <w:rPr>
          <w:i/>
          <w:iCs/>
        </w:rPr>
        <w:t xml:space="preserve">Ecology, 50</w:t>
      </w:r>
      <w:r>
        <w:t xml:space="preserve">(4), 663–666.</w:t>
      </w:r>
    </w:p>
    <w:p>
      <w:pPr>
        <w:spacing w:after="100" w:line="276"/>
        <w:ind w:left="567" w:hanging="567"/>
        <w:jc w:val="left"/>
      </w:pPr>
      <w:r>
        <w:t xml:space="preserve">Karatzoglou, A., Smola, A., Hornik, K., &amp; Zeileis, A. (2004). kernlab—An S4 package for kernel methods in R. </w:t>
      </w:r>
      <w:r>
        <w:rPr>
          <w:i/>
          <w:iCs/>
        </w:rPr>
        <w:t xml:space="preserve">Journal of Statistical Software, 11</w:t>
      </w:r>
      <w:r>
        <w:t xml:space="preserve">(9), 1–20.</w:t>
      </w:r>
    </w:p>
    <w:p>
      <w:pPr>
        <w:spacing w:after="100" w:line="276"/>
        <w:ind w:left="567" w:hanging="567"/>
        <w:jc w:val="left"/>
      </w:pPr>
      <w:r>
        <w:t xml:space="preserve">Ke, G., Meng, Q., Finley, T., Wang, T., Chen, W., Ma, W., Ye, Q., &amp; Liu, T.-Y. (2017). LightGBM: A highly efficient gradient boosting decision tree. </w:t>
      </w:r>
      <w:r>
        <w:rPr>
          <w:i/>
          <w:iCs/>
        </w:rPr>
        <w:t xml:space="preserve">Advances in Neural Information Processing Systems, 30</w:t>
      </w:r>
      <w:r>
        <w:t xml:space="preserve">.</w:t>
      </w:r>
    </w:p>
    <w:p>
      <w:pPr>
        <w:spacing w:after="100" w:line="276"/>
        <w:ind w:left="567" w:hanging="567"/>
        <w:jc w:val="left"/>
      </w:pPr>
      <w:r>
        <w:t xml:space="preserve">Kira, K., &amp; Rendell, L. A. (1992). A practical approach to feature selection. </w:t>
      </w:r>
      <w:r>
        <w:rPr>
          <w:i/>
          <w:iCs/>
        </w:rPr>
        <w:t xml:space="preserve">Proceedings of the Ninth International Workshop on Machine Learning</w:t>
      </w:r>
      <w:r>
        <w:t xml:space="preserve">, 249–256.</w:t>
      </w:r>
    </w:p>
    <w:p>
      <w:pPr>
        <w:spacing w:after="100" w:line="276"/>
        <w:ind w:left="567" w:hanging="567"/>
        <w:jc w:val="left"/>
      </w:pPr>
      <w:r>
        <w:t xml:space="preserve">Kohavi, R., &amp; John, G. H. (1997). Wrappers for feature subset selection. </w:t>
      </w:r>
      <w:r>
        <w:rPr>
          <w:i/>
          <w:iCs/>
        </w:rPr>
        <w:t xml:space="preserve">Artificial Intelligence, 97</w:t>
      </w:r>
      <w:r>
        <w:t xml:space="preserve">(1–2), 273–324.</w:t>
      </w:r>
    </w:p>
    <w:p>
      <w:pPr>
        <w:spacing w:after="100" w:line="276"/>
        <w:ind w:left="567" w:hanging="567"/>
        <w:jc w:val="left"/>
      </w:pPr>
      <w:r>
        <w:t xml:space="preserve">Kononenko, I. (1994). Estimating attributes: Analysis and extensions of RELIEF. </w:t>
      </w:r>
      <w:r>
        <w:rPr>
          <w:i/>
          <w:iCs/>
        </w:rPr>
        <w:t xml:space="preserve">European Conference on Machine Learning (ECML-94)</w:t>
      </w:r>
      <w:r>
        <w:t xml:space="preserve">, 171–182.</w:t>
      </w:r>
    </w:p>
    <w:p>
      <w:pPr>
        <w:spacing w:after="100" w:line="276"/>
        <w:ind w:left="567" w:hanging="567"/>
        <w:jc w:val="left"/>
      </w:pPr>
      <w:r>
        <w:t xml:space="preserve">Kruskal, W. H., &amp; Wallis, W. A. (1952). Use of ranks in one-criterion variance analysis. </w:t>
      </w:r>
      <w:r>
        <w:rPr>
          <w:i/>
          <w:iCs/>
        </w:rPr>
        <w:t xml:space="preserve">Journal of the American Statistical Association, 47</w:t>
      </w:r>
      <w:r>
        <w:t xml:space="preserve">(260), 583–621.</w:t>
      </w:r>
    </w:p>
    <w:p>
      <w:pPr>
        <w:spacing w:after="100" w:line="276"/>
        <w:ind w:left="567" w:hanging="567"/>
        <w:jc w:val="left"/>
      </w:pPr>
      <w:r>
        <w:t xml:space="preserve">Kuhn, M. (2008). Building predictive models in R using the caret package. </w:t>
      </w:r>
      <w:r>
        <w:rPr>
          <w:i/>
          <w:iCs/>
        </w:rPr>
        <w:t xml:space="preserve">Journal of Statistical Software, 28</w:t>
      </w:r>
      <w:r>
        <w:t xml:space="preserve">(5), 1–26.</w:t>
      </w:r>
    </w:p>
    <w:p>
      <w:pPr>
        <w:spacing w:after="100" w:line="276"/>
        <w:ind w:left="567" w:hanging="567"/>
        <w:jc w:val="left"/>
      </w:pPr>
      <w:r>
        <w:t xml:space="preserve">Kuhn, M., &amp; Johnson, K. (2013). </w:t>
      </w:r>
      <w:r>
        <w:rPr>
          <w:i/>
          <w:iCs/>
        </w:rPr>
        <w:t xml:space="preserve">Applied predictive modeling</w:t>
      </w:r>
      <w:r>
        <w:t xml:space="preserve">. Springer.</w:t>
      </w:r>
    </w:p>
    <w:p>
      <w:pPr>
        <w:spacing w:after="100" w:line="276"/>
        <w:ind w:left="567" w:hanging="567"/>
        <w:jc w:val="left"/>
      </w:pPr>
      <w:r>
        <w:t xml:space="preserve">Kursa, M. B., &amp; Rudnicki, W. R. (2010). Feature selection with the Boruta package. </w:t>
      </w:r>
      <w:r>
        <w:rPr>
          <w:i/>
          <w:iCs/>
        </w:rPr>
        <w:t xml:space="preserve">Journal of Statistical Software, 36</w:t>
      </w:r>
      <w:r>
        <w:t xml:space="preserve">(11), 1–13.</w:t>
      </w:r>
    </w:p>
    <w:p>
      <w:pPr>
        <w:spacing w:after="100" w:line="276"/>
        <w:ind w:left="567" w:hanging="567"/>
        <w:jc w:val="left"/>
      </w:pPr>
      <w:r>
        <w:t xml:space="preserve">Kutner, M. H., Nachtsheim, C. J., Neter, J., &amp; Li, W. (2005). </w:t>
      </w:r>
      <w:r>
        <w:rPr>
          <w:i/>
          <w:iCs/>
        </w:rPr>
        <w:t xml:space="preserve">Applied linear statistical models</w:t>
      </w:r>
      <w:r>
        <w:t xml:space="preserve"> (5th ed.). McGraw-Hill.</w:t>
      </w:r>
    </w:p>
    <w:p>
      <w:pPr>
        <w:spacing w:after="100" w:line="276"/>
        <w:ind w:left="567" w:hanging="567"/>
        <w:jc w:val="left"/>
      </w:pPr>
      <w:r>
        <w:t xml:space="preserve">Levene, H. (1960). Robust tests for equality of variances. In I. Olkin (Ed.), </w:t>
      </w:r>
      <w:r>
        <w:rPr>
          <w:i/>
          <w:iCs/>
        </w:rPr>
        <w:t xml:space="preserve">Contributions to probability and statistics</w:t>
      </w:r>
      <w:r>
        <w:t xml:space="preserve"> (pp. 278–292). Stanford University Press.</w:t>
      </w:r>
    </w:p>
    <w:p>
      <w:pPr>
        <w:spacing w:after="100" w:line="276"/>
        <w:ind w:left="567" w:hanging="567"/>
        <w:jc w:val="left"/>
      </w:pPr>
      <w:r>
        <w:t xml:space="preserve">Li, H., Liang, Y., Xu, Q., &amp; Cao, D. (2009). Key wavelengths screening using competitive adaptive reweighted sampling method for multivariate calibration. </w:t>
      </w:r>
      <w:r>
        <w:rPr>
          <w:i/>
          <w:iCs/>
        </w:rPr>
        <w:t xml:space="preserve">Analytica Chimica Acta, 648</w:t>
      </w:r>
      <w:r>
        <w:t xml:space="preserve">(1), 77–84.</w:t>
      </w:r>
    </w:p>
    <w:p>
      <w:pPr>
        <w:spacing w:after="100" w:line="276"/>
        <w:ind w:left="567" w:hanging="567"/>
        <w:jc w:val="left"/>
      </w:pPr>
      <w:r>
        <w:t xml:space="preserve">Liu, Y., Liu, G., Sun, H., An, L., Zhao, R., Liu, M., … Zhao, F. (2024). Exploring multi-features in UAV based optical and thermal infrared images to estimate disease severity of wheat powdery mildew. </w:t>
      </w:r>
      <w:r>
        <w:rPr>
          <w:i/>
          <w:iCs/>
        </w:rPr>
        <w:t xml:space="preserve">Computers and Electronics in Agriculture, 225</w:t>
      </w:r>
      <w:r>
        <w:t xml:space="preserve">, 109285.</w:t>
      </w:r>
    </w:p>
    <w:p>
      <w:pPr>
        <w:spacing w:after="100" w:line="276"/>
        <w:ind w:left="567" w:hanging="567"/>
        <w:jc w:val="left"/>
      </w:pPr>
      <w:r>
        <w:t xml:space="preserve">Lundberg, S. M., Erion, G., Chen, H., DeGrave, A., Prutkin, J. M., Nair, B., … Lee, S.-I. (2020). From local explanations to global understanding with explainable AI for trees. </w:t>
      </w:r>
      <w:r>
        <w:rPr>
          <w:i/>
          <w:iCs/>
        </w:rPr>
        <w:t xml:space="preserve">Nature Machine Intelligence, 2</w:t>
      </w:r>
      <w:r>
        <w:t xml:space="preserve">(1), 56–67.</w:t>
      </w:r>
    </w:p>
    <w:p>
      <w:pPr>
        <w:spacing w:after="100" w:line="276"/>
        <w:ind w:left="567" w:hanging="567"/>
        <w:jc w:val="left"/>
      </w:pPr>
      <w:r>
        <w:t xml:space="preserve">Lundberg, S. M., &amp; Lee, S.-I. (2017). A unified approach to interpreting model predictions. </w:t>
      </w:r>
      <w:r>
        <w:rPr>
          <w:i/>
          <w:iCs/>
        </w:rPr>
        <w:t xml:space="preserve">Advances in Neural Information Processing Systems, 30</w:t>
      </w:r>
      <w:r>
        <w:t xml:space="preserve">, 4765–4774.</w:t>
      </w:r>
    </w:p>
    <w:p>
      <w:pPr>
        <w:spacing w:after="100" w:line="276"/>
        <w:ind w:left="567" w:hanging="567"/>
        <w:jc w:val="left"/>
      </w:pPr>
      <w:r>
        <w:t xml:space="preserve">Mahlein, A.-K., Rumpf, T., Welke, P., Dehne, H.-W., Plümer, L., Steiner, U., &amp; Oerke, E.-C. (2013). Development of spectral indices for detecting and identifying plant diseases. </w:t>
      </w:r>
      <w:r>
        <w:rPr>
          <w:i/>
          <w:iCs/>
        </w:rPr>
        <w:t xml:space="preserve">Remote Sensing of Environment, 128</w:t>
      </w:r>
      <w:r>
        <w:t xml:space="preserve">, 21–30.</w:t>
      </w:r>
    </w:p>
    <w:p>
      <w:pPr>
        <w:spacing w:after="100" w:line="276"/>
        <w:ind w:left="567" w:hanging="567"/>
        <w:jc w:val="left"/>
      </w:pPr>
      <w:r>
        <w:t xml:space="preserve">Maimaitijiang, M., Sagan, V., Sidike, P., Hartling, S., Esposito, F., &amp; Fritschi, F. B. (2020). Soybean yield prediction from UAV using multimodal data fusion and deep learning. </w:t>
      </w:r>
      <w:r>
        <w:rPr>
          <w:i/>
          <w:iCs/>
        </w:rPr>
        <w:t xml:space="preserve">Remote Sensing of Environment, 237</w:t>
      </w:r>
      <w:r>
        <w:t xml:space="preserve">, 111599.</w:t>
      </w:r>
    </w:p>
    <w:p>
      <w:pPr>
        <w:spacing w:after="100" w:line="276"/>
        <w:ind w:left="567" w:hanging="567"/>
        <w:jc w:val="left"/>
      </w:pPr>
      <w:r>
        <w:t xml:space="preserve">McNemar, Q. (1947). Note on the sampling error of the difference between correlated proportions or percentages. </w:t>
      </w:r>
      <w:r>
        <w:rPr>
          <w:i/>
          <w:iCs/>
        </w:rPr>
        <w:t xml:space="preserve">Psychometrika, 12</w:t>
      </w:r>
      <w:r>
        <w:t xml:space="preserve">(2), 153–157.</w:t>
      </w:r>
    </w:p>
    <w:p>
      <w:pPr>
        <w:spacing w:after="100" w:line="276"/>
        <w:ind w:left="567" w:hanging="567"/>
        <w:jc w:val="left"/>
      </w:pPr>
      <w:r>
        <w:t xml:space="preserve">Meinshausen, N., &amp; Bühlmann, P. (2010). Stability selection. </w:t>
      </w:r>
      <w:r>
        <w:rPr>
          <w:i/>
          <w:iCs/>
        </w:rPr>
        <w:t xml:space="preserve">Journal of the Royal Statistical Society: Series B, 72</w:t>
      </w:r>
      <w:r>
        <w:t xml:space="preserve">(4), 417–473.</w:t>
      </w:r>
    </w:p>
    <w:p>
      <w:pPr>
        <w:spacing w:after="100" w:line="276"/>
        <w:ind w:left="567" w:hanging="567"/>
        <w:jc w:val="left"/>
      </w:pPr>
      <w:r>
        <w:t xml:space="preserve">Merzlyak, M. N., Gitelson, A. A., Chivkunova, O. B., &amp; Rakitin, V. Y. (1999). Non-destructive optical detection of pigment changes during leaf senescence and fruit ripening. </w:t>
      </w:r>
      <w:r>
        <w:rPr>
          <w:i/>
          <w:iCs/>
        </w:rPr>
        <w:t xml:space="preserve">Physiologia Plantarum, 106</w:t>
      </w:r>
      <w:r>
        <w:t xml:space="preserve">(1), 135–141.</w:t>
      </w:r>
    </w:p>
    <w:p>
      <w:pPr>
        <w:spacing w:after="100" w:line="276"/>
        <w:ind w:left="567" w:hanging="567"/>
        <w:jc w:val="left"/>
      </w:pPr>
      <w:r>
        <w:t xml:space="preserve">Muhammed, H. H., &amp; Larsolle, A. (2003). Feature vector based analysis of hyperspectral crop reflectance data for discrimination and quantification of fungal disease severity in wheat. </w:t>
      </w:r>
      <w:r>
        <w:rPr>
          <w:i/>
          <w:iCs/>
        </w:rPr>
        <w:t xml:space="preserve">Biosystems Engineering, 86</w:t>
      </w:r>
      <w:r>
        <w:t xml:space="preserve">(2), 125–134.</w:t>
      </w:r>
    </w:p>
    <w:p>
      <w:pPr>
        <w:spacing w:after="100" w:line="276"/>
        <w:ind w:left="567" w:hanging="567"/>
        <w:jc w:val="left"/>
      </w:pPr>
      <w:r>
        <w:t xml:space="preserve">Mustafa, G., Zheng, H., Li, W., Yin, Y., Wang, Y., Zhou, M., … Yao, X. (2023). Fusarium head blight monitoring in wheat ears using machine learning and multimodal data from asymptomatic to symptomatic periods. </w:t>
      </w:r>
      <w:r>
        <w:rPr>
          <w:i/>
          <w:iCs/>
        </w:rPr>
        <w:t xml:space="preserve">Frontiers in Plant Science, 13</w:t>
      </w:r>
      <w:r>
        <w:t xml:space="preserve">, 1102341.</w:t>
      </w:r>
    </w:p>
    <w:p>
      <w:pPr>
        <w:spacing w:after="100" w:line="276"/>
        <w:ind w:left="567" w:hanging="567"/>
        <w:jc w:val="left"/>
      </w:pPr>
      <w:r>
        <w:t xml:space="preserve">Nadeau, C., &amp; Bengio, Y. (2003). Inference for the generalization error. </w:t>
      </w:r>
      <w:r>
        <w:rPr>
          <w:i/>
          <w:iCs/>
        </w:rPr>
        <w:t xml:space="preserve">Machine Learning, 52</w:t>
      </w:r>
      <w:r>
        <w:t xml:space="preserve">(3), 239–281.</w:t>
      </w:r>
    </w:p>
    <w:p>
      <w:pPr>
        <w:spacing w:after="100" w:line="276"/>
        <w:ind w:left="567" w:hanging="567"/>
        <w:jc w:val="left"/>
      </w:pPr>
      <w:r>
        <w:t xml:space="preserve">Nagasubramanian, K., Jones, S., Singh, A. K., Sarkar, S., Singh, A., &amp; Ganapathysubramanian, B. (2019). Plant disease identification using explainable 3D deep learning on hyperspectral images. </w:t>
      </w:r>
      <w:r>
        <w:rPr>
          <w:i/>
          <w:iCs/>
        </w:rPr>
        <w:t xml:space="preserve">Plant Methods, 15</w:t>
      </w:r>
      <w:r>
        <w:t xml:space="preserve">, 98.</w:t>
      </w:r>
    </w:p>
    <w:p>
      <w:pPr>
        <w:spacing w:after="100" w:line="276"/>
        <w:ind w:left="567" w:hanging="567"/>
        <w:jc w:val="left"/>
      </w:pPr>
      <w:r>
        <w:t xml:space="preserve">Nilsson, R., Peña, J. M., Björkegren, J., &amp; Tegnér, J. (2007). Consistent feature selection for pattern recognition in polynomial time. </w:t>
      </w:r>
      <w:r>
        <w:rPr>
          <w:i/>
          <w:iCs/>
        </w:rPr>
        <w:t xml:space="preserve">Journal of Machine Learning Research, 8</w:t>
      </w:r>
      <w:r>
        <w:t xml:space="preserve">, 589–612.</w:t>
      </w:r>
    </w:p>
    <w:p>
      <w:pPr>
        <w:spacing w:after="100" w:line="276"/>
        <w:ind w:left="567" w:hanging="567"/>
        <w:jc w:val="left"/>
      </w:pPr>
      <w:r>
        <w:t xml:space="preserve">O’Brien, R. M. (2007). A caution regarding rules of thumb for variance inflation factors. </w:t>
      </w:r>
      <w:r>
        <w:rPr>
          <w:i/>
          <w:iCs/>
        </w:rPr>
        <w:t xml:space="preserve">Quality &amp; Quantity, 41</w:t>
      </w:r>
      <w:r>
        <w:t xml:space="preserve">(5), 673–690.</w:t>
      </w:r>
    </w:p>
    <w:p>
      <w:pPr>
        <w:spacing w:after="100" w:line="276"/>
        <w:ind w:left="567" w:hanging="567"/>
        <w:jc w:val="left"/>
      </w:pPr>
      <w:r>
        <w:t xml:space="preserve">Pedregosa, F., Varoquaux, G., Gramfort, A., Michel, V., Thirion, B., Grisel, O., … Duchesnay, É. (2011). Scikit-learn: Machine learning in Python. </w:t>
      </w:r>
      <w:r>
        <w:rPr>
          <w:i/>
          <w:iCs/>
        </w:rPr>
        <w:t xml:space="preserve">Journal of Machine Learning Research, 12</w:t>
      </w:r>
      <w:r>
        <w:t xml:space="preserve">, 2825–2830.</w:t>
      </w:r>
    </w:p>
    <w:p>
      <w:pPr>
        <w:spacing w:after="100" w:line="276"/>
        <w:ind w:left="567" w:hanging="567"/>
        <w:jc w:val="left"/>
      </w:pPr>
      <w:r>
        <w:t xml:space="preserve">Peng, H., Long, F., &amp; Ding, C. (2005). Feature selection based on mutual information: Criteria of max-dependency, max-relevance, and min-redundancy. </w:t>
      </w:r>
      <w:r>
        <w:rPr>
          <w:i/>
          <w:iCs/>
        </w:rPr>
        <w:t xml:space="preserve">IEEE Transactions on Pattern Analysis and Machine Intelligence, 27</w:t>
      </w:r>
      <w:r>
        <w:t xml:space="preserve">(8), 1226–1238.</w:t>
      </w:r>
    </w:p>
    <w:p>
      <w:pPr>
        <w:spacing w:after="100" w:line="276"/>
        <w:ind w:left="567" w:hanging="567"/>
        <w:jc w:val="left"/>
      </w:pPr>
      <w:r>
        <w:t xml:space="preserve">Peñuelas, J., Baret, F., &amp; Filella, I. (1995). Semi-empirical indices to assess carotenoids/chlorophyll a ratio from leaf spectral reflectance. </w:t>
      </w:r>
      <w:r>
        <w:rPr>
          <w:i/>
          <w:iCs/>
        </w:rPr>
        <w:t xml:space="preserve">Photosynthetica, 31</w:t>
      </w:r>
      <w:r>
        <w:t xml:space="preserve">(2), 221–230.</w:t>
      </w:r>
    </w:p>
    <w:p>
      <w:pPr>
        <w:spacing w:after="100" w:line="276"/>
        <w:ind w:left="567" w:hanging="567"/>
        <w:jc w:val="left"/>
      </w:pPr>
      <w:r>
        <w:t xml:space="preserve">Peñuelas, J., Piñol, J., Ogaya, R., &amp; Filella, I. (1997). Estimation of plant water concentration by the reflectance Water Index WI (R900/R970). </w:t>
      </w:r>
      <w:r>
        <w:rPr>
          <w:i/>
          <w:iCs/>
        </w:rPr>
        <w:t xml:space="preserve">International Journal of Remote Sensing, 18</w:t>
      </w:r>
      <w:r>
        <w:t xml:space="preserve">(13), 2869–2875.</w:t>
      </w:r>
    </w:p>
    <w:p>
      <w:pPr>
        <w:spacing w:after="100" w:line="276"/>
        <w:ind w:left="567" w:hanging="567"/>
        <w:jc w:val="left"/>
      </w:pPr>
      <w:r>
        <w:t xml:space="preserve">Pontes, M. J. C., Galvão, R. K. H., Araújo, M. C. U., Moreira, P. N. T., Pessoa Neto, O. D., José, G. E., &amp; Saldanha, T. C. B. (2005). The successive projections algorithm for spectral variable selection in classification problems. </w:t>
      </w:r>
      <w:r>
        <w:rPr>
          <w:i/>
          <w:iCs/>
        </w:rPr>
        <w:t xml:space="preserve">Chemometrics and Intelligent Laboratory Systems, 78</w:t>
      </w:r>
      <w:r>
        <w:t xml:space="preserve">(1–2), 11–18.</w:t>
      </w:r>
    </w:p>
    <w:p>
      <w:pPr>
        <w:spacing w:after="100" w:line="276"/>
        <w:ind w:left="567" w:hanging="567"/>
        <w:jc w:val="left"/>
      </w:pPr>
      <w:r>
        <w:t xml:space="preserve">Pontius, R. G., &amp; Millones, M. (2011). Death to Kappa: Birth of quantity disagreement and allocation disagreement for accuracy assessment. </w:t>
      </w:r>
      <w:r>
        <w:rPr>
          <w:i/>
          <w:iCs/>
        </w:rPr>
        <w:t xml:space="preserve">International Journal of Remote Sensing, 32</w:t>
      </w:r>
      <w:r>
        <w:t xml:space="preserve">(15), 4407–4429.</w:t>
      </w:r>
    </w:p>
    <w:p>
      <w:pPr>
        <w:spacing w:after="100" w:line="276"/>
        <w:ind w:left="567" w:hanging="567"/>
        <w:jc w:val="left"/>
      </w:pPr>
      <w:r>
        <w:t xml:space="preserve">Pudil, P., Novovičová, J., &amp; Kittler, J. (1994). Floating search methods in feature selection. </w:t>
      </w:r>
      <w:r>
        <w:rPr>
          <w:i/>
          <w:iCs/>
        </w:rPr>
        <w:t xml:space="preserve">Pattern Recognition Letters, 15</w:t>
      </w:r>
      <w:r>
        <w:t xml:space="preserve">(11), 1119–1125.</w:t>
      </w:r>
    </w:p>
    <w:p>
      <w:pPr>
        <w:spacing w:after="100" w:line="276"/>
        <w:ind w:left="567" w:hanging="567"/>
        <w:jc w:val="left"/>
      </w:pPr>
      <w:r>
        <w:t xml:space="preserve">Ram, L., &amp; Awasthi, R. P. (2018). Comparative assessment of white rust disease in improved varieties of Indian mustard. </w:t>
      </w:r>
      <w:r>
        <w:rPr>
          <w:i/>
          <w:iCs/>
        </w:rPr>
        <w:t xml:space="preserve">International Journal of Current Microbiology and Applied Sciences, 7</w:t>
      </w:r>
      <w:r>
        <w:t xml:space="preserve">(5), 1431–1438.</w:t>
      </w:r>
    </w:p>
    <w:p>
      <w:pPr>
        <w:spacing w:after="100" w:line="276"/>
        <w:ind w:left="567" w:hanging="567"/>
        <w:jc w:val="left"/>
      </w:pPr>
      <w:r>
        <w:t xml:space="preserve">Raschka, S. (2018). MLxtend: Providing machine learning and data science utilities and extensions to Python’s scientific computing stack. </w:t>
      </w:r>
      <w:r>
        <w:rPr>
          <w:i/>
          <w:iCs/>
        </w:rPr>
        <w:t xml:space="preserve">Journal of Open Source Software, 3</w:t>
      </w:r>
      <w:r>
        <w:t xml:space="preserve">(24), 638.</w:t>
      </w:r>
    </w:p>
    <w:p>
      <w:pPr>
        <w:spacing w:after="100" w:line="276"/>
        <w:ind w:left="567" w:hanging="567"/>
        <w:jc w:val="left"/>
      </w:pPr>
      <w:r>
        <w:t xml:space="preserve">Richards, J. A., &amp; Jia, X. (2006). </w:t>
      </w:r>
      <w:r>
        <w:rPr>
          <w:i/>
          <w:iCs/>
        </w:rPr>
        <w:t xml:space="preserve">Remote sensing digital image analysis: An introduction</w:t>
      </w:r>
      <w:r>
        <w:t xml:space="preserve"> (4th ed.). Springer.</w:t>
      </w:r>
    </w:p>
    <w:p>
      <w:pPr>
        <w:spacing w:after="100" w:line="276"/>
        <w:ind w:left="567" w:hanging="567"/>
        <w:jc w:val="left"/>
      </w:pPr>
      <w:r>
        <w:t xml:space="preserve">Roberts, D. R., Bahn, V., Ciuti, S., Boyce, M. S., Elith, J., Guillera-Arroita, G., … Dormann, C. F. (2017). Cross-validation strategies for data with temporal, spatial, hierarchical, or phylogenetic structure. </w:t>
      </w:r>
      <w:r>
        <w:rPr>
          <w:i/>
          <w:iCs/>
        </w:rPr>
        <w:t xml:space="preserve">Ecography, 40</w:t>
      </w:r>
      <w:r>
        <w:t xml:space="preserve">(8), 913–929.</w:t>
      </w:r>
    </w:p>
    <w:p>
      <w:pPr>
        <w:spacing w:after="100" w:line="276"/>
        <w:ind w:left="567" w:hanging="567"/>
        <w:jc w:val="left"/>
      </w:pPr>
      <w:r>
        <w:t xml:space="preserve">Robnik-Šikonja, M., &amp; Kononenko, I. (2003). Theoretical and empirical analysis of ReliefF and RReliefF. </w:t>
      </w:r>
      <w:r>
        <w:rPr>
          <w:i/>
          <w:iCs/>
        </w:rPr>
        <w:t xml:space="preserve">Machine Learning, 53</w:t>
      </w:r>
      <w:r>
        <w:t xml:space="preserve">(1–2), 23–69.</w:t>
      </w:r>
    </w:p>
    <w:p>
      <w:pPr>
        <w:spacing w:after="100" w:line="276"/>
        <w:ind w:left="567" w:hanging="567"/>
        <w:jc w:val="left"/>
      </w:pPr>
      <w:r>
        <w:t xml:space="preserve">Rondeaux, G., Steven, M., &amp; Baret, F. (1996). Optimization of soil-adjusted vegetation indices. </w:t>
      </w:r>
      <w:r>
        <w:rPr>
          <w:i/>
          <w:iCs/>
        </w:rPr>
        <w:t xml:space="preserve">Remote Sensing of Environment, 55</w:t>
      </w:r>
      <w:r>
        <w:t xml:space="preserve">(2), 95–107.</w:t>
      </w:r>
    </w:p>
    <w:p>
      <w:pPr>
        <w:spacing w:after="100" w:line="276"/>
        <w:ind w:left="567" w:hanging="567"/>
        <w:jc w:val="left"/>
      </w:pPr>
      <w:r>
        <w:t xml:space="preserve">Rouse, J. W., Haas, R. H., Schell, J. A., &amp; Deering, D. W. (1974). Monitoring vegetation systems in the Great Plains with ERTS. </w:t>
      </w:r>
      <w:r>
        <w:rPr>
          <w:i/>
          <w:iCs/>
        </w:rPr>
        <w:t xml:space="preserve">Third Earth Resources Technology Satellite-1 Symposium</w:t>
      </w:r>
      <w:r>
        <w:t xml:space="preserve"> (NASA SP-351), Vol. 1, 309–317.</w:t>
      </w:r>
    </w:p>
    <w:p>
      <w:pPr>
        <w:spacing w:after="100" w:line="276"/>
        <w:ind w:left="567" w:hanging="567"/>
        <w:jc w:val="left"/>
      </w:pPr>
      <w:r>
        <w:t xml:space="preserve">Saeys, Y., Inza, I., &amp; Larrañaga, P. (2007). A review of feature selection techniques in bioinformatics. </w:t>
      </w:r>
      <w:r>
        <w:rPr>
          <w:i/>
          <w:iCs/>
        </w:rPr>
        <w:t xml:space="preserve">Bioinformatics, 23</w:t>
      </w:r>
      <w:r>
        <w:t xml:space="preserve">(19), 2507–2517.</w:t>
      </w:r>
    </w:p>
    <w:p>
      <w:pPr>
        <w:spacing w:after="100" w:line="276"/>
        <w:ind w:left="567" w:hanging="567"/>
        <w:jc w:val="left"/>
      </w:pPr>
      <w:r>
        <w:t xml:space="preserve">Savitzky, A., &amp; Golay, M. J. E. (1964). Smoothing and differentiation of data by simplified least squares procedures. </w:t>
      </w:r>
      <w:r>
        <w:rPr>
          <w:i/>
          <w:iCs/>
        </w:rPr>
        <w:t xml:space="preserve">Analytical Chemistry, 36</w:t>
      </w:r>
      <w:r>
        <w:t xml:space="preserve">(8), 1627–1639.</w:t>
      </w:r>
    </w:p>
    <w:p>
      <w:pPr>
        <w:spacing w:after="100" w:line="276"/>
        <w:ind w:left="567" w:hanging="567"/>
        <w:jc w:val="left"/>
      </w:pPr>
      <w:r>
        <w:t xml:space="preserve">Shapiro, S. S., &amp; Wilk, M. B. (1965). An analysis of variance test for normality (complete samples). </w:t>
      </w:r>
      <w:r>
        <w:rPr>
          <w:i/>
          <w:iCs/>
        </w:rPr>
        <w:t xml:space="preserve">Biometrika, 52</w:t>
      </w:r>
      <w:r>
        <w:t xml:space="preserve">(3–4), 591–611.</w:t>
      </w:r>
    </w:p>
    <w:p>
      <w:pPr>
        <w:spacing w:after="100" w:line="276"/>
        <w:ind w:left="567" w:hanging="567"/>
        <w:jc w:val="left"/>
      </w:pPr>
      <w:r>
        <w:t xml:space="preserve">Strobl, C., Boulesteix, A.-L., Kneib, T., Augustin, T., &amp; Zeileis, A. (2008). Conditional variable importance for random forests. </w:t>
      </w:r>
      <w:r>
        <w:rPr>
          <w:i/>
          <w:iCs/>
        </w:rPr>
        <w:t xml:space="preserve">BMC Bioinformatics, 9</w:t>
      </w:r>
      <w:r>
        <w:t xml:space="preserve">, 307.</w:t>
      </w:r>
    </w:p>
    <w:p>
      <w:pPr>
        <w:spacing w:after="100" w:line="276"/>
        <w:ind w:left="567" w:hanging="567"/>
        <w:jc w:val="left"/>
      </w:pPr>
      <w:r>
        <w:t xml:space="preserve">Strobl, C., Boulesteix, A.-L., Zeileis, A., &amp; Hothorn, T. (2007). Bias in random forest variable importance measures: Illustrations, sources and a solution. </w:t>
      </w:r>
      <w:r>
        <w:rPr>
          <w:i/>
          <w:iCs/>
        </w:rPr>
        <w:t xml:space="preserve">BMC Bioinformatics, 8</w:t>
      </w:r>
      <w:r>
        <w:t xml:space="preserve">, 25.</w:t>
      </w:r>
    </w:p>
    <w:p>
      <w:pPr>
        <w:spacing w:after="100" w:line="276"/>
        <w:ind w:left="567" w:hanging="567"/>
        <w:jc w:val="left"/>
      </w:pPr>
      <w:r>
        <w:t xml:space="preserve">Tian, L., Xue, B., Wang, Z., Li, D., Yao, X., Cao, Q., … Cheng, T. (2021). Spectroscopic detection of rice leaf blast infection from asymptomatic to mild stages with integrated machine learning and feature selection. </w:t>
      </w:r>
      <w:r>
        <w:rPr>
          <w:i/>
          <w:iCs/>
        </w:rPr>
        <w:t xml:space="preserve">Remote Sensing of Environment, 257</w:t>
      </w:r>
      <w:r>
        <w:t xml:space="preserve">, 112350.</w:t>
      </w:r>
    </w:p>
    <w:p>
      <w:pPr>
        <w:spacing w:after="100" w:line="276"/>
        <w:ind w:left="567" w:hanging="567"/>
        <w:jc w:val="left"/>
      </w:pPr>
      <w:r>
        <w:t xml:space="preserve">Varma, S., &amp; Simon, R. (2006). Bias in error estimation when using cross-validation for model selection. </w:t>
      </w:r>
      <w:r>
        <w:rPr>
          <w:i/>
          <w:iCs/>
        </w:rPr>
        <w:t xml:space="preserve">BMC Bioinformatics, 7</w:t>
      </w:r>
      <w:r>
        <w:t xml:space="preserve">, 91.</w:t>
      </w:r>
    </w:p>
    <w:p>
      <w:pPr>
        <w:spacing w:after="100" w:line="276"/>
        <w:ind w:left="567" w:hanging="567"/>
        <w:jc w:val="left"/>
      </w:pPr>
      <w:r>
        <w:t xml:space="preserve">Wang, C., Ma, N., Ming, Y., Wang, Q., &amp; Xia, J. (2019). Classification of hyperspectral imagery with a 3D convolutional neural network and J-M distance. </w:t>
      </w:r>
      <w:r>
        <w:rPr>
          <w:i/>
          <w:iCs/>
        </w:rPr>
        <w:t xml:space="preserve">Advances in Space Research, 64</w:t>
      </w:r>
      <w:r>
        <w:t xml:space="preserve">(4), 886–899.</w:t>
      </w:r>
    </w:p>
    <w:p>
      <w:pPr>
        <w:spacing w:after="100" w:line="276"/>
        <w:ind w:left="567" w:hanging="567"/>
        <w:jc w:val="left"/>
      </w:pPr>
      <w:r>
        <w:t xml:space="preserve">Welch, B. L. (1951). On the comparison of several mean values: An alternative approach. </w:t>
      </w:r>
      <w:r>
        <w:rPr>
          <w:i/>
          <w:iCs/>
        </w:rPr>
        <w:t xml:space="preserve">Biometrika, 38</w:t>
      </w:r>
      <w:r>
        <w:t xml:space="preserve">(3–4), 330–336.</w:t>
      </w:r>
    </w:p>
    <w:p>
      <w:pPr>
        <w:spacing w:after="100" w:line="276"/>
        <w:ind w:left="567" w:hanging="567"/>
        <w:jc w:val="left"/>
      </w:pPr>
      <w:r>
        <w:t xml:space="preserve">Wolpert, D. H. (1992). Stacked generalization. </w:t>
      </w:r>
      <w:r>
        <w:rPr>
          <w:i/>
          <w:iCs/>
        </w:rPr>
        <w:t xml:space="preserve">Neural Networks, 5</w:t>
      </w:r>
      <w:r>
        <w:t xml:space="preserve">(2), 241–259.</w:t>
      </w:r>
    </w:p>
    <w:p>
      <w:pPr>
        <w:spacing w:after="100" w:line="276"/>
        <w:ind w:left="567" w:hanging="567"/>
        <w:jc w:val="left"/>
      </w:pPr>
      <w:r>
        <w:t xml:space="preserve">Wright, M. N., &amp; Ziegler, A. (2017). ranger: A fast implementation of random forests for high dimensional data in C++ and R. </w:t>
      </w:r>
      <w:r>
        <w:rPr>
          <w:i/>
          <w:iCs/>
        </w:rPr>
        <w:t xml:space="preserve">Journal of Statistical Software, 77</w:t>
      </w:r>
      <w:r>
        <w:t xml:space="preserve">(1), 1–17.</w:t>
      </w:r>
    </w:p>
    <w:p>
      <w:pPr>
        <w:spacing w:after="100" w:line="276"/>
        <w:ind w:left="567" w:hanging="567"/>
        <w:jc w:val="left"/>
      </w:pPr>
      <w:r>
        <w:t xml:space="preserve">Yu, L., &amp; Liu, H. (2004). Efficient feature selection via analysis of relevance and redundancy. </w:t>
      </w:r>
      <w:r>
        <w:rPr>
          <w:i/>
          <w:iCs/>
        </w:rPr>
        <w:t xml:space="preserve">Journal of Machine Learning Research, 5</w:t>
      </w:r>
      <w:r>
        <w:t xml:space="preserve">, 1205–1224.</w:t>
      </w:r>
    </w:p>
    <w:p>
      <w:pPr>
        <w:spacing w:after="100" w:line="276"/>
        <w:ind w:left="567" w:hanging="567"/>
        <w:jc w:val="left"/>
      </w:pPr>
      <w:r>
        <w:t xml:space="preserve">Zhang, J. (2010). Multi-source remote sensing data fusion: Status and trends. </w:t>
      </w:r>
      <w:r>
        <w:rPr>
          <w:i/>
          <w:iCs/>
        </w:rPr>
        <w:t xml:space="preserve">International Journal of Image and Data Fusion, 1</w:t>
      </w:r>
      <w:r>
        <w:t xml:space="preserve">(1), 5–24.</w:t>
      </w:r>
    </w:p>
    <w:p>
      <w:pPr>
        <w:spacing w:after="100" w:line="276"/>
        <w:ind w:left="567" w:hanging="567"/>
        <w:jc w:val="left"/>
      </w:pPr>
      <w:r>
        <w:t xml:space="preserve">Zhang, J. C., Pu, R. L., Wang, J. H., Huang, W. J., Yuan, L., &amp; Luo, J. H. (2012). Detecting powdery mildew of winter wheat using leaf level hyperspectral measurements. </w:t>
      </w:r>
      <w:r>
        <w:rPr>
          <w:i/>
          <w:iCs/>
        </w:rPr>
        <w:t xml:space="preserve">Computers and Electronics in Agriculture, 85</w:t>
      </w:r>
      <w:r>
        <w:t xml:space="preserve">, 13–23.</w:t>
      </w:r>
    </w:p>
    <w:p>
      <w:pPr>
        <w:spacing w:after="100" w:line="276"/>
        <w:ind w:left="567" w:hanging="567"/>
        <w:jc w:val="left"/>
      </w:pPr>
      <w:r>
        <w:t xml:space="preserve">Zhang, X., Han, L., Dong, Y., Shi, Y., Huang, W., Han, L., González-Moreno, P., Ma, H., Ye, H., &amp; Sobeih, T. (2019). A deep learning-based approach for automated yellow rust disease detection from high-resolution hyperspectral UAV images. </w:t>
      </w:r>
      <w:r>
        <w:rPr>
          <w:i/>
          <w:iCs/>
        </w:rPr>
        <w:t xml:space="preserve">Remote Sensing, 11</w:t>
      </w:r>
      <w:r>
        <w:t xml:space="preserve">(13), 1554.</w:t>
      </w:r>
    </w:p>
    <w:p>
      <w:pPr>
        <w:spacing w:after="100" w:line="276"/>
        <w:ind w:left="567" w:hanging="567"/>
        <w:jc w:val="left"/>
      </w:pPr>
      <w:r>
        <w:t xml:space="preserve">Zhu, H., Chu, B., Zhang, C., Liu, F., Jiang, L., &amp; He, Y. (2017). Hyperspectral imaging for presymptomatic detection of tobacco disease with successive projections algorithm and machine-learning classifiers. </w:t>
      </w:r>
      <w:r>
        <w:rPr>
          <w:i/>
          <w:iCs/>
        </w:rPr>
        <w:t xml:space="preserve">Scientific Reports, 7</w:t>
      </w:r>
      <w:r>
        <w:t xml:space="preserve">, 4125.</w:t>
      </w:r>
    </w:p>
    <w:sectPr>
      <w:headerReference w:type="default" r:id="rId7"/>
      <w:headerReference w:type="first" r:id="rId8"/>
      <w:footerReference w:type="default" r:id="rId9"/>
      <w:footerReference w:type="first" r:id="rId10"/>
      <w:pgSz w:w="11906" w:h="16838" w:orient="portrait"/>
      <w:pgMar w:top="1440" w:right="1440" w:bottom="1440" w:left="21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Methodology: UAV multimodal sensing of white rust in mustard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4"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5"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6"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7"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8"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9"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0"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1"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2"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3"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4"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5"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6"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abstractNum w:abstractNumId="17" w15:restartNumberingAfterBreak="0">
    <w:multiLevelType w:val="hybridMultilevel"/>
    <w:lvl w:ilvl="0" w15:tentative="1">
      <w:start w:val="1"/>
      <w:numFmt w:val="decimal"/>
      <w:lvlText w:val="%1."/>
      <w:lvlJc w:val="left"/>
      <w:pPr>
        <w:ind w:left="567" w:hanging="397"/>
      </w:pPr>
    </w:lvl>
    <w:lvl w:ilvl="1" w15:tentative="1">
      <w:start w:val="1"/>
      <w:numFmt w:val="lowerLetter"/>
      <w:lvlText w:val="(%2)"/>
      <w:lvlJc w:val="left"/>
      <w:pPr>
        <w:ind w:left="1134" w:hanging="39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A2E"/>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E5A45"/>
      <w:sz w:val="27"/>
      <w:szCs w:val="27"/>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2B3A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Multimodal DSF selection and feature-level fusion for white rust in mustard</dc:title>
  <dc:creator>Animesh Panda</dc:creator>
  <cp:lastModifiedBy>Un-named</cp:lastModifiedBy>
  <cp:revision>1</cp:revision>
  <dcterms:created xsi:type="dcterms:W3CDTF">2026-10-05T08:14:03.420Z</dcterms:created>
  <dcterms:modified xsi:type="dcterms:W3CDTF">2026-10-05T08:14:03.432Z</dcterms:modified>
</cp:coreProperties>
</file>

<file path=docProps/custom.xml><?xml version="1.0" encoding="utf-8"?>
<Properties xmlns="http://schemas.openxmlformats.org/officeDocument/2006/custom-properties" xmlns:vt="http://schemas.openxmlformats.org/officeDocument/2006/docPropsVTypes"/>
</file>