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F4E79"/>
          <w:sz w:val="44"/>
        </w:rPr>
        <w:t>Filtered Approximate Nearest Neighbor Search (FANNS)</w:t>
        <w:br/>
        <w:t>Medium Dataset Benchmark Report</w:t>
      </w:r>
    </w:p>
    <w:p>
      <w:pPr>
        <w:jc w:val="center"/>
      </w:pPr>
      <w:r>
        <w:rPr>
          <w:rFonts w:ascii="Calibri" w:hAnsi="Calibri"/>
          <w:i/>
          <w:color w:val="595959"/>
          <w:sz w:val="24"/>
        </w:rPr>
        <w:t>Empirical Scaling Analysis on SPCL/arxiv-for-fanns-medium (100,000 Vectors, D=4096)</w:t>
      </w:r>
    </w:p>
    <w:p>
      <w:pPr>
        <w:jc w:val="center"/>
      </w:pPr>
      <w:r>
        <w:rPr>
          <w:rFonts w:ascii="Calibri" w:hAnsi="Calibri"/>
          <w:color w:val="595959"/>
          <w:sz w:val="19"/>
        </w:rPr>
        <w:t>Evaluation Matrix: 11 Search Strategies x 3 Workloads (EM, Range, EMIS) | Top-K: 10</w:t>
      </w:r>
    </w:p>
    <w:p>
      <w:pPr>
        <w:keepNext/>
        <w:spacing w:before="320" w:after="120"/>
      </w:pPr>
      <w:r>
        <w:rPr>
          <w:rFonts w:ascii="Calibri" w:hAnsi="Calibri"/>
          <w:b/>
          <w:color w:val="1F4E79"/>
          <w:sz w:val="32"/>
        </w:rPr>
        <w:t>1. Executive Summary</w:t>
      </w:r>
    </w:p>
    <w:p>
      <w:pPr>
        <w:spacing w:after="80" w:line="276" w:lineRule="auto"/>
      </w:pPr>
      <w:r>
        <w:rPr>
          <w:rFonts w:ascii="Calibri" w:hAnsi="Calibri"/>
          <w:color w:val="262626"/>
          <w:sz w:val="21"/>
        </w:rPr>
        <w:t>This report delivers an empirical benchmark of Filtered Approximate Nearest Neighbor Search (FANNS) scaled from the small dataset (10,000 vectors) to the official medium dataset (100,000 vectors, 4,096 dimensions). The evaluation encompasses eleven distinct retrieval paradigms across three filtering workloads: Exact Match (EM), Range filtering, and Exact Match + In-Set containment (EMIS). Results demonstrate that while pre-filtering delivers exact 100% recall at modest throughput, graph-guided filter-aware approaches (such as InGraph, ACORN, SIEVE, and UNIFY) provide superior scalability by navigating structural attribute constraints directly during greedy graph traversal.</w:t>
      </w:r>
    </w:p>
    <w:p>
      <w:pPr>
        <w:keepNext/>
        <w:spacing w:before="320" w:after="120"/>
      </w:pPr>
      <w:r>
        <w:rPr>
          <w:rFonts w:ascii="Calibri" w:hAnsi="Calibri"/>
          <w:b/>
          <w:color w:val="1F4E79"/>
          <w:sz w:val="32"/>
        </w:rPr>
        <w:t>2. Hardware and Evaluation Environment</w:t>
      </w:r>
    </w:p>
    <w:p>
      <w:pPr>
        <w:spacing w:after="80" w:line="276" w:lineRule="auto"/>
      </w:pPr>
      <w:r>
        <w:rPr>
          <w:rFonts w:ascii="Calibri" w:hAnsi="Calibri"/>
          <w:color w:val="262626"/>
          <w:sz w:val="21"/>
        </w:rPr>
        <w:t>All medium-scale experiments were executed natively on the standardized local evaluation testbed:</w:t>
      </w:r>
    </w:p>
    <w:tbl>
      <w:tblPr>
        <w:tblW w:type="auto" w:w="0"/>
        <w:jc w:val="center"/>
        <w:tblLook w:firstColumn="1" w:firstRow="1" w:lastColumn="0" w:lastRow="0" w:noHBand="0" w:noVBand="1" w:val="04A0"/>
        <w:tblBorders>
          <w:top w:val="single" w:sz="4" w:space="0" w:color="D3D3D3"/>
          <w:bottom w:val="single" w:sz="6" w:space="0" w:color="D3D3D3"/>
          <w:left w:val="none"/>
          <w:right w:val="none"/>
          <w:insideH w:val="single" w:sz="4" w:space="0" w:color="D3D3D3"/>
          <w:insideV w:val="none"/>
        </w:tblBorders>
      </w:tblPr>
      <w:tblGrid>
        <w:gridCol w:w="4680"/>
        <w:gridCol w:w="4680"/>
      </w:tblGrid>
      <w:tr>
        <w:tc>
          <w:tcPr>
            <w:tcW w:type="dxa" w:w="4680"/>
            <w:shd w:fill="F2F4F7"/>
          </w:tcPr>
          <w:p>
            <w:r>
              <w:rPr>
                <w:b/>
                <w:sz w:val="19"/>
              </w:rPr>
              <w:t>Processor (CPU)</w:t>
            </w:r>
          </w:p>
        </w:tc>
        <w:tc>
          <w:tcPr>
            <w:tcW w:type="dxa" w:w="4680"/>
          </w:tcPr>
          <w:p>
            <w:r>
              <w:rPr>
                <w:sz w:val="19"/>
              </w:rPr>
              <w:t>AMD Ryzen 3 5300U with Radeon Graphics (4 Cores / 8 Threads @ 2.60 GHz base)</w:t>
            </w:r>
          </w:p>
        </w:tc>
      </w:tr>
      <w:tr>
        <w:tc>
          <w:tcPr>
            <w:tcW w:type="dxa" w:w="4680"/>
            <w:shd w:fill="F2F4F7"/>
          </w:tcPr>
          <w:p>
            <w:r>
              <w:rPr>
                <w:b/>
                <w:sz w:val="19"/>
              </w:rPr>
              <w:t>System Memory (RAM)</w:t>
            </w:r>
          </w:p>
        </w:tc>
        <w:tc>
          <w:tcPr>
            <w:tcW w:type="dxa" w:w="4680"/>
          </w:tcPr>
          <w:p>
            <w:r>
              <w:rPr>
                <w:sz w:val="19"/>
              </w:rPr>
              <w:t>8.0 GB Physical (7.34 GB Usable), LPDDR4</w:t>
            </w:r>
          </w:p>
        </w:tc>
      </w:tr>
      <w:tr>
        <w:tc>
          <w:tcPr>
            <w:tcW w:type="dxa" w:w="4680"/>
            <w:shd w:fill="F2F4F7"/>
          </w:tcPr>
          <w:p>
            <w:r>
              <w:rPr>
                <w:b/>
                <w:sz w:val="19"/>
              </w:rPr>
              <w:t>Storage Subsystem</w:t>
            </w:r>
          </w:p>
        </w:tc>
        <w:tc>
          <w:tcPr>
            <w:tcW w:type="dxa" w:w="4680"/>
          </w:tcPr>
          <w:p>
            <w:r>
              <w:rPr>
                <w:sz w:val="19"/>
              </w:rPr>
              <w:t>Solid State Drive (NVMe SSD), Memory-Mapped I/O via np.memmap</w:t>
            </w:r>
          </w:p>
        </w:tc>
      </w:tr>
      <w:tr>
        <w:tc>
          <w:tcPr>
            <w:tcW w:type="dxa" w:w="4680"/>
            <w:shd w:fill="F2F4F7"/>
          </w:tcPr>
          <w:p>
            <w:r>
              <w:rPr>
                <w:b/>
                <w:sz w:val="19"/>
              </w:rPr>
              <w:t>Operating System</w:t>
            </w:r>
          </w:p>
        </w:tc>
        <w:tc>
          <w:tcPr>
            <w:tcW w:type="dxa" w:w="4680"/>
          </w:tcPr>
          <w:p>
            <w:r>
              <w:rPr>
                <w:sz w:val="19"/>
              </w:rPr>
              <w:t>Microsoft Windows 11 Home Single Language (Build 26100.3194)</w:t>
            </w:r>
          </w:p>
        </w:tc>
      </w:tr>
      <w:tr>
        <w:tc>
          <w:tcPr>
            <w:tcW w:type="dxa" w:w="4680"/>
            <w:shd w:fill="F2F4F7"/>
          </w:tcPr>
          <w:p>
            <w:r>
              <w:rPr>
                <w:b/>
                <w:sz w:val="19"/>
              </w:rPr>
              <w:t>Execution Runtime</w:t>
            </w:r>
          </w:p>
        </w:tc>
        <w:tc>
          <w:tcPr>
            <w:tcW w:type="dxa" w:w="4680"/>
          </w:tcPr>
          <w:p>
            <w:r>
              <w:rPr>
                <w:sz w:val="19"/>
              </w:rPr>
              <w:t>Python 3.14.6, NumPy (OpenBLAS optimized), SciPy, Matplotlib, Pandas</w:t>
            </w:r>
          </w:p>
        </w:tc>
      </w:tr>
      <w:tr>
        <w:tc>
          <w:tcPr>
            <w:tcW w:type="dxa" w:w="4680"/>
            <w:shd w:fill="F2F4F7"/>
          </w:tcPr>
          <w:p>
            <w:r>
              <w:rPr>
                <w:b/>
                <w:sz w:val="19"/>
              </w:rPr>
              <w:t>Evaluation Parameters</w:t>
            </w:r>
          </w:p>
        </w:tc>
        <w:tc>
          <w:tcPr>
            <w:tcW w:type="dxa" w:w="4680"/>
          </w:tcPr>
          <w:p>
            <w:r>
              <w:rPr>
                <w:sz w:val="19"/>
              </w:rPr>
              <w:t>K = 10, efSearch = 50, M = 16, efConstruction = 100, Queries = 500/workload</w:t>
            </w:r>
          </w:p>
        </w:tc>
      </w:tr>
    </w:tbl>
    <w:p>
      <w:pPr>
        <w:keepNext/>
        <w:spacing w:before="320" w:after="120"/>
      </w:pPr>
      <w:r>
        <w:rPr>
          <w:rFonts w:ascii="Calibri" w:hAnsi="Calibri"/>
          <w:b/>
          <w:color w:val="1F4E79"/>
          <w:sz w:val="32"/>
        </w:rPr>
        <w:t>3. Dataset Characteristics &amp; Workload Selectivities</w:t>
      </w:r>
    </w:p>
    <w:p>
      <w:pPr>
        <w:spacing w:after="80" w:line="276" w:lineRule="auto"/>
      </w:pPr>
      <w:r>
        <w:rPr>
          <w:rFonts w:ascii="Calibri" w:hAnsi="Calibri"/>
          <w:color w:val="262626"/>
          <w:sz w:val="21"/>
        </w:rPr>
        <w:t>The official SPCL/arxiv-for-fanns-medium dataset comprises 100,000 database vectors and 10,000 query vectors, each spanning 4,096 dimensions in IEEE 754 32-bit floating point format (1.64 GB raw database tensor). Accompanying metadata contains author identities, primary subject categories, and integer publication timestamps.</w:t>
      </w:r>
    </w:p>
    <w:tbl>
      <w:tblPr>
        <w:tblW w:type="auto" w:w="0"/>
        <w:jc w:val="center"/>
        <w:tblLook w:firstColumn="1" w:firstRow="1" w:lastColumn="0" w:lastRow="0" w:noHBand="0" w:noVBand="1" w:val="04A0"/>
        <w:tblBorders>
          <w:top w:val="single" w:sz="4" w:space="0" w:color="D3D3D3"/>
          <w:bottom w:val="single" w:sz="6" w:space="0" w:color="D3D3D3"/>
          <w:left w:val="none"/>
          <w:right w:val="none"/>
          <w:insideH w:val="single" w:sz="4" w:space="0" w:color="D3D3D3"/>
          <w:insideV w:val="none"/>
        </w:tblBorders>
      </w:tblPr>
      <w:tblGrid>
        <w:gridCol w:w="2340"/>
        <w:gridCol w:w="2340"/>
        <w:gridCol w:w="2340"/>
        <w:gridCol w:w="2340"/>
      </w:tblGrid>
      <w:tr>
        <w:tc>
          <w:tcPr>
            <w:tcW w:type="dxa" w:w="2340"/>
            <w:shd w:fill="F2F4F7"/>
          </w:tcPr>
          <w:p>
            <w:r>
              <w:rPr>
                <w:b/>
                <w:sz w:val="19"/>
              </w:rPr>
              <w:t>Workload</w:t>
            </w:r>
          </w:p>
        </w:tc>
        <w:tc>
          <w:tcPr>
            <w:tcW w:type="dxa" w:w="2340"/>
            <w:shd w:fill="F2F4F7"/>
          </w:tcPr>
          <w:p>
            <w:r>
              <w:rPr>
                <w:b/>
                <w:sz w:val="19"/>
              </w:rPr>
              <w:t>Filter Predicate Type</w:t>
            </w:r>
          </w:p>
        </w:tc>
        <w:tc>
          <w:tcPr>
            <w:tcW w:type="dxa" w:w="2340"/>
            <w:shd w:fill="F2F4F7"/>
          </w:tcPr>
          <w:p>
            <w:r>
              <w:rPr>
                <w:b/>
                <w:sz w:val="19"/>
              </w:rPr>
              <w:t>Mean Selectivity</w:t>
            </w:r>
          </w:p>
        </w:tc>
        <w:tc>
          <w:tcPr>
            <w:tcW w:type="dxa" w:w="2340"/>
            <w:shd w:fill="F2F4F7"/>
          </w:tcPr>
          <w:p>
            <w:r>
              <w:rPr>
                <w:b/>
                <w:sz w:val="19"/>
              </w:rPr>
              <w:t>Query Set Size</w:t>
            </w:r>
          </w:p>
        </w:tc>
      </w:tr>
      <w:tr>
        <w:tc>
          <w:tcPr>
            <w:tcW w:type="dxa" w:w="2340"/>
          </w:tcPr>
          <w:p>
            <w:r>
              <w:rPr>
                <w:sz w:val="19"/>
              </w:rPr>
              <w:t>EM</w:t>
            </w:r>
          </w:p>
        </w:tc>
        <w:tc>
          <w:tcPr>
            <w:tcW w:type="dxa" w:w="2340"/>
          </w:tcPr>
          <w:p>
            <w:r>
              <w:rPr>
                <w:sz w:val="19"/>
              </w:rPr>
              <w:t>Exact Match on Category</w:t>
            </w:r>
          </w:p>
        </w:tc>
        <w:tc>
          <w:tcPr>
            <w:tcW w:type="dxa" w:w="2340"/>
          </w:tcPr>
          <w:p>
            <w:r>
              <w:rPr>
                <w:sz w:val="19"/>
              </w:rPr>
              <w:t>38.47%</w:t>
            </w:r>
          </w:p>
        </w:tc>
        <w:tc>
          <w:tcPr>
            <w:tcW w:type="dxa" w:w="2340"/>
          </w:tcPr>
          <w:p>
            <w:r>
              <w:rPr>
                <w:sz w:val="19"/>
              </w:rPr>
              <w:t>10,000 queries (500 evaluated)</w:t>
            </w:r>
          </w:p>
        </w:tc>
      </w:tr>
      <w:tr>
        <w:tc>
          <w:tcPr>
            <w:tcW w:type="dxa" w:w="2340"/>
          </w:tcPr>
          <w:p>
            <w:r>
              <w:rPr>
                <w:sz w:val="19"/>
              </w:rPr>
              <w:t>Range</w:t>
            </w:r>
          </w:p>
        </w:tc>
        <w:tc>
          <w:tcPr>
            <w:tcW w:type="dxa" w:w="2340"/>
          </w:tcPr>
          <w:p>
            <w:r>
              <w:rPr>
                <w:sz w:val="19"/>
              </w:rPr>
              <w:t>Timestamp Interval [t_min, t_max]</w:t>
            </w:r>
          </w:p>
        </w:tc>
        <w:tc>
          <w:tcPr>
            <w:tcW w:type="dxa" w:w="2340"/>
          </w:tcPr>
          <w:p>
            <w:r>
              <w:rPr>
                <w:sz w:val="19"/>
              </w:rPr>
              <w:t>44.55%</w:t>
            </w:r>
          </w:p>
        </w:tc>
        <w:tc>
          <w:tcPr>
            <w:tcW w:type="dxa" w:w="2340"/>
          </w:tcPr>
          <w:p>
            <w:r>
              <w:rPr>
                <w:sz w:val="19"/>
              </w:rPr>
              <w:t>10,000 queries (500 evaluated)</w:t>
            </w:r>
          </w:p>
        </w:tc>
      </w:tr>
      <w:tr>
        <w:tc>
          <w:tcPr>
            <w:tcW w:type="dxa" w:w="2340"/>
          </w:tcPr>
          <w:p>
            <w:r>
              <w:rPr>
                <w:sz w:val="19"/>
              </w:rPr>
              <w:t>EMIS</w:t>
            </w:r>
          </w:p>
        </w:tc>
        <w:tc>
          <w:tcPr>
            <w:tcW w:type="dxa" w:w="2340"/>
          </w:tcPr>
          <w:p>
            <w:r>
              <w:rPr>
                <w:sz w:val="19"/>
              </w:rPr>
              <w:t>Category Exact Match + In-Set Author</w:t>
            </w:r>
          </w:p>
        </w:tc>
        <w:tc>
          <w:tcPr>
            <w:tcW w:type="dxa" w:w="2340"/>
          </w:tcPr>
          <w:p>
            <w:r>
              <w:rPr>
                <w:sz w:val="19"/>
              </w:rPr>
              <w:t>15.24%</w:t>
            </w:r>
          </w:p>
        </w:tc>
        <w:tc>
          <w:tcPr>
            <w:tcW w:type="dxa" w:w="2340"/>
          </w:tcPr>
          <w:p>
            <w:r>
              <w:rPr>
                <w:sz w:val="19"/>
              </w:rPr>
              <w:t>10,000 queries (500 evaluated)</w:t>
            </w:r>
          </w:p>
        </w:tc>
      </w:tr>
    </w:tbl>
    <w:p>
      <w:pPr>
        <w:keepNext/>
        <w:spacing w:before="320" w:after="120"/>
      </w:pPr>
      <w:r>
        <w:rPr>
          <w:rFonts w:ascii="Calibri" w:hAnsi="Calibri"/>
          <w:b/>
          <w:color w:val="1F4E79"/>
          <w:sz w:val="32"/>
        </w:rPr>
        <w:t>4. Comprehensive Benchmark Results</w:t>
      </w:r>
    </w:p>
    <w:p>
      <w:pPr>
        <w:spacing w:after="80" w:line="276" w:lineRule="auto"/>
      </w:pPr>
      <w:r>
        <w:rPr>
          <w:rFonts w:ascii="Calibri" w:hAnsi="Calibri"/>
          <w:color w:val="262626"/>
          <w:sz w:val="21"/>
        </w:rPr>
        <w:t>Table 3 summarizes the primary evaluation metrics across all 11 search strategies and 3 filtering workloads. Ground truth was validated against the official SPCL ground-truth .ivecs files with 100% verified fidelity.</w:t>
      </w:r>
    </w:p>
    <w:tbl>
      <w:tblPr>
        <w:tblW w:type="auto" w:w="0"/>
        <w:jc w:val="center"/>
        <w:tblLook w:firstColumn="1" w:firstRow="1" w:lastColumn="0" w:lastRow="0" w:noHBand="0" w:noVBand="1" w:val="04A0"/>
        <w:tblBorders>
          <w:top w:val="single" w:sz="4" w:space="0" w:color="D3D3D3"/>
          <w:bottom w:val="single" w:sz="6" w:space="0" w:color="D3D3D3"/>
          <w:left w:val="none"/>
          <w:right w:val="none"/>
          <w:insideH w:val="single" w:sz="4" w:space="0" w:color="D3D3D3"/>
          <w:insideV w:val="none"/>
        </w:tblBorders>
      </w:tblPr>
      <w:tblGrid>
        <w:gridCol w:w="1337"/>
        <w:gridCol w:w="1337"/>
        <w:gridCol w:w="1337"/>
        <w:gridCol w:w="1337"/>
        <w:gridCol w:w="1337"/>
        <w:gridCol w:w="1337"/>
        <w:gridCol w:w="1337"/>
      </w:tblGrid>
      <w:tr>
        <w:tc>
          <w:tcPr>
            <w:tcW w:type="dxa" w:w="1337"/>
            <w:shd w:fill="F2F4F7"/>
          </w:tcPr>
          <w:p>
            <w:r>
              <w:rPr>
                <w:b/>
                <w:sz w:val="18"/>
              </w:rPr>
              <w:t>Strategy</w:t>
            </w:r>
          </w:p>
        </w:tc>
        <w:tc>
          <w:tcPr>
            <w:tcW w:type="dxa" w:w="1337"/>
            <w:shd w:fill="F2F4F7"/>
          </w:tcPr>
          <w:p>
            <w:r>
              <w:rPr>
                <w:b/>
                <w:sz w:val="18"/>
              </w:rPr>
              <w:t>EM Rec@10</w:t>
            </w:r>
          </w:p>
        </w:tc>
        <w:tc>
          <w:tcPr>
            <w:tcW w:type="dxa" w:w="1337"/>
            <w:shd w:fill="F2F4F7"/>
          </w:tcPr>
          <w:p>
            <w:r>
              <w:rPr>
                <w:b/>
                <w:sz w:val="18"/>
              </w:rPr>
              <w:t>EM Lat (ms)</w:t>
            </w:r>
          </w:p>
        </w:tc>
        <w:tc>
          <w:tcPr>
            <w:tcW w:type="dxa" w:w="1337"/>
            <w:shd w:fill="F2F4F7"/>
          </w:tcPr>
          <w:p>
            <w:r>
              <w:rPr>
                <w:b/>
                <w:sz w:val="18"/>
              </w:rPr>
              <w:t>Range Rec@10</w:t>
            </w:r>
          </w:p>
        </w:tc>
        <w:tc>
          <w:tcPr>
            <w:tcW w:type="dxa" w:w="1337"/>
            <w:shd w:fill="F2F4F7"/>
          </w:tcPr>
          <w:p>
            <w:r>
              <w:rPr>
                <w:b/>
                <w:sz w:val="18"/>
              </w:rPr>
              <w:t>Range Lat (ms)</w:t>
            </w:r>
          </w:p>
        </w:tc>
        <w:tc>
          <w:tcPr>
            <w:tcW w:type="dxa" w:w="1337"/>
            <w:shd w:fill="F2F4F7"/>
          </w:tcPr>
          <w:p>
            <w:r>
              <w:rPr>
                <w:b/>
                <w:sz w:val="18"/>
              </w:rPr>
              <w:t>EMIS Rec@10</w:t>
            </w:r>
          </w:p>
        </w:tc>
        <w:tc>
          <w:tcPr>
            <w:tcW w:type="dxa" w:w="1337"/>
            <w:shd w:fill="F2F4F7"/>
          </w:tcPr>
          <w:p>
            <w:r>
              <w:rPr>
                <w:b/>
                <w:sz w:val="18"/>
              </w:rPr>
              <w:t>EMIS Lat (ms)</w:t>
            </w:r>
          </w:p>
        </w:tc>
      </w:tr>
      <w:tr>
        <w:tc>
          <w:tcPr>
            <w:tcW w:type="dxa" w:w="1337"/>
          </w:tcPr>
          <w:p>
            <w:r>
              <w:rPr>
                <w:b/>
                <w:sz w:val="18"/>
              </w:rPr>
              <w:t>ACORN_Approx</w:t>
            </w:r>
          </w:p>
        </w:tc>
        <w:tc>
          <w:tcPr>
            <w:tcW w:type="dxa" w:w="1337"/>
          </w:tcPr>
          <w:p>
            <w:r>
              <w:rPr>
                <w:sz w:val="18"/>
              </w:rPr>
              <w:t>0.9784</w:t>
            </w:r>
          </w:p>
        </w:tc>
        <w:tc>
          <w:tcPr>
            <w:tcW w:type="dxa" w:w="1337"/>
          </w:tcPr>
          <w:p>
            <w:r>
              <w:rPr>
                <w:sz w:val="18"/>
              </w:rPr>
              <w:t>175.23</w:t>
            </w:r>
          </w:p>
        </w:tc>
        <w:tc>
          <w:tcPr>
            <w:tcW w:type="dxa" w:w="1337"/>
          </w:tcPr>
          <w:p>
            <w:r>
              <w:rPr>
                <w:sz w:val="18"/>
              </w:rPr>
              <w:t>0.9662</w:t>
            </w:r>
          </w:p>
        </w:tc>
        <w:tc>
          <w:tcPr>
            <w:tcW w:type="dxa" w:w="1337"/>
          </w:tcPr>
          <w:p>
            <w:r>
              <w:rPr>
                <w:sz w:val="18"/>
              </w:rPr>
              <w:t>202.74</w:t>
            </w:r>
          </w:p>
        </w:tc>
        <w:tc>
          <w:tcPr>
            <w:tcW w:type="dxa" w:w="1337"/>
          </w:tcPr>
          <w:p>
            <w:r>
              <w:rPr>
                <w:sz w:val="18"/>
              </w:rPr>
              <w:t>0.9104</w:t>
            </w:r>
          </w:p>
        </w:tc>
        <w:tc>
          <w:tcPr>
            <w:tcW w:type="dxa" w:w="1337"/>
          </w:tcPr>
          <w:p>
            <w:r>
              <w:rPr>
                <w:sz w:val="18"/>
              </w:rPr>
              <w:t>1815.06</w:t>
            </w:r>
          </w:p>
        </w:tc>
      </w:tr>
      <w:tr>
        <w:tc>
          <w:tcPr>
            <w:tcW w:type="dxa" w:w="1337"/>
          </w:tcPr>
          <w:p>
            <w:r>
              <w:rPr>
                <w:b/>
                <w:sz w:val="18"/>
              </w:rPr>
              <w:t>ExactSearch</w:t>
            </w:r>
          </w:p>
        </w:tc>
        <w:tc>
          <w:tcPr>
            <w:tcW w:type="dxa" w:w="1337"/>
          </w:tcPr>
          <w:p>
            <w:r>
              <w:rPr>
                <w:sz w:val="18"/>
              </w:rPr>
              <w:t>1.0000</w:t>
            </w:r>
          </w:p>
        </w:tc>
        <w:tc>
          <w:tcPr>
            <w:tcW w:type="dxa" w:w="1337"/>
          </w:tcPr>
          <w:p>
            <w:r>
              <w:rPr>
                <w:sz w:val="18"/>
              </w:rPr>
              <w:t>310.57</w:t>
            </w:r>
          </w:p>
        </w:tc>
        <w:tc>
          <w:tcPr>
            <w:tcW w:type="dxa" w:w="1337"/>
          </w:tcPr>
          <w:p>
            <w:r>
              <w:rPr>
                <w:sz w:val="18"/>
              </w:rPr>
              <w:t>1.0000</w:t>
            </w:r>
          </w:p>
        </w:tc>
        <w:tc>
          <w:tcPr>
            <w:tcW w:type="dxa" w:w="1337"/>
          </w:tcPr>
          <w:p>
            <w:r>
              <w:rPr>
                <w:sz w:val="18"/>
              </w:rPr>
              <w:t>359.96</w:t>
            </w:r>
          </w:p>
        </w:tc>
        <w:tc>
          <w:tcPr>
            <w:tcW w:type="dxa" w:w="1337"/>
          </w:tcPr>
          <w:p>
            <w:r>
              <w:rPr>
                <w:sz w:val="18"/>
              </w:rPr>
              <w:t>1.0000</w:t>
            </w:r>
          </w:p>
        </w:tc>
        <w:tc>
          <w:tcPr>
            <w:tcW w:type="dxa" w:w="1337"/>
          </w:tcPr>
          <w:p>
            <w:r>
              <w:rPr>
                <w:sz w:val="18"/>
              </w:rPr>
              <w:t>154.67</w:t>
            </w:r>
          </w:p>
        </w:tc>
      </w:tr>
      <w:tr>
        <w:tc>
          <w:tcPr>
            <w:tcW w:type="dxa" w:w="1337"/>
          </w:tcPr>
          <w:p>
            <w:r>
              <w:rPr>
                <w:b/>
                <w:sz w:val="18"/>
              </w:rPr>
              <w:t>HNSW_Overfetch_10x</w:t>
            </w:r>
          </w:p>
        </w:tc>
        <w:tc>
          <w:tcPr>
            <w:tcW w:type="dxa" w:w="1337"/>
          </w:tcPr>
          <w:p>
            <w:r>
              <w:rPr>
                <w:sz w:val="18"/>
              </w:rPr>
              <w:t>0.8814</w:t>
            </w:r>
          </w:p>
        </w:tc>
        <w:tc>
          <w:tcPr>
            <w:tcW w:type="dxa" w:w="1337"/>
          </w:tcPr>
          <w:p>
            <w:r>
              <w:rPr>
                <w:sz w:val="18"/>
              </w:rPr>
              <w:t>6.85</w:t>
            </w:r>
          </w:p>
        </w:tc>
        <w:tc>
          <w:tcPr>
            <w:tcW w:type="dxa" w:w="1337"/>
          </w:tcPr>
          <w:p>
            <w:r>
              <w:rPr>
                <w:sz w:val="18"/>
              </w:rPr>
              <w:t>0.8198</w:t>
            </w:r>
          </w:p>
        </w:tc>
        <w:tc>
          <w:tcPr>
            <w:tcW w:type="dxa" w:w="1337"/>
          </w:tcPr>
          <w:p>
            <w:r>
              <w:rPr>
                <w:sz w:val="18"/>
              </w:rPr>
              <w:t>7.45</w:t>
            </w:r>
          </w:p>
        </w:tc>
        <w:tc>
          <w:tcPr>
            <w:tcW w:type="dxa" w:w="1337"/>
          </w:tcPr>
          <w:p>
            <w:r>
              <w:rPr>
                <w:sz w:val="18"/>
              </w:rPr>
              <w:t>0.2916</w:t>
            </w:r>
          </w:p>
        </w:tc>
        <w:tc>
          <w:tcPr>
            <w:tcW w:type="dxa" w:w="1337"/>
          </w:tcPr>
          <w:p>
            <w:r>
              <w:rPr>
                <w:sz w:val="18"/>
              </w:rPr>
              <w:t>12.62</w:t>
            </w:r>
          </w:p>
        </w:tc>
      </w:tr>
      <w:tr>
        <w:tc>
          <w:tcPr>
            <w:tcW w:type="dxa" w:w="1337"/>
          </w:tcPr>
          <w:p>
            <w:r>
              <w:rPr>
                <w:b/>
                <w:sz w:val="18"/>
              </w:rPr>
              <w:t>HNSW_Overfetch_20x</w:t>
            </w:r>
          </w:p>
        </w:tc>
        <w:tc>
          <w:tcPr>
            <w:tcW w:type="dxa" w:w="1337"/>
          </w:tcPr>
          <w:p>
            <w:r>
              <w:rPr>
                <w:sz w:val="18"/>
              </w:rPr>
              <w:t>0.9404</w:t>
            </w:r>
          </w:p>
        </w:tc>
        <w:tc>
          <w:tcPr>
            <w:tcW w:type="dxa" w:w="1337"/>
          </w:tcPr>
          <w:p>
            <w:r>
              <w:rPr>
                <w:sz w:val="18"/>
              </w:rPr>
              <w:t>12.30</w:t>
            </w:r>
          </w:p>
        </w:tc>
        <w:tc>
          <w:tcPr>
            <w:tcW w:type="dxa" w:w="1337"/>
          </w:tcPr>
          <w:p>
            <w:r>
              <w:rPr>
                <w:sz w:val="18"/>
              </w:rPr>
              <w:t>0.8970</w:t>
            </w:r>
          </w:p>
        </w:tc>
        <w:tc>
          <w:tcPr>
            <w:tcW w:type="dxa" w:w="1337"/>
          </w:tcPr>
          <w:p>
            <w:r>
              <w:rPr>
                <w:sz w:val="18"/>
              </w:rPr>
              <w:t>13.61</w:t>
            </w:r>
          </w:p>
        </w:tc>
        <w:tc>
          <w:tcPr>
            <w:tcW w:type="dxa" w:w="1337"/>
          </w:tcPr>
          <w:p>
            <w:r>
              <w:rPr>
                <w:sz w:val="18"/>
              </w:rPr>
              <w:t>0.3826</w:t>
            </w:r>
          </w:p>
        </w:tc>
        <w:tc>
          <w:tcPr>
            <w:tcW w:type="dxa" w:w="1337"/>
          </w:tcPr>
          <w:p>
            <w:r>
              <w:rPr>
                <w:sz w:val="18"/>
              </w:rPr>
              <w:t>21.88</w:t>
            </w:r>
          </w:p>
        </w:tc>
      </w:tr>
      <w:tr>
        <w:tc>
          <w:tcPr>
            <w:tcW w:type="dxa" w:w="1337"/>
          </w:tcPr>
          <w:p>
            <w:r>
              <w:rPr>
                <w:b/>
                <w:sz w:val="18"/>
              </w:rPr>
              <w:t>HNSW_Overfetch_2x</w:t>
            </w:r>
          </w:p>
        </w:tc>
        <w:tc>
          <w:tcPr>
            <w:tcW w:type="dxa" w:w="1337"/>
          </w:tcPr>
          <w:p>
            <w:r>
              <w:rPr>
                <w:sz w:val="18"/>
              </w:rPr>
              <w:t>0.6160</w:t>
            </w:r>
          </w:p>
        </w:tc>
        <w:tc>
          <w:tcPr>
            <w:tcW w:type="dxa" w:w="1337"/>
          </w:tcPr>
          <w:p>
            <w:r>
              <w:rPr>
                <w:sz w:val="18"/>
              </w:rPr>
              <w:t>4.55</w:t>
            </w:r>
          </w:p>
        </w:tc>
        <w:tc>
          <w:tcPr>
            <w:tcW w:type="dxa" w:w="1337"/>
          </w:tcPr>
          <w:p>
            <w:r>
              <w:rPr>
                <w:sz w:val="18"/>
              </w:rPr>
              <w:t>0.5872</w:t>
            </w:r>
          </w:p>
        </w:tc>
        <w:tc>
          <w:tcPr>
            <w:tcW w:type="dxa" w:w="1337"/>
          </w:tcPr>
          <w:p>
            <w:r>
              <w:rPr>
                <w:sz w:val="18"/>
              </w:rPr>
              <w:t>4.46</w:t>
            </w:r>
          </w:p>
        </w:tc>
        <w:tc>
          <w:tcPr>
            <w:tcW w:type="dxa" w:w="1337"/>
          </w:tcPr>
          <w:p>
            <w:r>
              <w:rPr>
                <w:sz w:val="18"/>
              </w:rPr>
              <w:t>0.1888</w:t>
            </w:r>
          </w:p>
        </w:tc>
        <w:tc>
          <w:tcPr>
            <w:tcW w:type="dxa" w:w="1337"/>
          </w:tcPr>
          <w:p>
            <w:r>
              <w:rPr>
                <w:sz w:val="18"/>
              </w:rPr>
              <w:t>7.74</w:t>
            </w:r>
          </w:p>
        </w:tc>
      </w:tr>
      <w:tr>
        <w:tc>
          <w:tcPr>
            <w:tcW w:type="dxa" w:w="1337"/>
          </w:tcPr>
          <w:p>
            <w:r>
              <w:rPr>
                <w:b/>
                <w:sz w:val="18"/>
              </w:rPr>
              <w:t>HNSW_Overfetch_5x</w:t>
            </w:r>
          </w:p>
        </w:tc>
        <w:tc>
          <w:tcPr>
            <w:tcW w:type="dxa" w:w="1337"/>
          </w:tcPr>
          <w:p>
            <w:r>
              <w:rPr>
                <w:sz w:val="18"/>
              </w:rPr>
              <w:t>0.7910</w:t>
            </w:r>
          </w:p>
        </w:tc>
        <w:tc>
          <w:tcPr>
            <w:tcW w:type="dxa" w:w="1337"/>
          </w:tcPr>
          <w:p>
            <w:r>
              <w:rPr>
                <w:sz w:val="18"/>
              </w:rPr>
              <w:t>4.42</w:t>
            </w:r>
          </w:p>
        </w:tc>
        <w:tc>
          <w:tcPr>
            <w:tcW w:type="dxa" w:w="1337"/>
          </w:tcPr>
          <w:p>
            <w:r>
              <w:rPr>
                <w:sz w:val="18"/>
              </w:rPr>
              <w:t>0.7080</w:t>
            </w:r>
          </w:p>
        </w:tc>
        <w:tc>
          <w:tcPr>
            <w:tcW w:type="dxa" w:w="1337"/>
          </w:tcPr>
          <w:p>
            <w:r>
              <w:rPr>
                <w:sz w:val="18"/>
              </w:rPr>
              <w:t>4.64</w:t>
            </w:r>
          </w:p>
        </w:tc>
        <w:tc>
          <w:tcPr>
            <w:tcW w:type="dxa" w:w="1337"/>
          </w:tcPr>
          <w:p>
            <w:r>
              <w:rPr>
                <w:sz w:val="18"/>
              </w:rPr>
              <w:t>0.2292</w:t>
            </w:r>
          </w:p>
        </w:tc>
        <w:tc>
          <w:tcPr>
            <w:tcW w:type="dxa" w:w="1337"/>
          </w:tcPr>
          <w:p>
            <w:r>
              <w:rPr>
                <w:sz w:val="18"/>
              </w:rPr>
              <w:t>8.36</w:t>
            </w:r>
          </w:p>
        </w:tc>
      </w:tr>
      <w:tr>
        <w:tc>
          <w:tcPr>
            <w:tcW w:type="dxa" w:w="1337"/>
          </w:tcPr>
          <w:p>
            <w:r>
              <w:rPr>
                <w:b/>
                <w:sz w:val="18"/>
              </w:rPr>
              <w:t>HNSW_PostFilter</w:t>
            </w:r>
          </w:p>
        </w:tc>
        <w:tc>
          <w:tcPr>
            <w:tcW w:type="dxa" w:w="1337"/>
          </w:tcPr>
          <w:p>
            <w:r>
              <w:rPr>
                <w:sz w:val="18"/>
              </w:rPr>
              <w:t>0.3322</w:t>
            </w:r>
          </w:p>
        </w:tc>
        <w:tc>
          <w:tcPr>
            <w:tcW w:type="dxa" w:w="1337"/>
          </w:tcPr>
          <w:p>
            <w:r>
              <w:rPr>
                <w:sz w:val="18"/>
              </w:rPr>
              <w:t>4.84</w:t>
            </w:r>
          </w:p>
        </w:tc>
        <w:tc>
          <w:tcPr>
            <w:tcW w:type="dxa" w:w="1337"/>
          </w:tcPr>
          <w:p>
            <w:r>
              <w:rPr>
                <w:sz w:val="18"/>
              </w:rPr>
              <w:t>0.4164</w:t>
            </w:r>
          </w:p>
        </w:tc>
        <w:tc>
          <w:tcPr>
            <w:tcW w:type="dxa" w:w="1337"/>
          </w:tcPr>
          <w:p>
            <w:r>
              <w:rPr>
                <w:sz w:val="18"/>
              </w:rPr>
              <w:t>4.73</w:t>
            </w:r>
          </w:p>
        </w:tc>
        <w:tc>
          <w:tcPr>
            <w:tcW w:type="dxa" w:w="1337"/>
          </w:tcPr>
          <w:p>
            <w:r>
              <w:rPr>
                <w:sz w:val="18"/>
              </w:rPr>
              <w:t>0.1714</w:t>
            </w:r>
          </w:p>
        </w:tc>
        <w:tc>
          <w:tcPr>
            <w:tcW w:type="dxa" w:w="1337"/>
          </w:tcPr>
          <w:p>
            <w:r>
              <w:rPr>
                <w:sz w:val="18"/>
              </w:rPr>
              <w:t>8.58</w:t>
            </w:r>
          </w:p>
        </w:tc>
      </w:tr>
      <w:tr>
        <w:tc>
          <w:tcPr>
            <w:tcW w:type="dxa" w:w="1337"/>
          </w:tcPr>
          <w:p>
            <w:r>
              <w:rPr>
                <w:b/>
                <w:sz w:val="18"/>
              </w:rPr>
              <w:t>InGraphFilter</w:t>
            </w:r>
          </w:p>
        </w:tc>
        <w:tc>
          <w:tcPr>
            <w:tcW w:type="dxa" w:w="1337"/>
          </w:tcPr>
          <w:p>
            <w:r>
              <w:rPr>
                <w:sz w:val="18"/>
              </w:rPr>
              <w:t>0.9374</w:t>
            </w:r>
          </w:p>
        </w:tc>
        <w:tc>
          <w:tcPr>
            <w:tcW w:type="dxa" w:w="1337"/>
          </w:tcPr>
          <w:p>
            <w:r>
              <w:rPr>
                <w:sz w:val="18"/>
              </w:rPr>
              <w:t>13.99</w:t>
            </w:r>
          </w:p>
        </w:tc>
        <w:tc>
          <w:tcPr>
            <w:tcW w:type="dxa" w:w="1337"/>
          </w:tcPr>
          <w:p>
            <w:r>
              <w:rPr>
                <w:sz w:val="18"/>
              </w:rPr>
              <w:t>0.9304</w:t>
            </w:r>
          </w:p>
        </w:tc>
        <w:tc>
          <w:tcPr>
            <w:tcW w:type="dxa" w:w="1337"/>
          </w:tcPr>
          <w:p>
            <w:r>
              <w:rPr>
                <w:sz w:val="18"/>
              </w:rPr>
              <w:t>24.14</w:t>
            </w:r>
          </w:p>
        </w:tc>
        <w:tc>
          <w:tcPr>
            <w:tcW w:type="dxa" w:w="1337"/>
          </w:tcPr>
          <w:p>
            <w:r>
              <w:rPr>
                <w:sz w:val="18"/>
              </w:rPr>
              <w:t>0.8858</w:t>
            </w:r>
          </w:p>
        </w:tc>
        <w:tc>
          <w:tcPr>
            <w:tcW w:type="dxa" w:w="1337"/>
          </w:tcPr>
          <w:p>
            <w:r>
              <w:rPr>
                <w:sz w:val="18"/>
              </w:rPr>
              <w:t>335.34</w:t>
            </w:r>
          </w:p>
        </w:tc>
      </w:tr>
      <w:tr>
        <w:tc>
          <w:tcPr>
            <w:tcW w:type="dxa" w:w="1337"/>
          </w:tcPr>
          <w:p>
            <w:r>
              <w:rPr>
                <w:b/>
                <w:sz w:val="18"/>
              </w:rPr>
              <w:t>PreFilter</w:t>
            </w:r>
          </w:p>
        </w:tc>
        <w:tc>
          <w:tcPr>
            <w:tcW w:type="dxa" w:w="1337"/>
          </w:tcPr>
          <w:p>
            <w:r>
              <w:rPr>
                <w:sz w:val="18"/>
              </w:rPr>
              <w:t>1.0000</w:t>
            </w:r>
          </w:p>
        </w:tc>
        <w:tc>
          <w:tcPr>
            <w:tcW w:type="dxa" w:w="1337"/>
          </w:tcPr>
          <w:p>
            <w:r>
              <w:rPr>
                <w:sz w:val="18"/>
              </w:rPr>
              <w:t>296.73</w:t>
            </w:r>
          </w:p>
        </w:tc>
        <w:tc>
          <w:tcPr>
            <w:tcW w:type="dxa" w:w="1337"/>
          </w:tcPr>
          <w:p>
            <w:r>
              <w:rPr>
                <w:sz w:val="18"/>
              </w:rPr>
              <w:t>1.0000</w:t>
            </w:r>
          </w:p>
        </w:tc>
        <w:tc>
          <w:tcPr>
            <w:tcW w:type="dxa" w:w="1337"/>
          </w:tcPr>
          <w:p>
            <w:r>
              <w:rPr>
                <w:sz w:val="18"/>
              </w:rPr>
              <w:t>352.28</w:t>
            </w:r>
          </w:p>
        </w:tc>
        <w:tc>
          <w:tcPr>
            <w:tcW w:type="dxa" w:w="1337"/>
          </w:tcPr>
          <w:p>
            <w:r>
              <w:rPr>
                <w:sz w:val="18"/>
              </w:rPr>
              <w:t>1.0000</w:t>
            </w:r>
          </w:p>
        </w:tc>
        <w:tc>
          <w:tcPr>
            <w:tcW w:type="dxa" w:w="1337"/>
          </w:tcPr>
          <w:p>
            <w:r>
              <w:rPr>
                <w:sz w:val="18"/>
              </w:rPr>
              <w:t>149.40</w:t>
            </w:r>
          </w:p>
        </w:tc>
      </w:tr>
      <w:tr>
        <w:tc>
          <w:tcPr>
            <w:tcW w:type="dxa" w:w="1337"/>
          </w:tcPr>
          <w:p>
            <w:r>
              <w:rPr>
                <w:b/>
                <w:sz w:val="18"/>
              </w:rPr>
              <w:t>SIEVE_Approx</w:t>
            </w:r>
          </w:p>
        </w:tc>
        <w:tc>
          <w:tcPr>
            <w:tcW w:type="dxa" w:w="1337"/>
          </w:tcPr>
          <w:p>
            <w:r>
              <w:rPr>
                <w:sz w:val="18"/>
              </w:rPr>
              <w:t>0.9386</w:t>
            </w:r>
          </w:p>
        </w:tc>
        <w:tc>
          <w:tcPr>
            <w:tcW w:type="dxa" w:w="1337"/>
          </w:tcPr>
          <w:p>
            <w:r>
              <w:rPr>
                <w:sz w:val="18"/>
              </w:rPr>
              <w:t>18.75</w:t>
            </w:r>
          </w:p>
        </w:tc>
        <w:tc>
          <w:tcPr>
            <w:tcW w:type="dxa" w:w="1337"/>
          </w:tcPr>
          <w:p>
            <w:r>
              <w:rPr>
                <w:sz w:val="18"/>
              </w:rPr>
              <w:t>0.9282</w:t>
            </w:r>
          </w:p>
        </w:tc>
        <w:tc>
          <w:tcPr>
            <w:tcW w:type="dxa" w:w="1337"/>
          </w:tcPr>
          <w:p>
            <w:r>
              <w:rPr>
                <w:sz w:val="18"/>
              </w:rPr>
              <w:t>36.81</w:t>
            </w:r>
          </w:p>
        </w:tc>
        <w:tc>
          <w:tcPr>
            <w:tcW w:type="dxa" w:w="1337"/>
          </w:tcPr>
          <w:p>
            <w:r>
              <w:rPr>
                <w:sz w:val="18"/>
              </w:rPr>
              <w:t>0.8870</w:t>
            </w:r>
          </w:p>
        </w:tc>
        <w:tc>
          <w:tcPr>
            <w:tcW w:type="dxa" w:w="1337"/>
          </w:tcPr>
          <w:p>
            <w:r>
              <w:rPr>
                <w:sz w:val="18"/>
              </w:rPr>
              <w:t>347.45</w:t>
            </w:r>
          </w:p>
        </w:tc>
      </w:tr>
      <w:tr>
        <w:tc>
          <w:tcPr>
            <w:tcW w:type="dxa" w:w="1337"/>
          </w:tcPr>
          <w:p>
            <w:r>
              <w:rPr>
                <w:b/>
                <w:sz w:val="18"/>
              </w:rPr>
              <w:t>UNIFY_Approx</w:t>
            </w:r>
          </w:p>
        </w:tc>
        <w:tc>
          <w:tcPr>
            <w:tcW w:type="dxa" w:w="1337"/>
          </w:tcPr>
          <w:p>
            <w:r>
              <w:rPr>
                <w:sz w:val="18"/>
              </w:rPr>
              <w:t>0.9384</w:t>
            </w:r>
          </w:p>
        </w:tc>
        <w:tc>
          <w:tcPr>
            <w:tcW w:type="dxa" w:w="1337"/>
          </w:tcPr>
          <w:p>
            <w:r>
              <w:rPr>
                <w:sz w:val="18"/>
              </w:rPr>
              <w:t>106.55</w:t>
            </w:r>
          </w:p>
        </w:tc>
        <w:tc>
          <w:tcPr>
            <w:tcW w:type="dxa" w:w="1337"/>
          </w:tcPr>
          <w:p>
            <w:r>
              <w:rPr>
                <w:sz w:val="18"/>
              </w:rPr>
              <w:t>0.9312</w:t>
            </w:r>
          </w:p>
        </w:tc>
        <w:tc>
          <w:tcPr>
            <w:tcW w:type="dxa" w:w="1337"/>
          </w:tcPr>
          <w:p>
            <w:r>
              <w:rPr>
                <w:sz w:val="18"/>
              </w:rPr>
              <w:t>108.71</w:t>
            </w:r>
          </w:p>
        </w:tc>
        <w:tc>
          <w:tcPr>
            <w:tcW w:type="dxa" w:w="1337"/>
          </w:tcPr>
          <w:p>
            <w:r>
              <w:rPr>
                <w:sz w:val="18"/>
              </w:rPr>
              <w:t>0.8968</w:t>
            </w:r>
          </w:p>
        </w:tc>
        <w:tc>
          <w:tcPr>
            <w:tcW w:type="dxa" w:w="1337"/>
          </w:tcPr>
          <w:p>
            <w:r>
              <w:rPr>
                <w:sz w:val="18"/>
              </w:rPr>
              <w:t>1983.41</w:t>
            </w:r>
          </w:p>
        </w:tc>
      </w:tr>
    </w:tbl>
    <w:p>
      <w:pPr>
        <w:keepNext/>
        <w:spacing w:before="320" w:after="120"/>
      </w:pPr>
      <w:r>
        <w:rPr>
          <w:rFonts w:ascii="Calibri" w:hAnsi="Calibri"/>
          <w:b/>
          <w:color w:val="1F4E79"/>
          <w:sz w:val="32"/>
        </w:rPr>
        <w:t>5. Stratified Selectivity Performance Breakdown</w:t>
      </w:r>
    </w:p>
    <w:p>
      <w:pPr>
        <w:spacing w:after="80" w:line="276" w:lineRule="auto"/>
      </w:pPr>
      <w:r>
        <w:rPr>
          <w:rFonts w:ascii="Calibri" w:hAnsi="Calibri"/>
          <w:color w:val="262626"/>
          <w:sz w:val="21"/>
        </w:rPr>
        <w:t>To analyze robustness across restrictive filtering regimes, queries were partitioned into four selectivity buckets: Ultra-Low (&lt;2%), Low (2-10%), Medium (10-30%), and High (&gt;30%).</w:t>
      </w:r>
    </w:p>
    <w:tbl>
      <w:tblPr>
        <w:tblW w:type="auto" w:w="0"/>
        <w:jc w:val="center"/>
        <w:tblLook w:firstColumn="1" w:firstRow="1" w:lastColumn="0" w:lastRow="0" w:noHBand="0" w:noVBand="1" w:val="04A0"/>
        <w:tblBorders>
          <w:top w:val="single" w:sz="4" w:space="0" w:color="D3D3D3"/>
          <w:bottom w:val="single" w:sz="6" w:space="0" w:color="D3D3D3"/>
          <w:left w:val="none"/>
          <w:right w:val="none"/>
          <w:insideH w:val="single" w:sz="4" w:space="0" w:color="D3D3D3"/>
          <w:insideV w:val="none"/>
        </w:tblBorders>
      </w:tblPr>
      <w:tblGrid>
        <w:gridCol w:w="1560"/>
        <w:gridCol w:w="1560"/>
        <w:gridCol w:w="1560"/>
        <w:gridCol w:w="1560"/>
        <w:gridCol w:w="1560"/>
        <w:gridCol w:w="1560"/>
      </w:tblGrid>
      <w:tr>
        <w:tc>
          <w:tcPr>
            <w:tcW w:type="dxa" w:w="1560"/>
            <w:shd w:fill="F2F4F7"/>
          </w:tcPr>
          <w:p>
            <w:r>
              <w:rPr>
                <w:b/>
                <w:sz w:val="17"/>
              </w:rPr>
              <w:t>Strategy</w:t>
            </w:r>
          </w:p>
        </w:tc>
        <w:tc>
          <w:tcPr>
            <w:tcW w:type="dxa" w:w="1560"/>
            <w:shd w:fill="F2F4F7"/>
          </w:tcPr>
          <w:p>
            <w:r>
              <w:rPr>
                <w:b/>
                <w:sz w:val="17"/>
              </w:rPr>
              <w:t>Workload</w:t>
            </w:r>
          </w:p>
        </w:tc>
        <w:tc>
          <w:tcPr>
            <w:tcW w:type="dxa" w:w="1560"/>
            <w:shd w:fill="F2F4F7"/>
          </w:tcPr>
          <w:p>
            <w:r>
              <w:rPr>
                <w:b/>
                <w:sz w:val="17"/>
              </w:rPr>
              <w:t>Selectivity Bucket</w:t>
            </w:r>
          </w:p>
        </w:tc>
        <w:tc>
          <w:tcPr>
            <w:tcW w:type="dxa" w:w="1560"/>
            <w:shd w:fill="F2F4F7"/>
          </w:tcPr>
          <w:p>
            <w:r>
              <w:rPr>
                <w:b/>
                <w:sz w:val="17"/>
              </w:rPr>
              <w:t>Queries</w:t>
            </w:r>
          </w:p>
        </w:tc>
        <w:tc>
          <w:tcPr>
            <w:tcW w:type="dxa" w:w="1560"/>
            <w:shd w:fill="F2F4F7"/>
          </w:tcPr>
          <w:p>
            <w:r>
              <w:rPr>
                <w:b/>
                <w:sz w:val="17"/>
              </w:rPr>
              <w:t>Mean Recall@10</w:t>
            </w:r>
          </w:p>
        </w:tc>
        <w:tc>
          <w:tcPr>
            <w:tcW w:type="dxa" w:w="1560"/>
            <w:shd w:fill="F2F4F7"/>
          </w:tcPr>
          <w:p>
            <w:r>
              <w:rPr>
                <w:b/>
                <w:sz w:val="17"/>
              </w:rPr>
              <w:t>Mean Lat (ms)</w:t>
            </w:r>
          </w:p>
        </w:tc>
      </w:tr>
      <w:tr>
        <w:tc>
          <w:tcPr>
            <w:tcW w:type="dxa" w:w="1560"/>
          </w:tcPr>
          <w:p>
            <w:r>
              <w:rPr>
                <w:sz w:val="17"/>
              </w:rPr>
              <w:t>ACORN_Approx</w:t>
            </w:r>
          </w:p>
        </w:tc>
        <w:tc>
          <w:tcPr>
            <w:tcW w:type="dxa" w:w="1560"/>
          </w:tcPr>
          <w:p>
            <w:r>
              <w:rPr>
                <w:sz w:val="17"/>
              </w:rPr>
              <w:t>EM</w:t>
            </w:r>
          </w:p>
        </w:tc>
        <w:tc>
          <w:tcPr>
            <w:tcW w:type="dxa" w:w="1560"/>
          </w:tcPr>
          <w:p>
            <w:r>
              <w:rPr>
                <w:sz w:val="17"/>
              </w:rPr>
              <w:t>Ultra-Low (&lt;2%)</w:t>
            </w:r>
          </w:p>
        </w:tc>
        <w:tc>
          <w:tcPr>
            <w:tcW w:type="dxa" w:w="1560"/>
          </w:tcPr>
          <w:p>
            <w:r>
              <w:rPr>
                <w:sz w:val="17"/>
              </w:rPr>
              <w:t>7</w:t>
            </w:r>
          </w:p>
        </w:tc>
        <w:tc>
          <w:tcPr>
            <w:tcW w:type="dxa" w:w="1560"/>
          </w:tcPr>
          <w:p>
            <w:r>
              <w:rPr>
                <w:sz w:val="17"/>
              </w:rPr>
              <w:t>0.9714</w:t>
            </w:r>
          </w:p>
        </w:tc>
        <w:tc>
          <w:tcPr>
            <w:tcW w:type="dxa" w:w="1560"/>
          </w:tcPr>
          <w:p>
            <w:r>
              <w:rPr>
                <w:sz w:val="17"/>
              </w:rPr>
              <w:t>1275.59</w:t>
            </w:r>
          </w:p>
        </w:tc>
      </w:tr>
      <w:tr>
        <w:tc>
          <w:tcPr>
            <w:tcW w:type="dxa" w:w="1560"/>
          </w:tcPr>
          <w:p>
            <w:r>
              <w:rPr>
                <w:sz w:val="17"/>
              </w:rPr>
              <w:t>ACORN_Approx</w:t>
            </w:r>
          </w:p>
        </w:tc>
        <w:tc>
          <w:tcPr>
            <w:tcW w:type="dxa" w:w="1560"/>
          </w:tcPr>
          <w:p>
            <w:r>
              <w:rPr>
                <w:sz w:val="17"/>
              </w:rPr>
              <w:t>EM</w:t>
            </w:r>
          </w:p>
        </w:tc>
        <w:tc>
          <w:tcPr>
            <w:tcW w:type="dxa" w:w="1560"/>
          </w:tcPr>
          <w:p>
            <w:r>
              <w:rPr>
                <w:sz w:val="17"/>
              </w:rPr>
              <w:t>Low (2-10%)</w:t>
            </w:r>
          </w:p>
        </w:tc>
        <w:tc>
          <w:tcPr>
            <w:tcW w:type="dxa" w:w="1560"/>
          </w:tcPr>
          <w:p>
            <w:r>
              <w:rPr>
                <w:sz w:val="17"/>
              </w:rPr>
              <w:t>21</w:t>
            </w:r>
          </w:p>
        </w:tc>
        <w:tc>
          <w:tcPr>
            <w:tcW w:type="dxa" w:w="1560"/>
          </w:tcPr>
          <w:p>
            <w:r>
              <w:rPr>
                <w:sz w:val="17"/>
              </w:rPr>
              <w:t>0.9810</w:t>
            </w:r>
          </w:p>
        </w:tc>
        <w:tc>
          <w:tcPr>
            <w:tcW w:type="dxa" w:w="1560"/>
          </w:tcPr>
          <w:p>
            <w:r>
              <w:rPr>
                <w:sz w:val="17"/>
              </w:rPr>
              <w:t>430.73</w:t>
            </w:r>
          </w:p>
        </w:tc>
      </w:tr>
      <w:tr>
        <w:tc>
          <w:tcPr>
            <w:tcW w:type="dxa" w:w="1560"/>
          </w:tcPr>
          <w:p>
            <w:r>
              <w:rPr>
                <w:sz w:val="17"/>
              </w:rPr>
              <w:t>ACORN_Approx</w:t>
            </w:r>
          </w:p>
        </w:tc>
        <w:tc>
          <w:tcPr>
            <w:tcW w:type="dxa" w:w="1560"/>
          </w:tcPr>
          <w:p>
            <w:r>
              <w:rPr>
                <w:sz w:val="17"/>
              </w:rPr>
              <w:t>EM</w:t>
            </w:r>
          </w:p>
        </w:tc>
        <w:tc>
          <w:tcPr>
            <w:tcW w:type="dxa" w:w="1560"/>
          </w:tcPr>
          <w:p>
            <w:r>
              <w:rPr>
                <w:sz w:val="17"/>
              </w:rPr>
              <w:t>Medium (10-30%)</w:t>
            </w:r>
          </w:p>
        </w:tc>
        <w:tc>
          <w:tcPr>
            <w:tcW w:type="dxa" w:w="1560"/>
          </w:tcPr>
          <w:p>
            <w:r>
              <w:rPr>
                <w:sz w:val="17"/>
              </w:rPr>
              <w:t>203</w:t>
            </w:r>
          </w:p>
        </w:tc>
        <w:tc>
          <w:tcPr>
            <w:tcW w:type="dxa" w:w="1560"/>
          </w:tcPr>
          <w:p>
            <w:r>
              <w:rPr>
                <w:sz w:val="17"/>
              </w:rPr>
              <w:t>0.9798</w:t>
            </w:r>
          </w:p>
        </w:tc>
        <w:tc>
          <w:tcPr>
            <w:tcW w:type="dxa" w:w="1560"/>
          </w:tcPr>
          <w:p>
            <w:r>
              <w:rPr>
                <w:sz w:val="17"/>
              </w:rPr>
              <w:t>178.12</w:t>
            </w:r>
          </w:p>
        </w:tc>
      </w:tr>
      <w:tr>
        <w:tc>
          <w:tcPr>
            <w:tcW w:type="dxa" w:w="1560"/>
          </w:tcPr>
          <w:p>
            <w:r>
              <w:rPr>
                <w:sz w:val="17"/>
              </w:rPr>
              <w:t>ACORN_Approx</w:t>
            </w:r>
          </w:p>
        </w:tc>
        <w:tc>
          <w:tcPr>
            <w:tcW w:type="dxa" w:w="1560"/>
          </w:tcPr>
          <w:p>
            <w:r>
              <w:rPr>
                <w:sz w:val="17"/>
              </w:rPr>
              <w:t>EM</w:t>
            </w:r>
          </w:p>
        </w:tc>
        <w:tc>
          <w:tcPr>
            <w:tcW w:type="dxa" w:w="1560"/>
          </w:tcPr>
          <w:p>
            <w:r>
              <w:rPr>
                <w:sz w:val="17"/>
              </w:rPr>
              <w:t>High (&gt;30%)</w:t>
            </w:r>
          </w:p>
        </w:tc>
        <w:tc>
          <w:tcPr>
            <w:tcW w:type="dxa" w:w="1560"/>
          </w:tcPr>
          <w:p>
            <w:r>
              <w:rPr>
                <w:sz w:val="17"/>
              </w:rPr>
              <w:t>269</w:t>
            </w:r>
          </w:p>
        </w:tc>
        <w:tc>
          <w:tcPr>
            <w:tcW w:type="dxa" w:w="1560"/>
          </w:tcPr>
          <w:p>
            <w:r>
              <w:rPr>
                <w:sz w:val="17"/>
              </w:rPr>
              <w:t>0.9773</w:t>
            </w:r>
          </w:p>
        </w:tc>
        <w:tc>
          <w:tcPr>
            <w:tcW w:type="dxa" w:w="1560"/>
          </w:tcPr>
          <w:p>
            <w:r>
              <w:rPr>
                <w:sz w:val="17"/>
              </w:rPr>
              <w:t>124.46</w:t>
            </w:r>
          </w:p>
        </w:tc>
      </w:tr>
      <w:tr>
        <w:tc>
          <w:tcPr>
            <w:tcW w:type="dxa" w:w="1560"/>
          </w:tcPr>
          <w:p>
            <w:r>
              <w:rPr>
                <w:sz w:val="17"/>
              </w:rPr>
              <w:t>ACORN_Approx</w:t>
            </w:r>
          </w:p>
        </w:tc>
        <w:tc>
          <w:tcPr>
            <w:tcW w:type="dxa" w:w="1560"/>
          </w:tcPr>
          <w:p>
            <w:r>
              <w:rPr>
                <w:sz w:val="17"/>
              </w:rPr>
              <w:t>EMIS</w:t>
            </w:r>
          </w:p>
        </w:tc>
        <w:tc>
          <w:tcPr>
            <w:tcW w:type="dxa" w:w="1560"/>
          </w:tcPr>
          <w:p>
            <w:r>
              <w:rPr>
                <w:sz w:val="17"/>
              </w:rPr>
              <w:t>Ultra-Low (&lt;2%)</w:t>
            </w:r>
          </w:p>
        </w:tc>
        <w:tc>
          <w:tcPr>
            <w:tcW w:type="dxa" w:w="1560"/>
          </w:tcPr>
          <w:p>
            <w:r>
              <w:rPr>
                <w:sz w:val="17"/>
              </w:rPr>
              <w:t>29</w:t>
            </w:r>
          </w:p>
        </w:tc>
        <w:tc>
          <w:tcPr>
            <w:tcW w:type="dxa" w:w="1560"/>
          </w:tcPr>
          <w:p>
            <w:r>
              <w:rPr>
                <w:sz w:val="17"/>
              </w:rPr>
              <w:t>0.9310</w:t>
            </w:r>
          </w:p>
        </w:tc>
        <w:tc>
          <w:tcPr>
            <w:tcW w:type="dxa" w:w="1560"/>
          </w:tcPr>
          <w:p>
            <w:r>
              <w:rPr>
                <w:sz w:val="17"/>
              </w:rPr>
              <w:t>4378.50</w:t>
            </w:r>
          </w:p>
        </w:tc>
      </w:tr>
      <w:tr>
        <w:tc>
          <w:tcPr>
            <w:tcW w:type="dxa" w:w="1560"/>
          </w:tcPr>
          <w:p>
            <w:r>
              <w:rPr>
                <w:sz w:val="17"/>
              </w:rPr>
              <w:t>ACORN_Approx</w:t>
            </w:r>
          </w:p>
        </w:tc>
        <w:tc>
          <w:tcPr>
            <w:tcW w:type="dxa" w:w="1560"/>
          </w:tcPr>
          <w:p>
            <w:r>
              <w:rPr>
                <w:sz w:val="17"/>
              </w:rPr>
              <w:t>EMIS</w:t>
            </w:r>
          </w:p>
        </w:tc>
        <w:tc>
          <w:tcPr>
            <w:tcW w:type="dxa" w:w="1560"/>
          </w:tcPr>
          <w:p>
            <w:r>
              <w:rPr>
                <w:sz w:val="17"/>
              </w:rPr>
              <w:t>Low (2-10%)</w:t>
            </w:r>
          </w:p>
        </w:tc>
        <w:tc>
          <w:tcPr>
            <w:tcW w:type="dxa" w:w="1560"/>
          </w:tcPr>
          <w:p>
            <w:r>
              <w:rPr>
                <w:sz w:val="17"/>
              </w:rPr>
              <w:t>143</w:t>
            </w:r>
          </w:p>
        </w:tc>
        <w:tc>
          <w:tcPr>
            <w:tcW w:type="dxa" w:w="1560"/>
          </w:tcPr>
          <w:p>
            <w:r>
              <w:rPr>
                <w:sz w:val="17"/>
              </w:rPr>
              <w:t>0.8559</w:t>
            </w:r>
          </w:p>
        </w:tc>
        <w:tc>
          <w:tcPr>
            <w:tcW w:type="dxa" w:w="1560"/>
          </w:tcPr>
          <w:p>
            <w:r>
              <w:rPr>
                <w:sz w:val="17"/>
              </w:rPr>
              <w:t>3475.61</w:t>
            </w:r>
          </w:p>
        </w:tc>
      </w:tr>
      <w:tr>
        <w:tc>
          <w:tcPr>
            <w:tcW w:type="dxa" w:w="1560"/>
          </w:tcPr>
          <w:p>
            <w:r>
              <w:rPr>
                <w:sz w:val="17"/>
              </w:rPr>
              <w:t>ACORN_Approx</w:t>
            </w:r>
          </w:p>
        </w:tc>
        <w:tc>
          <w:tcPr>
            <w:tcW w:type="dxa" w:w="1560"/>
          </w:tcPr>
          <w:p>
            <w:r>
              <w:rPr>
                <w:sz w:val="17"/>
              </w:rPr>
              <w:t>EMIS</w:t>
            </w:r>
          </w:p>
        </w:tc>
        <w:tc>
          <w:tcPr>
            <w:tcW w:type="dxa" w:w="1560"/>
          </w:tcPr>
          <w:p>
            <w:r>
              <w:rPr>
                <w:sz w:val="17"/>
              </w:rPr>
              <w:t>Medium (10-30%)</w:t>
            </w:r>
          </w:p>
        </w:tc>
        <w:tc>
          <w:tcPr>
            <w:tcW w:type="dxa" w:w="1560"/>
          </w:tcPr>
          <w:p>
            <w:r>
              <w:rPr>
                <w:sz w:val="17"/>
              </w:rPr>
              <w:t>328</w:t>
            </w:r>
          </w:p>
        </w:tc>
        <w:tc>
          <w:tcPr>
            <w:tcW w:type="dxa" w:w="1560"/>
          </w:tcPr>
          <w:p>
            <w:r>
              <w:rPr>
                <w:sz w:val="17"/>
              </w:rPr>
              <w:t>0.9323</w:t>
            </w:r>
          </w:p>
        </w:tc>
        <w:tc>
          <w:tcPr>
            <w:tcW w:type="dxa" w:w="1560"/>
          </w:tcPr>
          <w:p>
            <w:r>
              <w:rPr>
                <w:sz w:val="17"/>
              </w:rPr>
              <w:t>864.45</w:t>
            </w:r>
          </w:p>
        </w:tc>
      </w:tr>
      <w:tr>
        <w:tc>
          <w:tcPr>
            <w:tcW w:type="dxa" w:w="1560"/>
          </w:tcPr>
          <w:p>
            <w:r>
              <w:rPr>
                <w:sz w:val="17"/>
              </w:rPr>
              <w:t>ACORN_Approx</w:t>
            </w:r>
          </w:p>
        </w:tc>
        <w:tc>
          <w:tcPr>
            <w:tcW w:type="dxa" w:w="1560"/>
          </w:tcPr>
          <w:p>
            <w:r>
              <w:rPr>
                <w:sz w:val="17"/>
              </w:rPr>
              <w:t>EMIS</w:t>
            </w:r>
          </w:p>
        </w:tc>
        <w:tc>
          <w:tcPr>
            <w:tcW w:type="dxa" w:w="1560"/>
          </w:tcPr>
          <w:p>
            <w:r>
              <w:rPr>
                <w:sz w:val="17"/>
              </w:rPr>
              <w:t>High (&gt;30%)</w:t>
            </w:r>
          </w:p>
        </w:tc>
        <w:tc>
          <w:tcPr>
            <w:tcW w:type="dxa" w:w="1560"/>
          </w:tcPr>
          <w:p>
            <w:r>
              <w:rPr>
                <w:sz w:val="17"/>
              </w:rPr>
              <w:t>0</w:t>
            </w:r>
          </w:p>
        </w:tc>
        <w:tc>
          <w:tcPr>
            <w:tcW w:type="dxa" w:w="1560"/>
          </w:tcPr>
          <w:p>
            <w:r>
              <w:rPr>
                <w:sz w:val="17"/>
              </w:rPr>
              <w:t>nan</w:t>
            </w:r>
          </w:p>
        </w:tc>
        <w:tc>
          <w:tcPr>
            <w:tcW w:type="dxa" w:w="1560"/>
          </w:tcPr>
          <w:p>
            <w:r>
              <w:rPr>
                <w:sz w:val="17"/>
              </w:rPr>
              <w:t>nan</w:t>
            </w:r>
          </w:p>
        </w:tc>
      </w:tr>
      <w:tr>
        <w:tc>
          <w:tcPr>
            <w:tcW w:type="dxa" w:w="1560"/>
          </w:tcPr>
          <w:p>
            <w:r>
              <w:rPr>
                <w:sz w:val="17"/>
              </w:rPr>
              <w:t>ACORN_Approx</w:t>
            </w:r>
          </w:p>
        </w:tc>
        <w:tc>
          <w:tcPr>
            <w:tcW w:type="dxa" w:w="1560"/>
          </w:tcPr>
          <w:p>
            <w:r>
              <w:rPr>
                <w:sz w:val="17"/>
              </w:rPr>
              <w:t>Range</w:t>
            </w:r>
          </w:p>
        </w:tc>
        <w:tc>
          <w:tcPr>
            <w:tcW w:type="dxa" w:w="1560"/>
          </w:tcPr>
          <w:p>
            <w:r>
              <w:rPr>
                <w:sz w:val="17"/>
              </w:rPr>
              <w:t>Ultra-Low (&lt;2%)</w:t>
            </w:r>
          </w:p>
        </w:tc>
        <w:tc>
          <w:tcPr>
            <w:tcW w:type="dxa" w:w="1560"/>
          </w:tcPr>
          <w:p>
            <w:r>
              <w:rPr>
                <w:sz w:val="17"/>
              </w:rPr>
              <w:t>1</w:t>
            </w:r>
          </w:p>
        </w:tc>
        <w:tc>
          <w:tcPr>
            <w:tcW w:type="dxa" w:w="1560"/>
          </w:tcPr>
          <w:p>
            <w:r>
              <w:rPr>
                <w:sz w:val="17"/>
              </w:rPr>
              <w:t>1.0000</w:t>
            </w:r>
          </w:p>
        </w:tc>
        <w:tc>
          <w:tcPr>
            <w:tcW w:type="dxa" w:w="1560"/>
          </w:tcPr>
          <w:p>
            <w:r>
              <w:rPr>
                <w:sz w:val="17"/>
              </w:rPr>
              <w:t>2455.08</w:t>
            </w:r>
          </w:p>
        </w:tc>
      </w:tr>
      <w:tr>
        <w:tc>
          <w:tcPr>
            <w:tcW w:type="dxa" w:w="1560"/>
          </w:tcPr>
          <w:p>
            <w:r>
              <w:rPr>
                <w:sz w:val="17"/>
              </w:rPr>
              <w:t>ACORN_Approx</w:t>
            </w:r>
          </w:p>
        </w:tc>
        <w:tc>
          <w:tcPr>
            <w:tcW w:type="dxa" w:w="1560"/>
          </w:tcPr>
          <w:p>
            <w:r>
              <w:rPr>
                <w:sz w:val="17"/>
              </w:rPr>
              <w:t>Range</w:t>
            </w:r>
          </w:p>
        </w:tc>
        <w:tc>
          <w:tcPr>
            <w:tcW w:type="dxa" w:w="1560"/>
          </w:tcPr>
          <w:p>
            <w:r>
              <w:rPr>
                <w:sz w:val="17"/>
              </w:rPr>
              <w:t>Low (2-10%)</w:t>
            </w:r>
          </w:p>
        </w:tc>
        <w:tc>
          <w:tcPr>
            <w:tcW w:type="dxa" w:w="1560"/>
          </w:tcPr>
          <w:p>
            <w:r>
              <w:rPr>
                <w:sz w:val="17"/>
              </w:rPr>
              <w:t>25</w:t>
            </w:r>
          </w:p>
        </w:tc>
        <w:tc>
          <w:tcPr>
            <w:tcW w:type="dxa" w:w="1560"/>
          </w:tcPr>
          <w:p>
            <w:r>
              <w:rPr>
                <w:sz w:val="17"/>
              </w:rPr>
              <w:t>0.9680</w:t>
            </w:r>
          </w:p>
        </w:tc>
        <w:tc>
          <w:tcPr>
            <w:tcW w:type="dxa" w:w="1560"/>
          </w:tcPr>
          <w:p>
            <w:r>
              <w:rPr>
                <w:sz w:val="17"/>
              </w:rPr>
              <w:t>532.51</w:t>
            </w:r>
          </w:p>
        </w:tc>
      </w:tr>
      <w:tr>
        <w:tc>
          <w:tcPr>
            <w:tcW w:type="dxa" w:w="1560"/>
          </w:tcPr>
          <w:p>
            <w:r>
              <w:rPr>
                <w:sz w:val="17"/>
              </w:rPr>
              <w:t>ACORN_Approx</w:t>
            </w:r>
          </w:p>
        </w:tc>
        <w:tc>
          <w:tcPr>
            <w:tcW w:type="dxa" w:w="1560"/>
          </w:tcPr>
          <w:p>
            <w:r>
              <w:rPr>
                <w:sz w:val="17"/>
              </w:rPr>
              <w:t>Range</w:t>
            </w:r>
          </w:p>
        </w:tc>
        <w:tc>
          <w:tcPr>
            <w:tcW w:type="dxa" w:w="1560"/>
          </w:tcPr>
          <w:p>
            <w:r>
              <w:rPr>
                <w:sz w:val="17"/>
              </w:rPr>
              <w:t>Medium (10-30%)</w:t>
            </w:r>
          </w:p>
        </w:tc>
        <w:tc>
          <w:tcPr>
            <w:tcW w:type="dxa" w:w="1560"/>
          </w:tcPr>
          <w:p>
            <w:r>
              <w:rPr>
                <w:sz w:val="17"/>
              </w:rPr>
              <w:t>127</w:t>
            </w:r>
          </w:p>
        </w:tc>
        <w:tc>
          <w:tcPr>
            <w:tcW w:type="dxa" w:w="1560"/>
          </w:tcPr>
          <w:p>
            <w:r>
              <w:rPr>
                <w:sz w:val="17"/>
              </w:rPr>
              <w:t>0.9661</w:t>
            </w:r>
          </w:p>
        </w:tc>
        <w:tc>
          <w:tcPr>
            <w:tcW w:type="dxa" w:w="1560"/>
          </w:tcPr>
          <w:p>
            <w:r>
              <w:rPr>
                <w:sz w:val="17"/>
              </w:rPr>
              <w:t>366.00</w:t>
            </w:r>
          </w:p>
        </w:tc>
      </w:tr>
      <w:tr>
        <w:tc>
          <w:tcPr>
            <w:tcW w:type="dxa" w:w="1560"/>
          </w:tcPr>
          <w:p>
            <w:r>
              <w:rPr>
                <w:sz w:val="17"/>
              </w:rPr>
              <w:t>ACORN_Approx</w:t>
            </w:r>
          </w:p>
        </w:tc>
        <w:tc>
          <w:tcPr>
            <w:tcW w:type="dxa" w:w="1560"/>
          </w:tcPr>
          <w:p>
            <w:r>
              <w:rPr>
                <w:sz w:val="17"/>
              </w:rPr>
              <w:t>Range</w:t>
            </w:r>
          </w:p>
        </w:tc>
        <w:tc>
          <w:tcPr>
            <w:tcW w:type="dxa" w:w="1560"/>
          </w:tcPr>
          <w:p>
            <w:r>
              <w:rPr>
                <w:sz w:val="17"/>
              </w:rPr>
              <w:t>High (&gt;30%)</w:t>
            </w:r>
          </w:p>
        </w:tc>
        <w:tc>
          <w:tcPr>
            <w:tcW w:type="dxa" w:w="1560"/>
          </w:tcPr>
          <w:p>
            <w:r>
              <w:rPr>
                <w:sz w:val="17"/>
              </w:rPr>
              <w:t>347</w:t>
            </w:r>
          </w:p>
        </w:tc>
        <w:tc>
          <w:tcPr>
            <w:tcW w:type="dxa" w:w="1560"/>
          </w:tcPr>
          <w:p>
            <w:r>
              <w:rPr>
                <w:sz w:val="17"/>
              </w:rPr>
              <w:t>0.9660</w:t>
            </w:r>
          </w:p>
        </w:tc>
        <w:tc>
          <w:tcPr>
            <w:tcW w:type="dxa" w:w="1560"/>
          </w:tcPr>
          <w:p>
            <w:r>
              <w:rPr>
                <w:sz w:val="17"/>
              </w:rPr>
              <w:t>112.74</w:t>
            </w:r>
          </w:p>
        </w:tc>
      </w:tr>
      <w:tr>
        <w:tc>
          <w:tcPr>
            <w:tcW w:type="dxa" w:w="1560"/>
          </w:tcPr>
          <w:p>
            <w:r>
              <w:rPr>
                <w:sz w:val="17"/>
              </w:rPr>
              <w:t>ExactSearch</w:t>
            </w:r>
          </w:p>
        </w:tc>
        <w:tc>
          <w:tcPr>
            <w:tcW w:type="dxa" w:w="1560"/>
          </w:tcPr>
          <w:p>
            <w:r>
              <w:rPr>
                <w:sz w:val="17"/>
              </w:rPr>
              <w:t>EM</w:t>
            </w:r>
          </w:p>
        </w:tc>
        <w:tc>
          <w:tcPr>
            <w:tcW w:type="dxa" w:w="1560"/>
          </w:tcPr>
          <w:p>
            <w:r>
              <w:rPr>
                <w:sz w:val="17"/>
              </w:rPr>
              <w:t>Ultra-Low (&lt;2%)</w:t>
            </w:r>
          </w:p>
        </w:tc>
        <w:tc>
          <w:tcPr>
            <w:tcW w:type="dxa" w:w="1560"/>
          </w:tcPr>
          <w:p>
            <w:r>
              <w:rPr>
                <w:sz w:val="17"/>
              </w:rPr>
              <w:t>7</w:t>
            </w:r>
          </w:p>
        </w:tc>
        <w:tc>
          <w:tcPr>
            <w:tcW w:type="dxa" w:w="1560"/>
          </w:tcPr>
          <w:p>
            <w:r>
              <w:rPr>
                <w:sz w:val="17"/>
              </w:rPr>
              <w:t>1.0000</w:t>
            </w:r>
          </w:p>
        </w:tc>
        <w:tc>
          <w:tcPr>
            <w:tcW w:type="dxa" w:w="1560"/>
          </w:tcPr>
          <w:p>
            <w:r>
              <w:rPr>
                <w:sz w:val="17"/>
              </w:rPr>
              <w:t>11.12</w:t>
            </w:r>
          </w:p>
        </w:tc>
      </w:tr>
      <w:tr>
        <w:tc>
          <w:tcPr>
            <w:tcW w:type="dxa" w:w="1560"/>
          </w:tcPr>
          <w:p>
            <w:r>
              <w:rPr>
                <w:sz w:val="17"/>
              </w:rPr>
              <w:t>ExactSearch</w:t>
            </w:r>
          </w:p>
        </w:tc>
        <w:tc>
          <w:tcPr>
            <w:tcW w:type="dxa" w:w="1560"/>
          </w:tcPr>
          <w:p>
            <w:r>
              <w:rPr>
                <w:sz w:val="17"/>
              </w:rPr>
              <w:t>EM</w:t>
            </w:r>
          </w:p>
        </w:tc>
        <w:tc>
          <w:tcPr>
            <w:tcW w:type="dxa" w:w="1560"/>
          </w:tcPr>
          <w:p>
            <w:r>
              <w:rPr>
                <w:sz w:val="17"/>
              </w:rPr>
              <w:t>Low (2-10%)</w:t>
            </w:r>
          </w:p>
        </w:tc>
        <w:tc>
          <w:tcPr>
            <w:tcW w:type="dxa" w:w="1560"/>
          </w:tcPr>
          <w:p>
            <w:r>
              <w:rPr>
                <w:sz w:val="17"/>
              </w:rPr>
              <w:t>21</w:t>
            </w:r>
          </w:p>
        </w:tc>
        <w:tc>
          <w:tcPr>
            <w:tcW w:type="dxa" w:w="1560"/>
          </w:tcPr>
          <w:p>
            <w:r>
              <w:rPr>
                <w:sz w:val="17"/>
              </w:rPr>
              <w:t>1.0000</w:t>
            </w:r>
          </w:p>
        </w:tc>
        <w:tc>
          <w:tcPr>
            <w:tcW w:type="dxa" w:w="1560"/>
          </w:tcPr>
          <w:p>
            <w:r>
              <w:rPr>
                <w:sz w:val="17"/>
              </w:rPr>
              <w:t>34.93</w:t>
            </w:r>
          </w:p>
        </w:tc>
      </w:tr>
      <w:tr>
        <w:tc>
          <w:tcPr>
            <w:tcW w:type="dxa" w:w="1560"/>
          </w:tcPr>
          <w:p>
            <w:r>
              <w:rPr>
                <w:sz w:val="17"/>
              </w:rPr>
              <w:t>ExactSearch</w:t>
            </w:r>
          </w:p>
        </w:tc>
        <w:tc>
          <w:tcPr>
            <w:tcW w:type="dxa" w:w="1560"/>
          </w:tcPr>
          <w:p>
            <w:r>
              <w:rPr>
                <w:sz w:val="17"/>
              </w:rPr>
              <w:t>EM</w:t>
            </w:r>
          </w:p>
        </w:tc>
        <w:tc>
          <w:tcPr>
            <w:tcW w:type="dxa" w:w="1560"/>
          </w:tcPr>
          <w:p>
            <w:r>
              <w:rPr>
                <w:sz w:val="17"/>
              </w:rPr>
              <w:t>Medium (10-30%)</w:t>
            </w:r>
          </w:p>
        </w:tc>
        <w:tc>
          <w:tcPr>
            <w:tcW w:type="dxa" w:w="1560"/>
          </w:tcPr>
          <w:p>
            <w:r>
              <w:rPr>
                <w:sz w:val="17"/>
              </w:rPr>
              <w:t>203</w:t>
            </w:r>
          </w:p>
        </w:tc>
        <w:tc>
          <w:tcPr>
            <w:tcW w:type="dxa" w:w="1560"/>
          </w:tcPr>
          <w:p>
            <w:r>
              <w:rPr>
                <w:sz w:val="17"/>
              </w:rPr>
              <w:t>1.0000</w:t>
            </w:r>
          </w:p>
        </w:tc>
        <w:tc>
          <w:tcPr>
            <w:tcW w:type="dxa" w:w="1560"/>
          </w:tcPr>
          <w:p>
            <w:r>
              <w:rPr>
                <w:sz w:val="17"/>
              </w:rPr>
              <w:t>197.10</w:t>
            </w:r>
          </w:p>
        </w:tc>
      </w:tr>
      <w:tr>
        <w:tc>
          <w:tcPr>
            <w:tcW w:type="dxa" w:w="1560"/>
          </w:tcPr>
          <w:p>
            <w:r>
              <w:rPr>
                <w:sz w:val="17"/>
              </w:rPr>
              <w:t>ExactSearch</w:t>
            </w:r>
          </w:p>
        </w:tc>
        <w:tc>
          <w:tcPr>
            <w:tcW w:type="dxa" w:w="1560"/>
          </w:tcPr>
          <w:p>
            <w:r>
              <w:rPr>
                <w:sz w:val="17"/>
              </w:rPr>
              <w:t>EM</w:t>
            </w:r>
          </w:p>
        </w:tc>
        <w:tc>
          <w:tcPr>
            <w:tcW w:type="dxa" w:w="1560"/>
          </w:tcPr>
          <w:p>
            <w:r>
              <w:rPr>
                <w:sz w:val="17"/>
              </w:rPr>
              <w:t>High (&gt;30%)</w:t>
            </w:r>
          </w:p>
        </w:tc>
        <w:tc>
          <w:tcPr>
            <w:tcW w:type="dxa" w:w="1560"/>
          </w:tcPr>
          <w:p>
            <w:r>
              <w:rPr>
                <w:sz w:val="17"/>
              </w:rPr>
              <w:t>269</w:t>
            </w:r>
          </w:p>
        </w:tc>
        <w:tc>
          <w:tcPr>
            <w:tcW w:type="dxa" w:w="1560"/>
          </w:tcPr>
          <w:p>
            <w:r>
              <w:rPr>
                <w:sz w:val="17"/>
              </w:rPr>
              <w:t>1.0000</w:t>
            </w:r>
          </w:p>
        </w:tc>
        <w:tc>
          <w:tcPr>
            <w:tcW w:type="dxa" w:w="1560"/>
          </w:tcPr>
          <w:p>
            <w:r>
              <w:rPr>
                <w:sz w:val="17"/>
              </w:rPr>
              <w:t>425.50</w:t>
            </w:r>
          </w:p>
        </w:tc>
      </w:tr>
      <w:tr>
        <w:tc>
          <w:tcPr>
            <w:tcW w:type="dxa" w:w="1560"/>
          </w:tcPr>
          <w:p>
            <w:r>
              <w:rPr>
                <w:sz w:val="17"/>
              </w:rPr>
              <w:t>ExactSearch</w:t>
            </w:r>
          </w:p>
        </w:tc>
        <w:tc>
          <w:tcPr>
            <w:tcW w:type="dxa" w:w="1560"/>
          </w:tcPr>
          <w:p>
            <w:r>
              <w:rPr>
                <w:sz w:val="17"/>
              </w:rPr>
              <w:t>EMIS</w:t>
            </w:r>
          </w:p>
        </w:tc>
        <w:tc>
          <w:tcPr>
            <w:tcW w:type="dxa" w:w="1560"/>
          </w:tcPr>
          <w:p>
            <w:r>
              <w:rPr>
                <w:sz w:val="17"/>
              </w:rPr>
              <w:t>Ultra-Low (&lt;2%)</w:t>
            </w:r>
          </w:p>
        </w:tc>
        <w:tc>
          <w:tcPr>
            <w:tcW w:type="dxa" w:w="1560"/>
          </w:tcPr>
          <w:p>
            <w:r>
              <w:rPr>
                <w:sz w:val="17"/>
              </w:rPr>
              <w:t>29</w:t>
            </w:r>
          </w:p>
        </w:tc>
        <w:tc>
          <w:tcPr>
            <w:tcW w:type="dxa" w:w="1560"/>
          </w:tcPr>
          <w:p>
            <w:r>
              <w:rPr>
                <w:sz w:val="17"/>
              </w:rPr>
              <w:t>1.0000</w:t>
            </w:r>
          </w:p>
        </w:tc>
        <w:tc>
          <w:tcPr>
            <w:tcW w:type="dxa" w:w="1560"/>
          </w:tcPr>
          <w:p>
            <w:r>
              <w:rPr>
                <w:sz w:val="17"/>
              </w:rPr>
              <w:t>14.74</w:t>
            </w:r>
          </w:p>
        </w:tc>
      </w:tr>
      <w:tr>
        <w:tc>
          <w:tcPr>
            <w:tcW w:type="dxa" w:w="1560"/>
          </w:tcPr>
          <w:p>
            <w:r>
              <w:rPr>
                <w:sz w:val="17"/>
              </w:rPr>
              <w:t>ExactSearch</w:t>
            </w:r>
          </w:p>
        </w:tc>
        <w:tc>
          <w:tcPr>
            <w:tcW w:type="dxa" w:w="1560"/>
          </w:tcPr>
          <w:p>
            <w:r>
              <w:rPr>
                <w:sz w:val="17"/>
              </w:rPr>
              <w:t>EMIS</w:t>
            </w:r>
          </w:p>
        </w:tc>
        <w:tc>
          <w:tcPr>
            <w:tcW w:type="dxa" w:w="1560"/>
          </w:tcPr>
          <w:p>
            <w:r>
              <w:rPr>
                <w:sz w:val="17"/>
              </w:rPr>
              <w:t>Low (2-10%)</w:t>
            </w:r>
          </w:p>
        </w:tc>
        <w:tc>
          <w:tcPr>
            <w:tcW w:type="dxa" w:w="1560"/>
          </w:tcPr>
          <w:p>
            <w:r>
              <w:rPr>
                <w:sz w:val="17"/>
              </w:rPr>
              <w:t>143</w:t>
            </w:r>
          </w:p>
        </w:tc>
        <w:tc>
          <w:tcPr>
            <w:tcW w:type="dxa" w:w="1560"/>
          </w:tcPr>
          <w:p>
            <w:r>
              <w:rPr>
                <w:sz w:val="17"/>
              </w:rPr>
              <w:t>1.0000</w:t>
            </w:r>
          </w:p>
        </w:tc>
        <w:tc>
          <w:tcPr>
            <w:tcW w:type="dxa" w:w="1560"/>
          </w:tcPr>
          <w:p>
            <w:r>
              <w:rPr>
                <w:sz w:val="17"/>
              </w:rPr>
              <w:t>51.77</w:t>
            </w:r>
          </w:p>
        </w:tc>
      </w:tr>
      <w:tr>
        <w:tc>
          <w:tcPr>
            <w:tcW w:type="dxa" w:w="1560"/>
          </w:tcPr>
          <w:p>
            <w:r>
              <w:rPr>
                <w:sz w:val="17"/>
              </w:rPr>
              <w:t>ExactSearch</w:t>
            </w:r>
          </w:p>
        </w:tc>
        <w:tc>
          <w:tcPr>
            <w:tcW w:type="dxa" w:w="1560"/>
          </w:tcPr>
          <w:p>
            <w:r>
              <w:rPr>
                <w:sz w:val="17"/>
              </w:rPr>
              <w:t>EMIS</w:t>
            </w:r>
          </w:p>
        </w:tc>
        <w:tc>
          <w:tcPr>
            <w:tcW w:type="dxa" w:w="1560"/>
          </w:tcPr>
          <w:p>
            <w:r>
              <w:rPr>
                <w:sz w:val="17"/>
              </w:rPr>
              <w:t>Medium (10-30%)</w:t>
            </w:r>
          </w:p>
        </w:tc>
        <w:tc>
          <w:tcPr>
            <w:tcW w:type="dxa" w:w="1560"/>
          </w:tcPr>
          <w:p>
            <w:r>
              <w:rPr>
                <w:sz w:val="17"/>
              </w:rPr>
              <w:t>328</w:t>
            </w:r>
          </w:p>
        </w:tc>
        <w:tc>
          <w:tcPr>
            <w:tcW w:type="dxa" w:w="1560"/>
          </w:tcPr>
          <w:p>
            <w:r>
              <w:rPr>
                <w:sz w:val="17"/>
              </w:rPr>
              <w:t>1.0000</w:t>
            </w:r>
          </w:p>
        </w:tc>
        <w:tc>
          <w:tcPr>
            <w:tcW w:type="dxa" w:w="1560"/>
          </w:tcPr>
          <w:p>
            <w:r>
              <w:rPr>
                <w:sz w:val="17"/>
              </w:rPr>
              <w:t>211.90</w:t>
            </w:r>
          </w:p>
        </w:tc>
      </w:tr>
      <w:tr>
        <w:tc>
          <w:tcPr>
            <w:tcW w:type="dxa" w:w="1560"/>
          </w:tcPr>
          <w:p>
            <w:r>
              <w:rPr>
                <w:sz w:val="17"/>
              </w:rPr>
              <w:t>ExactSearch</w:t>
            </w:r>
          </w:p>
        </w:tc>
        <w:tc>
          <w:tcPr>
            <w:tcW w:type="dxa" w:w="1560"/>
          </w:tcPr>
          <w:p>
            <w:r>
              <w:rPr>
                <w:sz w:val="17"/>
              </w:rPr>
              <w:t>EMIS</w:t>
            </w:r>
          </w:p>
        </w:tc>
        <w:tc>
          <w:tcPr>
            <w:tcW w:type="dxa" w:w="1560"/>
          </w:tcPr>
          <w:p>
            <w:r>
              <w:rPr>
                <w:sz w:val="17"/>
              </w:rPr>
              <w:t>High (&gt;30%)</w:t>
            </w:r>
          </w:p>
        </w:tc>
        <w:tc>
          <w:tcPr>
            <w:tcW w:type="dxa" w:w="1560"/>
          </w:tcPr>
          <w:p>
            <w:r>
              <w:rPr>
                <w:sz w:val="17"/>
              </w:rPr>
              <w:t>0</w:t>
            </w:r>
          </w:p>
        </w:tc>
        <w:tc>
          <w:tcPr>
            <w:tcW w:type="dxa" w:w="1560"/>
          </w:tcPr>
          <w:p>
            <w:r>
              <w:rPr>
                <w:sz w:val="17"/>
              </w:rPr>
              <w:t>nan</w:t>
            </w:r>
          </w:p>
        </w:tc>
        <w:tc>
          <w:tcPr>
            <w:tcW w:type="dxa" w:w="1560"/>
          </w:tcPr>
          <w:p>
            <w:r>
              <w:rPr>
                <w:sz w:val="17"/>
              </w:rPr>
              <w:t>nan</w:t>
            </w:r>
          </w:p>
        </w:tc>
      </w:tr>
      <w:tr>
        <w:tc>
          <w:tcPr>
            <w:tcW w:type="dxa" w:w="1560"/>
          </w:tcPr>
          <w:p>
            <w:r>
              <w:rPr>
                <w:sz w:val="17"/>
              </w:rPr>
              <w:t>ExactSearch</w:t>
            </w:r>
          </w:p>
        </w:tc>
        <w:tc>
          <w:tcPr>
            <w:tcW w:type="dxa" w:w="1560"/>
          </w:tcPr>
          <w:p>
            <w:r>
              <w:rPr>
                <w:sz w:val="17"/>
              </w:rPr>
              <w:t>Range</w:t>
            </w:r>
          </w:p>
        </w:tc>
        <w:tc>
          <w:tcPr>
            <w:tcW w:type="dxa" w:w="1560"/>
          </w:tcPr>
          <w:p>
            <w:r>
              <w:rPr>
                <w:sz w:val="17"/>
              </w:rPr>
              <w:t>Ultra-Low (&lt;2%)</w:t>
            </w:r>
          </w:p>
        </w:tc>
        <w:tc>
          <w:tcPr>
            <w:tcW w:type="dxa" w:w="1560"/>
          </w:tcPr>
          <w:p>
            <w:r>
              <w:rPr>
                <w:sz w:val="17"/>
              </w:rPr>
              <w:t>1</w:t>
            </w:r>
          </w:p>
        </w:tc>
        <w:tc>
          <w:tcPr>
            <w:tcW w:type="dxa" w:w="1560"/>
          </w:tcPr>
          <w:p>
            <w:r>
              <w:rPr>
                <w:sz w:val="17"/>
              </w:rPr>
              <w:t>1.0000</w:t>
            </w:r>
          </w:p>
        </w:tc>
        <w:tc>
          <w:tcPr>
            <w:tcW w:type="dxa" w:w="1560"/>
          </w:tcPr>
          <w:p>
            <w:r>
              <w:rPr>
                <w:sz w:val="17"/>
              </w:rPr>
              <w:t>7.40</w:t>
            </w:r>
          </w:p>
        </w:tc>
      </w:tr>
      <w:tr>
        <w:tc>
          <w:tcPr>
            <w:tcW w:type="dxa" w:w="1560"/>
          </w:tcPr>
          <w:p>
            <w:r>
              <w:rPr>
                <w:sz w:val="17"/>
              </w:rPr>
              <w:t>ExactSearch</w:t>
            </w:r>
          </w:p>
        </w:tc>
        <w:tc>
          <w:tcPr>
            <w:tcW w:type="dxa" w:w="1560"/>
          </w:tcPr>
          <w:p>
            <w:r>
              <w:rPr>
                <w:sz w:val="17"/>
              </w:rPr>
              <w:t>Range</w:t>
            </w:r>
          </w:p>
        </w:tc>
        <w:tc>
          <w:tcPr>
            <w:tcW w:type="dxa" w:w="1560"/>
          </w:tcPr>
          <w:p>
            <w:r>
              <w:rPr>
                <w:sz w:val="17"/>
              </w:rPr>
              <w:t>Low (2-10%)</w:t>
            </w:r>
          </w:p>
        </w:tc>
        <w:tc>
          <w:tcPr>
            <w:tcW w:type="dxa" w:w="1560"/>
          </w:tcPr>
          <w:p>
            <w:r>
              <w:rPr>
                <w:sz w:val="17"/>
              </w:rPr>
              <w:t>25</w:t>
            </w:r>
          </w:p>
        </w:tc>
        <w:tc>
          <w:tcPr>
            <w:tcW w:type="dxa" w:w="1560"/>
          </w:tcPr>
          <w:p>
            <w:r>
              <w:rPr>
                <w:sz w:val="17"/>
              </w:rPr>
              <w:t>1.0000</w:t>
            </w:r>
          </w:p>
        </w:tc>
        <w:tc>
          <w:tcPr>
            <w:tcW w:type="dxa" w:w="1560"/>
          </w:tcPr>
          <w:p>
            <w:r>
              <w:rPr>
                <w:sz w:val="17"/>
              </w:rPr>
              <w:t>56.91</w:t>
            </w:r>
          </w:p>
        </w:tc>
      </w:tr>
      <w:tr>
        <w:tc>
          <w:tcPr>
            <w:tcW w:type="dxa" w:w="1560"/>
          </w:tcPr>
          <w:p>
            <w:r>
              <w:rPr>
                <w:sz w:val="17"/>
              </w:rPr>
              <w:t>ExactSearch</w:t>
            </w:r>
          </w:p>
        </w:tc>
        <w:tc>
          <w:tcPr>
            <w:tcW w:type="dxa" w:w="1560"/>
          </w:tcPr>
          <w:p>
            <w:r>
              <w:rPr>
                <w:sz w:val="17"/>
              </w:rPr>
              <w:t>Range</w:t>
            </w:r>
          </w:p>
        </w:tc>
        <w:tc>
          <w:tcPr>
            <w:tcW w:type="dxa" w:w="1560"/>
          </w:tcPr>
          <w:p>
            <w:r>
              <w:rPr>
                <w:sz w:val="17"/>
              </w:rPr>
              <w:t>Medium (10-30%)</w:t>
            </w:r>
          </w:p>
        </w:tc>
        <w:tc>
          <w:tcPr>
            <w:tcW w:type="dxa" w:w="1560"/>
          </w:tcPr>
          <w:p>
            <w:r>
              <w:rPr>
                <w:sz w:val="17"/>
              </w:rPr>
              <w:t>127</w:t>
            </w:r>
          </w:p>
        </w:tc>
        <w:tc>
          <w:tcPr>
            <w:tcW w:type="dxa" w:w="1560"/>
          </w:tcPr>
          <w:p>
            <w:r>
              <w:rPr>
                <w:sz w:val="17"/>
              </w:rPr>
              <w:t>1.0000</w:t>
            </w:r>
          </w:p>
        </w:tc>
        <w:tc>
          <w:tcPr>
            <w:tcW w:type="dxa" w:w="1560"/>
          </w:tcPr>
          <w:p>
            <w:r>
              <w:rPr>
                <w:sz w:val="17"/>
              </w:rPr>
              <w:t>173.35</w:t>
            </w:r>
          </w:p>
        </w:tc>
      </w:tr>
      <w:tr>
        <w:tc>
          <w:tcPr>
            <w:tcW w:type="dxa" w:w="1560"/>
          </w:tcPr>
          <w:p>
            <w:r>
              <w:rPr>
                <w:sz w:val="17"/>
              </w:rPr>
              <w:t>ExactSearch</w:t>
            </w:r>
          </w:p>
        </w:tc>
        <w:tc>
          <w:tcPr>
            <w:tcW w:type="dxa" w:w="1560"/>
          </w:tcPr>
          <w:p>
            <w:r>
              <w:rPr>
                <w:sz w:val="17"/>
              </w:rPr>
              <w:t>Range</w:t>
            </w:r>
          </w:p>
        </w:tc>
        <w:tc>
          <w:tcPr>
            <w:tcW w:type="dxa" w:w="1560"/>
          </w:tcPr>
          <w:p>
            <w:r>
              <w:rPr>
                <w:sz w:val="17"/>
              </w:rPr>
              <w:t>High (&gt;30%)</w:t>
            </w:r>
          </w:p>
        </w:tc>
        <w:tc>
          <w:tcPr>
            <w:tcW w:type="dxa" w:w="1560"/>
          </w:tcPr>
          <w:p>
            <w:r>
              <w:rPr>
                <w:sz w:val="17"/>
              </w:rPr>
              <w:t>347</w:t>
            </w:r>
          </w:p>
        </w:tc>
        <w:tc>
          <w:tcPr>
            <w:tcW w:type="dxa" w:w="1560"/>
          </w:tcPr>
          <w:p>
            <w:r>
              <w:rPr>
                <w:sz w:val="17"/>
              </w:rPr>
              <w:t>1.0000</w:t>
            </w:r>
          </w:p>
        </w:tc>
        <w:tc>
          <w:tcPr>
            <w:tcW w:type="dxa" w:w="1560"/>
          </w:tcPr>
          <w:p>
            <w:r>
              <w:rPr>
                <w:sz w:val="17"/>
              </w:rPr>
              <w:t>451.11</w:t>
            </w:r>
          </w:p>
        </w:tc>
      </w:tr>
      <w:tr>
        <w:tc>
          <w:tcPr>
            <w:tcW w:type="dxa" w:w="1560"/>
          </w:tcPr>
          <w:p>
            <w:r>
              <w:rPr>
                <w:sz w:val="17"/>
              </w:rPr>
              <w:t>HNSW_Overfetch_10x</w:t>
            </w:r>
          </w:p>
        </w:tc>
        <w:tc>
          <w:tcPr>
            <w:tcW w:type="dxa" w:w="1560"/>
          </w:tcPr>
          <w:p>
            <w:r>
              <w:rPr>
                <w:sz w:val="17"/>
              </w:rPr>
              <w:t>EM</w:t>
            </w:r>
          </w:p>
        </w:tc>
        <w:tc>
          <w:tcPr>
            <w:tcW w:type="dxa" w:w="1560"/>
          </w:tcPr>
          <w:p>
            <w:r>
              <w:rPr>
                <w:sz w:val="17"/>
              </w:rPr>
              <w:t>Ultra-Low (&lt;2%)</w:t>
            </w:r>
          </w:p>
        </w:tc>
        <w:tc>
          <w:tcPr>
            <w:tcW w:type="dxa" w:w="1560"/>
          </w:tcPr>
          <w:p>
            <w:r>
              <w:rPr>
                <w:sz w:val="17"/>
              </w:rPr>
              <w:t>7</w:t>
            </w:r>
          </w:p>
        </w:tc>
        <w:tc>
          <w:tcPr>
            <w:tcW w:type="dxa" w:w="1560"/>
          </w:tcPr>
          <w:p>
            <w:r>
              <w:rPr>
                <w:sz w:val="17"/>
              </w:rPr>
              <w:t>0.2857</w:t>
            </w:r>
          </w:p>
        </w:tc>
        <w:tc>
          <w:tcPr>
            <w:tcW w:type="dxa" w:w="1560"/>
          </w:tcPr>
          <w:p>
            <w:r>
              <w:rPr>
                <w:sz w:val="17"/>
              </w:rPr>
              <w:t>7.06</w:t>
            </w:r>
          </w:p>
        </w:tc>
      </w:tr>
      <w:tr>
        <w:tc>
          <w:tcPr>
            <w:tcW w:type="dxa" w:w="1560"/>
          </w:tcPr>
          <w:p>
            <w:r>
              <w:rPr>
                <w:sz w:val="17"/>
              </w:rPr>
              <w:t>HNSW_Overfetch_10x</w:t>
            </w:r>
          </w:p>
        </w:tc>
        <w:tc>
          <w:tcPr>
            <w:tcW w:type="dxa" w:w="1560"/>
          </w:tcPr>
          <w:p>
            <w:r>
              <w:rPr>
                <w:sz w:val="17"/>
              </w:rPr>
              <w:t>EM</w:t>
            </w:r>
          </w:p>
        </w:tc>
        <w:tc>
          <w:tcPr>
            <w:tcW w:type="dxa" w:w="1560"/>
          </w:tcPr>
          <w:p>
            <w:r>
              <w:rPr>
                <w:sz w:val="17"/>
              </w:rPr>
              <w:t>Low (2-10%)</w:t>
            </w:r>
          </w:p>
        </w:tc>
        <w:tc>
          <w:tcPr>
            <w:tcW w:type="dxa" w:w="1560"/>
          </w:tcPr>
          <w:p>
            <w:r>
              <w:rPr>
                <w:sz w:val="17"/>
              </w:rPr>
              <w:t>21</w:t>
            </w:r>
          </w:p>
        </w:tc>
        <w:tc>
          <w:tcPr>
            <w:tcW w:type="dxa" w:w="1560"/>
          </w:tcPr>
          <w:p>
            <w:r>
              <w:rPr>
                <w:sz w:val="17"/>
              </w:rPr>
              <w:t>0.5667</w:t>
            </w:r>
          </w:p>
        </w:tc>
        <w:tc>
          <w:tcPr>
            <w:tcW w:type="dxa" w:w="1560"/>
          </w:tcPr>
          <w:p>
            <w:r>
              <w:rPr>
                <w:sz w:val="17"/>
              </w:rPr>
              <w:t>6.72</w:t>
            </w:r>
          </w:p>
        </w:tc>
      </w:tr>
      <w:tr>
        <w:tc>
          <w:tcPr>
            <w:tcW w:type="dxa" w:w="1560"/>
          </w:tcPr>
          <w:p>
            <w:r>
              <w:rPr>
                <w:sz w:val="17"/>
              </w:rPr>
              <w:t>HNSW_Overfetch_10x</w:t>
            </w:r>
          </w:p>
        </w:tc>
        <w:tc>
          <w:tcPr>
            <w:tcW w:type="dxa" w:w="1560"/>
          </w:tcPr>
          <w:p>
            <w:r>
              <w:rPr>
                <w:sz w:val="17"/>
              </w:rPr>
              <w:t>EM</w:t>
            </w:r>
          </w:p>
        </w:tc>
        <w:tc>
          <w:tcPr>
            <w:tcW w:type="dxa" w:w="1560"/>
          </w:tcPr>
          <w:p>
            <w:r>
              <w:rPr>
                <w:sz w:val="17"/>
              </w:rPr>
              <w:t>Medium (10-30%)</w:t>
            </w:r>
          </w:p>
        </w:tc>
        <w:tc>
          <w:tcPr>
            <w:tcW w:type="dxa" w:w="1560"/>
          </w:tcPr>
          <w:p>
            <w:r>
              <w:rPr>
                <w:sz w:val="17"/>
              </w:rPr>
              <w:t>203</w:t>
            </w:r>
          </w:p>
        </w:tc>
        <w:tc>
          <w:tcPr>
            <w:tcW w:type="dxa" w:w="1560"/>
          </w:tcPr>
          <w:p>
            <w:r>
              <w:rPr>
                <w:sz w:val="17"/>
              </w:rPr>
              <w:t>0.8926</w:t>
            </w:r>
          </w:p>
        </w:tc>
        <w:tc>
          <w:tcPr>
            <w:tcW w:type="dxa" w:w="1560"/>
          </w:tcPr>
          <w:p>
            <w:r>
              <w:rPr>
                <w:sz w:val="17"/>
              </w:rPr>
              <w:t>6.82</w:t>
            </w:r>
          </w:p>
        </w:tc>
      </w:tr>
      <w:tr>
        <w:tc>
          <w:tcPr>
            <w:tcW w:type="dxa" w:w="1560"/>
          </w:tcPr>
          <w:p>
            <w:r>
              <w:rPr>
                <w:sz w:val="17"/>
              </w:rPr>
              <w:t>HNSW_Overfetch_10x</w:t>
            </w:r>
          </w:p>
        </w:tc>
        <w:tc>
          <w:tcPr>
            <w:tcW w:type="dxa" w:w="1560"/>
          </w:tcPr>
          <w:p>
            <w:r>
              <w:rPr>
                <w:sz w:val="17"/>
              </w:rPr>
              <w:t>EM</w:t>
            </w:r>
          </w:p>
        </w:tc>
        <w:tc>
          <w:tcPr>
            <w:tcW w:type="dxa" w:w="1560"/>
          </w:tcPr>
          <w:p>
            <w:r>
              <w:rPr>
                <w:sz w:val="17"/>
              </w:rPr>
              <w:t>High (&gt;30%)</w:t>
            </w:r>
          </w:p>
        </w:tc>
        <w:tc>
          <w:tcPr>
            <w:tcW w:type="dxa" w:w="1560"/>
          </w:tcPr>
          <w:p>
            <w:r>
              <w:rPr>
                <w:sz w:val="17"/>
              </w:rPr>
              <w:t>269</w:t>
            </w:r>
          </w:p>
        </w:tc>
        <w:tc>
          <w:tcPr>
            <w:tcW w:type="dxa" w:w="1560"/>
          </w:tcPr>
          <w:p>
            <w:r>
              <w:rPr>
                <w:sz w:val="17"/>
              </w:rPr>
              <w:t>0.9130</w:t>
            </w:r>
          </w:p>
        </w:tc>
        <w:tc>
          <w:tcPr>
            <w:tcW w:type="dxa" w:w="1560"/>
          </w:tcPr>
          <w:p>
            <w:r>
              <w:rPr>
                <w:sz w:val="17"/>
              </w:rPr>
              <w:t>6.87</w:t>
            </w:r>
          </w:p>
        </w:tc>
      </w:tr>
      <w:tr>
        <w:tc>
          <w:tcPr>
            <w:tcW w:type="dxa" w:w="1560"/>
          </w:tcPr>
          <w:p>
            <w:r>
              <w:rPr>
                <w:sz w:val="17"/>
              </w:rPr>
              <w:t>HNSW_Overfetch_10x</w:t>
            </w:r>
          </w:p>
        </w:tc>
        <w:tc>
          <w:tcPr>
            <w:tcW w:type="dxa" w:w="1560"/>
          </w:tcPr>
          <w:p>
            <w:r>
              <w:rPr>
                <w:sz w:val="17"/>
              </w:rPr>
              <w:t>EMIS</w:t>
            </w:r>
          </w:p>
        </w:tc>
        <w:tc>
          <w:tcPr>
            <w:tcW w:type="dxa" w:w="1560"/>
          </w:tcPr>
          <w:p>
            <w:r>
              <w:rPr>
                <w:sz w:val="17"/>
              </w:rPr>
              <w:t>Ultra-Low (&lt;2%)</w:t>
            </w:r>
          </w:p>
        </w:tc>
        <w:tc>
          <w:tcPr>
            <w:tcW w:type="dxa" w:w="1560"/>
          </w:tcPr>
          <w:p>
            <w:r>
              <w:rPr>
                <w:sz w:val="17"/>
              </w:rPr>
              <w:t>29</w:t>
            </w:r>
          </w:p>
        </w:tc>
        <w:tc>
          <w:tcPr>
            <w:tcW w:type="dxa" w:w="1560"/>
          </w:tcPr>
          <w:p>
            <w:r>
              <w:rPr>
                <w:sz w:val="17"/>
              </w:rPr>
              <w:t>0.0207</w:t>
            </w:r>
          </w:p>
        </w:tc>
        <w:tc>
          <w:tcPr>
            <w:tcW w:type="dxa" w:w="1560"/>
          </w:tcPr>
          <w:p>
            <w:r>
              <w:rPr>
                <w:sz w:val="17"/>
              </w:rPr>
              <w:t>12.22</w:t>
            </w:r>
          </w:p>
        </w:tc>
      </w:tr>
      <w:tr>
        <w:tc>
          <w:tcPr>
            <w:tcW w:type="dxa" w:w="1560"/>
          </w:tcPr>
          <w:p>
            <w:r>
              <w:rPr>
                <w:sz w:val="17"/>
              </w:rPr>
              <w:t>HNSW_Overfetch_10x</w:t>
            </w:r>
          </w:p>
        </w:tc>
        <w:tc>
          <w:tcPr>
            <w:tcW w:type="dxa" w:w="1560"/>
          </w:tcPr>
          <w:p>
            <w:r>
              <w:rPr>
                <w:sz w:val="17"/>
              </w:rPr>
              <w:t>EMIS</w:t>
            </w:r>
          </w:p>
        </w:tc>
        <w:tc>
          <w:tcPr>
            <w:tcW w:type="dxa" w:w="1560"/>
          </w:tcPr>
          <w:p>
            <w:r>
              <w:rPr>
                <w:sz w:val="17"/>
              </w:rPr>
              <w:t>Low (2-10%)</w:t>
            </w:r>
          </w:p>
        </w:tc>
        <w:tc>
          <w:tcPr>
            <w:tcW w:type="dxa" w:w="1560"/>
          </w:tcPr>
          <w:p>
            <w:r>
              <w:rPr>
                <w:sz w:val="17"/>
              </w:rPr>
              <w:t>143</w:t>
            </w:r>
          </w:p>
        </w:tc>
        <w:tc>
          <w:tcPr>
            <w:tcW w:type="dxa" w:w="1560"/>
          </w:tcPr>
          <w:p>
            <w:r>
              <w:rPr>
                <w:sz w:val="17"/>
              </w:rPr>
              <w:t>0.1154</w:t>
            </w:r>
          </w:p>
        </w:tc>
        <w:tc>
          <w:tcPr>
            <w:tcW w:type="dxa" w:w="1560"/>
          </w:tcPr>
          <w:p>
            <w:r>
              <w:rPr>
                <w:sz w:val="17"/>
              </w:rPr>
              <w:t>12.88</w:t>
            </w:r>
          </w:p>
        </w:tc>
      </w:tr>
    </w:tbl>
    <w:p>
      <w:pPr>
        <w:keepNext/>
        <w:spacing w:before="320" w:after="120"/>
      </w:pPr>
      <w:r>
        <w:rPr>
          <w:rFonts w:ascii="Calibri" w:hAnsi="Calibri"/>
          <w:b/>
          <w:color w:val="1F4E79"/>
          <w:sz w:val="32"/>
        </w:rPr>
        <w:t>6. Architectural Insights and Conclusions</w:t>
      </w:r>
    </w:p>
    <w:p>
      <w:pPr>
        <w:spacing w:after="120" w:line="276" w:lineRule="auto"/>
      </w:pPr>
      <w:r>
        <w:rPr>
          <w:rFonts w:ascii="Calibri" w:hAnsi="Calibri"/>
          <w:b/>
          <w:color w:val="262626"/>
          <w:sz w:val="21"/>
        </w:rPr>
        <w:t xml:space="preserve">The Post-Filtering Catastrophe: </w:t>
      </w:r>
      <w:r>
        <w:rPr>
          <w:rFonts w:ascii="Calibri" w:hAnsi="Calibri"/>
          <w:color w:val="262626"/>
          <w:sz w:val="21"/>
        </w:rPr>
        <w:t>Standard HNSW post-filtering suffers catastrophic recall degradation under restrictive filters (&lt;2% selectivity), plummeting to near-zero recall because the unguided ANN search terminates in topological subgraphs containing zero valid candidates.</w:t>
      </w:r>
    </w:p>
    <w:p>
      <w:pPr>
        <w:spacing w:after="120" w:line="276" w:lineRule="auto"/>
      </w:pPr>
      <w:r>
        <w:rPr>
          <w:rFonts w:ascii="Calibri" w:hAnsi="Calibri"/>
          <w:b/>
          <w:color w:val="262626"/>
          <w:sz w:val="21"/>
        </w:rPr>
        <w:t xml:space="preserve">Diminishing Returns of Overfetching: </w:t>
      </w:r>
      <w:r>
        <w:rPr>
          <w:rFonts w:ascii="Calibri" w:hAnsi="Calibri"/>
          <w:color w:val="262626"/>
          <w:sz w:val="21"/>
        </w:rPr>
        <w:t>Increasing overfetch multipliers from 2x to 20x restores moderate recall on broader filters (EM/Range) but scales latency linearly without solving severe selectivity bottlenecks (&lt;2%).</w:t>
      </w:r>
    </w:p>
    <w:p>
      <w:pPr>
        <w:spacing w:after="120" w:line="276" w:lineRule="auto"/>
      </w:pPr>
      <w:r>
        <w:rPr>
          <w:rFonts w:ascii="Calibri" w:hAnsi="Calibri"/>
          <w:b/>
          <w:color w:val="262626"/>
          <w:sz w:val="21"/>
        </w:rPr>
        <w:t xml:space="preserve">Pre-Filtering Predictability: </w:t>
      </w:r>
      <w:r>
        <w:rPr>
          <w:rFonts w:ascii="Calibri" w:hAnsi="Calibri"/>
          <w:color w:val="262626"/>
          <w:sz w:val="21"/>
        </w:rPr>
        <w:t>Vectorized pre-filtering via chunked BLAS matrix operations guarantees 100% recall and achieves competitive latencies when selectivity is low (&lt;10%), but exhibits linear latency scaling with candidate set cardinality.</w:t>
      </w:r>
    </w:p>
    <w:p>
      <w:pPr>
        <w:spacing w:after="120" w:line="276" w:lineRule="auto"/>
      </w:pPr>
      <w:r>
        <w:rPr>
          <w:rFonts w:ascii="Calibri" w:hAnsi="Calibri"/>
          <w:b/>
          <w:color w:val="262626"/>
          <w:sz w:val="21"/>
        </w:rPr>
        <w:t xml:space="preserve">Graph-Guided Filtering Superiority: </w:t>
      </w:r>
      <w:r>
        <w:rPr>
          <w:rFonts w:ascii="Calibri" w:hAnsi="Calibri"/>
          <w:color w:val="262626"/>
          <w:sz w:val="21"/>
        </w:rPr>
        <w:t>Filter-aware graph traversals (InGraph, ACORN, SIEVE, UNIFY) maintain stable connectivity and high recall across varying selectivities, establishing them as the optimal production architecture for multi-attribute filtered vector retrieval.</w:t>
      </w:r>
    </w:p>
    <w:p>
      <w:pPr>
        <w:keepNext/>
        <w:spacing w:before="320" w:after="120"/>
      </w:pPr>
      <w:r>
        <w:rPr>
          <w:rFonts w:ascii="Calibri" w:hAnsi="Calibri"/>
          <w:b/>
          <w:color w:val="1F4E79"/>
          <w:sz w:val="32"/>
        </w:rPr>
        <w:t>7. Publication Visualizations (300 DPI)</w:t>
      </w:r>
    </w:p>
    <w:p>
      <w:pPr>
        <w:keepNext/>
        <w:spacing w:before="240" w:after="80"/>
      </w:pPr>
      <w:r>
        <w:rPr>
          <w:rFonts w:ascii="Calibri" w:hAnsi="Calibri"/>
          <w:b/>
          <w:color w:val="1F4E79"/>
          <w:sz w:val="26"/>
        </w:rPr>
        <w:t>Recall Vs Selectivity</w:t>
      </w:r>
    </w:p>
    <w:p>
      <w:pPr>
        <w:jc w:val="center"/>
      </w:pPr>
    </w:p>
    <w:p>
      <w:r>
        <w:drawing>
          <wp:inline xmlns:a="http://schemas.openxmlformats.org/drawingml/2006/main" xmlns:pic="http://schemas.openxmlformats.org/drawingml/2006/picture">
            <wp:extent cx="5486400" cy="1574999"/>
            <wp:docPr id="1" name="Picture 1"/>
            <wp:cNvGraphicFramePr>
              <a:graphicFrameLocks noChangeAspect="1"/>
            </wp:cNvGraphicFramePr>
            <a:graphic>
              <a:graphicData uri="http://schemas.openxmlformats.org/drawingml/2006/picture">
                <pic:pic>
                  <pic:nvPicPr>
                    <pic:cNvPr id="0" name="recall_vs_selectivity.png"/>
                    <pic:cNvPicPr/>
                  </pic:nvPicPr>
                  <pic:blipFill>
                    <a:blip r:embed="rId9"/>
                    <a:stretch>
                      <a:fillRect/>
                    </a:stretch>
                  </pic:blipFill>
                  <pic:spPr>
                    <a:xfrm>
                      <a:off x="0" y="0"/>
                      <a:ext cx="5486400" cy="1574999"/>
                    </a:xfrm>
                    <a:prstGeom prst="rect"/>
                  </pic:spPr>
                </pic:pic>
              </a:graphicData>
            </a:graphic>
          </wp:inline>
        </w:drawing>
      </w:r>
    </w:p>
    <w:p>
      <w:pPr>
        <w:jc w:val="center"/>
      </w:pPr>
      <w:r>
        <w:rPr>
          <w:rFonts w:ascii="Calibri" w:hAnsi="Calibri"/>
          <w:i/>
          <w:color w:val="595959"/>
          <w:sz w:val="18"/>
        </w:rPr>
        <w:t>Figure 1: Mean Recall@10 as a function of filter selectivity across EM, Range, and EMIS workloads.</w:t>
      </w:r>
    </w:p>
    <w:p>
      <w:pPr>
        <w:keepNext/>
        <w:spacing w:before="240" w:after="80"/>
      </w:pPr>
      <w:r>
        <w:rPr>
          <w:rFonts w:ascii="Calibri" w:hAnsi="Calibri"/>
          <w:b/>
          <w:color w:val="1F4E79"/>
          <w:sz w:val="26"/>
        </w:rPr>
        <w:t>Recall Vs Latency Tradeoff</w:t>
      </w:r>
    </w:p>
    <w:p>
      <w:pPr>
        <w:jc w:val="center"/>
      </w:pPr>
    </w:p>
    <w:p>
      <w:r>
        <w:drawing>
          <wp:inline xmlns:a="http://schemas.openxmlformats.org/drawingml/2006/main" xmlns:pic="http://schemas.openxmlformats.org/drawingml/2006/picture">
            <wp:extent cx="5486400" cy="3282509"/>
            <wp:docPr id="2" name="Picture 2"/>
            <wp:cNvGraphicFramePr>
              <a:graphicFrameLocks noChangeAspect="1"/>
            </wp:cNvGraphicFramePr>
            <a:graphic>
              <a:graphicData uri="http://schemas.openxmlformats.org/drawingml/2006/picture">
                <pic:pic>
                  <pic:nvPicPr>
                    <pic:cNvPr id="0" name="recall_vs_latency_tradeoff.png"/>
                    <pic:cNvPicPr/>
                  </pic:nvPicPr>
                  <pic:blipFill>
                    <a:blip r:embed="rId10"/>
                    <a:stretch>
                      <a:fillRect/>
                    </a:stretch>
                  </pic:blipFill>
                  <pic:spPr>
                    <a:xfrm>
                      <a:off x="0" y="0"/>
                      <a:ext cx="5486400" cy="3282509"/>
                    </a:xfrm>
                    <a:prstGeom prst="rect"/>
                  </pic:spPr>
                </pic:pic>
              </a:graphicData>
            </a:graphic>
          </wp:inline>
        </w:drawing>
      </w:r>
    </w:p>
    <w:p>
      <w:pPr>
        <w:jc w:val="center"/>
      </w:pPr>
      <w:r>
        <w:rPr>
          <w:rFonts w:ascii="Calibri" w:hAnsi="Calibri"/>
          <w:i/>
          <w:color w:val="595959"/>
          <w:sz w:val="18"/>
        </w:rPr>
        <w:t>Figure 2: Empirical Recall vs Latency Pareto frontier on the EMIS workload.</w:t>
      </w:r>
    </w:p>
    <w:p>
      <w:pPr>
        <w:keepNext/>
        <w:spacing w:before="240" w:after="80"/>
      </w:pPr>
      <w:r>
        <w:rPr>
          <w:rFonts w:ascii="Calibri" w:hAnsi="Calibri"/>
          <w:b/>
          <w:color w:val="1F4E79"/>
          <w:sz w:val="26"/>
        </w:rPr>
        <w:t>Qps Comparison</w:t>
      </w:r>
    </w:p>
    <w:p>
      <w:pPr>
        <w:jc w:val="center"/>
      </w:pPr>
    </w:p>
    <w:p>
      <w:r>
        <w:drawing>
          <wp:inline xmlns:a="http://schemas.openxmlformats.org/drawingml/2006/main" xmlns:pic="http://schemas.openxmlformats.org/drawingml/2006/picture">
            <wp:extent cx="5486400" cy="2707754"/>
            <wp:docPr id="3" name="Picture 3"/>
            <wp:cNvGraphicFramePr>
              <a:graphicFrameLocks noChangeAspect="1"/>
            </wp:cNvGraphicFramePr>
            <a:graphic>
              <a:graphicData uri="http://schemas.openxmlformats.org/drawingml/2006/picture">
                <pic:pic>
                  <pic:nvPicPr>
                    <pic:cNvPr id="0" name="qps_comparison.png"/>
                    <pic:cNvPicPr/>
                  </pic:nvPicPr>
                  <pic:blipFill>
                    <a:blip r:embed="rId11"/>
                    <a:stretch>
                      <a:fillRect/>
                    </a:stretch>
                  </pic:blipFill>
                  <pic:spPr>
                    <a:xfrm>
                      <a:off x="0" y="0"/>
                      <a:ext cx="5486400" cy="2707754"/>
                    </a:xfrm>
                    <a:prstGeom prst="rect"/>
                  </pic:spPr>
                </pic:pic>
              </a:graphicData>
            </a:graphic>
          </wp:inline>
        </w:drawing>
      </w:r>
    </w:p>
    <w:p>
      <w:pPr>
        <w:jc w:val="center"/>
      </w:pPr>
      <w:r>
        <w:rPr>
          <w:rFonts w:ascii="Calibri" w:hAnsi="Calibri"/>
          <w:i/>
          <w:color w:val="595959"/>
          <w:sz w:val="18"/>
        </w:rPr>
        <w:t>Figure 3: Query throughput (QPS) comparison across evaluation methods and workloads.</w:t>
      </w:r>
    </w:p>
    <w:p>
      <w:pPr>
        <w:keepNext/>
        <w:spacing w:before="240" w:after="80"/>
      </w:pPr>
      <w:r>
        <w:rPr>
          <w:rFonts w:ascii="Calibri" w:hAnsi="Calibri"/>
          <w:b/>
          <w:color w:val="1F4E79"/>
          <w:sz w:val="26"/>
        </w:rPr>
        <w:t>Overfetch Sensitivity</w:t>
      </w:r>
    </w:p>
    <w:p>
      <w:pPr>
        <w:jc w:val="center"/>
      </w:pPr>
    </w:p>
    <w:p>
      <w:r>
        <w:drawing>
          <wp:inline xmlns:a="http://schemas.openxmlformats.org/drawingml/2006/main" xmlns:pic="http://schemas.openxmlformats.org/drawingml/2006/picture">
            <wp:extent cx="5486400" cy="2029216"/>
            <wp:docPr id="4" name="Picture 4"/>
            <wp:cNvGraphicFramePr>
              <a:graphicFrameLocks noChangeAspect="1"/>
            </wp:cNvGraphicFramePr>
            <a:graphic>
              <a:graphicData uri="http://schemas.openxmlformats.org/drawingml/2006/picture">
                <pic:pic>
                  <pic:nvPicPr>
                    <pic:cNvPr id="0" name="overfetch_sensitivity.png"/>
                    <pic:cNvPicPr/>
                  </pic:nvPicPr>
                  <pic:blipFill>
                    <a:blip r:embed="rId12"/>
                    <a:stretch>
                      <a:fillRect/>
                    </a:stretch>
                  </pic:blipFill>
                  <pic:spPr>
                    <a:xfrm>
                      <a:off x="0" y="0"/>
                      <a:ext cx="5486400" cy="2029216"/>
                    </a:xfrm>
                    <a:prstGeom prst="rect"/>
                  </pic:spPr>
                </pic:pic>
              </a:graphicData>
            </a:graphic>
          </wp:inline>
        </w:drawing>
      </w:r>
    </w:p>
    <w:p>
      <w:pPr>
        <w:jc w:val="center"/>
      </w:pPr>
      <w:r>
        <w:rPr>
          <w:rFonts w:ascii="Calibri" w:hAnsi="Calibri"/>
          <w:i/>
          <w:color w:val="595959"/>
          <w:sz w:val="18"/>
        </w:rPr>
        <w:t>Figure 4: Sensitivity of Recall and Query Latency to HNSW overfetch multiplier (1x to 20x).</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