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Times New Roman" w:cs="Times New Roman" w:eastAsia="Times New Roman" w:hAnsi="Times New Roman"/>
          <w:b/>
          <w:bCs/>
          <w:color w:val="0D366B"/>
          <w:sz w:val="36"/>
          <w:szCs w:val="36"/>
        </w:rPr>
        <w:t xml:space="preserve">Spectroscopic detection of white rust (</w:t>
      </w:r>
      <w:r>
        <w:rPr>
          <w:rFonts w:ascii="Times New Roman" w:cs="Times New Roman" w:eastAsia="Times New Roman" w:hAnsi="Times New Roman"/>
          <w:b/>
          <w:bCs/>
          <w:i/>
          <w:iCs/>
          <w:color w:val="0D366B"/>
          <w:sz w:val="36"/>
          <w:szCs w:val="36"/>
        </w:rPr>
        <w:t xml:space="preserve">Albugo candida</w:t>
      </w:r>
      <w:r>
        <w:rPr>
          <w:rFonts w:ascii="Times New Roman" w:cs="Times New Roman" w:eastAsia="Times New Roman" w:hAnsi="Times New Roman"/>
          <w:b/>
          <w:bCs/>
          <w:color w:val="0D366B"/>
          <w:sz w:val="36"/>
          <w:szCs w:val="36"/>
        </w:rPr>
        <w:t xml:space="preserve">) in mustard with integrated machine learning and sequential floating forward selection</w:t>
      </w:r>
    </w:p>
    <w:p>
      <w:pPr>
        <w:spacing w:after="240"/>
        <w:jc w:val="center"/>
      </w:pPr>
      <w:r>
        <w:rPr>
          <w:rFonts w:ascii="Times New Roman" w:cs="Times New Roman" w:eastAsia="Times New Roman" w:hAnsi="Times New Roman"/>
          <w:color w:val="333333"/>
          <w:sz w:val="24"/>
          <w:szCs w:val="24"/>
        </w:rPr>
        <w:t xml:space="preserve">Step-by-step application and critical re-evaluation of the ML-SFFS methodology of Tian et al. (2021, </w:t>
      </w:r>
      <w:r>
        <w:rPr>
          <w:rFonts w:ascii="Times New Roman" w:cs="Times New Roman" w:eastAsia="Times New Roman" w:hAnsi="Times New Roman"/>
          <w:i/>
          <w:iCs/>
          <w:color w:val="333333"/>
          <w:sz w:val="24"/>
          <w:szCs w:val="24"/>
        </w:rPr>
        <w:t xml:space="preserve">Remote Sensing of Environment</w:t>
      </w:r>
      <w:r>
        <w:rPr>
          <w:rFonts w:ascii="Times New Roman" w:cs="Times New Roman" w:eastAsia="Times New Roman" w:hAnsi="Times New Roman"/>
          <w:color w:val="333333"/>
          <w:sz w:val="24"/>
          <w:szCs w:val="24"/>
        </w:rPr>
        <w:t xml:space="preserve"> 257, 112350) on plot-average hyperspectral data</w:t>
      </w:r>
    </w:p>
    <w:p>
      <w:pPr>
        <w:spacing w:after="240"/>
        <w:jc w:val="center"/>
      </w:pPr>
      <w:r>
        <w:rPr>
          <w:rFonts w:ascii="Times New Roman" w:cs="Times New Roman" w:eastAsia="Times New Roman" w:hAnsi="Times New Roman"/>
          <w:color w:val="333333"/>
          <w:sz w:val="24"/>
          <w:szCs w:val="24"/>
        </w:rPr>
        <w:t xml:space="preserve">Thesis chapter – methods, results, interpretation and verified references</w:t>
      </w:r>
    </w:p>
    <w:p>
      <w:pPr>
        <w:spacing w:after="240"/>
        <w:jc w:val="center"/>
      </w:pPr>
      <w:r>
        <w:rPr>
          <w:rFonts w:ascii="Times New Roman" w:cs="Times New Roman" w:eastAsia="Times New Roman" w:hAnsi="Times New Roman"/>
          <w:color w:val="333333"/>
          <w:sz w:val="24"/>
          <w:szCs w:val="24"/>
        </w:rPr>
        <w:t xml:space="preserve">Data: 48 plots × 4 measurement dates (11 Feb – 13 Mar 2026), ASD FieldSpec contact-probe leaf spectra averaged per plot</w:t>
      </w:r>
    </w:p>
    <w:p>
      <w:r>
        <w:br w:type="page"/>
      </w:r>
    </w:p>
    <w:p>
      <w:pPr>
        <w:pStyle w:val="Heading1"/>
      </w:pPr>
      <w:r>
        <w:rPr>
          <w:rFonts w:ascii="Times New Roman" w:cs="Times New Roman" w:eastAsia="Times New Roman" w:hAnsi="Times New Roman"/>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rPr>
          <w:rFonts w:ascii="Times New Roman" w:cs="Times New Roman" w:eastAsia="Times New Roman" w:hAnsi="Times New Roman"/>
          <w:i/>
          <w:iCs/>
          <w:color w:val="777777"/>
          <w:sz w:val="18"/>
          <w:szCs w:val="18"/>
        </w:rPr>
        <w:t xml:space="preserve">(Right-click the table of contents and choose 'Update field' if page numbers are missing.)</w:t>
      </w:r>
    </w:p>
    <w:p>
      <w:pPr>
        <w:pStyle w:val="Heading1"/>
        <w:pageBreakBefore/>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w:t>
      </w:r>
    </w:p>
    <w:p>
      <w:pPr>
        <w:spacing w:after="120" w:line="300"/>
        <w:jc w:val="both"/>
      </w:pPr>
      <w:r>
        <w:rPr>
          <w:rFonts w:ascii="Times New Roman" w:cs="Times New Roman" w:eastAsia="Times New Roman" w:hAnsi="Times New Roman"/>
        </w:rPr>
        <w:t xml:space="preserve">White rust, caused by the oomycete </w:t>
      </w:r>
      <w:r>
        <w:rPr>
          <w:rFonts w:ascii="Times New Roman" w:cs="Times New Roman" w:eastAsia="Times New Roman" w:hAnsi="Times New Roman"/>
          <w:i/>
          <w:iCs/>
        </w:rPr>
        <w:t xml:space="preserve">Albugo candida</w:t>
      </w:r>
      <w:r>
        <w:rPr>
          <w:rFonts w:ascii="Times New Roman" w:cs="Times New Roman" w:eastAsia="Times New Roman" w:hAnsi="Times New Roman"/>
        </w:rPr>
        <w:t xml:space="preserve">, is one of the most damaging diseases of rapeseed-mustard; it produces chlorotic lesions and white pustules on leaves and, after systemic infection, malformed inflorescences ('stag heads') (Saharan et al., 2014). Because control depends on timely intervention, a non-destructive method that detects infection early – before symptoms are obvious to the eye – is of considerable practical value.</w:t>
      </w:r>
    </w:p>
    <w:p>
      <w:pPr>
        <w:spacing w:after="120" w:line="300"/>
        <w:jc w:val="both"/>
      </w:pPr>
      <w:r>
        <w:rPr>
          <w:rFonts w:ascii="Times New Roman" w:cs="Times New Roman" w:eastAsia="Times New Roman" w:hAnsi="Times New Roman"/>
        </w:rPr>
        <w:t xml:space="preserve">Reflectance spectroscopy records how a leaf absorbs and scatters light from the visible (VIS, 400–700 nm) through the near-infrared (NIR, 700–1300 nm) to the short-wave infrared (SWIR, 1300–2500 nm). Pathogen attack changes leaf pigments (chlorophyll, carotenoids, anthocyanins), the internal cell structure and the water status, and each of these changes leaves a trace in a different part of the spectrum (Mahlein et al., 2013, 2018). The difficulty is that the early changes are small and spread over thousands of narrow, strongly correlated bands; a large number of candidate spectral features must therefore be reduced to a small, informative and interpretable set.</w:t>
      </w:r>
    </w:p>
    <w:p>
      <w:pPr>
        <w:pStyle w:val="Heading2"/>
      </w:pPr>
      <w:r>
        <w:rPr>
          <w:rFonts w:ascii="Times New Roman" w:cs="Times New Roman" w:eastAsia="Times New Roman" w:hAnsi="Times New Roman"/>
        </w:rPr>
        <w:t xml:space="preserve">1.2 The methodology of Tian et al. (2021)</w:t>
      </w:r>
    </w:p>
    <w:p>
      <w:pPr>
        <w:spacing w:after="120" w:line="300"/>
        <w:jc w:val="both"/>
      </w:pPr>
      <w:r>
        <w:rPr>
          <w:rFonts w:ascii="Times New Roman" w:cs="Times New Roman" w:eastAsia="Times New Roman" w:hAnsi="Times New Roman"/>
        </w:rPr>
        <w:t xml:space="preserve">Tian et al. (2021) proposed an integrated machine-learning and feature-selection methodology (ML-SFFS) to detect rice leaf blast from the asymptomatic to the mild stage. Their workflow has three modules (their Fig. 2): (i) </w:t>
      </w:r>
      <w:r>
        <w:rPr>
          <w:rFonts w:ascii="Times New Roman" w:cs="Times New Roman" w:eastAsia="Times New Roman" w:hAnsi="Times New Roman"/>
          <w:b/>
          <w:bCs/>
        </w:rPr>
        <w:t xml:space="preserve">data preparation</w:t>
      </w:r>
      <w:r>
        <w:rPr>
          <w:rFonts w:ascii="Times New Roman" w:cs="Times New Roman" w:eastAsia="Times New Roman" w:hAnsi="Times New Roman"/>
        </w:rPr>
        <w:t xml:space="preserve"> – statistical analysis of leaf biochemistry and spectral processing (spectral indices, continuous wavelet transform); (ii) </w:t>
      </w:r>
      <w:r>
        <w:rPr>
          <w:rFonts w:ascii="Times New Roman" w:cs="Times New Roman" w:eastAsia="Times New Roman" w:hAnsi="Times New Roman"/>
          <w:b/>
          <w:bCs/>
        </w:rPr>
        <w:t xml:space="preserve">feature selection</w:t>
      </w:r>
      <w:r>
        <w:rPr>
          <w:rFonts w:ascii="Times New Roman" w:cs="Times New Roman" w:eastAsia="Times New Roman" w:hAnsi="Times New Roman"/>
        </w:rPr>
        <w:t xml:space="preserve"> – assessment of the spectral separability of every reflectance band, spectral index (SI) and wavelet coefficient with a thresholding technique, retention of the top 5 % features per date, intersection across dates, one representative per spectral region, and collinearity reduction with the variance inflation factor (VIF &lt; 10); and (iii) </w:t>
      </w:r>
      <w:r>
        <w:rPr>
          <w:rFonts w:ascii="Times New Roman" w:cs="Times New Roman" w:eastAsia="Times New Roman" w:hAnsi="Times New Roman"/>
          <w:b/>
          <w:bCs/>
        </w:rPr>
        <w:t xml:space="preserve">classification</w:t>
      </w:r>
      <w:r>
        <w:rPr>
          <w:rFonts w:ascii="Times New Roman" w:cs="Times New Roman" w:eastAsia="Times New Roman" w:hAnsi="Times New Roman"/>
        </w:rPr>
        <w:t xml:space="preserve"> – sequential floating forward selection (SFFS; Pudil et al., 1994) wrapped around linear discriminant analysis (LDA), k-nearest neighbours (k-NN, k = 3) or a support vector machine (SVM), evaluated by 4-fold cross-validation repeated 100 times. The result is the optimal feature combination (OFC) and its overall accuracy (OA) for each day after inoculation (DAI). They reported OAs above 65 %, 80 % and 95 % for the asymptomatic, early and mild stages, with two to four features per OFC.</w:t>
      </w:r>
    </w:p>
    <w:p>
      <w:pPr>
        <w:pStyle w:val="Heading2"/>
      </w:pPr>
      <w:r>
        <w:rPr>
          <w:rFonts w:ascii="Times New Roman" w:cs="Times New Roman" w:eastAsia="Times New Roman" w:hAnsi="Times New Roman"/>
        </w:rPr>
        <w:t xml:space="preserve">1.3 Objectives</w:t>
      </w:r>
    </w:p>
    <w:p>
      <w:pPr>
        <w:spacing w:after="120" w:line="300"/>
        <w:jc w:val="both"/>
      </w:pPr>
      <w:r>
        <w:rPr>
          <w:rFonts w:ascii="Times New Roman" w:cs="Times New Roman" w:eastAsia="Times New Roman" w:hAnsi="Times New Roman"/>
        </w:rPr>
        <w:t xml:space="preserve">This chapter applies the ML-SFFS methodology, step by step, to the plot-average hyperspectral data of a white-rust experiment in mustard, using the raw plot-average reflectance and the features derived from it (continuum-removal parameters, vegetation indices, first- to third-order derivatives and red-edge parameters). The specific objectives are:</w:t>
      </w:r>
    </w:p>
    <w:p>
      <w:pPr>
        <w:pStyle w:val="ListParagraph"/>
        <w:numPr>
          <w:ilvl w:val="0"/>
          <w:numId w:val="2"/>
        </w:numPr>
        <w:spacing w:after="60" w:line="280"/>
        <w:jc w:val="both"/>
      </w:pPr>
      <w:r>
        <w:rPr>
          <w:rFonts w:ascii="Times New Roman" w:cs="Times New Roman" w:eastAsia="Times New Roman" w:hAnsi="Times New Roman"/>
        </w:rPr>
        <w:t xml:space="preserve">to reproduce every step of Tian et al. (2021) on these data and document each step with its concept, method, results and cross-checks;</w:t>
      </w:r>
    </w:p>
    <w:p>
      <w:pPr>
        <w:pStyle w:val="ListParagraph"/>
        <w:numPr>
          <w:ilvl w:val="0"/>
          <w:numId w:val="2"/>
        </w:numPr>
        <w:spacing w:after="60" w:line="280"/>
        <w:jc w:val="both"/>
      </w:pPr>
      <w:r>
        <w:rPr>
          <w:rFonts w:ascii="Times New Roman" w:cs="Times New Roman" w:eastAsia="Times New Roman" w:hAnsi="Times New Roman"/>
        </w:rPr>
        <w:t xml:space="preserve">to identify the disease-specific spectral features (DSSFs) of white rust and interpret them physiologically;</w:t>
      </w:r>
    </w:p>
    <w:p>
      <w:pPr>
        <w:pStyle w:val="ListParagraph"/>
        <w:numPr>
          <w:ilvl w:val="0"/>
          <w:numId w:val="2"/>
        </w:numPr>
        <w:spacing w:after="60" w:line="280"/>
        <w:jc w:val="both"/>
      </w:pPr>
      <w:r>
        <w:rPr>
          <w:rFonts w:ascii="Times New Roman" w:cs="Times New Roman" w:eastAsia="Times New Roman" w:hAnsi="Times New Roman"/>
        </w:rPr>
        <w:t xml:space="preserve">to determine the optimal feature combinations and classification accuracies for each measurement date and each infection stage (date × inoculation timing);</w:t>
      </w:r>
    </w:p>
    <w:p>
      <w:pPr>
        <w:pStyle w:val="ListParagraph"/>
        <w:numPr>
          <w:ilvl w:val="0"/>
          <w:numId w:val="2"/>
        </w:numPr>
        <w:spacing w:after="60" w:line="280"/>
        <w:jc w:val="both"/>
      </w:pPr>
      <w:r>
        <w:rPr>
          <w:rFonts w:ascii="Times New Roman" w:cs="Times New Roman" w:eastAsia="Times New Roman" w:hAnsi="Times New Roman"/>
        </w:rPr>
        <w:t xml:space="preserve">to correct the procedure where the data or the method required it (class imbalance, instrument artefacts, multi-date consistency, selection bias) and to quantify how much the corrections change the conclusions.</w:t>
      </w:r>
    </w:p>
    <w:p>
      <w:pPr>
        <w:pStyle w:val="Heading1"/>
        <w:pageBreakBefore/>
      </w:pPr>
      <w:r>
        <w:rPr>
          <w:rFonts w:ascii="Times New Roman" w:cs="Times New Roman" w:eastAsia="Times New Roman" w:hAnsi="Times New Roman"/>
        </w:rPr>
        <w:t xml:space="preserve">2. Materials</w:t>
      </w:r>
    </w:p>
    <w:p>
      <w:pPr>
        <w:pStyle w:val="Heading2"/>
      </w:pPr>
      <w:r>
        <w:rPr>
          <w:rFonts w:ascii="Times New Roman" w:cs="Times New Roman" w:eastAsia="Times New Roman" w:hAnsi="Times New Roman"/>
        </w:rPr>
        <w:t xml:space="preserve">2.1 Experimental design</w:t>
      </w:r>
    </w:p>
    <w:p>
      <w:pPr>
        <w:spacing w:after="120" w:line="300"/>
        <w:jc w:val="both"/>
      </w:pPr>
      <w:r>
        <w:rPr>
          <w:rFonts w:ascii="Times New Roman" w:cs="Times New Roman" w:eastAsia="Times New Roman" w:hAnsi="Times New Roman"/>
        </w:rPr>
        <w:t xml:space="preserve">The experiment comprised 48 plots: three mustard varieties (V1, V2, V3) inoculated at four timings (D1–D4, inoculation on different days after sowing) in three replications (R1–R3), i.e. 36 inoculated plots, plus 12 uninoculated control plots – one for each variety × inoculation-timing combination – grouped in a separate block (C). The design is fully balanced (Table 1). The same 48 plots were measured on four dates, here called T1 (11 Feb 2026), T2 (24 Feb), T3 (3 Mar) and T4 (13 Mar); the crops progressed from the vegetative stage through flowering to pod formation over this period.</w:t>
      </w:r>
    </w:p>
    <w:p>
      <w:pPr>
        <w:keepNext/>
        <w:spacing w:after="80" w:before="20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Treatment design: number of plots per block, variety (V1–V3) and inoculation timing (D1–D4).</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24"/>
        <w:gridCol w:w="724"/>
        <w:gridCol w:w="724"/>
        <w:gridCol w:w="724"/>
        <w:gridCol w:w="724"/>
        <w:gridCol w:w="724"/>
        <w:gridCol w:w="724"/>
        <w:gridCol w:w="724"/>
        <w:gridCol w:w="724"/>
        <w:gridCol w:w="724"/>
        <w:gridCol w:w="724"/>
        <w:gridCol w:w="724"/>
        <w:gridCol w:w="724"/>
      </w:tblGrid>
      <w:tr>
        <w:trPr>
          <w:tblHeader/>
        </w:trPr>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Block</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V1 · D1</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V1 · D2</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V1 · D3</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V1 · D4</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V2 · D1</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V2 · D2</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V2 · D3</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V2 · D4</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V3 · D1</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V3 · D2</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V3 · D3</w:t>
            </w:r>
          </w:p>
        </w:tc>
        <w:tc>
          <w:tcPr>
            <w:tcW w:type="dxa" w:w="72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V3 · D4</w:t>
            </w:r>
          </w:p>
        </w:tc>
      </w:tr>
      <w:tr>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r>
      <w:tr>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r>
      <w:tr>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R2</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r>
      <w:tr>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R3</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c>
          <w:tcPr>
            <w:tcW w:type="dxa" w:w="72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w:t>
            </w:r>
          </w:p>
        </w:tc>
      </w:tr>
    </w:tbl>
    <w:p>
      <w:pPr>
        <w:spacing w:after="120"/>
      </w:pPr>
    </w:p>
    <w:p>
      <w:pPr>
        <w:spacing w:after="120"/>
      </w:pPr>
      <w:r>
        <w:rPr>
          <w:rFonts w:ascii="Times New Roman" w:cs="Times New Roman" w:eastAsia="Times New Roman" w:hAnsi="Times New Roman"/>
          <w:i/>
          <w:iCs/>
          <w:color w:val="52514E"/>
          <w:sz w:val="19"/>
          <w:szCs w:val="19"/>
        </w:rPr>
        <w:t xml:space="preserve">D1–D4 denote inoculation timings (groups of days after sowing); the analysis assumes D1 is the earliest inoculation. The measurement dates are labelled T1–T4 throughout to avoid confusion with D1–D4.</w:t>
      </w:r>
    </w:p>
    <w:p>
      <w:pPr>
        <w:pStyle w:val="Heading2"/>
      </w:pPr>
      <w:r>
        <w:rPr>
          <w:rFonts w:ascii="Times New Roman" w:cs="Times New Roman" w:eastAsia="Times New Roman" w:hAnsi="Times New Roman"/>
        </w:rPr>
        <w:t xml:space="preserve">2.2 Spectral measurements and plot averaging</w:t>
      </w:r>
    </w:p>
    <w:p>
      <w:pPr>
        <w:spacing w:after="120" w:line="300"/>
        <w:jc w:val="both"/>
      </w:pPr>
      <w:r>
        <w:rPr>
          <w:rFonts w:ascii="Times New Roman" w:cs="Times New Roman" w:eastAsia="Times New Roman" w:hAnsi="Times New Roman"/>
        </w:rPr>
        <w:t xml:space="preserve">Leaf reflectance (350–2500 nm, 1-nm interval) was measured with an ASD FieldSpec spectroradiometer and contact probe, which illuminates the leaf with its own lamp, so the water-absorption regions near 1450 and 1940 nm carry leaf-water information rather than atmospheric noise. Between 428 and 648 leaf spectra were recorded per date; the spectra of each plot (3–15 leaves) were averaged to one plot spectrum. Averaging makes the plot the experimental unit, avoids pseudo-replication and reduces random leaf-to-leaf and instrument noise. The plot averages had been verified against the data owner's own averaging formulas (48 of 48 identical) in the source workbooks.</w:t>
      </w:r>
    </w:p>
    <w:p>
      <w:pPr>
        <w:pStyle w:val="Heading2"/>
      </w:pPr>
      <w:r>
        <w:rPr>
          <w:rFonts w:ascii="Times New Roman" w:cs="Times New Roman" w:eastAsia="Times New Roman" w:hAnsi="Times New Roman"/>
        </w:rPr>
        <w:t xml:space="preserve">2.3 Candidate spectral features</w:t>
      </w:r>
    </w:p>
    <w:p>
      <w:pPr>
        <w:spacing w:after="120" w:line="300"/>
        <w:jc w:val="both"/>
      </w:pPr>
      <w:r>
        <w:rPr>
          <w:rFonts w:ascii="Times New Roman" w:cs="Times New Roman" w:eastAsia="Times New Roman" w:hAnsi="Times New Roman"/>
        </w:rPr>
        <w:t xml:space="preserve">Six families of candidate features were derived from the raw (unsmoothed) plot-average reflectance (Table 2): the reflectance bands themselves; the first, second and third derivatives (central finite differences, Δλ = 1 nm; Tsai and Philpot, 1998); continuous wavelet coefficients (added in this study to follow Tian et al., 2021); 87 published vegetation indices (VIs); 48 continuum-removal (CR) parameters of six absorption windows (Clark and Roush, 1984; Kokaly and Clark, 1999); and 23 red-edge parameters (Horler et al., 1983; Gong et al., 2002).</w:t>
      </w:r>
    </w:p>
    <w:p>
      <w:pPr>
        <w:keepNext/>
        <w:spacing w:after="80" w:before="20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Candidate features per date after restriction of the spectral range (Section 3.1).</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5647"/>
        <w:gridCol w:w="3764"/>
      </w:tblGrid>
      <w:tr>
        <w:trPr>
          <w:tblHeader/>
        </w:trPr>
        <w:tc>
          <w:tcPr>
            <w:tcW w:type="dxa" w:w="5647"/>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Feature family</w:t>
            </w:r>
          </w:p>
        </w:tc>
        <w:tc>
          <w:tcPr>
            <w:tcW w:type="dxa" w:w="376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Number of candidates per date</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Reflectance band</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1939</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First derivative</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1939</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Second derivative</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1939</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Third derivative</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1939</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Wavelet coefficient (CWT, Mexican hat)</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11634</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Vegetation index</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87</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Continuum-removal parameter</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48</w:t>
            </w:r>
          </w:p>
        </w:tc>
      </w:tr>
      <w:tr>
        <w:tc>
          <w:tcPr>
            <w:tcW w:type="dxa" w:w="56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Red-edge parameter</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23</w:t>
            </w:r>
          </w:p>
        </w:tc>
      </w:tr>
    </w:tbl>
    <w:p>
      <w:pPr>
        <w:spacing w:after="120"/>
      </w:pPr>
    </w:p>
    <w:p>
      <w:pPr>
        <w:pStyle w:val="Heading1"/>
        <w:pageBreakBefore/>
      </w:pPr>
      <w:r>
        <w:rPr>
          <w:rFonts w:ascii="Times New Roman" w:cs="Times New Roman" w:eastAsia="Times New Roman" w:hAnsi="Times New Roman"/>
        </w:rPr>
        <w:t xml:space="preserve">3. Methods</w:t>
      </w:r>
    </w:p>
    <w:p>
      <w:pPr>
        <w:spacing w:after="120" w:line="300"/>
        <w:jc w:val="both"/>
      </w:pPr>
      <w:r>
        <w:rPr>
          <w:rFonts w:ascii="Times New Roman" w:cs="Times New Roman" w:eastAsia="Times New Roman" w:hAnsi="Times New Roman"/>
        </w:rPr>
        <w:t xml:space="preserve">The analysis follows the three modules of Tian et al. (2021) as Steps 1–6 (Figure 1); Step 7 collects the cross-checks. Where the method had to be corrected, the paper-faithful result is reported beside the corrected one; the corrections are coded C1–C9 and summarised in Table 3.</w:t>
      </w:r>
    </w:p>
    <w:p>
      <w:pPr>
        <w:keepNext/>
        <w:spacing w:before="160"/>
        <w:jc w:val="center"/>
      </w:pPr>
      <w:r>
        <w:drawing>
          <wp:inline distT="0" distB="0" distL="0" distR="0">
            <wp:extent cx="4676775" cy="6019800"/>
            <wp:effectExtent t="0" r="0" b="0" l="0"/>
            <wp:docPr id="1" name="fig01_workflow.png" descr="**Figure 1.** Workflow of the analysis (analogue of Tian et al., 2021, Fig. 2). Steps 1–5 build the pool of disease-specific spectral features (DSSFs); Step 6 selects the optimal feature combination with ML-SFFS and evaluates it in four ways (A–D)." title="**Figure 1.** Workflow of the analysis (analogue of Tian 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6019800"/>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w:t>
      </w:r>
      <w:r>
        <w:rPr>
          <w:rFonts w:ascii="Times New Roman" w:cs="Times New Roman" w:eastAsia="Times New Roman" w:hAnsi="Times New Roman"/>
          <w:sz w:val="19"/>
          <w:szCs w:val="19"/>
        </w:rPr>
        <w:t xml:space="preserve"> Workflow of the analysis (analogue of Tian et al., 2021, Fig. 2). Steps 1–5 build the pool of disease-specific spectral features (DSSFs); Step 6 selects the optimal feature combination with ML-SFFS and evaluates it in four ways (A–D).</w:t>
      </w:r>
    </w:p>
    <w:p>
      <w:pPr>
        <w:keepNext/>
        <w:spacing w:after="80" w:before="200"/>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Corrections to the procedure of Tian et al. (2021) and their reasons.</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582"/>
        <w:gridCol w:w="1649"/>
        <w:gridCol w:w="4075"/>
        <w:gridCol w:w="3104"/>
      </w:tblGrid>
      <w:tr>
        <w:trPr>
          <w:tblHeader/>
        </w:trPr>
        <w:tc>
          <w:tcPr>
            <w:tcW w:type="dxa" w:w="58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Code</w:t>
            </w:r>
          </w:p>
        </w:tc>
        <w:tc>
          <w:tcPr>
            <w:tcW w:type="dxa" w:w="1649"/>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Issue</w:t>
            </w:r>
          </w:p>
        </w:tc>
        <w:tc>
          <w:tcPr>
            <w:tcW w:type="dxa" w:w="407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Correction applied</w:t>
            </w:r>
          </w:p>
        </w:tc>
        <w:tc>
          <w:tcPr>
            <w:tcW w:type="dxa" w:w="310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Reason</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C1</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Spectral range and instrument artefacts</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Bands 350–399 nm and 2401–2500 nm (low signal-to-noise at the detector ends) and the detector-join guard zones 990–1010 nm and 1795–1835 nm (ASD VNIR/SWIR1 and SWIR1/SWIR2 joins) were excluded from the band, derivative and wavelet candidates.</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Several derivatives at 1800–1835 nm reached AUC = 1.0 on single dates – a step artefact of the detector join, not leaf biology. The guard zones are the same as those of the source workbooks.</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C2</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Class imbalance (12 healthy vs 36 diseased plots)</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Balanced accuracy BA = (sensitivity + specificity)/2 chooses the optimal threshold and ranks the features; OA, BA, κ, sensitivity and specificity are all reported. In the corrected analysis LDA uses equal priors and the SVM class-balanced weights.</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With a 3:1 ratio a classifier that calls every plot 'diseased' already reaches OA = 75 %; OA alone overstates performance (Brodersen et al., 2010).</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C3</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Multi-date consistency rule</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Explicit rule: a feature is 'common' if it is in the top 5 % on at least k</w:t>
            </w:r>
            <w:r>
              <w:rPr>
                <w:rFonts w:ascii="Times New Roman" w:cs="Times New Roman" w:eastAsia="Times New Roman" w:hAnsi="Times New Roman"/>
                <w:b w:val="false"/>
                <w:bCs w:val="false"/>
                <w:sz w:val="15"/>
                <w:szCs w:val="15"/>
                <w:vertAlign w:val="superscript"/>
              </w:rPr>
              <w:t xml:space="preserve">*</w:t>
            </w:r>
            <w:r>
              <w:rPr>
                <w:rFonts w:ascii="Times New Roman" w:cs="Times New Roman" w:eastAsia="Times New Roman" w:hAnsi="Times New Roman"/>
                <w:b w:val="false"/>
                <w:bCs w:val="false"/>
                <w:sz w:val="15"/>
                <w:szCs w:val="15"/>
              </w:rPr>
              <w:t xml:space="preserve"> of the 4 dates, where k</w:t>
            </w:r>
            <w:r>
              <w:rPr>
                <w:rFonts w:ascii="Times New Roman" w:cs="Times New Roman" w:eastAsia="Times New Roman" w:hAnsi="Times New Roman"/>
                <w:b w:val="false"/>
                <w:bCs w:val="false"/>
                <w:sz w:val="15"/>
                <w:szCs w:val="15"/>
                <w:vertAlign w:val="superscript"/>
              </w:rPr>
              <w:t xml:space="preserve">*</w:t>
            </w:r>
            <w:r>
              <w:rPr>
                <w:rFonts w:ascii="Times New Roman" w:cs="Times New Roman" w:eastAsia="Times New Roman" w:hAnsi="Times New Roman"/>
                <w:b w:val="false"/>
                <w:bCs w:val="false"/>
                <w:sz w:val="15"/>
                <w:szCs w:val="15"/>
              </w:rPr>
              <w:t xml:space="preserve"> is the largest k (4, 3, 2) that leaves ≥ 1 common feature in that family. One representative (highest mean BA) is kept per contiguous region (8-connected regions in the scale × wavelength plane for the CWT).</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The four dates span vegetative to pod-formation stages, so strict 4-date intersection left almost no features.</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C4</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Selection bias / optimistic accuracy</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Procedure A replicates the paper exactly. Procedure B (nested CV) repeats the whole pipeline – separability, DSSF pool, VIF, SFFS and SVM tuning – inside every outer training fold, and tests the selected model only on the held-out plots (10 × stratified 4-fold, folds by plot so that a plot never appears in training and test on any date). Procedure C (label permutation) measures how high procedure A goes when the labels carry no information.</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The maximum of many CV estimates is biased upwards (Ambroise and McLachlan, 2002; Varma and Simon, 2006; Cawley and Talbot, 2010).</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C5</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Collinearity reduction rule</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Iterative VIF: while any VIF ≥ 10, the least separable (lowest mean BA) of the features with VIF ≥ 10 is removed; the plain 'drop the highest VIF' rule is reported for comparison. Exact duplicate indices (|r| &gt; 0.9999) were removed first.</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The plain rule removed the most informative indices (HI, ARI, Lic) and every reflectance band while keeping weak, uncorrelated ones.</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C6</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Feature scaling and classifier details</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Features z-scored inside each training fold (scaler never sees test plots); k-NN k = 3, Euclidean (Minkowski p = 2), uniform weights; SVM-RBF with exponential grid C ∈ {2⁻¹, 2¹, 2³, 2⁵, 2⁷}, γ ∈ {2⁻⁵, 2⁻³, 2⁻¹, 2¹}/p (Hsu et al., 2003).</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Equivalent to the R defaults except the kknn kernel weighting, which is replaced by the standard unweighted k-NN.</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C7</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Statistical tests</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Same decision rule (Shapiro–Wilk + Levene → Student t, else Mann–Whitney U, outliers = median ± 3 MAD) plus Benjamini–Hochberg FDR over all tests.</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32 proxy tests (8 proxies × 4 dates) inflate false positives without correction.</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C8</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No measured leaf biochemistry</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Published index proxies of the same constituents were tested (CIrededge, MTCI, REIP, CRI1, ARI, PRI, WI, NDWI).</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Proxies are themselves spectral; they indicate, but do not prove, the biochemical changes.</w:t>
            </w:r>
          </w:p>
        </w:tc>
      </w:tr>
      <w:tr>
        <w:tc>
          <w:tcPr>
            <w:tcW w:type="dxa" w:w="5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C9</w:t>
            </w:r>
          </w:p>
        </w:tc>
        <w:tc>
          <w:tcPr>
            <w:tcW w:type="dxa" w:w="164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Experimental design confounds (treatment file)</w:t>
            </w:r>
          </w:p>
        </w:tc>
        <w:tc>
          <w:tcPr>
            <w:tcW w:type="dxa" w:w="40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The 12 control plots form their own block (C), separate from the inoculated replications R1–R3, and were always measured first on every date (spectra 1–100). Variety and inoculation timing are balanced (each V × D combination once in C and once in each of R1–R3). Detection rates are therefore reported per inoculation timing and per variety (Step 6D); the block/measurement-order confound is stated as a limitation.</w:t>
            </w:r>
          </w:p>
        </w:tc>
        <w:tc>
          <w:tcPr>
            <w:tcW w:type="dxa" w:w="310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Healthy-vs-diseased differences may partly include field-position and measurement-time effects that cannot be separated from disease with this layout.</w:t>
            </w:r>
          </w:p>
        </w:tc>
      </w:tr>
    </w:tbl>
    <w:p>
      <w:pPr>
        <w:spacing w:after="120"/>
      </w:pPr>
    </w:p>
    <w:p>
      <w:pPr>
        <w:pStyle w:val="Heading2"/>
      </w:pPr>
      <w:r>
        <w:rPr>
          <w:rFonts w:ascii="Times New Roman" w:cs="Times New Roman" w:eastAsia="Times New Roman" w:hAnsi="Times New Roman"/>
        </w:rPr>
        <w:t xml:space="preserve">3.1 Step 1 – Data preparation and quality control</w:t>
      </w:r>
    </w:p>
    <w:p>
      <w:pPr>
        <w:pStyle w:val="Heading3"/>
      </w:pPr>
      <w:r>
        <w:rPr>
          <w:rFonts w:ascii="Times New Roman" w:cs="Times New Roman" w:eastAsia="Times New Roman" w:hAnsi="Times New Roman"/>
        </w:rPr>
        <w:t xml:space="preserve">Concept</w:t>
      </w:r>
    </w:p>
    <w:p>
      <w:pPr>
        <w:spacing w:after="120" w:line="300"/>
        <w:jc w:val="both"/>
      </w:pPr>
      <w:r>
        <w:rPr>
          <w:rFonts w:ascii="Times New Roman" w:cs="Times New Roman" w:eastAsia="Times New Roman" w:hAnsi="Times New Roman"/>
        </w:rPr>
        <w:t xml:space="preserve">Before any feature is evaluated the data must be shown to be consistent (labels, plots, treatments) and free of instrument artefacts, because a feature-selection procedure will pick up any systematic difference between the classes – including differences that have nothing to do with the disease.</w:t>
      </w:r>
    </w:p>
    <w:p>
      <w:pPr>
        <w:pStyle w:val="Heading3"/>
      </w:pPr>
      <w:r>
        <w:rPr>
          <w:rFonts w:ascii="Times New Roman" w:cs="Times New Roman" w:eastAsia="Times New Roman" w:hAnsi="Times New Roman"/>
        </w:rPr>
        <w:t xml:space="preserve">Procedure</w:t>
      </w:r>
    </w:p>
    <w:p>
      <w:pPr>
        <w:pStyle w:val="ListParagraph"/>
        <w:numPr>
          <w:ilvl w:val="0"/>
          <w:numId w:val="3"/>
        </w:numPr>
        <w:spacing w:after="60" w:line="280"/>
        <w:jc w:val="both"/>
      </w:pPr>
      <w:r>
        <w:rPr>
          <w:rFonts w:ascii="Times New Roman" w:cs="Times New Roman" w:eastAsia="Times New Roman" w:hAnsi="Times New Roman"/>
          <w:b/>
          <w:bCs/>
        </w:rPr>
        <w:t xml:space="preserve">Consistency.</w:t>
      </w:r>
      <w:r>
        <w:rPr>
          <w:rFonts w:ascii="Times New Roman" w:cs="Times New Roman" w:eastAsia="Times New Roman" w:hAnsi="Times New Roman"/>
        </w:rPr>
        <w:t xml:space="preserve"> Class labels, varieties and the treatment file were compared plot by plot across the four workbooks.</w:t>
      </w:r>
    </w:p>
    <w:p>
      <w:pPr>
        <w:pStyle w:val="ListParagraph"/>
        <w:numPr>
          <w:ilvl w:val="0"/>
          <w:numId w:val="3"/>
        </w:numPr>
        <w:spacing w:after="60" w:line="280"/>
        <w:jc w:val="both"/>
      </w:pPr>
      <w:r>
        <w:rPr>
          <w:rFonts w:ascii="Times New Roman" w:cs="Times New Roman" w:eastAsia="Times New Roman" w:hAnsi="Times New Roman"/>
          <w:b/>
          <w:bCs/>
        </w:rPr>
        <w:t xml:space="preserve">Spectral range (C1).</w:t>
      </w:r>
      <w:r>
        <w:rPr>
          <w:rFonts w:ascii="Times New Roman" w:cs="Times New Roman" w:eastAsia="Times New Roman" w:hAnsi="Times New Roman"/>
        </w:rPr>
        <w:t xml:space="preserve"> Bands 350–399 nm and 2401–2500 nm (low signal-to-noise at the detector ends) and the guard zones 990–1010 nm and 1795–1835 nm around the joins of the three ASD detectors were excluded from the band, derivative and wavelet candidates. Exploratory analysis showed first derivatives at 1825–1830 nm separating the classes perfectly on single dates – a step artefact of the SWIR1/SWIR2 detector join, not leaf biology.</w:t>
      </w:r>
    </w:p>
    <w:p>
      <w:pPr>
        <w:pStyle w:val="ListParagraph"/>
        <w:numPr>
          <w:ilvl w:val="0"/>
          <w:numId w:val="3"/>
        </w:numPr>
        <w:spacing w:after="60" w:line="280"/>
        <w:jc w:val="both"/>
      </w:pPr>
      <w:r>
        <w:rPr>
          <w:rFonts w:ascii="Times New Roman" w:cs="Times New Roman" w:eastAsia="Times New Roman" w:hAnsi="Times New Roman"/>
          <w:b/>
          <w:bCs/>
        </w:rPr>
        <w:t xml:space="preserve">Continuous wavelet transform (CWT).</w:t>
      </w:r>
      <w:r>
        <w:rPr>
          <w:rFonts w:ascii="Times New Roman" w:cs="Times New Roman" w:eastAsia="Times New Roman" w:hAnsi="Times New Roman"/>
        </w:rPr>
        <w:t xml:space="preserve"> Following Cheng et al. (2010) and Tian et al. (2021), every plot spectrum was decomposed with the Mexican-hat (second derivative of a Gaussian) mother wavelet at dyadic scales 2</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–2</w:t>
      </w:r>
      <w:r>
        <w:rPr>
          <w:rFonts w:ascii="Times New Roman" w:cs="Times New Roman" w:eastAsia="Times New Roman" w:hAnsi="Times New Roman"/>
          <w:vertAlign w:val="superscript"/>
        </w:rPr>
        <w:t xml:space="preserve">8</w:t>
      </w:r>
      <w:r>
        <w:rPr>
          <w:rFonts w:ascii="Times New Roman" w:cs="Times New Roman" w:eastAsia="Times New Roman" w:hAnsi="Times New Roman"/>
        </w:rPr>
        <w:t xml:space="preserve">; scales 3–8 were retained. Computations used PyWavelets (Lee et al., 2019).</w:t>
      </w:r>
    </w:p>
    <w:p>
      <w:pPr>
        <w:pStyle w:val="ListParagraph"/>
        <w:numPr>
          <w:ilvl w:val="0"/>
          <w:numId w:val="3"/>
        </w:numPr>
        <w:spacing w:after="60" w:line="280"/>
        <w:jc w:val="both"/>
      </w:pPr>
      <w:r>
        <w:rPr>
          <w:rFonts w:ascii="Times New Roman" w:cs="Times New Roman" w:eastAsia="Times New Roman" w:hAnsi="Times New Roman"/>
          <w:b/>
          <w:bCs/>
        </w:rPr>
        <w:t xml:space="preserve">Confounds (C9).</w:t>
      </w:r>
      <w:r>
        <w:rPr>
          <w:rFonts w:ascii="Times New Roman" w:cs="Times New Roman" w:eastAsia="Times New Roman" w:hAnsi="Times New Roman"/>
        </w:rPr>
        <w:t xml:space="preserve"> The measurement order and block structure were inspected.</w:t>
      </w:r>
    </w:p>
    <w:p>
      <w:pPr>
        <w:spacing w:after="120" w:before="80"/>
        <w:jc w:val="center"/>
      </w:pPr>
      <w:r>
        <w:rPr>
          <w:rFonts w:ascii="Times New Roman" w:cs="Times New Roman" w:eastAsia="Times New Roman" w:hAnsi="Times New Roman"/>
          <w:i w:val="false"/>
          <w:iCs w:val="false"/>
          <w:sz w:val="22"/>
          <w:szCs w:val="22"/>
        </w:rPr>
        <w:t xml:space="preserve">W(a, λ) = ∫ R(x) · a</w:t>
      </w:r>
      <w:r>
        <w:rPr>
          <w:rFonts w:ascii="Times New Roman" w:cs="Times New Roman" w:eastAsia="Times New Roman" w:hAnsi="Times New Roman"/>
          <w:i w:val="false"/>
          <w:iCs w:val="false"/>
          <w:sz w:val="22"/>
          <w:szCs w:val="22"/>
          <w:vertAlign w:val="superscript"/>
        </w:rPr>
        <w:t xml:space="preserve">−1/2</w:t>
      </w:r>
      <w:r>
        <w:rPr>
          <w:rFonts w:ascii="Times New Roman" w:cs="Times New Roman" w:eastAsia="Times New Roman" w:hAnsi="Times New Roman"/>
          <w:i w:val="false"/>
          <w:iCs w:val="false"/>
          <w:sz w:val="22"/>
          <w:szCs w:val="22"/>
        </w:rPr>
        <w:t xml:space="preserve"> ψ((x − λ)/a) dx,   ψ(t) = (2/(√3 π</w:t>
      </w:r>
      <w:r>
        <w:rPr>
          <w:rFonts w:ascii="Times New Roman" w:cs="Times New Roman" w:eastAsia="Times New Roman" w:hAnsi="Times New Roman"/>
          <w:i w:val="false"/>
          <w:iCs w:val="false"/>
          <w:sz w:val="22"/>
          <w:szCs w:val="22"/>
          <w:vertAlign w:val="superscript"/>
        </w:rPr>
        <w:t xml:space="preserve">1/4</w:t>
      </w:r>
      <w:r>
        <w:rPr>
          <w:rFonts w:ascii="Times New Roman" w:cs="Times New Roman" w:eastAsia="Times New Roman" w:hAnsi="Times New Roman"/>
          <w:i w:val="false"/>
          <w:iCs w:val="false"/>
          <w:sz w:val="22"/>
          <w:szCs w:val="22"/>
        </w:rPr>
        <w:t xml:space="preserve">)) (1 − t²) e</w:t>
      </w:r>
      <w:r>
        <w:rPr>
          <w:rFonts w:ascii="Times New Roman" w:cs="Times New Roman" w:eastAsia="Times New Roman" w:hAnsi="Times New Roman"/>
          <w:i w:val="false"/>
          <w:iCs w:val="false"/>
          <w:sz w:val="22"/>
          <w:szCs w:val="22"/>
          <w:vertAlign w:val="superscript"/>
        </w:rPr>
        <w:t xml:space="preserve">−t²/2</w:t>
      </w:r>
    </w:p>
    <w:p>
      <w:pPr>
        <w:spacing w:after="120"/>
      </w:pPr>
      <w:r>
        <w:rPr>
          <w:rFonts w:ascii="Times New Roman" w:cs="Times New Roman" w:eastAsia="Times New Roman" w:hAnsi="Times New Roman"/>
          <w:i/>
          <w:iCs/>
          <w:color w:val="52514E"/>
          <w:sz w:val="19"/>
          <w:szCs w:val="19"/>
        </w:rPr>
        <w:t xml:space="preserve">R = reflectance, a = scale (2</w:t>
      </w:r>
      <w:r>
        <w:rPr>
          <w:rFonts w:ascii="Times New Roman" w:cs="Times New Roman" w:eastAsia="Times New Roman" w:hAnsi="Times New Roman"/>
          <w:i/>
          <w:iCs/>
          <w:color w:val="52514E"/>
          <w:sz w:val="19"/>
          <w:szCs w:val="19"/>
          <w:vertAlign w:val="superscript"/>
        </w:rPr>
        <w:t xml:space="preserve">j</w:t>
      </w:r>
      <w:r>
        <w:rPr>
          <w:rFonts w:ascii="Times New Roman" w:cs="Times New Roman" w:eastAsia="Times New Roman" w:hAnsi="Times New Roman"/>
          <w:i/>
          <w:iCs/>
          <w:color w:val="52514E"/>
          <w:sz w:val="19"/>
          <w:szCs w:val="19"/>
        </w:rPr>
        <w:t xml:space="preserve"> nm, j = 3…8), λ = wavelength; each W(a, λ) is one candidate wavelet feature (Torrence and Compo, 1998; Cheng et al., 2010).</w:t>
      </w:r>
    </w:p>
    <w:p>
      <w:pPr>
        <w:pStyle w:val="Heading2"/>
      </w:pPr>
      <w:r>
        <w:rPr>
          <w:rFonts w:ascii="Times New Roman" w:cs="Times New Roman" w:eastAsia="Times New Roman" w:hAnsi="Times New Roman"/>
        </w:rPr>
        <w:t xml:space="preserve">3.2 Step 2 – Physiological interpretation</w:t>
      </w:r>
    </w:p>
    <w:p>
      <w:pPr>
        <w:pStyle w:val="Heading3"/>
      </w:pPr>
      <w:r>
        <w:rPr>
          <w:rFonts w:ascii="Times New Roman" w:cs="Times New Roman" w:eastAsia="Times New Roman" w:hAnsi="Times New Roman"/>
        </w:rPr>
        <w:t xml:space="preserve">Concept</w:t>
      </w:r>
    </w:p>
    <w:p>
      <w:pPr>
        <w:spacing w:after="120" w:line="300"/>
        <w:jc w:val="both"/>
      </w:pPr>
      <w:r>
        <w:rPr>
          <w:rFonts w:ascii="Times New Roman" w:cs="Times New Roman" w:eastAsia="Times New Roman" w:hAnsi="Times New Roman"/>
        </w:rPr>
        <w:t xml:space="preserve">Tian et al. (2021) first showed which leaf constituents change during infection, because this explains why particular spectral regions become disease-specific. Leaf biochemistry was not measured in this experiment, so published spectral proxies of the same four constituents were tested instead (C8): chlorophyll – CIrededge (Gitelson et al., 2003), MTCI (Dash and Curran, 2004) and the red-edge inflection point by linear four-point interpolation (Guyot and Baret, 1988); carotenoids – CRI1 (Gitelson et al., 2002); anthocyanins – ARI (Gitelson et al., 2001); xanthophyll-cycle activity – PRI (Gamon et al., 1992); water – WI (Peñuelas et al., 1997) and NDWI (Gao, 1996).</w:t>
      </w:r>
    </w:p>
    <w:p>
      <w:pPr>
        <w:pStyle w:val="Heading3"/>
      </w:pPr>
      <w:r>
        <w:rPr>
          <w:rFonts w:ascii="Times New Roman" w:cs="Times New Roman" w:eastAsia="Times New Roman" w:hAnsi="Times New Roman"/>
        </w:rPr>
        <w:t xml:space="preserve">Procedure</w:t>
      </w:r>
    </w:p>
    <w:p>
      <w:pPr>
        <w:spacing w:after="120" w:line="300"/>
        <w:jc w:val="both"/>
      </w:pPr>
      <w:r>
        <w:rPr>
          <w:rFonts w:ascii="Times New Roman" w:cs="Times New Roman" w:eastAsia="Times New Roman" w:hAnsi="Times New Roman"/>
        </w:rPr>
        <w:t xml:space="preserve">The decision rule of Tian et al. (2021) was applied to each proxy and date: values outside the median ± 3 MAD of each group were treated as outliers (Leys et al., 2013); if both groups were normal (Shapiro–Wilk; Shapiro and Wilk, 1965) and their variances equal (Levene, 1960), an independent Student t-test was used, otherwise the Mann–Whitney U test (Mann and Whitney, 1947). In addition (C7), the 32 p-values were adjusted with the Benjamini–Hochberg false-discovery rate (Benjamini and Hochberg, 1995). The effect size is Hedges' g (positive = higher in diseased plots).</w:t>
      </w:r>
    </w:p>
    <w:p>
      <w:pPr>
        <w:pStyle w:val="Heading2"/>
      </w:pPr>
      <w:r>
        <w:rPr>
          <w:rFonts w:ascii="Times New Roman" w:cs="Times New Roman" w:eastAsia="Times New Roman" w:hAnsi="Times New Roman"/>
        </w:rPr>
        <w:t xml:space="preserve">3.3 Step 3 – Spectral separability by thresholding</w:t>
      </w:r>
    </w:p>
    <w:p>
      <w:pPr>
        <w:pStyle w:val="Heading3"/>
      </w:pPr>
      <w:r>
        <w:rPr>
          <w:rFonts w:ascii="Times New Roman" w:cs="Times New Roman" w:eastAsia="Times New Roman" w:hAnsi="Times New Roman"/>
        </w:rPr>
        <w:t xml:space="preserve">Concept</w:t>
      </w:r>
    </w:p>
    <w:p>
      <w:pPr>
        <w:spacing w:after="120" w:line="300"/>
        <w:jc w:val="both"/>
      </w:pPr>
      <w:r>
        <w:rPr>
          <w:rFonts w:ascii="Times New Roman" w:cs="Times New Roman" w:eastAsia="Times New Roman" w:hAnsi="Times New Roman"/>
        </w:rPr>
        <w:t xml:space="preserve">The separability of a single feature is the accuracy with which one threshold on that feature separates healthy from diseased plots (Mahlein et al., 2013; Tian et al., 2021, Fig. 3). It is a simple, model-free filter that can be computed for tens of thousands of features and displayed as a 'classification scalogram' along the wavelength axis.</w:t>
      </w:r>
    </w:p>
    <w:p>
      <w:pPr>
        <w:pStyle w:val="Heading3"/>
      </w:pPr>
      <w:r>
        <w:rPr>
          <w:rFonts w:ascii="Times New Roman" w:cs="Times New Roman" w:eastAsia="Times New Roman" w:hAnsi="Times New Roman"/>
        </w:rPr>
        <w:t xml:space="preserve">Procedure</w:t>
      </w:r>
    </w:p>
    <w:p>
      <w:pPr>
        <w:spacing w:after="120" w:line="300"/>
        <w:jc w:val="both"/>
      </w:pPr>
      <w:r>
        <w:rPr>
          <w:rFonts w:ascii="Times New Roman" w:cs="Times New Roman" w:eastAsia="Times New Roman" w:hAnsi="Times New Roman"/>
        </w:rPr>
        <w:t xml:space="preserve">For every feature and date the class means M</w:t>
      </w:r>
      <w:r>
        <w:rPr>
          <w:rFonts w:ascii="Times New Roman" w:cs="Times New Roman" w:eastAsia="Times New Roman" w:hAnsi="Times New Roman"/>
          <w:vertAlign w:val="subscript"/>
        </w:rPr>
        <w:t xml:space="preserve">h</w:t>
      </w:r>
      <w:r>
        <w:rPr>
          <w:rFonts w:ascii="Times New Roman" w:cs="Times New Roman" w:eastAsia="Times New Roman" w:hAnsi="Times New Roman"/>
        </w:rPr>
        <w:t xml:space="preserve"> (healthy) and M</w:t>
      </w:r>
      <w:r>
        <w:rPr>
          <w:rFonts w:ascii="Times New Roman" w:cs="Times New Roman" w:eastAsia="Times New Roman" w:hAnsi="Times New Roman"/>
          <w:vertAlign w:val="subscript"/>
        </w:rPr>
        <w:t xml:space="preserve">i</w:t>
      </w:r>
      <w:r>
        <w:rPr>
          <w:rFonts w:ascii="Times New Roman" w:cs="Times New Roman" w:eastAsia="Times New Roman" w:hAnsi="Times New Roman"/>
        </w:rPr>
        <w:t xml:space="preserve"> (infected) were computed and the interval between them divided into 100 equal steps; each step t</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 M</w:t>
      </w:r>
      <w:r>
        <w:rPr>
          <w:rFonts w:ascii="Times New Roman" w:cs="Times New Roman" w:eastAsia="Times New Roman" w:hAnsi="Times New Roman"/>
          <w:vertAlign w:val="subscript"/>
        </w:rPr>
        <w:t xml:space="preserve">h</w:t>
      </w:r>
      <w:r>
        <w:rPr>
          <w:rFonts w:ascii="Times New Roman" w:cs="Times New Roman" w:eastAsia="Times New Roman" w:hAnsi="Times New Roman"/>
        </w:rPr>
        <w:t xml:space="preserve"> + k(M</w:t>
      </w:r>
      <w:r>
        <w:rPr>
          <w:rFonts w:ascii="Times New Roman" w:cs="Times New Roman" w:eastAsia="Times New Roman" w:hAnsi="Times New Roman"/>
          <w:vertAlign w:val="subscript"/>
        </w:rPr>
        <w:t xml:space="preserve">i</w:t>
      </w:r>
      <w:r>
        <w:rPr>
          <w:rFonts w:ascii="Times New Roman" w:cs="Times New Roman" w:eastAsia="Times New Roman" w:hAnsi="Times New Roman"/>
        </w:rPr>
        <w:t xml:space="preserve"> − M</w:t>
      </w:r>
      <w:r>
        <w:rPr>
          <w:rFonts w:ascii="Times New Roman" w:cs="Times New Roman" w:eastAsia="Times New Roman" w:hAnsi="Times New Roman"/>
          <w:vertAlign w:val="subscript"/>
        </w:rPr>
        <w:t xml:space="preserve">h</w:t>
      </w:r>
      <w:r>
        <w:rPr>
          <w:rFonts w:ascii="Times New Roman" w:cs="Times New Roman" w:eastAsia="Times New Roman" w:hAnsi="Times New Roman"/>
        </w:rPr>
        <w:t xml:space="preserve">)/100 (k = 0…100) was used as a threshold, plots on the M</w:t>
      </w:r>
      <w:r>
        <w:rPr>
          <w:rFonts w:ascii="Times New Roman" w:cs="Times New Roman" w:eastAsia="Times New Roman" w:hAnsi="Times New Roman"/>
          <w:vertAlign w:val="subscript"/>
        </w:rPr>
        <w:t xml:space="preserve">i</w:t>
      </w:r>
      <w:r>
        <w:rPr>
          <w:rFonts w:ascii="Times New Roman" w:cs="Times New Roman" w:eastAsia="Times New Roman" w:hAnsi="Times New Roman"/>
        </w:rPr>
        <w:t xml:space="preserve"> side being called diseased. Because only 12 of the 48 plots are healthy, the best threshold was chosen by the balanced accuracy (C2):</w:t>
      </w:r>
    </w:p>
    <w:p>
      <w:pPr>
        <w:spacing w:after="120" w:before="80"/>
        <w:jc w:val="center"/>
      </w:pPr>
      <w:r>
        <w:rPr>
          <w:rFonts w:ascii="Times New Roman" w:cs="Times New Roman" w:eastAsia="Times New Roman" w:hAnsi="Times New Roman"/>
          <w:i w:val="false"/>
          <w:iCs w:val="false"/>
          <w:sz w:val="22"/>
          <w:szCs w:val="22"/>
        </w:rPr>
        <w:t xml:space="preserve">BA = (Se + Sp)/2,   Se = TP/(TP + FN),   Sp = TN/(TN + FP),   OA = (TP + TN)/N</w:t>
      </w:r>
    </w:p>
    <w:p>
      <w:pPr>
        <w:spacing w:after="120"/>
      </w:pPr>
      <w:r>
        <w:rPr>
          <w:rFonts w:ascii="Times New Roman" w:cs="Times New Roman" w:eastAsia="Times New Roman" w:hAnsi="Times New Roman"/>
          <w:i/>
          <w:iCs/>
          <w:color w:val="52514E"/>
          <w:sz w:val="19"/>
          <w:szCs w:val="19"/>
        </w:rPr>
        <w:t xml:space="preserve">A classifier that calls every plot 'diseased' has OA = 36/48 = 75 % but BA = 50 %; BA is therefore the appropriate criterion for imbalanced classes (Brodersen et al., 2010).</w:t>
      </w:r>
    </w:p>
    <w:p>
      <w:pPr>
        <w:pStyle w:val="Heading2"/>
      </w:pPr>
      <w:r>
        <w:rPr>
          <w:rFonts w:ascii="Times New Roman" w:cs="Times New Roman" w:eastAsia="Times New Roman" w:hAnsi="Times New Roman"/>
        </w:rPr>
        <w:t xml:space="preserve">3.4 Step 4 – Extraction of disease-specific spectral features (DSSFs)</w:t>
      </w:r>
    </w:p>
    <w:p>
      <w:pPr>
        <w:spacing w:after="120" w:line="300"/>
        <w:jc w:val="both"/>
      </w:pPr>
      <w:r>
        <w:rPr>
          <w:rFonts w:ascii="Times New Roman" w:cs="Times New Roman" w:eastAsia="Times New Roman" w:hAnsi="Times New Roman"/>
        </w:rPr>
        <w:t xml:space="preserve">The rules of Tian et al. (2021) were applied with an explicit consistency criterion (C3):</w:t>
      </w:r>
    </w:p>
    <w:p>
      <w:pPr>
        <w:pStyle w:val="ListParagraph"/>
        <w:numPr>
          <w:ilvl w:val="0"/>
          <w:numId w:val="4"/>
        </w:numPr>
        <w:spacing w:after="60" w:line="280"/>
        <w:jc w:val="both"/>
      </w:pPr>
      <w:r>
        <w:rPr>
          <w:rFonts w:ascii="Times New Roman" w:cs="Times New Roman" w:eastAsia="Times New Roman" w:hAnsi="Times New Roman"/>
        </w:rPr>
        <w:t xml:space="preserve">For the continuous families (reflectance, D1–D3, CWT) the features in the top 5 % of separability were marked on each date (ties included).</w:t>
      </w:r>
    </w:p>
    <w:p>
      <w:pPr>
        <w:pStyle w:val="ListParagraph"/>
        <w:numPr>
          <w:ilvl w:val="0"/>
          <w:numId w:val="4"/>
        </w:numPr>
        <w:spacing w:after="60" w:line="280"/>
        <w:jc w:val="both"/>
      </w:pPr>
      <w:r>
        <w:rPr>
          <w:rFonts w:ascii="Times New Roman" w:cs="Times New Roman" w:eastAsia="Times New Roman" w:hAnsi="Times New Roman"/>
        </w:rPr>
        <w:t xml:space="preserve">A feature was 'common' if it was marked on at least k</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of the four dates, where k</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is the largest value (4, then 3, then 2) for which the family still has at least one common feature. Tian et al. intersected only the DAIs at which common features existed; with four dates spanning vegetative to pod-formation stages, the strict four-date intersection left almost nothing.</w:t>
      </w:r>
    </w:p>
    <w:p>
      <w:pPr>
        <w:pStyle w:val="ListParagraph"/>
        <w:numPr>
          <w:ilvl w:val="0"/>
          <w:numId w:val="4"/>
        </w:numPr>
        <w:spacing w:after="60" w:line="280"/>
        <w:jc w:val="both"/>
      </w:pPr>
      <w:r>
        <w:rPr>
          <w:rFonts w:ascii="Times New Roman" w:cs="Times New Roman" w:eastAsia="Times New Roman" w:hAnsi="Times New Roman"/>
        </w:rPr>
        <w:t xml:space="preserve">Common features were grouped into contiguous wavelength regions (for the CWT, 8-connected regions in the scale × wavelength plane) and the feature with the highest mean balanced accuracy was kept as the region's representative.</w:t>
      </w:r>
    </w:p>
    <w:p>
      <w:pPr>
        <w:pStyle w:val="ListParagraph"/>
        <w:numPr>
          <w:ilvl w:val="0"/>
          <w:numId w:val="4"/>
        </w:numPr>
        <w:spacing w:after="60" w:line="280"/>
        <w:jc w:val="both"/>
      </w:pPr>
      <w:r>
        <w:rPr>
          <w:rFonts w:ascii="Times New Roman" w:cs="Times New Roman" w:eastAsia="Times New Roman" w:hAnsi="Times New Roman"/>
        </w:rPr>
        <w:t xml:space="preserve">For the scalar families (VIs, CR and red-edge parameters) the top 10 % of each family on each date were retained and the union taken over the dates – the analogue of Tian et al.'s union of the yearly top-10 spectral indices.</w:t>
      </w:r>
    </w:p>
    <w:p>
      <w:pPr>
        <w:pStyle w:val="ListParagraph"/>
        <w:numPr>
          <w:ilvl w:val="0"/>
          <w:numId w:val="4"/>
        </w:numPr>
        <w:spacing w:after="60" w:line="280"/>
        <w:jc w:val="both"/>
      </w:pPr>
      <w:r>
        <w:rPr>
          <w:rFonts w:ascii="Times New Roman" w:cs="Times New Roman" w:eastAsia="Times New Roman" w:hAnsi="Times New Roman"/>
        </w:rPr>
        <w:t xml:space="preserve">Exactly duplicated features (|r| &gt; 0.9999) were removed.</w:t>
      </w:r>
    </w:p>
    <w:p>
      <w:pPr>
        <w:pStyle w:val="Heading2"/>
      </w:pPr>
      <w:r>
        <w:rPr>
          <w:rFonts w:ascii="Times New Roman" w:cs="Times New Roman" w:eastAsia="Times New Roman" w:hAnsi="Times New Roman"/>
        </w:rPr>
        <w:t xml:space="preserve">3.5 Step 5 – Collinearity reduction (VIF)</w:t>
      </w:r>
    </w:p>
    <w:p>
      <w:pPr>
        <w:spacing w:after="120" w:line="300"/>
        <w:jc w:val="both"/>
      </w:pPr>
      <w:r>
        <w:rPr>
          <w:rFonts w:ascii="Times New Roman" w:cs="Times New Roman" w:eastAsia="Times New Roman" w:hAnsi="Times New Roman"/>
        </w:rPr>
        <w:t xml:space="preserve">The candidate DSSFs were z-scored within each date and stacked over the four dates, and the variance inflation factor of feature j was computed as</w:t>
      </w:r>
    </w:p>
    <w:p>
      <w:pPr>
        <w:spacing w:after="120" w:before="80"/>
        <w:jc w:val="center"/>
      </w:pPr>
      <w:r>
        <w:rPr>
          <w:rFonts w:ascii="Times New Roman" w:cs="Times New Roman" w:eastAsia="Times New Roman" w:hAnsi="Times New Roman"/>
          <w:i w:val="false"/>
          <w:iCs w:val="false"/>
          <w:sz w:val="22"/>
          <w:szCs w:val="22"/>
        </w:rPr>
        <w:t xml:space="preserve">VIF</w:t>
      </w:r>
      <w:r>
        <w:rPr>
          <w:rFonts w:ascii="Times New Roman" w:cs="Times New Roman" w:eastAsia="Times New Roman" w:hAnsi="Times New Roman"/>
          <w:i w:val="false"/>
          <w:iCs w:val="false"/>
          <w:sz w:val="22"/>
          <w:szCs w:val="22"/>
          <w:vertAlign w:val="subscript"/>
        </w:rPr>
        <w:t xml:space="preserve">j</w:t>
      </w:r>
      <w:r>
        <w:rPr>
          <w:rFonts w:ascii="Times New Roman" w:cs="Times New Roman" w:eastAsia="Times New Roman" w:hAnsi="Times New Roman"/>
          <w:i w:val="false"/>
          <w:iCs w:val="false"/>
          <w:sz w:val="22"/>
          <w:szCs w:val="22"/>
        </w:rPr>
        <w:t xml:space="preserve"> = 1/(1 − R</w:t>
      </w:r>
      <w:r>
        <w:rPr>
          <w:rFonts w:ascii="Times New Roman" w:cs="Times New Roman" w:eastAsia="Times New Roman" w:hAnsi="Times New Roman"/>
          <w:i w:val="false"/>
          <w:iCs w:val="false"/>
          <w:sz w:val="22"/>
          <w:szCs w:val="22"/>
          <w:vertAlign w:val="subscript"/>
        </w:rPr>
        <w:t xml:space="preserve">j</w:t>
      </w:r>
      <w:r>
        <w:rPr>
          <w:rFonts w:ascii="Times New Roman" w:cs="Times New Roman" w:eastAsia="Times New Roman" w:hAnsi="Times New Roman"/>
          <w:i w:val="false"/>
          <w:iCs w:val="false"/>
          <w:sz w:val="22"/>
          <w:szCs w:val="22"/>
        </w:rPr>
        <w:t xml:space="preserve">²)</w:t>
      </w:r>
    </w:p>
    <w:p>
      <w:pPr>
        <w:spacing w:after="120" w:line="300"/>
        <w:jc w:val="both"/>
      </w:pPr>
      <w:r>
        <w:rPr>
          <w:rFonts w:ascii="Times New Roman" w:cs="Times New Roman" w:eastAsia="Times New Roman" w:hAnsi="Times New Roman"/>
        </w:rPr>
        <w:t xml:space="preserve">where R</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² is the coefficient of determination of feature j regressed on all other features. Tian et al. (2021) retained features with VIF &lt; 10 without stating the iteration rule. Here (C5) the VIFs were recomputed after every removal and, while any VIF was ≥ 10, the least separable of the features with VIF ≥ 10 was removed (relevance-aware rule); the commonly used 'drop the largest VIF' rule is reported for comparison. The threshold of 10 is a rule of thumb whose limits are discussed by O'Brien (2007).</w:t>
      </w:r>
    </w:p>
    <w:p>
      <w:pPr>
        <w:pStyle w:val="Heading2"/>
      </w:pPr>
      <w:r>
        <w:rPr>
          <w:rFonts w:ascii="Times New Roman" w:cs="Times New Roman" w:eastAsia="Times New Roman" w:hAnsi="Times New Roman"/>
        </w:rPr>
        <w:t xml:space="preserve">3.6 Step 6 – ML-SFFS classification</w:t>
      </w:r>
    </w:p>
    <w:p>
      <w:pPr>
        <w:pStyle w:val="Heading3"/>
      </w:pPr>
      <w:r>
        <w:rPr>
          <w:rFonts w:ascii="Times New Roman" w:cs="Times New Roman" w:eastAsia="Times New Roman" w:hAnsi="Times New Roman"/>
        </w:rPr>
        <w:t xml:space="preserve">Classifiers</w:t>
      </w:r>
    </w:p>
    <w:p>
      <w:pPr>
        <w:pStyle w:val="ListParagraph"/>
        <w:numPr>
          <w:ilvl w:val="0"/>
          <w:numId w:val="3"/>
        </w:numPr>
        <w:spacing w:after="60" w:line="280"/>
        <w:jc w:val="both"/>
      </w:pPr>
      <w:r>
        <w:rPr>
          <w:rFonts w:ascii="Times New Roman" w:cs="Times New Roman" w:eastAsia="Times New Roman" w:hAnsi="Times New Roman"/>
          <w:b/>
          <w:bCs/>
        </w:rPr>
        <w:t xml:space="preserve">LDA</w:t>
      </w:r>
      <w:r>
        <w:rPr>
          <w:rFonts w:ascii="Times New Roman" w:cs="Times New Roman" w:eastAsia="Times New Roman" w:hAnsi="Times New Roman"/>
        </w:rPr>
        <w:t xml:space="preserve"> (Fisher, 1936) projects the features on the direction that maximises the ratio of between-class to within-class variance; it assumes normal classes with a common covariance.</w:t>
      </w:r>
    </w:p>
    <w:p>
      <w:pPr>
        <w:pStyle w:val="ListParagraph"/>
        <w:numPr>
          <w:ilvl w:val="0"/>
          <w:numId w:val="3"/>
        </w:numPr>
        <w:spacing w:after="60" w:line="280"/>
        <w:jc w:val="both"/>
      </w:pPr>
      <w:r>
        <w:rPr>
          <w:rFonts w:ascii="Times New Roman" w:cs="Times New Roman" w:eastAsia="Times New Roman" w:hAnsi="Times New Roman"/>
          <w:b/>
          <w:bCs/>
        </w:rPr>
        <w:t xml:space="preserve">k-NN</w:t>
      </w:r>
      <w:r>
        <w:rPr>
          <w:rFonts w:ascii="Times New Roman" w:cs="Times New Roman" w:eastAsia="Times New Roman" w:hAnsi="Times New Roman"/>
        </w:rPr>
        <w:t xml:space="preserve"> (Cover and Hart, 1967) assigns a plot to the majority class of its k = 3 nearest training plots (Euclidean = Minkowski p = 2 distance on z-scored features).</w:t>
      </w:r>
    </w:p>
    <w:p>
      <w:pPr>
        <w:pStyle w:val="ListParagraph"/>
        <w:numPr>
          <w:ilvl w:val="0"/>
          <w:numId w:val="3"/>
        </w:numPr>
        <w:spacing w:after="60" w:line="280"/>
        <w:jc w:val="both"/>
      </w:pPr>
      <w:r>
        <w:rPr>
          <w:rFonts w:ascii="Times New Roman" w:cs="Times New Roman" w:eastAsia="Times New Roman" w:hAnsi="Times New Roman"/>
          <w:b/>
          <w:bCs/>
        </w:rPr>
        <w:t xml:space="preserve">SVM</w:t>
      </w:r>
      <w:r>
        <w:rPr>
          <w:rFonts w:ascii="Times New Roman" w:cs="Times New Roman" w:eastAsia="Times New Roman" w:hAnsi="Times New Roman"/>
        </w:rPr>
        <w:t xml:space="preserve"> (Cortes and Vapnik, 1995; LIBSVM, Chang and Lin, 2011) with a radial basis function kernel K(x, x′) = exp(−γ‖x − x′‖²); C and γ were chosen by grid search, C ∈ {2</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2</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2</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2</w:t>
      </w:r>
      <w:r>
        <w:rPr>
          <w:rFonts w:ascii="Times New Roman" w:cs="Times New Roman" w:eastAsia="Times New Roman" w:hAnsi="Times New Roman"/>
          <w:vertAlign w:val="superscript"/>
        </w:rPr>
        <w:t xml:space="preserve">5</w:t>
      </w:r>
      <w:r>
        <w:rPr>
          <w:rFonts w:ascii="Times New Roman" w:cs="Times New Roman" w:eastAsia="Times New Roman" w:hAnsi="Times New Roman"/>
        </w:rPr>
        <w:t xml:space="preserve">, 2</w:t>
      </w:r>
      <w:r>
        <w:rPr>
          <w:rFonts w:ascii="Times New Roman" w:cs="Times New Roman" w:eastAsia="Times New Roman" w:hAnsi="Times New Roman"/>
          <w:vertAlign w:val="superscript"/>
        </w:rPr>
        <w:t xml:space="preserve">7</w:t>
      </w:r>
      <w:r>
        <w:rPr>
          <w:rFonts w:ascii="Times New Roman" w:cs="Times New Roman" w:eastAsia="Times New Roman" w:hAnsi="Times New Roman"/>
        </w:rPr>
        <w:t xml:space="preserve">}, γ ∈ {2</w:t>
      </w:r>
      <w:r>
        <w:rPr>
          <w:rFonts w:ascii="Times New Roman" w:cs="Times New Roman" w:eastAsia="Times New Roman" w:hAnsi="Times New Roman"/>
          <w:vertAlign w:val="superscript"/>
        </w:rPr>
        <w:t xml:space="preserve">−5</w:t>
      </w:r>
      <w:r>
        <w:rPr>
          <w:rFonts w:ascii="Times New Roman" w:cs="Times New Roman" w:eastAsia="Times New Roman" w:hAnsi="Times New Roman"/>
        </w:rPr>
        <w:t xml:space="preserve">, 2</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2</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2</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}/p for p features (Hsu et al., 2003).</w:t>
      </w:r>
    </w:p>
    <w:p>
      <w:pPr>
        <w:spacing w:after="120" w:line="300"/>
        <w:jc w:val="both"/>
      </w:pPr>
      <w:r>
        <w:rPr>
          <w:rFonts w:ascii="Times New Roman" w:cs="Times New Roman" w:eastAsia="Times New Roman" w:hAnsi="Times New Roman"/>
        </w:rPr>
        <w:t xml:space="preserve">All features were z-scored with the mean and standard deviation of the training plots of each fold (C6). The classifiers were implemented with scikit-learn (Pedregosa et al., 2011).</w:t>
      </w:r>
    </w:p>
    <w:p>
      <w:pPr>
        <w:pStyle w:val="Heading3"/>
      </w:pPr>
      <w:r>
        <w:rPr>
          <w:rFonts w:ascii="Times New Roman" w:cs="Times New Roman" w:eastAsia="Times New Roman" w:hAnsi="Times New Roman"/>
        </w:rPr>
        <w:t xml:space="preserve">Sequential floating forward selection</w:t>
      </w:r>
    </w:p>
    <w:p>
      <w:pPr>
        <w:spacing w:after="120" w:line="300"/>
        <w:jc w:val="both"/>
      </w:pPr>
      <w:r>
        <w:rPr>
          <w:rFonts w:ascii="Times New Roman" w:cs="Times New Roman" w:eastAsia="Times New Roman" w:hAnsi="Times New Roman"/>
        </w:rPr>
        <w:t xml:space="preserve">SFFS (Pudil et al., 1994) is a wrapper method: the classifier's cross-validated accuracy is the criterion J of a feature subset. Starting from the empty set, it repeats:</w:t>
      </w:r>
    </w:p>
    <w:p>
      <w:pPr>
        <w:pStyle w:val="ListParagraph"/>
        <w:numPr>
          <w:ilvl w:val="0"/>
          <w:numId w:val="5"/>
        </w:numPr>
        <w:spacing w:after="60" w:line="280"/>
        <w:jc w:val="both"/>
      </w:pPr>
      <w:r>
        <w:rPr>
          <w:rFonts w:ascii="Times New Roman" w:cs="Times New Roman" w:eastAsia="Times New Roman" w:hAnsi="Times New Roman"/>
          <w:b/>
          <w:bCs/>
        </w:rPr>
        <w:t xml:space="preserve">Inclusion:</w:t>
      </w:r>
      <w:r>
        <w:rPr>
          <w:rFonts w:ascii="Times New Roman" w:cs="Times New Roman" w:eastAsia="Times New Roman" w:hAnsi="Times New Roman"/>
        </w:rPr>
        <w:t xml:space="preserve"> add the feature that gives the largest J;</w:t>
      </w:r>
    </w:p>
    <w:p>
      <w:pPr>
        <w:pStyle w:val="ListParagraph"/>
        <w:numPr>
          <w:ilvl w:val="0"/>
          <w:numId w:val="5"/>
        </w:numPr>
        <w:spacing w:after="60" w:line="280"/>
        <w:jc w:val="both"/>
      </w:pPr>
      <w:r>
        <w:rPr>
          <w:rFonts w:ascii="Times New Roman" w:cs="Times New Roman" w:eastAsia="Times New Roman" w:hAnsi="Times New Roman"/>
          <w:b/>
          <w:bCs/>
        </w:rPr>
        <w:t xml:space="preserve">Conditional exclusion:</w:t>
      </w:r>
      <w:r>
        <w:rPr>
          <w:rFonts w:ascii="Times New Roman" w:cs="Times New Roman" w:eastAsia="Times New Roman" w:hAnsi="Times New Roman"/>
        </w:rPr>
        <w:t xml:space="preserve"> find the least significant feature of the current subset (the one whose removal gives the largest J); remove it if the reduced subset is better than the best subset of that size found so far, and repeat this step; otherwise return to inclusion.</w:t>
      </w:r>
    </w:p>
    <w:p>
      <w:pPr>
        <w:pStyle w:val="ListParagraph"/>
        <w:numPr>
          <w:ilvl w:val="0"/>
          <w:numId w:val="5"/>
        </w:numPr>
        <w:spacing w:after="60" w:line="280"/>
        <w:jc w:val="both"/>
      </w:pPr>
      <w:r>
        <w:rPr>
          <w:rFonts w:ascii="Times New Roman" w:cs="Times New Roman" w:eastAsia="Times New Roman" w:hAnsi="Times New Roman"/>
        </w:rPr>
        <w:t xml:space="preserve">Stop when the subset reaches the maximum size (8 features) or J = 100 %; the OFC is the subset with the highest J (ties → fewer features).</w:t>
      </w:r>
    </w:p>
    <w:p>
      <w:pPr>
        <w:spacing w:after="120" w:line="300"/>
        <w:jc w:val="both"/>
      </w:pPr>
      <w:r>
        <w:rPr>
          <w:rFonts w:ascii="Times New Roman" w:cs="Times New Roman" w:eastAsia="Times New Roman" w:hAnsi="Times New Roman"/>
        </w:rPr>
        <w:t xml:space="preserve">The floating backward steps correct poor early decisions of plain forward selection, which is why SFFS approximates the exhaustive search closely at a fraction of its cost (Pudil et al., 1994; Saeys et al., 2007).</w:t>
      </w:r>
    </w:p>
    <w:p>
      <w:pPr>
        <w:pStyle w:val="Heading3"/>
      </w:pPr>
      <w:r>
        <w:rPr>
          <w:rFonts w:ascii="Times New Roman" w:cs="Times New Roman" w:eastAsia="Times New Roman" w:hAnsi="Times New Roman"/>
        </w:rPr>
        <w:t xml:space="preserve">Evaluation</w:t>
      </w:r>
    </w:p>
    <w:p>
      <w:pPr>
        <w:pStyle w:val="ListParagraph"/>
        <w:numPr>
          <w:ilvl w:val="0"/>
          <w:numId w:val="3"/>
        </w:numPr>
        <w:spacing w:after="60" w:line="280"/>
        <w:jc w:val="both"/>
      </w:pPr>
      <w:r>
        <w:rPr>
          <w:rFonts w:ascii="Times New Roman" w:cs="Times New Roman" w:eastAsia="Times New Roman" w:hAnsi="Times New Roman"/>
          <w:b/>
          <w:bCs/>
        </w:rPr>
        <w:t xml:space="preserve">A – paper-faithful (Tian et al., 2021).</w:t>
      </w:r>
      <w:r>
        <w:rPr>
          <w:rFonts w:ascii="Times New Roman" w:cs="Times New Roman" w:eastAsia="Times New Roman" w:hAnsi="Times New Roman"/>
        </w:rPr>
        <w:t xml:space="preserve"> For every date and classifier: stratified 4-fold CV partition, SFFS with J = OA, repeated 100 times with new partitions; reported OA = mean of the 100 optimal accuracies; OFC = the most frequent optimal combination. SVM-all = SVM with all DSSFs.</w:t>
      </w:r>
    </w:p>
    <w:p>
      <w:pPr>
        <w:pStyle w:val="ListParagraph"/>
        <w:numPr>
          <w:ilvl w:val="0"/>
          <w:numId w:val="3"/>
        </w:numPr>
        <w:spacing w:after="60" w:line="280"/>
        <w:jc w:val="both"/>
      </w:pPr>
      <w:r>
        <w:rPr>
          <w:rFonts w:ascii="Times New Roman" w:cs="Times New Roman" w:eastAsia="Times New Roman" w:hAnsi="Times New Roman"/>
          <w:b/>
          <w:bCs/>
        </w:rPr>
        <w:t xml:space="preserve">B – corrected nested CV (C4).</w:t>
      </w:r>
      <w:r>
        <w:rPr>
          <w:rFonts w:ascii="Times New Roman" w:cs="Times New Roman" w:eastAsia="Times New Roman" w:hAnsi="Times New Roman"/>
        </w:rPr>
        <w:t xml:space="preserve"> 10 repetitions × stratified 4-fold outer CV over plots (the same held-out plots on every date). Inside each outer training set the complete pipeline – separability, DSSF pool, VIF, SFFS (J = balanced accuracy, inner 4-fold CV × 3) and SVM grid search – was re-run, and the selected model classified the held-out plots. LDA used equal priors and the SVM class-balanced weights. This removes the selection bias of A (Ambroise and McLachlan, 2002; Varma and Simon, 2006; Cawley and Talbot, 2010).</w:t>
      </w:r>
    </w:p>
    <w:p>
      <w:pPr>
        <w:pStyle w:val="ListParagraph"/>
        <w:numPr>
          <w:ilvl w:val="0"/>
          <w:numId w:val="3"/>
        </w:numPr>
        <w:spacing w:after="60" w:line="280"/>
        <w:jc w:val="both"/>
      </w:pPr>
      <w:r>
        <w:rPr>
          <w:rFonts w:ascii="Times New Roman" w:cs="Times New Roman" w:eastAsia="Times New Roman" w:hAnsi="Times New Roman"/>
          <w:b/>
          <w:bCs/>
        </w:rPr>
        <w:t xml:space="preserve">C – permutation null.</w:t>
      </w:r>
      <w:r>
        <w:rPr>
          <w:rFonts w:ascii="Times New Roman" w:cs="Times New Roman" w:eastAsia="Times New Roman" w:hAnsi="Times New Roman"/>
        </w:rPr>
        <w:t xml:space="preserve"> The plot labels were shuffled (the same shuffle on all dates) and procedure A was re-run in full: 20 permutations × 5 repetitions for LDA and k-NN, 4 × 2 for the SVM (Ojala and Garriga, 2010).</w:t>
      </w:r>
    </w:p>
    <w:p>
      <w:pPr>
        <w:pStyle w:val="ListParagraph"/>
        <w:numPr>
          <w:ilvl w:val="0"/>
          <w:numId w:val="3"/>
        </w:numPr>
        <w:spacing w:after="60" w:line="280"/>
        <w:jc w:val="both"/>
      </w:pPr>
      <w:r>
        <w:rPr>
          <w:rFonts w:ascii="Times New Roman" w:cs="Times New Roman" w:eastAsia="Times New Roman" w:hAnsi="Times New Roman"/>
          <w:b/>
          <w:bCs/>
        </w:rPr>
        <w:t xml:space="preserve">D – infection stages.</w:t>
      </w:r>
      <w:r>
        <w:rPr>
          <w:rFonts w:ascii="Times New Roman" w:cs="Times New Roman" w:eastAsia="Times New Roman" w:hAnsi="Times New Roman"/>
        </w:rPr>
        <w:t xml:space="preserve"> (i) Paper-faithful ML-SFFS of the 12 controls against the 9 plots of each inoculation timing on each date (16 stages; fixed DSSF pool; 4-fold CV × 100); (ii) the unbiased per-group detection rate and per-variety accuracy from the nested-CV predictions of B.</w:t>
      </w:r>
    </w:p>
    <w:p>
      <w:pPr>
        <w:spacing w:after="120" w:before="80"/>
        <w:jc w:val="center"/>
      </w:pPr>
      <w:r>
        <w:rPr>
          <w:rFonts w:ascii="Times New Roman" w:cs="Times New Roman" w:eastAsia="Times New Roman" w:hAnsi="Times New Roman"/>
          <w:i w:val="false"/>
          <w:iCs w:val="false"/>
          <w:sz w:val="22"/>
          <w:szCs w:val="22"/>
        </w:rPr>
        <w:t xml:space="preserve">κ = (OA − p</w:t>
      </w:r>
      <w:r>
        <w:rPr>
          <w:rFonts w:ascii="Times New Roman" w:cs="Times New Roman" w:eastAsia="Times New Roman" w:hAnsi="Times New Roman"/>
          <w:i w:val="false"/>
          <w:iCs w:val="false"/>
          <w:sz w:val="22"/>
          <w:szCs w:val="22"/>
          <w:vertAlign w:val="subscript"/>
        </w:rPr>
        <w:t xml:space="preserve">e</w:t>
      </w:r>
      <w:r>
        <w:rPr>
          <w:rFonts w:ascii="Times New Roman" w:cs="Times New Roman" w:eastAsia="Times New Roman" w:hAnsi="Times New Roman"/>
          <w:i w:val="false"/>
          <w:iCs w:val="false"/>
          <w:sz w:val="22"/>
          <w:szCs w:val="22"/>
        </w:rPr>
        <w:t xml:space="preserve">)/(1 − p</w:t>
      </w:r>
      <w:r>
        <w:rPr>
          <w:rFonts w:ascii="Times New Roman" w:cs="Times New Roman" w:eastAsia="Times New Roman" w:hAnsi="Times New Roman"/>
          <w:i w:val="false"/>
          <w:iCs w:val="false"/>
          <w:sz w:val="22"/>
          <w:szCs w:val="22"/>
          <w:vertAlign w:val="subscript"/>
        </w:rPr>
        <w:t xml:space="preserve">e</w:t>
      </w:r>
      <w:r>
        <w:rPr>
          <w:rFonts w:ascii="Times New Roman" w:cs="Times New Roman" w:eastAsia="Times New Roman" w:hAnsi="Times New Roman"/>
          <w:i w:val="false"/>
          <w:iCs w:val="false"/>
          <w:sz w:val="22"/>
          <w:szCs w:val="22"/>
        </w:rPr>
        <w:t xml:space="preserve">),   p</w:t>
      </w:r>
      <w:r>
        <w:rPr>
          <w:rFonts w:ascii="Times New Roman" w:cs="Times New Roman" w:eastAsia="Times New Roman" w:hAnsi="Times New Roman"/>
          <w:i w:val="false"/>
          <w:iCs w:val="false"/>
          <w:sz w:val="22"/>
          <w:szCs w:val="22"/>
          <w:vertAlign w:val="subscript"/>
        </w:rPr>
        <w:t xml:space="preserve">e</w:t>
      </w:r>
      <w:r>
        <w:rPr>
          <w:rFonts w:ascii="Times New Roman" w:cs="Times New Roman" w:eastAsia="Times New Roman" w:hAnsi="Times New Roman"/>
          <w:i w:val="false"/>
          <w:iCs w:val="false"/>
          <w:sz w:val="22"/>
          <w:szCs w:val="22"/>
        </w:rPr>
        <w:t xml:space="preserve"> = [(TP + FP)(TP + FN) + (FN + TN)(FP + TN)]/N²</w:t>
      </w:r>
    </w:p>
    <w:p>
      <w:pPr>
        <w:spacing w:after="120"/>
      </w:pPr>
      <w:r>
        <w:rPr>
          <w:rFonts w:ascii="Times New Roman" w:cs="Times New Roman" w:eastAsia="Times New Roman" w:hAnsi="Times New Roman"/>
          <w:i/>
          <w:iCs/>
          <w:color w:val="52514E"/>
          <w:sz w:val="19"/>
          <w:szCs w:val="19"/>
        </w:rPr>
        <w:t xml:space="preserve">Cohen's kappa (Cohen, 1960) corrects OA for chance agreement; Se, Sp and BA as in Section 3.3.</w:t>
      </w:r>
    </w:p>
    <w:p>
      <w:pPr>
        <w:pStyle w:val="Heading2"/>
      </w:pPr>
      <w:r>
        <w:rPr>
          <w:rFonts w:ascii="Times New Roman" w:cs="Times New Roman" w:eastAsia="Times New Roman" w:hAnsi="Times New Roman"/>
        </w:rPr>
        <w:t xml:space="preserve">3.7 Step 7 – Cross-checks and software</w:t>
      </w:r>
    </w:p>
    <w:p>
      <w:pPr>
        <w:spacing w:after="120" w:line="300"/>
        <w:jc w:val="both"/>
      </w:pPr>
      <w:r>
        <w:rPr>
          <w:rFonts w:ascii="Times New Roman" w:cs="Times New Roman" w:eastAsia="Times New Roman" w:hAnsi="Times New Roman"/>
        </w:rPr>
        <w:t xml:space="preserve">Every step was verified by an independent route (Table 14): Excel formulas recompute class means, threshold accuracies and summary accuracies from the stored data; derivatives and wavelet coefficients were recomputed directly; the VIF was recomputed with statsmodels; SFFS was compared with an exhaustive search; the accuracy functions with scikit-learn; and the nested folds were checked for leakage. All references were checked against publisher or repository records. The analysis used Python 3 with NumPy, pandas, SciPy, statsmodels, scikit-learn 1.9 and PyWavelets 1.10.</w:t>
      </w:r>
    </w:p>
    <w:p>
      <w:pPr>
        <w:pStyle w:val="Heading1"/>
        <w:pageBreakBefore/>
      </w:pPr>
      <w:r>
        <w:rPr>
          <w:rFonts w:ascii="Times New Roman" w:cs="Times New Roman" w:eastAsia="Times New Roman" w:hAnsi="Times New Roman"/>
        </w:rPr>
        <w:t xml:space="preserve">4. Results</w:t>
      </w:r>
    </w:p>
    <w:p>
      <w:pPr>
        <w:pStyle w:val="Heading2"/>
      </w:pPr>
      <w:r>
        <w:rPr>
          <w:rFonts w:ascii="Times New Roman" w:cs="Times New Roman" w:eastAsia="Times New Roman" w:hAnsi="Times New Roman"/>
        </w:rPr>
        <w:t xml:space="preserve">4.1 Data quality and design</w:t>
      </w:r>
    </w:p>
    <w:p>
      <w:pPr>
        <w:spacing w:after="120" w:line="300"/>
        <w:jc w:val="both"/>
      </w:pPr>
      <w:r>
        <w:rPr>
          <w:rFonts w:ascii="Times New Roman" w:cs="Times New Roman" w:eastAsia="Times New Roman" w:hAnsi="Times New Roman"/>
        </w:rPr>
        <w:t xml:space="preserve">Class labels and varieties were identical on all four dates and agreed with the treatment file; the design was balanced (Table 1). Two properties of the data must be borne in mind when reading the results:</w:t>
      </w:r>
    </w:p>
    <w:p>
      <w:pPr>
        <w:pStyle w:val="ListParagraph"/>
        <w:numPr>
          <w:ilvl w:val="0"/>
          <w:numId w:val="3"/>
        </w:numPr>
        <w:spacing w:after="60" w:line="280"/>
        <w:jc w:val="both"/>
      </w:pPr>
      <w:r>
        <w:rPr>
          <w:rFonts w:ascii="Times New Roman" w:cs="Times New Roman" w:eastAsia="Times New Roman" w:hAnsi="Times New Roman"/>
          <w:b/>
          <w:bCs/>
        </w:rPr>
        <w:t xml:space="preserve">Measurement order and block (C9).</w:t>
      </w:r>
      <w:r>
        <w:rPr>
          <w:rFonts w:ascii="Times New Roman" w:cs="Times New Roman" w:eastAsia="Times New Roman" w:hAnsi="Times New Roman"/>
        </w:rPr>
        <w:t xml:space="preserve"> The 12 control plots form their own block and were measured first on every date (spectra 1–100). Disease is therefore partly confounded with field position and measurement time; this cannot be removed by any analysis of these data.</w:t>
      </w:r>
    </w:p>
    <w:p>
      <w:pPr>
        <w:pStyle w:val="ListParagraph"/>
        <w:numPr>
          <w:ilvl w:val="0"/>
          <w:numId w:val="3"/>
        </w:numPr>
        <w:spacing w:after="60" w:line="280"/>
        <w:jc w:val="both"/>
      </w:pPr>
      <w:r>
        <w:rPr>
          <w:rFonts w:ascii="Times New Roman" w:cs="Times New Roman" w:eastAsia="Times New Roman" w:hAnsi="Times New Roman"/>
          <w:b/>
          <w:bCs/>
        </w:rPr>
        <w:t xml:space="preserve">Duplicated indices.</w:t>
      </w:r>
      <w:r>
        <w:rPr>
          <w:rFonts w:ascii="Times New Roman" w:cs="Times New Roman" w:eastAsia="Times New Roman" w:hAnsi="Times New Roman"/>
        </w:rPr>
        <w:t xml:space="preserve"> RARSc ≡ GM2; mCARI1 ≡ MTVI1 (algebraically identical definitions; one of each pair is redundant).</w:t>
      </w:r>
    </w:p>
    <w:p>
      <w:pPr>
        <w:pStyle w:val="ListParagraph"/>
        <w:numPr>
          <w:ilvl w:val="0"/>
          <w:numId w:val="3"/>
        </w:numPr>
        <w:spacing w:after="60" w:line="280"/>
        <w:jc w:val="both"/>
      </w:pPr>
      <w:r>
        <w:rPr>
          <w:rFonts w:ascii="Times New Roman" w:cs="Times New Roman" w:eastAsia="Times New Roman" w:hAnsi="Times New Roman"/>
          <w:b/>
          <w:bCs/>
        </w:rPr>
        <w:t xml:space="preserve">Detector joins.</w:t>
      </w:r>
      <w:r>
        <w:rPr>
          <w:rFonts w:ascii="Times New Roman" w:cs="Times New Roman" w:eastAsia="Times New Roman" w:hAnsi="Times New Roman"/>
        </w:rPr>
        <w:t xml:space="preserve"> The guard zones removed spurious 'perfect' features at the detector joins (Section 3.1).</w:t>
      </w:r>
    </w:p>
    <w:p>
      <w:pPr>
        <w:keepNext/>
        <w:spacing w:after="80" w:before="200"/>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Plots, leaves and growth stages per measurement date.</w:t>
      </w:r>
    </w:p>
    <w:tbl>
      <w:tblPr>
        <w:tblW w:type="dxa" w:w="9409"/>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941"/>
        <w:gridCol w:w="941"/>
        <w:gridCol w:w="3764"/>
        <w:gridCol w:w="1411"/>
      </w:tblGrid>
      <w:tr>
        <w:trPr>
          <w:tblHeader/>
        </w:trPr>
        <w:tc>
          <w:tcPr>
            <w:tcW w:type="dxa" w:w="141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Date</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Plots healthy</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Plots diseased</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Leaf spectra</w:t>
            </w:r>
          </w:p>
        </w:tc>
        <w:tc>
          <w:tcPr>
            <w:tcW w:type="dxa" w:w="376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Growth stages</w:t>
            </w:r>
          </w:p>
        </w:tc>
        <w:tc>
          <w:tcPr>
            <w:tcW w:type="dxa" w:w="141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Spectrum no. range healthy</w:t>
            </w:r>
          </w:p>
        </w:tc>
      </w:tr>
      <w:tr>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36</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428</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Vegetative: 44; Flowering: 4</w:t>
            </w:r>
          </w:p>
        </w:tc>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1–70</w:t>
            </w:r>
          </w:p>
        </w:tc>
      </w:tr>
      <w:tr>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36</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540</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Flowering: 28; Vegetative: 20</w:t>
            </w:r>
          </w:p>
        </w:tc>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1–85</w:t>
            </w:r>
          </w:p>
        </w:tc>
      </w:tr>
      <w:tr>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36</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648</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Flowering: 44; Pod formation: 4</w:t>
            </w:r>
          </w:p>
        </w:tc>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1–100</w:t>
            </w:r>
          </w:p>
        </w:tc>
      </w:tr>
      <w:tr>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36</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648</w:t>
            </w:r>
          </w:p>
        </w:tc>
        <w:tc>
          <w:tcPr>
            <w:tcW w:type="dxa" w:w="3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Pod formation: 36; Flowering: 12</w:t>
            </w:r>
          </w:p>
        </w:tc>
        <w:tc>
          <w:tcPr>
            <w:tcW w:type="dxa" w:w="141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1–100</w:t>
            </w:r>
          </w:p>
        </w:tc>
      </w:tr>
    </w:tbl>
    <w:p>
      <w:pPr>
        <w:spacing w:after="120"/>
      </w:pPr>
    </w:p>
    <w:p>
      <w:pPr>
        <w:keepNext/>
        <w:spacing w:before="160"/>
        <w:jc w:val="center"/>
      </w:pPr>
      <w:r>
        <w:drawing>
          <wp:inline distT="0" distB="0" distL="0" distR="0">
            <wp:extent cx="5762625" cy="4248150"/>
            <wp:effectExtent t="0" r="0" b="0" l="0"/>
            <wp:docPr id="1" name="fig02_mean_spectra.png" descr="**Figure 2.** Plot-average reflectance of healthy (blue) and diseased (orange) plots on the four dates (mean ± 1 SD). Grey: excluded detector edges and detector-join guard zones." title="**Figure 2.** Plot-average reflectance of healthy (blue)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248150"/>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2.</w:t>
      </w:r>
      <w:r>
        <w:rPr>
          <w:rFonts w:ascii="Times New Roman" w:cs="Times New Roman" w:eastAsia="Times New Roman" w:hAnsi="Times New Roman"/>
          <w:sz w:val="19"/>
          <w:szCs w:val="19"/>
        </w:rPr>
        <w:t xml:space="preserve"> Plot-average reflectance of healthy (blue) and diseased (orange) plots on the four dates (mean ± 1 SD). Grey: excluded detector edges and detector-join guard zones.</w:t>
      </w:r>
    </w:p>
    <w:p>
      <w:pPr>
        <w:pStyle w:val="Heading2"/>
      </w:pPr>
      <w:r>
        <w:rPr>
          <w:rFonts w:ascii="Times New Roman" w:cs="Times New Roman" w:eastAsia="Times New Roman" w:hAnsi="Times New Roman"/>
        </w:rPr>
        <w:t xml:space="preserve">4.2 Physiological responses to white rust</w:t>
      </w:r>
    </w:p>
    <w:p>
      <w:pPr>
        <w:spacing w:after="120" w:line="300"/>
        <w:jc w:val="both"/>
      </w:pPr>
      <w:r>
        <w:rPr>
          <w:rFonts w:ascii="Times New Roman" w:cs="Times New Roman" w:eastAsia="Times New Roman" w:hAnsi="Times New Roman"/>
        </w:rPr>
        <w:t xml:space="preserve">On T1 none of the pigment proxies differed between healthy and diseased plots, but both water indices were lower in the diseased plots (WI: q = 0.049; NDWI: q = 0.006). On T2 and T3 the chlorophyll proxies CIrededge and MTCI and the red-edge position were significantly lower in the diseased plots (on T4 only CIrededge remained significant); the carotenoid index CRI1 and PRI were lower and the anthocyanin index ARI strongly higher on T2–T4; the water indices were lower again on T3 and T4 but not on T2 (Table 5, Figure 3). 22 of the 32 tests were significant after FDR correction.</w:t>
      </w:r>
    </w:p>
    <w:p>
      <w:pPr>
        <w:spacing w:after="120" w:line="300"/>
        <w:jc w:val="both"/>
      </w:pPr>
      <w:r>
        <w:rPr>
          <w:rFonts w:ascii="Times New Roman" w:cs="Times New Roman" w:eastAsia="Times New Roman" w:hAnsi="Times New Roman"/>
        </w:rPr>
        <w:t xml:space="preserve">This is the same pattern that Tian et al. (2021) measured for rice blast – loss of chlorophyll and carotenoids, a contrary increase in anthocyanins and a later loss of water – except that the water signal appeared first here. An early water signal is consistent with the biology of white rust, whose pustules rupture the epidermis and increase transpiration losses, but the controls' separate block and measurement order (C9) could also contribute to an early difference and the finding should be confirmed in a randomised layout.</w:t>
      </w:r>
    </w:p>
    <w:p>
      <w:pPr>
        <w:keepNext/>
        <w:spacing w:after="80" w:before="200"/>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Healthy vs diseased plots for the physiological proxies (decision rule of Tian et al., 2021, plus BH-FDR).</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1035"/>
        <w:gridCol w:w="1223"/>
        <w:gridCol w:w="2070"/>
        <w:gridCol w:w="1317"/>
        <w:gridCol w:w="847"/>
        <w:gridCol w:w="847"/>
        <w:gridCol w:w="752"/>
        <w:gridCol w:w="1317"/>
      </w:tblGrid>
      <w:tr>
        <w:trPr>
          <w:tblHeader/>
        </w:trPr>
        <w:tc>
          <w:tcPr>
            <w:tcW w:type="dxa" w:w="103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Date</w:t>
            </w:r>
          </w:p>
        </w:tc>
        <w:tc>
          <w:tcPr>
            <w:tcW w:type="dxa" w:w="1223"/>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Proxy</w:t>
            </w:r>
          </w:p>
        </w:tc>
        <w:tc>
          <w:tcPr>
            <w:tcW w:type="dxa" w:w="2070"/>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Constituent</w:t>
            </w:r>
          </w:p>
        </w:tc>
        <w:tc>
          <w:tcPr>
            <w:tcW w:type="dxa" w:w="1317"/>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Test</w:t>
            </w:r>
          </w:p>
        </w:tc>
        <w:tc>
          <w:tcPr>
            <w:tcW w:type="dxa" w:w="847"/>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p</w:t>
            </w:r>
          </w:p>
        </w:tc>
        <w:tc>
          <w:tcPr>
            <w:tcW w:type="dxa" w:w="847"/>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q (BH)</w:t>
            </w:r>
          </w:p>
        </w:tc>
        <w:tc>
          <w:tcPr>
            <w:tcW w:type="dxa" w:w="75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Hedges g</w:t>
            </w:r>
          </w:p>
        </w:tc>
        <w:tc>
          <w:tcPr>
            <w:tcW w:type="dxa" w:w="1317"/>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Direction</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CIrededge</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7.0e-01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8.0e-01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-0.13</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MTCI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8.4e-01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9.0e-01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+0.07</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CRI1</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Carotenoids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1.7e-01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2.2e-01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+0.48</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Anthocyanins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2.8e-01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3.5e-01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+0.36</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Xanthophyll / photosynthetic efficiency</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9.5e-01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9.5e-01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+0.02</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3.3e-02</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4.9e-02</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-0.72</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NDWI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3.9e-03</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6.3e-03</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-1.00</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T1 (11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REIP (4-point)</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 (red-edge position)</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8.4e-01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9.0e-01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+0.07</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CIrededge</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3.9e-06</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1.0e-05</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-1.72</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MTCI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1.5e-05</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3.3e-05</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-1.58</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CRI1</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Carotenoids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3.2e-03</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5.4e-03</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-1.02</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Anthocyanins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2.1e-09</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1.1e-08</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+2.44</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Xanthophyll / photosynthetic efficiency</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1.8e-06</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5.9e-06</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-1.79</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4.5e-01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5.4e-01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-0.25</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NDWI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8.7e-01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9.0e-01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-0.05</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T2 (24 Feb)</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REIP (4-point)</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 (red-edge position)</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3.6e-05</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6.7e-05</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-1.51</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CIrededge</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2.1e-10</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1.3e-09</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-2.66</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MTCI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4.4e-12</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9.2e-11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-3.07</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CRI1</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Carotenoids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3.3e-05</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6.6e-05</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-1.51</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Anthocyanins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1.6e-10</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1.3e-09</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+2.68</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Xanthophyll / photosynthetic efficiency</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5.7e-11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6.0e-10</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-2.78</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Mann-Whitney U</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3.6e-06</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1.0e-05</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-1.85</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NDWI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Mann-Whitney U</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4.1e-06</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1.0e-05</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-1.75</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T3 (3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REIP (4-point)</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 (red-edge position)</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3.3e-08</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1.5e-07</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-2.21</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CIrededge</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1.8e-02</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2.7e-02</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-0.81</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MTCI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1.3e-01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-0.50</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CRI1</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Carotenoids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1.8e-04</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3.2e-04</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-1.34</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Anthocyanins</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5.7e-12</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9.2e-11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+3.01</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higher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PRI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Xanthophyll / photosynthetic efficiency</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7.7e-06</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1.8e-05</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-1.65</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3.0e-07</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1.2e-06</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-1.98</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NDWI</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Water</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1.8e-06</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5.9e-06</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-1.79</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r>
        <w:tc>
          <w:tcPr>
            <w:tcW w:type="dxa" w:w="103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T4 (13 Mar)</w:t>
            </w:r>
          </w:p>
        </w:tc>
        <w:tc>
          <w:tcPr>
            <w:tcW w:type="dxa" w:w="122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REIP (4-point)</w:t>
            </w:r>
          </w:p>
        </w:tc>
        <w:tc>
          <w:tcPr>
            <w:tcW w:type="dxa" w:w="2070"/>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Chlorophyll (red-edge position)</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Student t</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1.8e-01</w:t>
            </w:r>
          </w:p>
        </w:tc>
        <w:tc>
          <w:tcPr>
            <w:tcW w:type="dxa" w:w="84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2.3e-01</w:t>
            </w:r>
          </w:p>
        </w:tc>
        <w:tc>
          <w:tcPr>
            <w:tcW w:type="dxa" w:w="75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-0.45</w:t>
            </w:r>
          </w:p>
        </w:tc>
        <w:tc>
          <w:tcPr>
            <w:tcW w:type="dxa" w:w="13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lower in diseased</w:t>
            </w:r>
          </w:p>
        </w:tc>
      </w:tr>
    </w:tbl>
    <w:p>
      <w:pPr>
        <w:spacing w:after="120"/>
      </w:pPr>
    </w:p>
    <w:p>
      <w:pPr>
        <w:keepNext/>
        <w:spacing w:before="160"/>
        <w:jc w:val="center"/>
      </w:pPr>
      <w:r>
        <w:drawing>
          <wp:inline distT="0" distB="0" distL="0" distR="0">
            <wp:extent cx="5762625" cy="2914650"/>
            <wp:effectExtent t="0" r="0" b="0" l="0"/>
            <wp:docPr id="1" name="fig06_physiology_boxplots.png" descr="**Figure 3.** Physiological proxies of healthy (blue) and diseased (orange) plots on T1–T4 (analogue of Tian et al., 2021, Fig. 4). Stars: BH-adjusted q &lt; 0.05 (∗), &lt; 0.01 (∗∗), &lt; 0.001 (∗∗∗); ns = not significant. Boxes show all plots; the tests exclude median ± 3 MAD outliers." title="**Figure 3.** Physiological proxies of healthy (blue) and 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14650"/>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3.</w:t>
      </w:r>
      <w:r>
        <w:rPr>
          <w:rFonts w:ascii="Times New Roman" w:cs="Times New Roman" w:eastAsia="Times New Roman" w:hAnsi="Times New Roman"/>
          <w:sz w:val="19"/>
          <w:szCs w:val="19"/>
        </w:rPr>
        <w:t xml:space="preserve"> Physiological proxies of healthy (blue) and diseased (orange) plots on T1–T4 (analogue of Tian et al., 2021, Fig. 4). Stars: BH-adjusted q &lt; 0.05 (∗), &lt; 0.01 (∗∗), &lt; 0.001 (∗∗∗); ns = not significant. Boxes show all plots; the tests exclude median ± 3 MAD outliers.</w:t>
      </w:r>
    </w:p>
    <w:p>
      <w:pPr>
        <w:pStyle w:val="Heading2"/>
      </w:pPr>
      <w:r>
        <w:rPr>
          <w:rFonts w:ascii="Times New Roman" w:cs="Times New Roman" w:eastAsia="Times New Roman" w:hAnsi="Times New Roman"/>
        </w:rPr>
        <w:t xml:space="preserve">4.3 Spectral separability</w:t>
      </w:r>
    </w:p>
    <w:p>
      <w:pPr>
        <w:spacing w:after="120" w:line="300"/>
        <w:jc w:val="both"/>
      </w:pPr>
      <w:r>
        <w:rPr>
          <w:rFonts w:ascii="Times New Roman" w:cs="Times New Roman" w:eastAsia="Times New Roman" w:hAnsi="Times New Roman"/>
        </w:rPr>
        <w:t xml:space="preserve">Separability increased from T1 to T3 for most features (Figures 5–9). On T1 the most separable regions were the visible bands (400–650 nm) and the NIR plateau slope (800–900 nm, first derivative); on T2 the red and red-edge region (580–720 nm) dominated; on T3 almost every region separated the classes (the 95th percentile of BA exceeded 0.9 for reflectance) and on T4 the SWIR regions (1400–2350 nm) were most separable. This shift with date mirrors the shift in Tian et al. (2021) from pigment-related VIS features early to water-related SWIR features late.</w:t>
      </w:r>
    </w:p>
    <w:p>
      <w:pPr>
        <w:keepNext/>
        <w:spacing w:before="160"/>
        <w:jc w:val="center"/>
      </w:pPr>
      <w:r>
        <w:drawing>
          <wp:inline distT="0" distB="0" distL="0" distR="0">
            <wp:extent cx="4324350" cy="2638425"/>
            <wp:effectExtent t="0" r="0" b="0" l="0"/>
            <wp:docPr id="1" name="fig03_threshold_concept.png" descr="**Figure 4.** Thresholding separability (analogue of Tian et al., 2021, Fig. 3): PRI of the 48 plots on T3, class means Mh and Mi and the optimal threshold." title="**Figure 4.** Thresholding separability (analogue of Tian 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26384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4.</w:t>
      </w:r>
      <w:r>
        <w:rPr>
          <w:rFonts w:ascii="Times New Roman" w:cs="Times New Roman" w:eastAsia="Times New Roman" w:hAnsi="Times New Roman"/>
          <w:sz w:val="19"/>
          <w:szCs w:val="19"/>
        </w:rPr>
        <w:t xml:space="preserve"> Thresholding separability (analogue of Tian et al., 2021, Fig. 3): PRI of the 48 plots on T3, class means Mh and Mi and the optimal threshold.</w:t>
      </w:r>
    </w:p>
    <w:p>
      <w:pPr>
        <w:keepNext/>
        <w:spacing w:before="160"/>
        <w:jc w:val="center"/>
      </w:pPr>
      <w:r>
        <w:drawing>
          <wp:inline distT="0" distB="0" distL="0" distR="0">
            <wp:extent cx="5762625" cy="1876425"/>
            <wp:effectExtent t="0" r="0" b="0" l="0"/>
            <wp:docPr id="1" name="fig04_scalogram_R.png" descr="**Figure 5.** Classification scalogram of the reflectance bands (analogue of Tian et al., 2021, Fig. 6). Shade = balanced accuracy; orange ticks = top 5 % on each date; bottom row = features common to k^*^ dates; ▼ = region representatives." title="**Figure 5.** Classification scalogram of the reflectance 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8764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5.</w:t>
      </w:r>
      <w:r>
        <w:rPr>
          <w:rFonts w:ascii="Times New Roman" w:cs="Times New Roman" w:eastAsia="Times New Roman" w:hAnsi="Times New Roman"/>
          <w:sz w:val="19"/>
          <w:szCs w:val="19"/>
        </w:rPr>
        <w:t xml:space="preserve"> Classification scalogram of the reflectance bands (analogue of Tian et al., 2021, Fig. 6). Shade = balanced accuracy; orange ticks = top 5 % on each date; bottom row = features common to k</w:t>
      </w:r>
      <w:r>
        <w:rPr>
          <w:rFonts w:ascii="Times New Roman" w:cs="Times New Roman" w:eastAsia="Times New Roman" w:hAnsi="Times New Roman"/>
          <w:sz w:val="19"/>
          <w:szCs w:val="19"/>
          <w:vertAlign w:val="superscript"/>
        </w:rPr>
        <w:t xml:space="preserve">*</w:t>
      </w:r>
      <w:r>
        <w:rPr>
          <w:rFonts w:ascii="Times New Roman" w:cs="Times New Roman" w:eastAsia="Times New Roman" w:hAnsi="Times New Roman"/>
          <w:sz w:val="19"/>
          <w:szCs w:val="19"/>
        </w:rPr>
        <w:t xml:space="preserve"> dates; ▼ = region representatives.</w:t>
      </w:r>
    </w:p>
    <w:p>
      <w:pPr>
        <w:keepNext/>
        <w:spacing w:before="160"/>
        <w:jc w:val="center"/>
      </w:pPr>
      <w:r>
        <w:drawing>
          <wp:inline distT="0" distB="0" distL="0" distR="0">
            <wp:extent cx="5762625" cy="1876425"/>
            <wp:effectExtent t="0" r="0" b="0" l="0"/>
            <wp:docPr id="1" name="fig04_scalogram_D1.png" descr="**Figure 6.** Classification scalogram of the first derivatives (analogue of Tian et al., 2021, Fig. 6). Shade = balanced accuracy; orange ticks = top 5 % on each date; bottom row = features common to k^*^ dates; ▼ = region representatives." title="**Figure 6.** Classification scalogram of the first deriv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8764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6.</w:t>
      </w:r>
      <w:r>
        <w:rPr>
          <w:rFonts w:ascii="Times New Roman" w:cs="Times New Roman" w:eastAsia="Times New Roman" w:hAnsi="Times New Roman"/>
          <w:sz w:val="19"/>
          <w:szCs w:val="19"/>
        </w:rPr>
        <w:t xml:space="preserve"> Classification scalogram of the first derivatives (analogue of Tian et al., 2021, Fig. 6). Shade = balanced accuracy; orange ticks = top 5 % on each date; bottom row = features common to k</w:t>
      </w:r>
      <w:r>
        <w:rPr>
          <w:rFonts w:ascii="Times New Roman" w:cs="Times New Roman" w:eastAsia="Times New Roman" w:hAnsi="Times New Roman"/>
          <w:sz w:val="19"/>
          <w:szCs w:val="19"/>
          <w:vertAlign w:val="superscript"/>
        </w:rPr>
        <w:t xml:space="preserve">*</w:t>
      </w:r>
      <w:r>
        <w:rPr>
          <w:rFonts w:ascii="Times New Roman" w:cs="Times New Roman" w:eastAsia="Times New Roman" w:hAnsi="Times New Roman"/>
          <w:sz w:val="19"/>
          <w:szCs w:val="19"/>
        </w:rPr>
        <w:t xml:space="preserve"> dates; ▼ = region representatives.</w:t>
      </w:r>
    </w:p>
    <w:p>
      <w:pPr>
        <w:keepNext/>
        <w:spacing w:before="160"/>
        <w:jc w:val="center"/>
      </w:pPr>
      <w:r>
        <w:drawing>
          <wp:inline distT="0" distB="0" distL="0" distR="0">
            <wp:extent cx="5762625" cy="1876425"/>
            <wp:effectExtent t="0" r="0" b="0" l="0"/>
            <wp:docPr id="1" name="fig04_scalogram_D2.png" descr="**Figure 7.** Classification scalogram of the second derivatives." title="**Figure 7.** Classification scalogram of the second deriv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8764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7.</w:t>
      </w:r>
      <w:r>
        <w:rPr>
          <w:rFonts w:ascii="Times New Roman" w:cs="Times New Roman" w:eastAsia="Times New Roman" w:hAnsi="Times New Roman"/>
          <w:sz w:val="19"/>
          <w:szCs w:val="19"/>
        </w:rPr>
        <w:t xml:space="preserve"> Classification scalogram of the second derivatives.</w:t>
      </w:r>
    </w:p>
    <w:p>
      <w:pPr>
        <w:keepNext/>
        <w:spacing w:before="160"/>
        <w:jc w:val="center"/>
      </w:pPr>
      <w:r>
        <w:drawing>
          <wp:inline distT="0" distB="0" distL="0" distR="0">
            <wp:extent cx="5762625" cy="1876425"/>
            <wp:effectExtent t="0" r="0" b="0" l="0"/>
            <wp:docPr id="1" name="fig04_scalogram_D3.png" descr="**Figure 8.** Classification scalogram of the third derivatives." title="**Figure 8.** Classification scalogram of the third deriv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8764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8.</w:t>
      </w:r>
      <w:r>
        <w:rPr>
          <w:rFonts w:ascii="Times New Roman" w:cs="Times New Roman" w:eastAsia="Times New Roman" w:hAnsi="Times New Roman"/>
          <w:sz w:val="19"/>
          <w:szCs w:val="19"/>
        </w:rPr>
        <w:t xml:space="preserve"> Classification scalogram of the third derivatives.</w:t>
      </w:r>
    </w:p>
    <w:p>
      <w:pPr>
        <w:keepNext/>
        <w:spacing w:before="160"/>
        <w:jc w:val="center"/>
      </w:pPr>
      <w:r>
        <w:drawing>
          <wp:inline distT="0" distB="0" distL="0" distR="0">
            <wp:extent cx="5762625" cy="4886325"/>
            <wp:effectExtent t="0" r="0" b="0" l="0"/>
            <wp:docPr id="1" name="fig05_scalogram_CWT.png" descr="**Figure 9.** Classification scalograms of the wavelet coefficients, scales 3–8 (analogue of Tian et al., 2021, Fig. 7)." title="**Figure 9.** Classification scalograms of the wavelet co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8863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9.</w:t>
      </w:r>
      <w:r>
        <w:rPr>
          <w:rFonts w:ascii="Times New Roman" w:cs="Times New Roman" w:eastAsia="Times New Roman" w:hAnsi="Times New Roman"/>
          <w:sz w:val="19"/>
          <w:szCs w:val="19"/>
        </w:rPr>
        <w:t xml:space="preserve"> Classification scalograms of the wavelet coefficients, scales 3–8 (analogue of Tian et al., 2021, Fig. 7).</w:t>
      </w:r>
    </w:p>
    <w:p>
      <w:pPr>
        <w:pStyle w:val="Heading2"/>
      </w:pPr>
      <w:r>
        <w:rPr>
          <w:rFonts w:ascii="Times New Roman" w:cs="Times New Roman" w:eastAsia="Times New Roman" w:hAnsi="Times New Roman"/>
        </w:rPr>
        <w:t xml:space="preserve">4.4 Disease-specific spectral features and collinearity reduction</w:t>
      </w:r>
    </w:p>
    <w:p>
      <w:pPr>
        <w:spacing w:after="120" w:line="300"/>
        <w:jc w:val="both"/>
      </w:pPr>
      <w:r>
        <w:rPr>
          <w:rFonts w:ascii="Times New Roman" w:cs="Times New Roman" w:eastAsia="Times New Roman" w:hAnsi="Times New Roman"/>
        </w:rPr>
        <w:t xml:space="preserve">The consistency level k</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reached was 2 dates for reflectance bands, 3 dates for first derivatives, 4 dates for second derivatives, 4 dates for third derivatives, 3 dates for wavelet coefficients. Together with the union of the per-date top-10 % scalar features this gave 85 candidate DSSFs; after removal of 1 exact duplicate and iterative VIF reduction, </w:t>
      </w:r>
      <w:r>
        <w:rPr>
          <w:rFonts w:ascii="Times New Roman" w:cs="Times New Roman" w:eastAsia="Times New Roman" w:hAnsi="Times New Roman"/>
          <w:b/>
          <w:bCs/>
        </w:rPr>
        <w:t xml:space="preserve">16 DSSFs</w:t>
      </w:r>
      <w:r>
        <w:rPr>
          <w:rFonts w:ascii="Times New Roman" w:cs="Times New Roman" w:eastAsia="Times New Roman" w:hAnsi="Times New Roman"/>
        </w:rPr>
        <w:t xml:space="preserve"> remained, all with VIF &lt; 10 (largest 7.68; Table 6, Figure 10). The plain 'drop the largest VIF' rule would have kept 25 features but would have discarded every reflectance band and the most separable indices (HI, ARI, Lic) while keeping weakly separable ones.</w:t>
      </w:r>
    </w:p>
    <w:p>
      <w:pPr>
        <w:keepNext/>
        <w:spacing w:after="80" w:before="200"/>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The final pool of disease-specific spectral features (analogue of Tian et al., 2021, Table 2).</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621"/>
        <w:gridCol w:w="1598"/>
        <w:gridCol w:w="1154"/>
        <w:gridCol w:w="1154"/>
        <w:gridCol w:w="532"/>
        <w:gridCol w:w="532"/>
        <w:gridCol w:w="443"/>
        <w:gridCol w:w="3374"/>
      </w:tblGrid>
      <w:tr>
        <w:trPr>
          <w:tblHeader/>
        </w:trPr>
        <w:tc>
          <w:tcPr>
            <w:tcW w:type="dxa" w:w="62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Code</w:t>
            </w:r>
          </w:p>
        </w:tc>
        <w:tc>
          <w:tcPr>
            <w:tcW w:type="dxa" w:w="1598"/>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Feature</w:t>
            </w:r>
          </w:p>
        </w:tc>
        <w:tc>
          <w:tcPr>
            <w:tcW w:type="dxa" w:w="115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Family</w:t>
            </w:r>
          </w:p>
        </w:tc>
        <w:tc>
          <w:tcPr>
            <w:tcW w:type="dxa" w:w="115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Region</w:t>
            </w:r>
          </w:p>
        </w:tc>
        <w:tc>
          <w:tcPr>
            <w:tcW w:type="dxa" w:w="53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Dates in top</w:t>
            </w:r>
          </w:p>
        </w:tc>
        <w:tc>
          <w:tcPr>
            <w:tcW w:type="dxa" w:w="53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Mean BA</w:t>
            </w:r>
          </w:p>
        </w:tc>
        <w:tc>
          <w:tcPr>
            <w:tcW w:type="dxa" w:w="443"/>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VIF</w:t>
            </w:r>
          </w:p>
        </w:tc>
        <w:tc>
          <w:tcPr>
            <w:tcW w:type="dxa" w:w="337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Physical meaning</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R_641</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Reflectance band</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R_641 … R_646</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0.823</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4.82</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Red reflectance at 641 nm, shoulder of the chlorophyll a/b red absorption; rises when chlorophyll is lost</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F2</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D1_852</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First derivative</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D1_852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0.906</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3.14</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Slope of the NIR plateau at 852 nm; governed by mesophyll (intercellular) scattering - cf. WF850 of Tian et al. (2021)</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F3</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D2_1350</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Second derivative</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D2_1350</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4</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0.917</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2.14</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Curvature at the onset of the 1400-nm water absorption band (leaf water)</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F4</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S3_1736</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coefficient (CWT, Mexican hat)</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S3_1735 … S3_1736</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0.924</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5.35</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feature (scale 3) at 1736 nm; C-H absorption of lignin/cellulose/protein near 1730 nm (Kokaly and Clark, 1999)</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F5</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S3_1752</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coefficient (CWT, Mexican hat)</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S3_1752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0.858</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3.33</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feature (scale 3) at 1752 nm; C-H / cellulose-lignin absorption region (cf. NDLI band 1754 nm)</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F6</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S3_1932</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coefficient (CWT, Mexican hat)</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S3_1921 … S3_1942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0.927</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7.68</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feature (scale 3) at 1932 nm; centre of the 1940-nm leaf-water absorption</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F7</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S3_2318</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coefficient (CWT, Mexican hat)</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S3_2318</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0.906</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4.58</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feature (scale 3) at 2318 nm; protein/cellulose absorption near 2.30 um (Kokaly and Clark, 1999)</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F8</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S4_634</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coefficient (CWT, Mexican hat)</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S4_633 … S4_641</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0.892</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5.08</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feature (scale 4) at 634 nm; local shape of the yellow-red (chlorophyll) absorption edge - cf. WF608 of Tian et al. (2021)</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F9</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S5_1875</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coefficient (CWT, Mexican hat)</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S5_1872 … S5_1876</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0.906</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6.80</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Wavelet feature (scale 5) at 1875 nm; short-wave shoulder of the 1940-nm water band</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F10</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ARI2</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Vegetation index</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0.878</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6.24</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Modified anthocyanin reflectance index R800(1/R550 - 1/R700); anthocyanin accumulation (Gitelson et al., 2001)</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F11</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Lic</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Vegetation index</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0.865</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4.33</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Blue/red reflectance ratio R440/R690 (after the F440/F690 stress ratio of Lichtenthaler et al., 1996)</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F12</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CR6 1721–2304 nm: left area (nm)</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Continuum-removal parameter</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0.882</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3.12</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Continuum-removed area of the 1940-nm water band, short-wave side</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F13</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CR3 914–1069 nm: depth / area (1/nm)</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Continuum-removal parameter</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0.806</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3.21</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Band-depth / area of the 970-nm water band (shape of the weak water absorption)</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F14</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CR6 1721–2304 nm: right area (nm)</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Continuum-removal parameter</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0.868</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7.16</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Continuum-removed area of the 1940-nm water band, long-wave side</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F15</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CR1 400–548 nm: right area (nm)</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Continuum-removal parameter</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0.681</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1.70</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Continuum-removed area of the blue (carotenoid + chlorophyll) absorption, long-wave side</w:t>
            </w:r>
          </w:p>
        </w:tc>
      </w:tr>
      <w:tr>
        <w:tc>
          <w:tcPr>
            <w:tcW w:type="dxa" w:w="62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F16</w:t>
            </w:r>
          </w:p>
        </w:tc>
        <w:tc>
          <w:tcPr>
            <w:tcW w:type="dxa" w:w="159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Blue-edge position λb (nm)</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Red-edge parameter</w:t>
            </w:r>
          </w:p>
        </w:tc>
        <w:tc>
          <w:tcPr>
            <w:tcW w:type="dxa" w:w="115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5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0.625</w:t>
            </w:r>
          </w:p>
        </w:tc>
        <w:tc>
          <w:tcPr>
            <w:tcW w:type="dxa" w:w="4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1.24</w:t>
            </w:r>
          </w:p>
        </w:tc>
        <w:tc>
          <w:tcPr>
            <w:tcW w:type="dxa" w:w="337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Wavelength of the maximum first derivative in 490-530 nm (Gong et al., 2002)</w:t>
            </w:r>
          </w:p>
        </w:tc>
      </w:tr>
    </w:tbl>
    <w:p>
      <w:pPr>
        <w:spacing w:after="120"/>
      </w:pPr>
    </w:p>
    <w:p>
      <w:pPr>
        <w:keepNext/>
        <w:spacing w:before="160"/>
        <w:jc w:val="center"/>
      </w:pPr>
      <w:r>
        <w:drawing>
          <wp:inline distT="0" distB="0" distL="0" distR="0">
            <wp:extent cx="4676775" cy="2619375"/>
            <wp:effectExtent t="0" r="0" b="0" l="0"/>
            <wp:docPr id="1" name="fig07_vif.png" descr="**Figure 10.** Variance inflation factors of the final 16 DSSFs." title="**Figure 10.** Variance inflation factors of the final 16 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261937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10.</w:t>
      </w:r>
      <w:r>
        <w:rPr>
          <w:rFonts w:ascii="Times New Roman" w:cs="Times New Roman" w:eastAsia="Times New Roman" w:hAnsi="Times New Roman"/>
          <w:sz w:val="19"/>
          <w:szCs w:val="19"/>
        </w:rPr>
        <w:t xml:space="preserve"> Variance inflation factors of the final 16 DSSFs.</w:t>
      </w:r>
    </w:p>
    <w:p>
      <w:pPr>
        <w:spacing w:after="120" w:line="300"/>
        <w:jc w:val="both"/>
      </w:pPr>
      <w:r>
        <w:rPr>
          <w:rFonts w:ascii="Times New Roman" w:cs="Times New Roman" w:eastAsia="Times New Roman" w:hAnsi="Times New Roman"/>
        </w:rPr>
        <w:t xml:space="preserve">The pool contains features of every family and of every main absorption process: pigment absorption in the red (F1 R</w:t>
      </w:r>
      <w:r>
        <w:rPr>
          <w:rFonts w:ascii="Times New Roman" w:cs="Times New Roman" w:eastAsia="Times New Roman" w:hAnsi="Times New Roman"/>
          <w:vertAlign w:val="subscript"/>
        </w:rPr>
        <w:t xml:space="preserve">641</w:t>
      </w:r>
      <w:r>
        <w:rPr>
          <w:rFonts w:ascii="Times New Roman" w:cs="Times New Roman" w:eastAsia="Times New Roman" w:hAnsi="Times New Roman"/>
        </w:rPr>
        <w:t xml:space="preserve">, F8 wavelet at 634 nm, F11 Lic), the anthocyanin index ARI2 (F10), the NIR plateau slope (F2, first derivative at 852 nm), water absorptions at 970 nm (F13), 1350–1400 nm (F3) and 1940 nm (F6, F9, F12, F14), and C–H absorptions of dry matter near 1730–1750 nm and 2300 nm (F4, F5, F7). Two of these closely match the optimal wavelet features of Tian et al. (2021): the NIR slope near 850 nm (their WF</w:t>
      </w:r>
      <w:r>
        <w:rPr>
          <w:rFonts w:ascii="Times New Roman" w:cs="Times New Roman" w:eastAsia="Times New Roman" w:hAnsi="Times New Roman"/>
          <w:vertAlign w:val="subscript"/>
        </w:rPr>
        <w:t xml:space="preserve">850,4</w:t>
      </w:r>
      <w:r>
        <w:rPr>
          <w:rFonts w:ascii="Times New Roman" w:cs="Times New Roman" w:eastAsia="Times New Roman" w:hAnsi="Times New Roman"/>
        </w:rPr>
        <w:t xml:space="preserve"> and WF</w:t>
      </w:r>
      <w:r>
        <w:rPr>
          <w:rFonts w:ascii="Times New Roman" w:cs="Times New Roman" w:eastAsia="Times New Roman" w:hAnsi="Times New Roman"/>
          <w:vertAlign w:val="subscript"/>
        </w:rPr>
        <w:t xml:space="preserve">866,5</w:t>
      </w:r>
      <w:r>
        <w:rPr>
          <w:rFonts w:ascii="Times New Roman" w:cs="Times New Roman" w:eastAsia="Times New Roman" w:hAnsi="Times New Roman"/>
        </w:rPr>
        <w:t xml:space="preserve">) and the yellow–red edge near 610–640 nm (their WF</w:t>
      </w:r>
      <w:r>
        <w:rPr>
          <w:rFonts w:ascii="Times New Roman" w:cs="Times New Roman" w:eastAsia="Times New Roman" w:hAnsi="Times New Roman"/>
          <w:vertAlign w:val="subscript"/>
        </w:rPr>
        <w:t xml:space="preserve">608,5</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4.5 ML-SFFS classification – paper-faithful (procedure A)</w:t>
      </w:r>
    </w:p>
    <w:p>
      <w:pPr>
        <w:spacing w:after="120" w:line="300"/>
        <w:jc w:val="both"/>
      </w:pPr>
      <w:r>
        <w:rPr>
          <w:rFonts w:ascii="Times New Roman" w:cs="Times New Roman" w:eastAsia="Times New Roman" w:hAnsi="Times New Roman"/>
        </w:rPr>
        <w:t xml:space="preserve">With the paper's procedure, one to four DSSFs (on average 1.1–3.7) were enough to separate healthy from diseased plots almost perfectly on every date (Table 7). The mean OA ranged from 94.9 % (LDA, T1) to 100 %, and the SVM reached at least 99.7 % on every date, matching Tian et al.'s finding that SVM-SFFS was the best of the three classifiers. Feature selection improved on the use of all DSSFs most on T1 (gain 6.9–8.0 percentage points, Table 8, Figure 11), as in Tian et al. (2021), whose SVM-SFFS exceeded SVM-all by about 10 % at the early stages.</w:t>
      </w:r>
    </w:p>
    <w:p>
      <w:pPr>
        <w:keepNext/>
        <w:spacing w:after="80" w:before="200"/>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Paper-faithful ML-SFFS: optimal feature combination and accuracy (4-fold CV × 100; analogue of Tian et al., 2021, Table 3).</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1232"/>
        <w:gridCol w:w="896"/>
        <w:gridCol w:w="1792"/>
        <w:gridCol w:w="1008"/>
        <w:gridCol w:w="1008"/>
        <w:gridCol w:w="896"/>
        <w:gridCol w:w="784"/>
        <w:gridCol w:w="896"/>
        <w:gridCol w:w="896"/>
      </w:tblGrid>
      <w:tr>
        <w:trPr>
          <w:tblHeader/>
        </w:trPr>
        <w:tc>
          <w:tcPr>
            <w:tcW w:type="dxa" w:w="123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Date</w:t>
            </w:r>
          </w:p>
        </w:tc>
        <w:tc>
          <w:tcPr>
            <w:tcW w:type="dxa" w:w="89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Classifier</w:t>
            </w:r>
          </w:p>
        </w:tc>
        <w:tc>
          <w:tcPr>
            <w:tcW w:type="dxa" w:w="179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Most frequent OFC</w:t>
            </w:r>
          </w:p>
        </w:tc>
        <w:tc>
          <w:tcPr>
            <w:tcW w:type="dxa" w:w="1008"/>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OFC frequency (%)</w:t>
            </w:r>
          </w:p>
        </w:tc>
        <w:tc>
          <w:tcPr>
            <w:tcW w:type="dxa" w:w="1008"/>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no. of features</w:t>
            </w:r>
          </w:p>
        </w:tc>
        <w:tc>
          <w:tcPr>
            <w:tcW w:type="dxa" w:w="89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OA</w:t>
            </w:r>
          </w:p>
        </w:tc>
        <w:tc>
          <w:tcPr>
            <w:tcW w:type="dxa" w:w="78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SD OA</w:t>
            </w:r>
          </w:p>
        </w:tc>
        <w:tc>
          <w:tcPr>
            <w:tcW w:type="dxa" w:w="89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BA</w:t>
            </w:r>
          </w:p>
        </w:tc>
        <w:tc>
          <w:tcPr>
            <w:tcW w:type="dxa" w:w="89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kappa</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F5</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48</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2.24</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94.9</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1.6</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95.6</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0.871</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F5, F13</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18</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3.14</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97.4</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97.6</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0.933</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F5, F8, F13</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30</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2.89</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0.7</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99.6</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0.993</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 F8</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61</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2.38</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0.991</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 F8</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2.01</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 F8</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67</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2.05</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 F4</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52</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2.09</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F13</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33</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1.69</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F5</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81</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1.15</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F1, F8, F13</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26</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3.62</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99.9</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0.5</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99.8</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0.997</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F9, F13</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38</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2.71</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r>
      <w:tr>
        <w:tc>
          <w:tcPr>
            <w:tcW w:type="dxa" w:w="123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79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F1, F3, F4, F13</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30</w:t>
            </w:r>
          </w:p>
        </w:tc>
        <w:tc>
          <w:tcPr>
            <w:tcW w:type="dxa" w:w="1008"/>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3.72</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78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89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r>
    </w:tbl>
    <w:p>
      <w:pPr>
        <w:spacing w:after="200" w:before="40"/>
      </w:pPr>
      <w:r>
        <w:rPr>
          <w:rFonts w:ascii="Times New Roman" w:cs="Times New Roman" w:eastAsia="Times New Roman" w:hAnsi="Times New Roman"/>
          <w:i/>
          <w:iCs/>
          <w:color w:val="52514E"/>
          <w:sz w:val="17"/>
          <w:szCs w:val="17"/>
        </w:rPr>
        <w:t xml:space="preserve">OA, SD OA and BA in %; OFC frequency = % of the 100 repetitions in which the most frequent OFC was selected. Codes F1–F16 as in Table 6.</w:t>
      </w:r>
    </w:p>
    <w:p>
      <w:pPr>
        <w:keepNext/>
        <w:spacing w:after="80" w:before="200"/>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SFFS-selected features vs all 16 DSSFs (procedure A; analogue of Tian et al., 2021, Fig. 8).</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1176"/>
        <w:gridCol w:w="1176"/>
        <w:gridCol w:w="1176"/>
        <w:gridCol w:w="1176"/>
        <w:gridCol w:w="1176"/>
        <w:gridCol w:w="1176"/>
        <w:gridCol w:w="1176"/>
        <w:gridCol w:w="1176"/>
      </w:tblGrid>
      <w:tr>
        <w:trPr>
          <w:tblHeader/>
        </w:trPr>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Date</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Classifier</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SFFS OA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All-DSSF OA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Gain OA (pp)</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SFFS BA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All-DSSF BA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Gain BA (pp)</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85.4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10.2</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90.5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5.4</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8.5</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3.9</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1.8</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0.5</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0.4</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0.1</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4.4</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3.4</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1.9</w:t>
            </w:r>
          </w:p>
        </w:tc>
      </w:tr>
    </w:tbl>
    <w:p>
      <w:pPr>
        <w:spacing w:after="120"/>
      </w:pPr>
    </w:p>
    <w:p>
      <w:pPr>
        <w:keepNext/>
        <w:spacing w:before="160"/>
        <w:jc w:val="center"/>
      </w:pPr>
      <w:r>
        <w:drawing>
          <wp:inline distT="0" distB="0" distL="0" distR="0">
            <wp:extent cx="5762625" cy="1781175"/>
            <wp:effectExtent t="0" r="0" b="0" l="0"/>
            <wp:docPr id="1" name="fig08_sffs_vs_all.png" descr="**Figure 11.** Overall accuracy with SFFS-selected features vs all DSSFs, for the paper-faithful (A, coloured) and nested (B, black) evaluation." title="**Figure 11.** Overall accuracy with SFFS-selected featu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78117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11.</w:t>
      </w:r>
      <w:r>
        <w:rPr>
          <w:rFonts w:ascii="Times New Roman" w:cs="Times New Roman" w:eastAsia="Times New Roman" w:hAnsi="Times New Roman"/>
          <w:sz w:val="19"/>
          <w:szCs w:val="19"/>
        </w:rPr>
        <w:t xml:space="preserve"> Overall accuracy with SFFS-selected features vs all DSSFs, for the paper-faithful (A, coloured) and nested (B, black) evaluation.</w:t>
      </w:r>
    </w:p>
    <w:p>
      <w:pPr>
        <w:spacing w:after="120" w:line="300"/>
        <w:jc w:val="both"/>
      </w:pPr>
      <w:r>
        <w:rPr>
          <w:rFonts w:ascii="Times New Roman" w:cs="Times New Roman" w:eastAsia="Times New Roman" w:hAnsi="Times New Roman"/>
        </w:rPr>
        <w:t xml:space="preserve">The OFCs differed between dates and classifiers, but a few features recurred (Figure 12): F8 (S4_634), F13 (CR3 water absorption 914–1069 nm: depth / area (1/nm)), F2 (D1_852), F5 (S3_1752) were selected most often over all dates and classifiers. On T2 the pair F2 + F8 (NIR slope at 852 nm + wavelet at 634 nm) was the OFC of all three classifiers.</w:t>
      </w:r>
    </w:p>
    <w:p>
      <w:pPr>
        <w:keepNext/>
        <w:spacing w:before="160"/>
        <w:jc w:val="center"/>
      </w:pPr>
      <w:r>
        <w:drawing>
          <wp:inline distT="0" distB="0" distL="0" distR="0">
            <wp:extent cx="5762625" cy="2876550"/>
            <wp:effectExtent t="0" r="0" b="0" l="0"/>
            <wp:docPr id="1" name="fig10_selection_frequency.png" descr="**Figure 12.** Percentage of the 100 repetitions in which each DSSF was part of the optimal feature combination (procedure A)." title="**Figure 12.** Percentage of the 100 repetitions in which 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876550"/>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12.</w:t>
      </w:r>
      <w:r>
        <w:rPr>
          <w:rFonts w:ascii="Times New Roman" w:cs="Times New Roman" w:eastAsia="Times New Roman" w:hAnsi="Times New Roman"/>
          <w:sz w:val="19"/>
          <w:szCs w:val="19"/>
        </w:rPr>
        <w:t xml:space="preserve"> Percentage of the 100 repetitions in which each DSSF was part of the optimal feature combination (procedure A).</w:t>
      </w:r>
    </w:p>
    <w:p>
      <w:pPr>
        <w:keepNext/>
        <w:spacing w:before="160"/>
        <w:jc w:val="center"/>
      </w:pPr>
      <w:r>
        <w:drawing>
          <wp:inline distT="0" distB="0" distL="0" distR="0">
            <wp:extent cx="5762625" cy="1685925"/>
            <wp:effectExtent t="0" r="0" b="0" l="0"/>
            <wp:docPr id="1" name="fig13_top_dssf_boxplots.png" descr="**Figure 13.** The four most frequently selected DSSFs of healthy (blue) and diseased (orange) plots on T1–T4." title="**Figure 13.** The four most frequently selected DSSFs of 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6859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13.</w:t>
      </w:r>
      <w:r>
        <w:rPr>
          <w:rFonts w:ascii="Times New Roman" w:cs="Times New Roman" w:eastAsia="Times New Roman" w:hAnsi="Times New Roman"/>
          <w:sz w:val="19"/>
          <w:szCs w:val="19"/>
        </w:rPr>
        <w:t xml:space="preserve"> The four most frequently selected DSSFs of healthy (blue) and diseased (orange) plots on T1–T4.</w:t>
      </w:r>
    </w:p>
    <w:p>
      <w:pPr>
        <w:pStyle w:val="Heading2"/>
      </w:pPr>
      <w:r>
        <w:rPr>
          <w:rFonts w:ascii="Times New Roman" w:cs="Times New Roman" w:eastAsia="Times New Roman" w:hAnsi="Times New Roman"/>
        </w:rPr>
        <w:t xml:space="preserve">4.6 Corrected estimates – nested cross-validation (procedure B)</w:t>
      </w:r>
    </w:p>
    <w:p>
      <w:pPr>
        <w:spacing w:after="120" w:line="300"/>
        <w:jc w:val="both"/>
      </w:pPr>
      <w:r>
        <w:rPr>
          <w:rFonts w:ascii="Times New Roman" w:cs="Times New Roman" w:eastAsia="Times New Roman" w:hAnsi="Times New Roman"/>
        </w:rPr>
        <w:t xml:space="preserve">When the test plots took no part in any selection step, the accuracies were lower (Table 9, Figure 14): balanced accuracy 83.5–98.8 % (OA 86.0–99.0 %, κ 0.64–0.97). The paper-faithful procedure overstated the balanced accuracy by 1.2–14.1 percentage points (Table 10), most on T1 (9.4–14.1 pp). Detection nevertheless remained high from the first date: on T1 the best nested BA was 86.4 %, and from T2 onwards 87.2–98.8 %. Sensitivity (diseased plots recognised) was higher than specificity (controls recognised) in 10 of the 12 date × classifier combinations, the usual consequence of having three times more diseased plots.</w:t>
      </w:r>
    </w:p>
    <w:p>
      <w:pPr>
        <w:spacing w:after="120" w:line="300"/>
        <w:jc w:val="both"/>
      </w:pPr>
      <w:r>
        <w:rPr>
          <w:rFonts w:ascii="Times New Roman" w:cs="Times New Roman" w:eastAsia="Times New Roman" w:hAnsi="Times New Roman"/>
        </w:rPr>
        <w:t xml:space="preserve">Under nested CV the SFFS subsets were no longer clearly better than all DSSFs: the all-DSSF classifiers reached BA 83.3–97.5 % and were at least as accurate as SFFS in 9 of the 12 combinations. Part of the advantage of SFFS in procedure A is therefore the optimism of selecting the best of many subsets on the same plots.</w:t>
      </w:r>
    </w:p>
    <w:p>
      <w:pPr>
        <w:keepNext/>
        <w:spacing w:after="80" w:before="200"/>
      </w:pPr>
      <w:r>
        <w:rPr>
          <w:rFonts w:ascii="Times New Roman" w:cs="Times New Roman" w:eastAsia="Times New Roman" w:hAnsi="Times New Roman"/>
          <w:b/>
          <w:bCs/>
          <w:sz w:val="20"/>
          <w:szCs w:val="20"/>
        </w:rPr>
        <w:t xml:space="preserve">Table 9.</w:t>
      </w:r>
      <w:r>
        <w:rPr>
          <w:rFonts w:ascii="Times New Roman" w:cs="Times New Roman" w:eastAsia="Times New Roman" w:hAnsi="Times New Roman"/>
          <w:sz w:val="20"/>
          <w:szCs w:val="20"/>
        </w:rPr>
        <w:t xml:space="preserve"> Nested cross-validation (procedure B): accuracy on held-out plots (10 × 4-fold).</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941"/>
        <w:gridCol w:w="941"/>
        <w:gridCol w:w="941"/>
        <w:gridCol w:w="941"/>
        <w:gridCol w:w="941"/>
        <w:gridCol w:w="941"/>
        <w:gridCol w:w="941"/>
        <w:gridCol w:w="941"/>
        <w:gridCol w:w="941"/>
        <w:gridCol w:w="941"/>
      </w:tblGrid>
      <w:tr>
        <w:trPr>
          <w:tblHeader/>
        </w:trPr>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Date</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Classifier</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OA</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BA</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SD BA</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kappa</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Sensitivity</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Specificity</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All-DSSF BA</w:t>
            </w:r>
          </w:p>
        </w:tc>
        <w:tc>
          <w:tcPr>
            <w:tcW w:type="dxa" w:w="941"/>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no. of features</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86.9</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0.67</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87.5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85.0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83.3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3.2</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83.5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0.64</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88.6</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78.3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88.9</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3.4</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86.4</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0.72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91.9</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80.8</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2.9</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2.7</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94.4</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92.9</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4.7</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95.8</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90.0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2.5</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94.4</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92.6</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5.9</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2.1</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0.86</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2.5</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98.8</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2.7</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0.97</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2.1</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90.8</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1.6</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3.9</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0.90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2.8</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89.0</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3.8</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0.81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80.8</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r>
      <w:tr>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92.1</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87.2</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5.3</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0.78</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96.9</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77.5</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94.7</w:t>
            </w:r>
          </w:p>
        </w:tc>
        <w:tc>
          <w:tcPr>
            <w:tcW w:type="dxa" w:w="941"/>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1.8</w:t>
            </w:r>
          </w:p>
        </w:tc>
      </w:tr>
    </w:tbl>
    <w:p>
      <w:pPr>
        <w:spacing w:after="200" w:before="40"/>
      </w:pPr>
      <w:r>
        <w:rPr>
          <w:rFonts w:ascii="Times New Roman" w:cs="Times New Roman" w:eastAsia="Times New Roman" w:hAnsi="Times New Roman"/>
          <w:i/>
          <w:iCs/>
          <w:color w:val="52514E"/>
          <w:sz w:val="17"/>
          <w:szCs w:val="17"/>
        </w:rPr>
        <w:t xml:space="preserve">Accuracies in %.</w:t>
      </w:r>
    </w:p>
    <w:p>
      <w:pPr>
        <w:keepNext/>
        <w:spacing w:after="80" w:before="200"/>
      </w:pPr>
      <w:r>
        <w:rPr>
          <w:rFonts w:ascii="Times New Roman" w:cs="Times New Roman" w:eastAsia="Times New Roman" w:hAnsi="Times New Roman"/>
          <w:b/>
          <w:bCs/>
          <w:sz w:val="20"/>
          <w:szCs w:val="20"/>
        </w:rPr>
        <w:t xml:space="preserve">Table 10.</w:t>
      </w:r>
      <w:r>
        <w:rPr>
          <w:rFonts w:ascii="Times New Roman" w:cs="Times New Roman" w:eastAsia="Times New Roman" w:hAnsi="Times New Roman"/>
          <w:sz w:val="20"/>
          <w:szCs w:val="20"/>
        </w:rPr>
        <w:t xml:space="preserve"> Optimism of the paper-faithful estimate: procedure A minus procedure B.</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1176"/>
        <w:gridCol w:w="1176"/>
        <w:gridCol w:w="1176"/>
        <w:gridCol w:w="1176"/>
        <w:gridCol w:w="1176"/>
        <w:gridCol w:w="1176"/>
        <w:gridCol w:w="1176"/>
        <w:gridCol w:w="1176"/>
      </w:tblGrid>
      <w:tr>
        <w:trPr>
          <w:tblHeader/>
        </w:trPr>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Date</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Classifier</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A: faithful OA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A: faithful BA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B: nested OA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B: nested BA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Optimism OA (pp)</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Optimism BA (pp)</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83.5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14.1</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13.2</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6.7</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7.1</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7.4</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5.8</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6.9</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4.5</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11.0</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87.2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12.8</w:t>
            </w:r>
          </w:p>
        </w:tc>
      </w:tr>
    </w:tbl>
    <w:p>
      <w:pPr>
        <w:spacing w:after="120"/>
      </w:pPr>
    </w:p>
    <w:p>
      <w:pPr>
        <w:keepNext/>
        <w:spacing w:before="160"/>
        <w:jc w:val="center"/>
      </w:pPr>
      <w:r>
        <w:drawing>
          <wp:inline distT="0" distB="0" distL="0" distR="0">
            <wp:extent cx="5762625" cy="1838325"/>
            <wp:effectExtent t="0" r="0" b="0" l="0"/>
            <wp:docPr id="1" name="fig09_faithful_vs_nested_vs_null.png" descr="**Figure 14.** Balanced accuracy of the paper-faithful procedure (A, orange), of nested CV (B, blue, ± SD) and of procedure A with randomly permuted labels (C, grey band: mean–maximum)." title="**Figure 14.** Balanced accuracy of the paper-faithful pro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83832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14.</w:t>
      </w:r>
      <w:r>
        <w:rPr>
          <w:rFonts w:ascii="Times New Roman" w:cs="Times New Roman" w:eastAsia="Times New Roman" w:hAnsi="Times New Roman"/>
          <w:sz w:val="19"/>
          <w:szCs w:val="19"/>
        </w:rPr>
        <w:t xml:space="preserve"> Balanced accuracy of the paper-faithful procedure (A, orange), of nested CV (B, blue, ± SD) and of procedure A with randomly permuted labels (C, grey band: mean–maximum).</w:t>
      </w:r>
    </w:p>
    <w:p>
      <w:pPr>
        <w:spacing w:after="120" w:line="300"/>
        <w:jc w:val="both"/>
      </w:pPr>
      <w:r>
        <w:rPr>
          <w:rFonts w:ascii="Times New Roman" w:cs="Times New Roman" w:eastAsia="Times New Roman" w:hAnsi="Times New Roman"/>
        </w:rPr>
        <w:t xml:space="preserve">The DSSF pool rebuilt inside the 40 outer folds was not identical to the full-data pool (median 18 features), but its core was stable; the features entering it most often were CR6 water absorption 1721–2304 nm: left area (nm) (100 % of folds), D2_1350 (78 % of folds), ARI2 (75 % of folds), D1_852 (72 % of folds), CR6 water absorption 1721–2304 nm: right area (nm) (60 % of folds).</w:t>
      </w:r>
    </w:p>
    <w:p>
      <w:pPr>
        <w:pStyle w:val="Heading2"/>
      </w:pPr>
      <w:r>
        <w:rPr>
          <w:rFonts w:ascii="Times New Roman" w:cs="Times New Roman" w:eastAsia="Times New Roman" w:hAnsi="Times New Roman"/>
        </w:rPr>
        <w:t xml:space="preserve">4.7 Permutation null (procedure C)</w:t>
      </w:r>
    </w:p>
    <w:p>
      <w:pPr>
        <w:spacing w:after="120" w:line="300"/>
        <w:jc w:val="both"/>
      </w:pPr>
      <w:r>
        <w:rPr>
          <w:rFonts w:ascii="Times New Roman" w:cs="Times New Roman" w:eastAsia="Times New Roman" w:hAnsi="Times New Roman"/>
        </w:rPr>
        <w:t xml:space="preserve">With randomly shuffled labels – i.e. with no disease information at all – the paper-faithful procedure still reported a mean OA of 85.1–91.7 % and a mean BA of 73.4–84.4 %, with single permutations reaching OA 95.0 % (Table 11, Figure 15). These are the accuracies that the selection steps produce by chance on 48 plots and 19,548 candidate features. The observed accuracies of LDA and k-NN were higher than every permuted value on every date (p = 0.048, the smallest p attainable with 20 permutations); the four SVM permutations are indicative only (smallest attainable p = 0.20).</w:t>
      </w:r>
    </w:p>
    <w:p>
      <w:pPr>
        <w:keepNext/>
        <w:spacing w:after="80" w:before="200"/>
      </w:pPr>
      <w:r>
        <w:rPr>
          <w:rFonts w:ascii="Times New Roman" w:cs="Times New Roman" w:eastAsia="Times New Roman" w:hAnsi="Times New Roman"/>
          <w:b/>
          <w:bCs/>
          <w:sz w:val="20"/>
          <w:szCs w:val="20"/>
        </w:rPr>
        <w:t xml:space="preserve">Table 11.</w:t>
      </w:r>
      <w:r>
        <w:rPr>
          <w:rFonts w:ascii="Times New Roman" w:cs="Times New Roman" w:eastAsia="Times New Roman" w:hAnsi="Times New Roman"/>
          <w:sz w:val="20"/>
          <w:szCs w:val="20"/>
        </w:rPr>
        <w:t xml:space="preserve"> Permutation null of procedure A.</w:t>
      </w:r>
    </w:p>
    <w:tbl>
      <w:tblPr>
        <w:tblW w:type="dxa" w:w="9405"/>
        <w:tblBorders>
          <w:top w:val="single" w:color="auto" w:sz="4"/>
          <w:left w:val="single" w:color="auto" w:sz="4"/>
          <w:bottom w:val="single" w:color="auto" w:sz="4"/>
          <w:right w:val="single" w:color="auto" w:sz="4"/>
          <w:insideH w:val="single" w:color="auto" w:sz="4"/>
          <w:insideV w:val="single" w:color="auto" w:sz="4"/>
        </w:tblBorders>
      </w:tblPr>
      <w:tblGrid>
        <w:gridCol w:w="1045"/>
        <w:gridCol w:w="1045"/>
        <w:gridCol w:w="1045"/>
        <w:gridCol w:w="1045"/>
        <w:gridCol w:w="1045"/>
        <w:gridCol w:w="1045"/>
        <w:gridCol w:w="1045"/>
        <w:gridCol w:w="1045"/>
        <w:gridCol w:w="1045"/>
      </w:tblGrid>
      <w:tr>
        <w:trPr>
          <w:tblHeader/>
        </w:trPr>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Date</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Classifier</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Permutations</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Null OA mean</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Null OA max</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Null BA mean</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Observed OA (A)</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Observed BA (A)</w:t>
            </w:r>
          </w:p>
        </w:tc>
        <w:tc>
          <w:tcPr>
            <w:tcW w:type="dxa" w:w="104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p (OA)</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86.9</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92.1</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76.8</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94.9</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95.6</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88.7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94.2</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80.6</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97.6</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84.4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99.6</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0.200</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86.9</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77.0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81.8</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89.1</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90.6</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81.2</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0.200</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85.1</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73.4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88.0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94.6</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79.4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88.3</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92.7</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78.0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0.200</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LDA</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86.9</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93.8</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76.8</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99.9</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99.8</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kNN</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89.1</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81.4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0.048</w:t>
            </w:r>
          </w:p>
        </w:tc>
      </w:tr>
      <w:tr>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87.2</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93.8</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76.6</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04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0.200</w:t>
            </w:r>
          </w:p>
        </w:tc>
      </w:tr>
    </w:tbl>
    <w:p>
      <w:pPr>
        <w:spacing w:after="200" w:before="40"/>
      </w:pPr>
      <w:r>
        <w:rPr>
          <w:rFonts w:ascii="Times New Roman" w:cs="Times New Roman" w:eastAsia="Times New Roman" w:hAnsi="Times New Roman"/>
          <w:i/>
          <w:iCs/>
          <w:color w:val="52514E"/>
          <w:sz w:val="17"/>
          <w:szCs w:val="17"/>
        </w:rPr>
        <w:t xml:space="preserve">Accuracies in %.</w:t>
      </w:r>
    </w:p>
    <w:p>
      <w:pPr>
        <w:keepNext/>
        <w:spacing w:before="160"/>
        <w:jc w:val="center"/>
      </w:pPr>
      <w:r>
        <w:drawing>
          <wp:inline distT="0" distB="0" distL="0" distR="0">
            <wp:extent cx="5762625" cy="1628775"/>
            <wp:effectExtent t="0" r="0" b="0" l="0"/>
            <wp:docPr id="1" name="fig11_permutation_null.png" descr="**Figure 15.** Procedure A with shuffled labels (grey points: one per permutation) and with the true labels (diamonds)." title="**Figure 15.** Procedure A with shuffled labels (grey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162877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15.</w:t>
      </w:r>
      <w:r>
        <w:rPr>
          <w:rFonts w:ascii="Times New Roman" w:cs="Times New Roman" w:eastAsia="Times New Roman" w:hAnsi="Times New Roman"/>
          <w:sz w:val="19"/>
          <w:szCs w:val="19"/>
        </w:rPr>
        <w:t xml:space="preserve"> Procedure A with shuffled labels (grey points: one per permutation) and with the true labels (diamonds).</w:t>
      </w:r>
    </w:p>
    <w:p>
      <w:pPr>
        <w:pStyle w:val="Heading2"/>
      </w:pPr>
      <w:r>
        <w:rPr>
          <w:rFonts w:ascii="Times New Roman" w:cs="Times New Roman" w:eastAsia="Times New Roman" w:hAnsi="Times New Roman"/>
        </w:rPr>
        <w:t xml:space="preserve">4.8 Detection by infection stage (procedure D)</w:t>
      </w:r>
    </w:p>
    <w:p>
      <w:pPr>
        <w:spacing w:after="120" w:line="300"/>
        <w:jc w:val="both"/>
      </w:pPr>
      <w:r>
        <w:rPr>
          <w:rFonts w:ascii="Times New Roman" w:cs="Times New Roman" w:eastAsia="Times New Roman" w:hAnsi="Times New Roman"/>
        </w:rPr>
        <w:t xml:space="preserve">Treated as separate infection stages (controls vs one inoculation timing on one date; Table 12), the paper-faithful SVM-SFFS reached OA 97.1–100.0 % with on average 1.0–2.1 features; stage × classifier combinations with a mean OA below 100 % – T1: 11 of 12 (lowest 95.3 %), T2: 5 of 12 (lowest 97.6 %), T4: 3 of 12 (lowest 99.0 %). The unbiased nested-CV predictions (Table 13, Figure 16) show that the SVM recognised 89–100 % of the inoculated plots of every timing on every date (lowest: D4 on T3 (3 Mar)), while 9–22 % of the control plots were false alarms.  Differences between inoculation timings were small: the lowest detection rate on each date belonged to D3/D4 on T1; D2 on T2; D4 on T3; D3/D4 on T4. The later inoculations (D3/D4) were lowest on T1, T3, T4, consistent with a shorter infection period, but with 9 plots per group one plot is 11 percentage points and none of these differences is statistically meaningful.</w:t>
      </w:r>
    </w:p>
    <w:p>
      <w:pPr>
        <w:keepNext/>
        <w:spacing w:after="80" w:before="200"/>
      </w:pPr>
      <w:r>
        <w:rPr>
          <w:rFonts w:ascii="Times New Roman" w:cs="Times New Roman" w:eastAsia="Times New Roman" w:hAnsi="Times New Roman"/>
          <w:b/>
          <w:bCs/>
          <w:sz w:val="20"/>
          <w:szCs w:val="20"/>
        </w:rPr>
        <w:t xml:space="preserve">Table 12.</w:t>
      </w:r>
      <w:r>
        <w:rPr>
          <w:rFonts w:ascii="Times New Roman" w:cs="Times New Roman" w:eastAsia="Times New Roman" w:hAnsi="Times New Roman"/>
          <w:sz w:val="20"/>
          <w:szCs w:val="20"/>
        </w:rPr>
        <w:t xml:space="preserve"> Paper-faithful SVM-SFFS per infection stage: 12 controls vs the 9 plots of one inoculation timing (4-fold CV × 100).</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1176"/>
        <w:gridCol w:w="1176"/>
        <w:gridCol w:w="1176"/>
        <w:gridCol w:w="1176"/>
        <w:gridCol w:w="1176"/>
        <w:gridCol w:w="1176"/>
        <w:gridCol w:w="1176"/>
        <w:gridCol w:w="1176"/>
      </w:tblGrid>
      <w:tr>
        <w:trPr>
          <w:tblHeader/>
        </w:trPr>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Date</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Inoculation timing</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Classifier</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OA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BA</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Mean no. of features</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Most frequent OFC</w:t>
            </w:r>
          </w:p>
        </w:tc>
        <w:tc>
          <w:tcPr>
            <w:tcW w:type="dxa" w:w="1176"/>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OFC frequency (%)</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 F16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30</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1.57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F3, F13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33</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 F8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T1 (11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96.6</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1.49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60</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51</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T2 (24 Feb)</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1.05</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95</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81</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T3 (3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F14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44</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D1</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1.19</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F10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81</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D2</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1.33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F13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67</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D3</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F10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r>
      <w:tr>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T4 (13 Mar)</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D4</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SVM</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100.0</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1.27</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F8</w:t>
            </w:r>
          </w:p>
        </w:tc>
        <w:tc>
          <w:tcPr>
            <w:tcW w:type="dxa" w:w="1176"/>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82</w:t>
            </w:r>
          </w:p>
        </w:tc>
      </w:tr>
    </w:tbl>
    <w:p>
      <w:pPr>
        <w:spacing w:after="200" w:before="40"/>
      </w:pPr>
      <w:r>
        <w:rPr>
          <w:rFonts w:ascii="Times New Roman" w:cs="Times New Roman" w:eastAsia="Times New Roman" w:hAnsi="Times New Roman"/>
          <w:i/>
          <w:iCs/>
          <w:color w:val="52514E"/>
          <w:sz w:val="17"/>
          <w:szCs w:val="17"/>
        </w:rPr>
        <w:t xml:space="preserve">LDA and k-NN results are given in the Excel workbook (sheet S20).</w:t>
      </w:r>
    </w:p>
    <w:p>
      <w:pPr>
        <w:keepNext/>
        <w:spacing w:after="80" w:before="200"/>
      </w:pPr>
      <w:r>
        <w:rPr>
          <w:rFonts w:ascii="Times New Roman" w:cs="Times New Roman" w:eastAsia="Times New Roman" w:hAnsi="Times New Roman"/>
          <w:b/>
          <w:bCs/>
          <w:sz w:val="20"/>
          <w:szCs w:val="20"/>
        </w:rPr>
        <w:t xml:space="preserve">Table 13.</w:t>
      </w:r>
      <w:r>
        <w:rPr>
          <w:rFonts w:ascii="Times New Roman" w:cs="Times New Roman" w:eastAsia="Times New Roman" w:hAnsi="Times New Roman"/>
          <w:sz w:val="20"/>
          <w:szCs w:val="20"/>
        </w:rPr>
        <w:t xml:space="preserve"> Plots called 'diseased' by the nested-CV SVM models (%). Controls: false-alarm rate; inoculated groups: detection rate.</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882"/>
        <w:gridCol w:w="1882"/>
        <w:gridCol w:w="1882"/>
        <w:gridCol w:w="1882"/>
        <w:gridCol w:w="1882"/>
      </w:tblGrid>
      <w:tr>
        <w:trPr>
          <w:tblHeader/>
        </w:trPr>
        <w:tc>
          <w:tcPr>
            <w:tcW w:type="dxa" w:w="188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Group</w:t>
            </w:r>
          </w:p>
        </w:tc>
        <w:tc>
          <w:tcPr>
            <w:tcW w:type="dxa" w:w="188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T1 (11 Feb)</w:t>
            </w:r>
          </w:p>
        </w:tc>
        <w:tc>
          <w:tcPr>
            <w:tcW w:type="dxa" w:w="188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T2 (24 Feb)</w:t>
            </w:r>
          </w:p>
        </w:tc>
        <w:tc>
          <w:tcPr>
            <w:tcW w:type="dxa" w:w="188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T3 (3 Mar)</w:t>
            </w:r>
          </w:p>
        </w:tc>
        <w:tc>
          <w:tcPr>
            <w:tcW w:type="dxa" w:w="188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T4 (13 Mar)</w:t>
            </w:r>
          </w:p>
        </w:tc>
      </w:tr>
      <w:tr>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Control</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19</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11</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22</w:t>
            </w:r>
          </w:p>
        </w:tc>
      </w:tr>
      <w:tr>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D1</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98</w:t>
            </w:r>
          </w:p>
        </w:tc>
      </w:tr>
      <w:tr>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D2</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92</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100</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99</w:t>
            </w:r>
          </w:p>
        </w:tc>
      </w:tr>
      <w:tr>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D3</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94</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93</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w:t>
            </w:r>
          </w:p>
        </w:tc>
      </w:tr>
      <w:tr>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D4</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91</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97</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89</w:t>
            </w:r>
          </w:p>
        </w:tc>
        <w:tc>
          <w:tcPr>
            <w:tcW w:type="dxa" w:w="1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96</w:t>
            </w:r>
          </w:p>
        </w:tc>
      </w:tr>
    </w:tbl>
    <w:p>
      <w:pPr>
        <w:spacing w:after="120"/>
      </w:pPr>
    </w:p>
    <w:p>
      <w:pPr>
        <w:keepNext/>
        <w:spacing w:before="160"/>
        <w:jc w:val="center"/>
      </w:pPr>
      <w:r>
        <w:drawing>
          <wp:inline distT="0" distB="0" distL="0" distR="0">
            <wp:extent cx="5762625" cy="2085975"/>
            <wp:effectExtent t="0" r="0" b="0" l="0"/>
            <wp:docPr id="1" name="fig12_stage_wise.png" descr="**Figure 16.** Infection-stage analysis: (left) paper-faithful SVM-SFFS accuracy for controls vs each inoculation timing; (right) nested-CV detection rate of each group." title="**Figure 16.** Infection-stage analysis: (left) paper-faith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085975"/>
                    </a:xfrm>
                    <a:prstGeom prst="rect">
                      <a:avLst/>
                    </a:prstGeom>
                  </pic:spPr>
                </pic:pic>
              </a:graphicData>
            </a:graphic>
          </wp:inline>
        </w:drawing>
      </w:r>
    </w:p>
    <w:p>
      <w:pPr>
        <w:spacing w:after="240"/>
      </w:pPr>
      <w:r>
        <w:rPr>
          <w:rFonts w:ascii="Times New Roman" w:cs="Times New Roman" w:eastAsia="Times New Roman" w:hAnsi="Times New Roman"/>
          <w:b/>
          <w:bCs/>
          <w:sz w:val="19"/>
          <w:szCs w:val="19"/>
        </w:rPr>
        <w:t xml:space="preserve">Figure 16.</w:t>
      </w:r>
      <w:r>
        <w:rPr>
          <w:rFonts w:ascii="Times New Roman" w:cs="Times New Roman" w:eastAsia="Times New Roman" w:hAnsi="Times New Roman"/>
          <w:sz w:val="19"/>
          <w:szCs w:val="19"/>
        </w:rPr>
        <w:t xml:space="preserve"> Infection-stage analysis: (left) paper-faithful SVM-SFFS accuracy for controls vs each inoculation timing; (right) nested-CV detection rate of each group.</w:t>
      </w:r>
    </w:p>
    <w:p>
      <w:pPr>
        <w:spacing w:after="120" w:line="300"/>
        <w:jc w:val="both"/>
      </w:pPr>
      <w:r>
        <w:rPr>
          <w:rFonts w:ascii="Times New Roman" w:cs="Times New Roman" w:eastAsia="Times New Roman" w:hAnsi="Times New Roman"/>
        </w:rPr>
        <w:t xml:space="preserve">By variety (nested CV, SVM), inoculated plots were classified correctly in 87–99 % of cases for all three varieties, whereas the accuracy for control plots varied more (57–95 %), mainly because each variety has only four control plots.</w:t>
      </w:r>
    </w:p>
    <w:p>
      <w:pPr>
        <w:pStyle w:val="Heading2"/>
      </w:pPr>
      <w:r>
        <w:rPr>
          <w:rFonts w:ascii="Times New Roman" w:cs="Times New Roman" w:eastAsia="Times New Roman" w:hAnsi="Times New Roman"/>
        </w:rPr>
        <w:t xml:space="preserve">4.9 Cross-checks</w:t>
      </w:r>
    </w:p>
    <w:p>
      <w:pPr>
        <w:spacing w:after="120" w:line="300"/>
        <w:jc w:val="both"/>
      </w:pPr>
      <w:r>
        <w:rPr>
          <w:rFonts w:ascii="Times New Roman" w:cs="Times New Roman" w:eastAsia="Times New Roman" w:hAnsi="Times New Roman"/>
        </w:rPr>
        <w:t xml:space="preserve">All 18 verification checks passed; 3 items are flagged because they are properties of the data or of the original procedure that must be reported (Table 14). In the Excel workbook, live formulas reproduce the Python class means, the threshold balanced accuracies of all 16 DSSFs on all four dates and the summary accuracies of procedures A and B exactly (largest difference &lt; 10</w:t>
      </w:r>
      <w:r>
        <w:rPr>
          <w:rFonts w:ascii="Times New Roman" w:cs="Times New Roman" w:eastAsia="Times New Roman" w:hAnsi="Times New Roman"/>
          <w:vertAlign w:val="superscript"/>
        </w:rPr>
        <w:t xml:space="preserve">−15</w:t>
      </w:r>
      <w:r>
        <w:rPr>
          <w:rFonts w:ascii="Times New Roman" w:cs="Times New Roman" w:eastAsia="Times New Roman" w:hAnsi="Times New Roman"/>
        </w:rPr>
        <w:t xml:space="preserve">).</w:t>
      </w:r>
    </w:p>
    <w:p>
      <w:pPr>
        <w:keepNext/>
        <w:spacing w:after="80" w:before="200"/>
      </w:pPr>
      <w:r>
        <w:rPr>
          <w:rFonts w:ascii="Times New Roman" w:cs="Times New Roman" w:eastAsia="Times New Roman" w:hAnsi="Times New Roman"/>
          <w:b/>
          <w:bCs/>
          <w:sz w:val="20"/>
          <w:szCs w:val="20"/>
        </w:rPr>
        <w:t xml:space="preserve">Table 14.</w:t>
      </w:r>
      <w:r>
        <w:rPr>
          <w:rFonts w:ascii="Times New Roman" w:cs="Times New Roman" w:eastAsia="Times New Roman" w:hAnsi="Times New Roman"/>
          <w:sz w:val="20"/>
          <w:szCs w:val="20"/>
        </w:rPr>
        <w:t xml:space="preserve"> Cross-checks of every step.</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544"/>
        <w:gridCol w:w="2575"/>
        <w:gridCol w:w="2179"/>
        <w:gridCol w:w="3467"/>
        <w:gridCol w:w="643"/>
      </w:tblGrid>
      <w:tr>
        <w:trPr>
          <w:tblHeader/>
        </w:trPr>
        <w:tc>
          <w:tcPr>
            <w:tcW w:type="dxa" w:w="54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Step</w:t>
            </w:r>
          </w:p>
        </w:tc>
        <w:tc>
          <w:tcPr>
            <w:tcW w:type="dxa" w:w="2575"/>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Check</w:t>
            </w:r>
          </w:p>
        </w:tc>
        <w:tc>
          <w:tcPr>
            <w:tcW w:type="dxa" w:w="2179"/>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Independent route</w:t>
            </w:r>
          </w:p>
        </w:tc>
        <w:tc>
          <w:tcPr>
            <w:tcW w:type="dxa" w:w="3467"/>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Result</w:t>
            </w:r>
          </w:p>
        </w:tc>
        <w:tc>
          <w:tcPr>
            <w:tcW w:type="dxa" w:w="643"/>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4"/>
                <w:szCs w:val="14"/>
              </w:rPr>
              <w:t xml:space="preserve">Status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Class labels identical for the 48 plots on all 4 dates</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comparison of sheet 01 of every workbook</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identical</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Treatment file agrees with the spectral workbooks</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plot-by-plot comparison of variety and control status</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variety match: True; controls = healthy: True</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Design balanced (each Variety x Inoculation timing once per block C, R1, R2, R3)</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cross-tabulation of the treatment file</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balanced</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Measurement order of the control plots</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spectrum file numbers of sheet 01</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control plots measured first on every date (spectra 1–100) and form their own block C – confounded with class (limitation)</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FLAG</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First derivative of the workbook = central difference of the reflectance</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recomputed from sheet 02</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max |Δ| = 5.20e-16</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CWT coefficients (PyWavelets 'mexh') = direct convolution with the Mexican-hat (Ricker) wavelet</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explicit convolution at scale 2⁴</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 = 0.999634 (interior wavelengths)</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Identical vegetation indices in the source workbooks</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pairwise comparison of the 87 index columns</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RARSc ≡ GM2; mCARI1 ≡ MTVI1 (algebraically identical definitions; one of each pair is redundant)</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FLAG</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BH-FDR q ≥ p for every test and decision rule applied</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re-applied with scipy</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q ≥ p in all 32 tests; test chosen by Shapiro–Wilk + Levene</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Threshold separability agrees with the threshold-free AUC</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Spearman correlation over the 87 indices (T3)</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ρ = 0.923</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3</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100-step threshold grid vs exhaustive optimal threshold</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all mid-points between sorted values (T3 indices)</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grid BA ≤ exhaustive BA for all; mean gap 0.0035; largest gap 0.194 for TGI (the paper’s grid is restricted to the interval between the class means and can miss an optimum lying outside it)</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4</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Representative features lie inside the analysed range and outside the guard zones</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wavelength check</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all inside 400–2400 nm, none in 990–1010 or 1795–1835 nm</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5</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VIF of the final pool recomputed with statsmodels</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statsmodels variance_inflation_factor (OLS)</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max VIF 7.68; max |Δ| to own value 5.3e-14</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OA, BA and kappa functions = scikit-learn</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accuracy_score, balanced_accuracy_score, cohen_kappa_score</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identical</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SFFS finds the optimum of an exhaustive search</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all 696 subsets of ≤ 3 features (LDA, T1, one partition)</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SFFS OA = 0.9583 with 3 features; exhaustive best (≤ 3 features) = 0.9583</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Nested CV: every plot tested exactly once per repetition, same test plots on every date</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set comparison of the outer folds</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10 repetitions × 4 folds: disjoint and complete</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Scaler and SVM parameters fitted on training plots only</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code inspection (mlsffs._zfit, s04_run.nested_fold)</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z-scores use training mean/SD; grid search uses inner folds only</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100 repetitions per date and classifier in procedure A</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count of result rows</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1200 rows = 4 dates × 3 classifiers × 100</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100 repetitions per stage (date × inoculation timing × classifier) in procedure D</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count of result rows</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48 stage × classifier cells, repetitions min 100 / max 100</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Observed OA of procedure A exceeds every permuted-label OA (LDA, k-NN)</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20 permutations × 5 repetitions per date</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 = 1/21 = 0.048 in all 8 cases (smallest attainable)</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Permuted-label OA of procedure A far above 75 % majority / 50 % BA chance</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mean of the null distribution</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null OA 85.1–91.7 %, null BA 73.4–84.4 % – demonstrates the optimism of A</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FLAG</w:t>
            </w:r>
          </w:p>
        </w:tc>
      </w:tr>
      <w:tr>
        <w:tc>
          <w:tcPr>
            <w:tcW w:type="dxa" w:w="54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6</w:t>
            </w:r>
          </w:p>
        </w:tc>
        <w:tc>
          <w:tcPr>
            <w:tcW w:type="dxa" w:w="2575"/>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Nested (B) accuracy ≤ faithful (A) accuracy</w:t>
            </w:r>
          </w:p>
        </w:tc>
        <w:tc>
          <w:tcPr>
            <w:tcW w:type="dxa" w:w="217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difference A − B</w:t>
            </w:r>
          </w:p>
        </w:tc>
        <w:tc>
          <w:tcPr>
            <w:tcW w:type="dxa" w:w="346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optimism 1.2–14.1 percentage points (BA)</w:t>
            </w:r>
          </w:p>
        </w:tc>
        <w:tc>
          <w:tcPr>
            <w:tcW w:type="dxa" w:w="64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4"/>
                <w:szCs w:val="14"/>
              </w:rPr>
              <w:t xml:space="preserve">PASS</w:t>
            </w:r>
          </w:p>
        </w:tc>
      </w:tr>
    </w:tbl>
    <w:p>
      <w:pPr>
        <w:spacing w:after="120"/>
      </w:pPr>
    </w:p>
    <w:p>
      <w:pPr>
        <w:pStyle w:val="Heading1"/>
        <w:pageBreakBefore/>
      </w:pPr>
      <w:r>
        <w:rPr>
          <w:rFonts w:ascii="Times New Roman" w:cs="Times New Roman" w:eastAsia="Times New Roman" w:hAnsi="Times New Roman"/>
        </w:rPr>
        <w:t xml:space="preserve">5. Discussion</w:t>
      </w:r>
    </w:p>
    <w:p>
      <w:pPr>
        <w:pStyle w:val="Heading2"/>
      </w:pPr>
      <w:r>
        <w:rPr>
          <w:rFonts w:ascii="Times New Roman" w:cs="Times New Roman" w:eastAsia="Times New Roman" w:hAnsi="Times New Roman"/>
        </w:rPr>
        <w:t xml:space="preserve">5.1 Physiological interpretation of the disease-specific features</w:t>
      </w:r>
    </w:p>
    <w:p>
      <w:pPr>
        <w:spacing w:after="120" w:line="300"/>
        <w:jc w:val="both"/>
      </w:pPr>
      <w:r>
        <w:rPr>
          <w:rFonts w:ascii="Times New Roman" w:cs="Times New Roman" w:eastAsia="Times New Roman" w:hAnsi="Times New Roman"/>
        </w:rPr>
        <w:t xml:space="preserve">The selected DSSFs follow the physiological changes in Section 4.2. The </w:t>
      </w:r>
      <w:r>
        <w:rPr>
          <w:rFonts w:ascii="Times New Roman" w:cs="Times New Roman" w:eastAsia="Times New Roman" w:hAnsi="Times New Roman"/>
          <w:b/>
          <w:bCs/>
        </w:rPr>
        <w:t xml:space="preserve">NIR plateau slope at 852 nm</w:t>
      </w:r>
      <w:r>
        <w:rPr>
          <w:rFonts w:ascii="Times New Roman" w:cs="Times New Roman" w:eastAsia="Times New Roman" w:hAnsi="Times New Roman"/>
        </w:rPr>
        <w:t xml:space="preserve"> (F2) was among the most frequently selected features (procedure A) and among the most stable members of the nested-CV pools. In the NIR, reflectance is governed by multiple scattering at the cell-wall/air interfaces of the mesophyll (Jacquemoud and Baret, 1990); white-rust pustules disrupt the epidermis and the intercellular structure. On every date the NIR reflectance of the controls declined from 800 to 900 nm (negative first derivative at 852 nm), whereas that of the diseased plots was flatter or rising. Tian et al. (2021) reached the same conclusion for rice blast, where wavelet features at 850–866 nm captured the collapse of the intercellular structure, and they noted that this region had been under-exploited in disease detection.</w:t>
      </w:r>
    </w:p>
    <w:p>
      <w:pPr>
        <w:spacing w:after="120" w:line="30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yellow–red edge</w:t>
      </w:r>
      <w:r>
        <w:rPr>
          <w:rFonts w:ascii="Times New Roman" w:cs="Times New Roman" w:eastAsia="Times New Roman" w:hAnsi="Times New Roman"/>
        </w:rPr>
        <w:t xml:space="preserve"> (F8, wavelet at 634 nm; F1, R</w:t>
      </w:r>
      <w:r>
        <w:rPr>
          <w:rFonts w:ascii="Times New Roman" w:cs="Times New Roman" w:eastAsia="Times New Roman" w:hAnsi="Times New Roman"/>
          <w:vertAlign w:val="subscript"/>
        </w:rPr>
        <w:t xml:space="preserve">641</w:t>
      </w:r>
      <w:r>
        <w:rPr>
          <w:rFonts w:ascii="Times New Roman" w:cs="Times New Roman" w:eastAsia="Times New Roman" w:hAnsi="Times New Roman"/>
        </w:rPr>
        <w:t xml:space="preserve">; F11, R</w:t>
      </w:r>
      <w:r>
        <w:rPr>
          <w:rFonts w:ascii="Times New Roman" w:cs="Times New Roman" w:eastAsia="Times New Roman" w:hAnsi="Times New Roman"/>
          <w:vertAlign w:val="subscript"/>
        </w:rPr>
        <w:t xml:space="preserve">440</w:t>
      </w:r>
      <w:r>
        <w:rPr>
          <w:rFonts w:ascii="Times New Roman" w:cs="Times New Roman" w:eastAsia="Times New Roman" w:hAnsi="Times New Roman"/>
        </w:rPr>
        <w:t xml:space="preserve">/R</w:t>
      </w:r>
      <w:r>
        <w:rPr>
          <w:rFonts w:ascii="Times New Roman" w:cs="Times New Roman" w:eastAsia="Times New Roman" w:hAnsi="Times New Roman"/>
          <w:vertAlign w:val="subscript"/>
        </w:rPr>
        <w:t xml:space="preserve">690</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anthocyanin index ARI2</w:t>
      </w:r>
      <w:r>
        <w:rPr>
          <w:rFonts w:ascii="Times New Roman" w:cs="Times New Roman" w:eastAsia="Times New Roman" w:hAnsi="Times New Roman"/>
        </w:rPr>
        <w:t xml:space="preserve"> (F10) record pigment changes: loss of chlorophyll raises red reflectance (R</w:t>
      </w:r>
      <w:r>
        <w:rPr>
          <w:rFonts w:ascii="Times New Roman" w:cs="Times New Roman" w:eastAsia="Times New Roman" w:hAnsi="Times New Roman"/>
          <w:vertAlign w:val="subscript"/>
        </w:rPr>
        <w:t xml:space="preserve">641</w:t>
      </w:r>
      <w:r>
        <w:rPr>
          <w:rFonts w:ascii="Times New Roman" w:cs="Times New Roman" w:eastAsia="Times New Roman" w:hAnsi="Times New Roman"/>
        </w:rPr>
        <w:t xml:space="preserve"> was higher in diseased plots from T2) and lowers the blue/red ratio Lic, and shifts the red edge to shorter wavelengths, while anthocyanins accumulate in stressed tissue (Gitelson et al., 2001). The water features at 970 nm (F13), 1350 nm (F3) and 1940 nm (F6, F9, F12, F14) agree with the early decrease of the water indices, and the wavelet features at 1736, 1752 and 2318 nm (F4, F5, F7) lie in the C–H absorption regions of cellulose, lignin and protein (Kokaly and Clark, 1999), suggesting changes in leaf dry matter as tissue is colonised and pustules form. Because these interpretations rest on spectral proxies rather than measured biochemistry (C8), they should be presented as consistent with, not proof of, the underlying changes.</w:t>
      </w:r>
    </w:p>
    <w:p>
      <w:pPr>
        <w:pStyle w:val="Heading2"/>
      </w:pPr>
      <w:r>
        <w:rPr>
          <w:rFonts w:ascii="Times New Roman" w:cs="Times New Roman" w:eastAsia="Times New Roman" w:hAnsi="Times New Roman"/>
        </w:rPr>
        <w:t xml:space="preserve">5.2 How optimistic is the paper-faithful accuracy?</w:t>
      </w:r>
    </w:p>
    <w:p>
      <w:pPr>
        <w:spacing w:after="120" w:line="300"/>
        <w:jc w:val="both"/>
      </w:pPr>
      <w:r>
        <w:rPr>
          <w:rFonts w:ascii="Times New Roman" w:cs="Times New Roman" w:eastAsia="Times New Roman" w:hAnsi="Times New Roman"/>
        </w:rPr>
        <w:t xml:space="preserve">Procedure A reports the best of many cross-validated accuracies – over thousands of candidate features (Step 3), over the subsets visited by SFFS and over the SVM parameter grid – evaluated on the same plots. With 48 plots and 19,548 candidate features some feature combination will separate the classes by chance, and the permutation test shows how large this effect is: 85.1–91.7 % OA without any disease information. The nested CV (B) removes this bias and should be reported as the accuracy of the method; procedure A remains useful for comparison with Tian et al. (2021) and for identifying the optimal feature combinations, which are the features consistently chosen across repetitions and folds. The same caution applies to the accuracies of Tian et al. (2021), which were obtained in the same way, and is a general lesson from other fields (Ambroise and McLachlan, 2002; Varma and Simon, 2006; Cawley and Talbot, 2010).</w:t>
      </w:r>
    </w:p>
    <w:p>
      <w:pPr>
        <w:pStyle w:val="Heading2"/>
      </w:pPr>
      <w:r>
        <w:rPr>
          <w:rFonts w:ascii="Times New Roman" w:cs="Times New Roman" w:eastAsia="Times New Roman" w:hAnsi="Times New Roman"/>
        </w:rPr>
        <w:t xml:space="preserve">5.3 Comparison with Tian et al. (2021)</w:t>
      </w:r>
    </w:p>
    <w:p>
      <w:pPr>
        <w:pStyle w:val="ListParagraph"/>
        <w:numPr>
          <w:ilvl w:val="0"/>
          <w:numId w:val="3"/>
        </w:numPr>
        <w:spacing w:after="60" w:line="280"/>
        <w:jc w:val="both"/>
      </w:pPr>
      <w:r>
        <w:rPr>
          <w:rFonts w:ascii="Times New Roman" w:cs="Times New Roman" w:eastAsia="Times New Roman" w:hAnsi="Times New Roman"/>
          <w:b/>
          <w:bCs/>
        </w:rPr>
        <w:t xml:space="preserve">Agreement.</w:t>
      </w:r>
      <w:r>
        <w:rPr>
          <w:rFonts w:ascii="Times New Roman" w:cs="Times New Roman" w:eastAsia="Times New Roman" w:hAnsi="Times New Roman"/>
        </w:rPr>
        <w:t xml:space="preserve"> A few DSSFs (one to four) suffice; SVM-SFFS is the most accurate criterion classifier in procedure A; feature selection helps most at the earliest date; pigment features dominate early and water/SWIR features late; NIR wavelet/derivative features near 850 nm are among the most robust indicators.</w:t>
      </w:r>
    </w:p>
    <w:p>
      <w:pPr>
        <w:pStyle w:val="ListParagraph"/>
        <w:numPr>
          <w:ilvl w:val="0"/>
          <w:numId w:val="3"/>
        </w:numPr>
        <w:spacing w:after="60" w:line="280"/>
        <w:jc w:val="both"/>
      </w:pPr>
      <w:r>
        <w:rPr>
          <w:rFonts w:ascii="Times New Roman" w:cs="Times New Roman" w:eastAsia="Times New Roman" w:hAnsi="Times New Roman"/>
          <w:b/>
          <w:bCs/>
        </w:rPr>
        <w:t xml:space="preserve">Differences.</w:t>
      </w:r>
      <w:r>
        <w:rPr>
          <w:rFonts w:ascii="Times New Roman" w:cs="Times New Roman" w:eastAsia="Times New Roman" w:hAnsi="Times New Roman"/>
        </w:rPr>
        <w:t xml:space="preserve"> In this study the water signal appeared before the pigment signal; derivatives and continuum-removal parameters, which Tian et al. did not use, entered the pool; and the corrected (nested) balanced accuracies are 1–14 points lower than the paper-faithful ones.</w:t>
      </w:r>
    </w:p>
    <w:p>
      <w:pPr>
        <w:pStyle w:val="ListParagraph"/>
        <w:numPr>
          <w:ilvl w:val="0"/>
          <w:numId w:val="3"/>
        </w:numPr>
        <w:spacing w:after="60" w:line="280"/>
        <w:jc w:val="both"/>
      </w:pPr>
      <w:r>
        <w:rPr>
          <w:rFonts w:ascii="Times New Roman" w:cs="Times New Roman" w:eastAsia="Times New Roman" w:hAnsi="Times New Roman"/>
          <w:b/>
          <w:bCs/>
        </w:rPr>
        <w:t xml:space="preserve">Design.</w:t>
      </w:r>
      <w:r>
        <w:rPr>
          <w:rFonts w:ascii="Times New Roman" w:cs="Times New Roman" w:eastAsia="Times New Roman" w:hAnsi="Times New Roman"/>
        </w:rPr>
        <w:t xml:space="preserve"> The plot-average spectra of field plots are less noisy than single-leaf spectra but mix leaves at different stages of infection; the infection stage is defined here by the inoculation timing and the measurement date rather than by visual lesion scoring.</w:t>
      </w:r>
    </w:p>
    <w:p>
      <w:pPr>
        <w:pStyle w:val="Heading2"/>
      </w:pPr>
      <w:r>
        <w:rPr>
          <w:rFonts w:ascii="Times New Roman" w:cs="Times New Roman" w:eastAsia="Times New Roman" w:hAnsi="Times New Roman"/>
        </w:rPr>
        <w:t xml:space="preserve">5.4 Limitations</w:t>
      </w:r>
    </w:p>
    <w:p>
      <w:pPr>
        <w:pStyle w:val="ListParagraph"/>
        <w:numPr>
          <w:ilvl w:val="0"/>
          <w:numId w:val="3"/>
        </w:numPr>
        <w:spacing w:after="60" w:line="280"/>
        <w:jc w:val="both"/>
      </w:pPr>
      <w:r>
        <w:rPr>
          <w:rFonts w:ascii="Times New Roman" w:cs="Times New Roman" w:eastAsia="Times New Roman" w:hAnsi="Times New Roman"/>
          <w:b/>
          <w:bCs/>
        </w:rPr>
        <w:t xml:space="preserve">Confounded layout (C9).</w:t>
      </w:r>
      <w:r>
        <w:rPr>
          <w:rFonts w:ascii="Times New Roman" w:cs="Times New Roman" w:eastAsia="Times New Roman" w:hAnsi="Times New Roman"/>
        </w:rPr>
        <w:t xml:space="preserve"> All controls were in one block and measured first on every date, so part of the healthy–diseased difference may reflect field position or measurement time (e.g. leaf temperature, instrument drift). A randomised layout and a randomised measurement order are needed to rule this out.</w:t>
      </w:r>
    </w:p>
    <w:p>
      <w:pPr>
        <w:pStyle w:val="ListParagraph"/>
        <w:numPr>
          <w:ilvl w:val="0"/>
          <w:numId w:val="3"/>
        </w:numPr>
        <w:spacing w:after="60" w:line="280"/>
        <w:jc w:val="both"/>
      </w:pPr>
      <w:r>
        <w:rPr>
          <w:rFonts w:ascii="Times New Roman" w:cs="Times New Roman" w:eastAsia="Times New Roman" w:hAnsi="Times New Roman"/>
          <w:b/>
          <w:bCs/>
        </w:rPr>
        <w:t xml:space="preserve">Imbalance and sample size.</w:t>
      </w:r>
      <w:r>
        <w:rPr>
          <w:rFonts w:ascii="Times New Roman" w:cs="Times New Roman" w:eastAsia="Times New Roman" w:hAnsi="Times New Roman"/>
        </w:rPr>
        <w:t xml:space="preserve"> 12 vs 36 plots (9 per inoculation group) give wide uncertainty; one misclassified control changes specificity by 8 points.</w:t>
      </w:r>
    </w:p>
    <w:p>
      <w:pPr>
        <w:pStyle w:val="ListParagraph"/>
        <w:numPr>
          <w:ilvl w:val="0"/>
          <w:numId w:val="3"/>
        </w:numPr>
        <w:spacing w:after="60" w:line="280"/>
        <w:jc w:val="both"/>
      </w:pPr>
      <w:r>
        <w:rPr>
          <w:rFonts w:ascii="Times New Roman" w:cs="Times New Roman" w:eastAsia="Times New Roman" w:hAnsi="Times New Roman"/>
          <w:b/>
          <w:bCs/>
        </w:rPr>
        <w:t xml:space="preserve">No measured biochemistry (C8).</w:t>
      </w:r>
      <w:r>
        <w:rPr>
          <w:rFonts w:ascii="Times New Roman" w:cs="Times New Roman" w:eastAsia="Times New Roman" w:hAnsi="Times New Roman"/>
        </w:rPr>
        <w:t xml:space="preserve"> The physiological interpretation relies on spectral proxies.</w:t>
      </w:r>
    </w:p>
    <w:p>
      <w:pPr>
        <w:pStyle w:val="ListParagraph"/>
        <w:numPr>
          <w:ilvl w:val="0"/>
          <w:numId w:val="3"/>
        </w:numPr>
        <w:spacing w:after="60" w:line="280"/>
        <w:jc w:val="both"/>
      </w:pPr>
      <w:r>
        <w:rPr>
          <w:rFonts w:ascii="Times New Roman" w:cs="Times New Roman" w:eastAsia="Times New Roman" w:hAnsi="Times New Roman"/>
          <w:b/>
          <w:bCs/>
        </w:rPr>
        <w:t xml:space="preserve">Inoculation timings.</w:t>
      </w:r>
      <w:r>
        <w:rPr>
          <w:rFonts w:ascii="Times New Roman" w:cs="Times New Roman" w:eastAsia="Times New Roman" w:hAnsi="Times New Roman"/>
        </w:rPr>
        <w:t xml:space="preserve"> The days after sowing of D1–D4 and the sowing date were not available, so infection stage could not be expressed as days after inoculation as in the paper.</w:t>
      </w:r>
    </w:p>
    <w:p>
      <w:pPr>
        <w:pStyle w:val="ListParagraph"/>
        <w:numPr>
          <w:ilvl w:val="0"/>
          <w:numId w:val="3"/>
        </w:numPr>
        <w:spacing w:after="60" w:line="280"/>
        <w:jc w:val="both"/>
      </w:pPr>
      <w:r>
        <w:rPr>
          <w:rFonts w:ascii="Times New Roman" w:cs="Times New Roman" w:eastAsia="Times New Roman" w:hAnsi="Times New Roman"/>
          <w:b/>
          <w:bCs/>
        </w:rPr>
        <w:t xml:space="preserve">Computation.</w:t>
      </w:r>
      <w:r>
        <w:rPr>
          <w:rFonts w:ascii="Times New Roman" w:cs="Times New Roman" w:eastAsia="Times New Roman" w:hAnsi="Times New Roman"/>
        </w:rPr>
        <w:t xml:space="preserve"> The SVM permutation test used only 4 permutations; in procedure D(i) the DSSF pool was chosen on all plots (optimistic, like procedure A).</w:t>
      </w:r>
    </w:p>
    <w:p>
      <w:pPr>
        <w:pStyle w:val="ListParagraph"/>
        <w:numPr>
          <w:ilvl w:val="0"/>
          <w:numId w:val="3"/>
        </w:numPr>
        <w:spacing w:after="60" w:line="280"/>
        <w:jc w:val="both"/>
      </w:pPr>
      <w:r>
        <w:rPr>
          <w:rFonts w:ascii="Times New Roman" w:cs="Times New Roman" w:eastAsia="Times New Roman" w:hAnsi="Times New Roman"/>
          <w:b/>
          <w:bCs/>
        </w:rPr>
        <w:t xml:space="preserve">Single season and site.</w:t>
      </w:r>
      <w:r>
        <w:rPr>
          <w:rFonts w:ascii="Times New Roman" w:cs="Times New Roman" w:eastAsia="Times New Roman" w:hAnsi="Times New Roman"/>
        </w:rPr>
        <w:t xml:space="preserve"> Transfer to other seasons, sites or canopy-level sensors has not been tested.</w:t>
      </w:r>
    </w:p>
    <w:p>
      <w:pPr>
        <w:pStyle w:val="Heading2"/>
      </w:pPr>
      <w:r>
        <w:rPr>
          <w:rFonts w:ascii="Times New Roman" w:cs="Times New Roman" w:eastAsia="Times New Roman" w:hAnsi="Times New Roman"/>
        </w:rPr>
        <w:t xml:space="preserve">5.5 Recommendations</w:t>
      </w:r>
    </w:p>
    <w:p>
      <w:pPr>
        <w:pStyle w:val="ListParagraph"/>
        <w:numPr>
          <w:ilvl w:val="0"/>
          <w:numId w:val="3"/>
        </w:numPr>
        <w:spacing w:after="60" w:line="280"/>
        <w:jc w:val="both"/>
      </w:pPr>
      <w:r>
        <w:rPr>
          <w:rFonts w:ascii="Times New Roman" w:cs="Times New Roman" w:eastAsia="Times New Roman" w:hAnsi="Times New Roman"/>
        </w:rPr>
        <w:t xml:space="preserve">Report the nested-CV accuracies (procedure B) as the performance of the method and the paper-faithful values (procedure A) only for comparison with Tian et al. (2021).</w:t>
      </w:r>
    </w:p>
    <w:p>
      <w:pPr>
        <w:pStyle w:val="ListParagraph"/>
        <w:numPr>
          <w:ilvl w:val="0"/>
          <w:numId w:val="3"/>
        </w:numPr>
        <w:spacing w:after="60" w:line="280"/>
        <w:jc w:val="both"/>
      </w:pPr>
      <w:r>
        <w:rPr>
          <w:rFonts w:ascii="Times New Roman" w:cs="Times New Roman" w:eastAsia="Times New Roman" w:hAnsi="Times New Roman"/>
        </w:rPr>
        <w:t xml:space="preserve">Use the stable core of DSSFs – NIR slope near 850 nm, yellow-red edge near 635 nm, anthocyanin (ARI2), water absorptions at 970, 1350 and 1940 nm – as candidate indicators for an independent season.</w:t>
      </w:r>
    </w:p>
    <w:p>
      <w:pPr>
        <w:pStyle w:val="ListParagraph"/>
        <w:numPr>
          <w:ilvl w:val="0"/>
          <w:numId w:val="3"/>
        </w:numPr>
        <w:spacing w:after="60" w:line="280"/>
        <w:jc w:val="both"/>
      </w:pPr>
      <w:r>
        <w:rPr>
          <w:rFonts w:ascii="Times New Roman" w:cs="Times New Roman" w:eastAsia="Times New Roman" w:hAnsi="Times New Roman"/>
        </w:rPr>
        <w:t xml:space="preserve">In future experiments, randomise the controls among the blocks and the measurement order, record the inoculation dates, and measure chlorophyll, anthocyanin and water content on a subset of leaves.</w:t>
      </w:r>
    </w:p>
    <w:p>
      <w:pPr>
        <w:pStyle w:val="Heading1"/>
        <w:pageBreakBefore/>
      </w:pPr>
      <w:r>
        <w:rPr>
          <w:rFonts w:ascii="Times New Roman" w:cs="Times New Roman" w:eastAsia="Times New Roman" w:hAnsi="Times New Roman"/>
        </w:rPr>
        <w:t xml:space="preserve">6. Conclusions</w:t>
      </w:r>
    </w:p>
    <w:p>
      <w:pPr>
        <w:pStyle w:val="ListParagraph"/>
        <w:numPr>
          <w:ilvl w:val="0"/>
          <w:numId w:val="6"/>
        </w:numPr>
        <w:spacing w:after="60" w:line="280"/>
        <w:jc w:val="both"/>
      </w:pPr>
      <w:r>
        <w:rPr>
          <w:rFonts w:ascii="Times New Roman" w:cs="Times New Roman" w:eastAsia="Times New Roman" w:hAnsi="Times New Roman"/>
        </w:rPr>
        <w:t xml:space="preserve">The ML-SFFS methodology of Tian et al. (2021) could be applied step by step to plot-average spectra of white-rust-infected mustard. From 19,548 candidate features, 16 disease-specific spectral features covering pigment, NIR-structure, water and dry-matter absorptions were extracted.</w:t>
      </w:r>
    </w:p>
    <w:p>
      <w:pPr>
        <w:pStyle w:val="ListParagraph"/>
        <w:numPr>
          <w:ilvl w:val="0"/>
          <w:numId w:val="6"/>
        </w:numPr>
        <w:spacing w:after="60" w:line="280"/>
        <w:jc w:val="both"/>
      </w:pPr>
      <w:r>
        <w:rPr>
          <w:rFonts w:ascii="Times New Roman" w:cs="Times New Roman" w:eastAsia="Times New Roman" w:hAnsi="Times New Roman"/>
        </w:rPr>
        <w:t xml:space="preserve">White rust lowered the water indices first (T1) and the chlorophyll and carotenoid indices from T2 onwards, while the anthocyanin index rose – the physiological basis of the selected features.</w:t>
      </w:r>
    </w:p>
    <w:p>
      <w:pPr>
        <w:pStyle w:val="ListParagraph"/>
        <w:numPr>
          <w:ilvl w:val="0"/>
          <w:numId w:val="6"/>
        </w:numPr>
        <w:spacing w:after="60" w:line="280"/>
        <w:jc w:val="both"/>
      </w:pPr>
      <w:r>
        <w:rPr>
          <w:rFonts w:ascii="Times New Roman" w:cs="Times New Roman" w:eastAsia="Times New Roman" w:hAnsi="Times New Roman"/>
        </w:rPr>
        <w:t xml:space="preserve">With the paper's procedure, one to four features gave 94.9–100 % overall accuracy on every date, SVM-SFFS being the best classifier.</w:t>
      </w:r>
    </w:p>
    <w:p>
      <w:pPr>
        <w:pStyle w:val="ListParagraph"/>
        <w:numPr>
          <w:ilvl w:val="0"/>
          <w:numId w:val="6"/>
        </w:numPr>
        <w:spacing w:after="60" w:line="280"/>
        <w:jc w:val="both"/>
      </w:pPr>
      <w:r>
        <w:rPr>
          <w:rFonts w:ascii="Times New Roman" w:cs="Times New Roman" w:eastAsia="Times New Roman" w:hAnsi="Times New Roman"/>
        </w:rPr>
        <w:t xml:space="preserve">Corrected for selection bias by nested cross-validation, the balanced accuracy was 83.5–98.8 %; the paper-faithful values are optimistic by 1–14 percentage points, and the procedure reaches 85.1–91.7 % OA even with random labels.</w:t>
      </w:r>
    </w:p>
    <w:p>
      <w:pPr>
        <w:pStyle w:val="ListParagraph"/>
        <w:numPr>
          <w:ilvl w:val="0"/>
          <w:numId w:val="6"/>
        </w:numPr>
        <w:spacing w:after="60" w:line="280"/>
        <w:jc w:val="both"/>
      </w:pPr>
      <w:r>
        <w:rPr>
          <w:rFonts w:ascii="Times New Roman" w:cs="Times New Roman" w:eastAsia="Times New Roman" w:hAnsi="Times New Roman"/>
        </w:rPr>
        <w:t xml:space="preserve">Detection rates were similar for all four inoculation timings and all three varieties; the confounding of controls with block and measurement order is the main limitation to be removed in future experiments.</w:t>
      </w:r>
    </w:p>
    <w:p>
      <w:pPr>
        <w:pStyle w:val="Heading1"/>
        <w:pageBreakBefore/>
      </w:pPr>
      <w:r>
        <w:rPr>
          <w:rFonts w:ascii="Times New Roman" w:cs="Times New Roman" w:eastAsia="Times New Roman" w:hAnsi="Times New Roman"/>
        </w:rPr>
        <w:t xml:space="preserve">References</w:t>
      </w:r>
    </w:p>
    <w:p>
      <w:pPr>
        <w:spacing w:after="120"/>
      </w:pPr>
      <w:r>
        <w:rPr>
          <w:rFonts w:ascii="Times New Roman" w:cs="Times New Roman" w:eastAsia="Times New Roman" w:hAnsi="Times New Roman"/>
          <w:i/>
          <w:iCs/>
          <w:color w:val="52514E"/>
          <w:sz w:val="19"/>
          <w:szCs w:val="19"/>
        </w:rPr>
        <w:t xml:space="preserve">All references were checked against publisher, repository or indexing records (October 2026); the verification status of each is listed in the Excel workbook (sheet S24). References to the remaining vegetation indices are given in the source workbooks.</w:t>
      </w:r>
    </w:p>
    <w:p>
      <w:pPr>
        <w:spacing w:after="80"/>
        <w:ind w:left="360" w:hanging="360"/>
        <w:jc w:val="left"/>
      </w:pPr>
      <w:r>
        <w:rPr>
          <w:rFonts w:ascii="Times New Roman" w:cs="Times New Roman" w:eastAsia="Times New Roman" w:hAnsi="Times New Roman"/>
          <w:sz w:val="21"/>
          <w:szCs w:val="21"/>
        </w:rPr>
        <w:t xml:space="preserve">Ambroise, C., McLachlan, G.J., 2002. Selection bias in gene extraction on the basis of microarray gene-expression data. Proceedings of the National Academy of Sciences USA 99 (10), 6562–6566. https://doi.org/10.1073/pnas.102102699</w:t>
      </w:r>
    </w:p>
    <w:p>
      <w:pPr>
        <w:spacing w:after="80"/>
        <w:ind w:left="360" w:hanging="360"/>
        <w:jc w:val="left"/>
      </w:pPr>
      <w:r>
        <w:rPr>
          <w:rFonts w:ascii="Times New Roman" w:cs="Times New Roman" w:eastAsia="Times New Roman" w:hAnsi="Times New Roman"/>
          <w:sz w:val="21"/>
          <w:szCs w:val="21"/>
        </w:rPr>
        <w:t xml:space="preserve">Benjamini, Y., Hochberg, Y., 1995. Controlling the false discovery rate: a practical and powerful approach to multiple testing. Journal of the Royal Statistical Society Series B 57 (1), 289–300. https://doi.org/10.1111/j.2517-6161.1995.tb02031.x</w:t>
      </w:r>
    </w:p>
    <w:p>
      <w:pPr>
        <w:spacing w:after="80"/>
        <w:ind w:left="360" w:hanging="360"/>
        <w:jc w:val="left"/>
      </w:pPr>
      <w:r>
        <w:rPr>
          <w:rFonts w:ascii="Times New Roman" w:cs="Times New Roman" w:eastAsia="Times New Roman" w:hAnsi="Times New Roman"/>
          <w:sz w:val="21"/>
          <w:szCs w:val="21"/>
        </w:rPr>
        <w:t xml:space="preserve">Brodersen, K.H., Ong, C.S., Stephan, K.E., Buhmann, J.M., 2010. The balanced accuracy and its posterior distribution. In: Proceedings of the 20th International Conference on Pattern Recognition (ICPR), Istanbul, pp. 3121–3124. https://doi.org/10.1109/ICPR.2010.764</w:t>
      </w:r>
    </w:p>
    <w:p>
      <w:pPr>
        <w:spacing w:after="80"/>
        <w:ind w:left="360" w:hanging="360"/>
        <w:jc w:val="left"/>
      </w:pPr>
      <w:r>
        <w:rPr>
          <w:rFonts w:ascii="Times New Roman" w:cs="Times New Roman" w:eastAsia="Times New Roman" w:hAnsi="Times New Roman"/>
          <w:sz w:val="21"/>
          <w:szCs w:val="21"/>
        </w:rPr>
        <w:t xml:space="preserve">Cawley, G.C., Talbot, N.L.C., 2010. On over-fitting in model selection and subsequent selection bias in performance evaluation. Journal of Machine Learning Research 11, 2079–2107.</w:t>
      </w:r>
    </w:p>
    <w:p>
      <w:pPr>
        <w:spacing w:after="80"/>
        <w:ind w:left="360" w:hanging="360"/>
        <w:jc w:val="left"/>
      </w:pPr>
      <w:r>
        <w:rPr>
          <w:rFonts w:ascii="Times New Roman" w:cs="Times New Roman" w:eastAsia="Times New Roman" w:hAnsi="Times New Roman"/>
          <w:sz w:val="21"/>
          <w:szCs w:val="21"/>
        </w:rPr>
        <w:t xml:space="preserve">Chang, C.-C., Lin, C.-J., 2011. LIBSVM: a library for support vector machines. ACM Transactions on Intelligent Systems and Technology 2 (3), 27:1–27:27. https://doi.org/10.1145/1961189.1961199</w:t>
      </w:r>
    </w:p>
    <w:p>
      <w:pPr>
        <w:spacing w:after="80"/>
        <w:ind w:left="360" w:hanging="360"/>
        <w:jc w:val="left"/>
      </w:pPr>
      <w:r>
        <w:rPr>
          <w:rFonts w:ascii="Times New Roman" w:cs="Times New Roman" w:eastAsia="Times New Roman" w:hAnsi="Times New Roman"/>
          <w:sz w:val="21"/>
          <w:szCs w:val="21"/>
        </w:rPr>
        <w:t xml:space="preserve">Cheng, T., Rivard, B., Sánchez-Azofeifa, G.A., Feng, J., Calvo-Polanco, M., 2010. Continuous wavelet analysis for the detection of green attack damage due to mountain pine beetle infestation. Remote Sensing of Environment 114 (4), 899–910. https://doi.org/10.1016/j.rse.2009.12.005</w:t>
      </w:r>
    </w:p>
    <w:p>
      <w:pPr>
        <w:spacing w:after="80"/>
        <w:ind w:left="360" w:hanging="360"/>
        <w:jc w:val="left"/>
      </w:pPr>
      <w:r>
        <w:rPr>
          <w:rFonts w:ascii="Times New Roman" w:cs="Times New Roman" w:eastAsia="Times New Roman" w:hAnsi="Times New Roman"/>
          <w:sz w:val="21"/>
          <w:szCs w:val="21"/>
        </w:rPr>
        <w:t xml:space="preserve">Clark, R.N., Roush, T.L., 1984. Reflectance spectroscopy: quantitative analysis techniques for remote sensing applications. Journal of Geophysical Research 89 (B7), 6329–6340. https://doi.org/10.1029/JB089iB07p06329</w:t>
      </w:r>
    </w:p>
    <w:p>
      <w:pPr>
        <w:spacing w:after="80"/>
        <w:ind w:left="360" w:hanging="360"/>
        <w:jc w:val="left"/>
      </w:pPr>
      <w:r>
        <w:rPr>
          <w:rFonts w:ascii="Times New Roman" w:cs="Times New Roman" w:eastAsia="Times New Roman" w:hAnsi="Times New Roman"/>
          <w:sz w:val="21"/>
          <w:szCs w:val="21"/>
        </w:rPr>
        <w:t xml:space="preserve">Cohen, J., 1960. A coefficient of agreement for nominal scales. Educational and Psychological Measurement 20 (1), 37–46. https://doi.org/10.1177/001316446002000104</w:t>
      </w:r>
    </w:p>
    <w:p>
      <w:pPr>
        <w:spacing w:after="80"/>
        <w:ind w:left="360" w:hanging="360"/>
        <w:jc w:val="left"/>
      </w:pPr>
      <w:r>
        <w:rPr>
          <w:rFonts w:ascii="Times New Roman" w:cs="Times New Roman" w:eastAsia="Times New Roman" w:hAnsi="Times New Roman"/>
          <w:sz w:val="21"/>
          <w:szCs w:val="21"/>
        </w:rPr>
        <w:t xml:space="preserve">Cortes, C., Vapnik, V., 1995. Support-vector networks. Machine Learning 20, 273–297. https://doi.org/10.1007/BF00994018</w:t>
      </w:r>
    </w:p>
    <w:p>
      <w:pPr>
        <w:spacing w:after="80"/>
        <w:ind w:left="360" w:hanging="360"/>
        <w:jc w:val="left"/>
      </w:pPr>
      <w:r>
        <w:rPr>
          <w:rFonts w:ascii="Times New Roman" w:cs="Times New Roman" w:eastAsia="Times New Roman" w:hAnsi="Times New Roman"/>
          <w:sz w:val="21"/>
          <w:szCs w:val="21"/>
        </w:rPr>
        <w:t xml:space="preserve">Cover, T.M., Hart, P.E., 1967. Nearest neighbor pattern classification. IEEE Transactions on Information Theory 13 (1), 21–27.</w:t>
      </w:r>
    </w:p>
    <w:p>
      <w:pPr>
        <w:spacing w:after="80"/>
        <w:ind w:left="360" w:hanging="360"/>
        <w:jc w:val="left"/>
      </w:pPr>
      <w:r>
        <w:rPr>
          <w:rFonts w:ascii="Times New Roman" w:cs="Times New Roman" w:eastAsia="Times New Roman" w:hAnsi="Times New Roman"/>
          <w:sz w:val="21"/>
          <w:szCs w:val="21"/>
        </w:rPr>
        <w:t xml:space="preserve">Dash, J., Curran, P.J., 2004. The MERIS terrestrial chlorophyll index. International Journal of Remote Sensing 25 (23), 5403–5413. https://doi.org/10.1080/0143116042000274015</w:t>
      </w:r>
    </w:p>
    <w:p>
      <w:pPr>
        <w:spacing w:after="80"/>
        <w:ind w:left="360" w:hanging="360"/>
        <w:jc w:val="left"/>
      </w:pPr>
      <w:r>
        <w:rPr>
          <w:rFonts w:ascii="Times New Roman" w:cs="Times New Roman" w:eastAsia="Times New Roman" w:hAnsi="Times New Roman"/>
          <w:sz w:val="21"/>
          <w:szCs w:val="21"/>
        </w:rPr>
        <w:t xml:space="preserve">Fisher, R.A., 1936. The use of multiple measurements in taxonomic problems. Annals of Eugenics 7 (2), 179–188. https://doi.org/10.1111/j.1469-1809.1936.tb02137.x</w:t>
      </w:r>
    </w:p>
    <w:p>
      <w:pPr>
        <w:spacing w:after="80"/>
        <w:ind w:left="360" w:hanging="360"/>
        <w:jc w:val="left"/>
      </w:pPr>
      <w:r>
        <w:rPr>
          <w:rFonts w:ascii="Times New Roman" w:cs="Times New Roman" w:eastAsia="Times New Roman" w:hAnsi="Times New Roman"/>
          <w:sz w:val="21"/>
          <w:szCs w:val="21"/>
        </w:rPr>
        <w:t xml:space="preserve">Gamon, J.A., Peñuelas, J., Field, C.B., 1992. A narrow-waveband spectral index that tracks diurnal changes in photosynthetic efficiency. Remote Sensing of Environment 41 (1), 35–44. https://doi.org/10.1016/0034-4257(92)90059-S</w:t>
      </w:r>
    </w:p>
    <w:p>
      <w:pPr>
        <w:spacing w:after="80"/>
        <w:ind w:left="360" w:hanging="360"/>
        <w:jc w:val="left"/>
      </w:pPr>
      <w:r>
        <w:rPr>
          <w:rFonts w:ascii="Times New Roman" w:cs="Times New Roman" w:eastAsia="Times New Roman" w:hAnsi="Times New Roman"/>
          <w:sz w:val="21"/>
          <w:szCs w:val="21"/>
        </w:rPr>
        <w:t xml:space="preserve">Gao, B.-C., 1996. NDWI—a normalized difference water index for remote sensing of vegetation liquid water from space. Remote Sensing of Environment 58 (3), 257–266. https://doi.org/10.1016/S0034-4257(96)00067-3</w:t>
      </w:r>
    </w:p>
    <w:p>
      <w:pPr>
        <w:spacing w:after="80"/>
        <w:ind w:left="360" w:hanging="360"/>
        <w:jc w:val="left"/>
      </w:pPr>
      <w:r>
        <w:rPr>
          <w:rFonts w:ascii="Times New Roman" w:cs="Times New Roman" w:eastAsia="Times New Roman" w:hAnsi="Times New Roman"/>
          <w:sz w:val="21"/>
          <w:szCs w:val="21"/>
        </w:rPr>
        <w:t xml:space="preserve">Gitelson, A.A., Gritz, Y., Merzlyak, M.N., 2003. Relationships between leaf chlorophyll content and spectral reflectance and algorithms for non-destructive chlorophyll assessment in higher plant leaves. Journal of Plant Physiology 160 (3), 271–282. https://doi.org/10.1078/0176-1617-00887</w:t>
      </w:r>
    </w:p>
    <w:p>
      <w:pPr>
        <w:spacing w:after="80"/>
        <w:ind w:left="360" w:hanging="360"/>
        <w:jc w:val="left"/>
      </w:pPr>
      <w:r>
        <w:rPr>
          <w:rFonts w:ascii="Times New Roman" w:cs="Times New Roman" w:eastAsia="Times New Roman" w:hAnsi="Times New Roman"/>
          <w:sz w:val="21"/>
          <w:szCs w:val="21"/>
        </w:rPr>
        <w:t xml:space="preserve">Gitelson, A.A., Merzlyak, M.N., Chivkunova, O.B., 2001. Optical properties and nondestructive estimation of anthocyanin content in plant leaves. Photochemistry and Photobiology 74 (1), 38–45. https://doi.org/10.1562/0031-8655(2001)074&lt;0038:OPANEO&gt;2.0.CO;2</w:t>
      </w:r>
    </w:p>
    <w:p>
      <w:pPr>
        <w:spacing w:after="80"/>
        <w:ind w:left="360" w:hanging="360"/>
        <w:jc w:val="left"/>
      </w:pPr>
      <w:r>
        <w:rPr>
          <w:rFonts w:ascii="Times New Roman" w:cs="Times New Roman" w:eastAsia="Times New Roman" w:hAnsi="Times New Roman"/>
          <w:sz w:val="21"/>
          <w:szCs w:val="21"/>
        </w:rPr>
        <w:t xml:space="preserve">Gitelson, A.A., Zur, Y., Chivkunova, O.B., Merzlyak, M.N., 2002. Assessing carotenoid content in plant leaves with reflectance spectroscopy. Photochemistry and Photobiology 75 (3), 272–281. https://doi.org/10.1562/0031-8655(2002)075&lt;0272:ACCIPL&gt;2.0.CO;2</w:t>
      </w:r>
    </w:p>
    <w:p>
      <w:pPr>
        <w:spacing w:after="80"/>
        <w:ind w:left="360" w:hanging="360"/>
        <w:jc w:val="left"/>
      </w:pPr>
      <w:r>
        <w:rPr>
          <w:rFonts w:ascii="Times New Roman" w:cs="Times New Roman" w:eastAsia="Times New Roman" w:hAnsi="Times New Roman"/>
          <w:sz w:val="21"/>
          <w:szCs w:val="21"/>
        </w:rPr>
        <w:t xml:space="preserve">Gong, P., Pu, R., Heald, R.C., 2002. Analysis of in situ hyperspectral data for nutrient estimation of giant sequoia. International Journal of Remote Sensing 23 (9), 1827–1850. https://doi.org/10.1080/01431160110075622</w:t>
      </w:r>
    </w:p>
    <w:p>
      <w:pPr>
        <w:spacing w:after="80"/>
        <w:ind w:left="360" w:hanging="360"/>
        <w:jc w:val="left"/>
      </w:pPr>
      <w:r>
        <w:rPr>
          <w:rFonts w:ascii="Times New Roman" w:cs="Times New Roman" w:eastAsia="Times New Roman" w:hAnsi="Times New Roman"/>
          <w:sz w:val="21"/>
          <w:szCs w:val="21"/>
        </w:rPr>
        <w:t xml:space="preserve">Guyot, G., Baret, F., 1988. Utilisation de la haute résolution spectrale pour suivre l'état des couverts végétaux. In: Proceedings of the 4th International Colloquium on Spectral Signatures of Objects in Remote Sensing, Aussois, France, 18–22 January 1988. ESA SP-287, pp. 279–286.</w:t>
      </w:r>
    </w:p>
    <w:p>
      <w:pPr>
        <w:spacing w:after="80"/>
        <w:ind w:left="360" w:hanging="360"/>
        <w:jc w:val="left"/>
      </w:pPr>
      <w:r>
        <w:rPr>
          <w:rFonts w:ascii="Times New Roman" w:cs="Times New Roman" w:eastAsia="Times New Roman" w:hAnsi="Times New Roman"/>
          <w:sz w:val="21"/>
          <w:szCs w:val="21"/>
        </w:rPr>
        <w:t xml:space="preserve">Horler, D.N.H., Dockray, M., Barber, J., 1983. The red edge of plant leaf reflectance. International Journal of Remote Sensing 4 (2), 273–288. https://doi.org/10.1080/01431168308948546</w:t>
      </w:r>
    </w:p>
    <w:p>
      <w:pPr>
        <w:spacing w:after="80"/>
        <w:ind w:left="360" w:hanging="360"/>
        <w:jc w:val="left"/>
      </w:pPr>
      <w:r>
        <w:rPr>
          <w:rFonts w:ascii="Times New Roman" w:cs="Times New Roman" w:eastAsia="Times New Roman" w:hAnsi="Times New Roman"/>
          <w:sz w:val="21"/>
          <w:szCs w:val="21"/>
        </w:rPr>
        <w:t xml:space="preserve">Hsu, C.-W., Chang, C.-C., Lin, C.-J., 2003. A practical guide to support vector classification. Technical report, Department of Computer Science, National Taiwan University, Taipei (revised 2016).</w:t>
      </w:r>
    </w:p>
    <w:p>
      <w:pPr>
        <w:spacing w:after="80"/>
        <w:ind w:left="360" w:hanging="360"/>
        <w:jc w:val="left"/>
      </w:pPr>
      <w:r>
        <w:rPr>
          <w:rFonts w:ascii="Times New Roman" w:cs="Times New Roman" w:eastAsia="Times New Roman" w:hAnsi="Times New Roman"/>
          <w:sz w:val="21"/>
          <w:szCs w:val="21"/>
        </w:rPr>
        <w:t xml:space="preserve">Huang, Y., Li, Z., Risinger, A.L., Enslow, B.T., Zeman, C.J., Gong, J., Yang, Y., Schanze, K.S., 2019. Fluorescence spectral shape analysis for nucleotide identification. Proceedings of the National Academy of Sciences USA 116 (31), 15386–15391.</w:t>
      </w:r>
    </w:p>
    <w:p>
      <w:pPr>
        <w:spacing w:after="80"/>
        <w:ind w:left="360" w:hanging="360"/>
        <w:jc w:val="left"/>
      </w:pPr>
      <w:r>
        <w:rPr>
          <w:rFonts w:ascii="Times New Roman" w:cs="Times New Roman" w:eastAsia="Times New Roman" w:hAnsi="Times New Roman"/>
          <w:sz w:val="21"/>
          <w:szCs w:val="21"/>
        </w:rPr>
        <w:t xml:space="preserve">Jacquemoud, S., Baret, F., 1990. PROSPECT: a model of leaf optical properties spectra. Remote Sensing of Environment 34 (2), 75–91.</w:t>
      </w:r>
    </w:p>
    <w:p>
      <w:pPr>
        <w:spacing w:after="80"/>
        <w:ind w:left="360" w:hanging="360"/>
        <w:jc w:val="left"/>
      </w:pPr>
      <w:r>
        <w:rPr>
          <w:rFonts w:ascii="Times New Roman" w:cs="Times New Roman" w:eastAsia="Times New Roman" w:hAnsi="Times New Roman"/>
          <w:sz w:val="21"/>
          <w:szCs w:val="21"/>
        </w:rPr>
        <w:t xml:space="preserve">Kohavi, R., 1995. A study of cross-validation and bootstrap for accuracy estimation and model selection. In: Proceedings of the 14th International Joint Conference on Artificial Intelligence (IJCAI), Montreal, pp. 1137–1145.</w:t>
      </w:r>
    </w:p>
    <w:p>
      <w:pPr>
        <w:spacing w:after="80"/>
        <w:ind w:left="360" w:hanging="360"/>
        <w:jc w:val="left"/>
      </w:pPr>
      <w:r>
        <w:rPr>
          <w:rFonts w:ascii="Times New Roman" w:cs="Times New Roman" w:eastAsia="Times New Roman" w:hAnsi="Times New Roman"/>
          <w:sz w:val="21"/>
          <w:szCs w:val="21"/>
        </w:rPr>
        <w:t xml:space="preserve">Kokaly, R.F., Clark, R.N., 1999. Spectroscopic determination of leaf biochemistry using band-depth analysis of absorption features and stepwise multiple linear regression. Remote Sensing of Environment 67 (3), 267–287.</w:t>
      </w:r>
    </w:p>
    <w:p>
      <w:pPr>
        <w:spacing w:after="80"/>
        <w:ind w:left="360" w:hanging="360"/>
        <w:jc w:val="left"/>
      </w:pPr>
      <w:r>
        <w:rPr>
          <w:rFonts w:ascii="Times New Roman" w:cs="Times New Roman" w:eastAsia="Times New Roman" w:hAnsi="Times New Roman"/>
          <w:sz w:val="21"/>
          <w:szCs w:val="21"/>
        </w:rPr>
        <w:t xml:space="preserve">Lee, G.R., Gommers, R., Wasilewski, F., Wohlfahrt, K., O'Leary, A., 2019. PyWavelets: a Python package for wavelet analysis. Journal of Open Source Software 4 (36), 1237. https://doi.org/10.21105/joss.01237</w:t>
      </w:r>
    </w:p>
    <w:p>
      <w:pPr>
        <w:spacing w:after="80"/>
        <w:ind w:left="360" w:hanging="360"/>
        <w:jc w:val="left"/>
      </w:pPr>
      <w:r>
        <w:rPr>
          <w:rFonts w:ascii="Times New Roman" w:cs="Times New Roman" w:eastAsia="Times New Roman" w:hAnsi="Times New Roman"/>
          <w:sz w:val="21"/>
          <w:szCs w:val="21"/>
        </w:rPr>
        <w:t xml:space="preserve">Levene, H., 1960. Robust tests for equality of variances. In: Olkin, I., et al. (Eds.), Contributions to Probability and Statistics: Essays in Honor of Harold Hotelling. Stanford University Press, Stanford, pp. 278–292.</w:t>
      </w:r>
    </w:p>
    <w:p>
      <w:pPr>
        <w:spacing w:after="80"/>
        <w:ind w:left="360" w:hanging="360"/>
        <w:jc w:val="left"/>
      </w:pPr>
      <w:r>
        <w:rPr>
          <w:rFonts w:ascii="Times New Roman" w:cs="Times New Roman" w:eastAsia="Times New Roman" w:hAnsi="Times New Roman"/>
          <w:sz w:val="21"/>
          <w:szCs w:val="21"/>
        </w:rPr>
        <w:t xml:space="preserve">Leys, C., Ley, C., Klein, O., Bernard, P., Licata, L., 2013. Detecting outliers: do not use standard deviation around the mean, use absolute deviation around the median. Journal of Experimental Social Psychology 49 (4), 764–766. https://doi.org/10.1016/j.jesp.2013.03.013</w:t>
      </w:r>
    </w:p>
    <w:p>
      <w:pPr>
        <w:spacing w:after="80"/>
        <w:ind w:left="360" w:hanging="360"/>
        <w:jc w:val="left"/>
      </w:pPr>
      <w:r>
        <w:rPr>
          <w:rFonts w:ascii="Times New Roman" w:cs="Times New Roman" w:eastAsia="Times New Roman" w:hAnsi="Times New Roman"/>
          <w:sz w:val="21"/>
          <w:szCs w:val="21"/>
        </w:rPr>
        <w:t xml:space="preserve">Lichtenthaler, H.K., Lang, M., Sowinska, M., Heisel, F., Miehé, J.A., 1996. Detection of vegetation stress via a new high resolution fluorescence imaging system. Journal of Plant Physiology 148 (5), 599–612.</w:t>
      </w:r>
    </w:p>
    <w:p>
      <w:pPr>
        <w:spacing w:after="80"/>
        <w:ind w:left="360" w:hanging="360"/>
        <w:jc w:val="left"/>
      </w:pPr>
      <w:r>
        <w:rPr>
          <w:rFonts w:ascii="Times New Roman" w:cs="Times New Roman" w:eastAsia="Times New Roman" w:hAnsi="Times New Roman"/>
          <w:sz w:val="21"/>
          <w:szCs w:val="21"/>
        </w:rPr>
        <w:t xml:space="preserve">Mahlein, A.-K., Kuska, M.T., Behmann, J., Polder, G., Walter, A., 2018. Hyperspectral sensors and imaging technologies in phytopathology: state of the art. Annual Review of Phytopathology 56, 535–558. https://doi.org/10.1146/annurev-phyto-080417-050100</w:t>
      </w:r>
    </w:p>
    <w:p>
      <w:pPr>
        <w:spacing w:after="80"/>
        <w:ind w:left="360" w:hanging="360"/>
        <w:jc w:val="left"/>
      </w:pPr>
      <w:r>
        <w:rPr>
          <w:rFonts w:ascii="Times New Roman" w:cs="Times New Roman" w:eastAsia="Times New Roman" w:hAnsi="Times New Roman"/>
          <w:sz w:val="21"/>
          <w:szCs w:val="21"/>
        </w:rPr>
        <w:t xml:space="preserve">Mahlein, A.-K., Rumpf, T., Welke, P., Dehne, H.-W., Plümer, L., Steiner, U., Oerke, E.-C., 2013. Development of spectral indices for detecting and identifying plant diseases. Remote Sensing of Environment 128, 21–30. https://doi.org/10.1016/j.rse.2012.09.019</w:t>
      </w:r>
    </w:p>
    <w:p>
      <w:pPr>
        <w:spacing w:after="80"/>
        <w:ind w:left="360" w:hanging="360"/>
        <w:jc w:val="left"/>
      </w:pPr>
      <w:r>
        <w:rPr>
          <w:rFonts w:ascii="Times New Roman" w:cs="Times New Roman" w:eastAsia="Times New Roman" w:hAnsi="Times New Roman"/>
          <w:sz w:val="21"/>
          <w:szCs w:val="21"/>
        </w:rPr>
        <w:t xml:space="preserve">Mann, H.B., Whitney, D.R., 1947. On a test of whether one of two random variables is stochastically larger than the other. Annals of Mathematical Statistics 18 (1), 50–60. https://doi.org/10.1214/aoms/1177730491</w:t>
      </w:r>
    </w:p>
    <w:p>
      <w:pPr>
        <w:spacing w:after="80"/>
        <w:ind w:left="360" w:hanging="360"/>
        <w:jc w:val="left"/>
      </w:pPr>
      <w:r>
        <w:rPr>
          <w:rFonts w:ascii="Times New Roman" w:cs="Times New Roman" w:eastAsia="Times New Roman" w:hAnsi="Times New Roman"/>
          <w:sz w:val="21"/>
          <w:szCs w:val="21"/>
        </w:rPr>
        <w:t xml:space="preserve">O'Brien, R.M., 2007. A caution regarding rules of thumb for variance inflation factors. Quality &amp; Quantity 41 (5), 673–690. https://doi.org/10.1007/s11135-006-9018-6</w:t>
      </w:r>
    </w:p>
    <w:p>
      <w:pPr>
        <w:spacing w:after="80"/>
        <w:ind w:left="360" w:hanging="360"/>
        <w:jc w:val="left"/>
      </w:pPr>
      <w:r>
        <w:rPr>
          <w:rFonts w:ascii="Times New Roman" w:cs="Times New Roman" w:eastAsia="Times New Roman" w:hAnsi="Times New Roman"/>
          <w:sz w:val="21"/>
          <w:szCs w:val="21"/>
        </w:rPr>
        <w:t xml:space="preserve">Ojala, M., Garriga, G.C., 2010. Permutation tests for studying classifier performance. Journal of Machine Learning Research 11, 1833–1863.</w:t>
      </w:r>
    </w:p>
    <w:p>
      <w:pPr>
        <w:spacing w:after="80"/>
        <w:ind w:left="360" w:hanging="360"/>
        <w:jc w:val="left"/>
      </w:pPr>
      <w:r>
        <w:rPr>
          <w:rFonts w:ascii="Times New Roman" w:cs="Times New Roman" w:eastAsia="Times New Roman" w:hAnsi="Times New Roman"/>
          <w:sz w:val="21"/>
          <w:szCs w:val="21"/>
        </w:rPr>
        <w:t xml:space="preserve">Pedregosa, F., Varoquaux, G., Gramfort, A., Michel, V., Thirion, B., Grisel, O., Blondel, M., Prettenhofer, P., Weiss, R., Dubourg, V., Vanderplas, J., Passos, A., Cournapeau, D., Brucher, M., Perrot, M., Duchesnay, É., 2011. Scikit-learn: machine learning in Python. Journal of Machine Learning Research 12, 2825–2830.</w:t>
      </w:r>
    </w:p>
    <w:p>
      <w:pPr>
        <w:spacing w:after="80"/>
        <w:ind w:left="360" w:hanging="360"/>
        <w:jc w:val="left"/>
      </w:pPr>
      <w:r>
        <w:rPr>
          <w:rFonts w:ascii="Times New Roman" w:cs="Times New Roman" w:eastAsia="Times New Roman" w:hAnsi="Times New Roman"/>
          <w:sz w:val="21"/>
          <w:szCs w:val="21"/>
        </w:rPr>
        <w:t xml:space="preserve">Peñuelas, J., Piñol, J., Ogaya, R., Filella, I., 1997. Estimation of plant water concentration by the reflectance water index WI (R900/R970). International Journal of Remote Sensing 18 (13), 2869–2875. https://doi.org/10.1080/014311697217396</w:t>
      </w:r>
    </w:p>
    <w:p>
      <w:pPr>
        <w:spacing w:after="80"/>
        <w:ind w:left="360" w:hanging="360"/>
        <w:jc w:val="left"/>
      </w:pPr>
      <w:r>
        <w:rPr>
          <w:rFonts w:ascii="Times New Roman" w:cs="Times New Roman" w:eastAsia="Times New Roman" w:hAnsi="Times New Roman"/>
          <w:sz w:val="21"/>
          <w:szCs w:val="21"/>
        </w:rPr>
        <w:t xml:space="preserve">Pudil, P., Novovičová, J., Kittler, J., 1994. Floating search methods in feature selection. Pattern Recognition Letters 15 (11), 1119–1125.</w:t>
      </w:r>
    </w:p>
    <w:p>
      <w:pPr>
        <w:spacing w:after="80"/>
        <w:ind w:left="360" w:hanging="360"/>
        <w:jc w:val="left"/>
      </w:pPr>
      <w:r>
        <w:rPr>
          <w:rFonts w:ascii="Times New Roman" w:cs="Times New Roman" w:eastAsia="Times New Roman" w:hAnsi="Times New Roman"/>
          <w:sz w:val="21"/>
          <w:szCs w:val="21"/>
        </w:rPr>
        <w:t xml:space="preserve">Saeys, Y., Inza, I., Larrañaga, P., 2007. A review of feature selection techniques in bioinformatics. Bioinformatics 23 (19), 2507–2517. https://doi.org/10.1093/bioinformatics/btm344</w:t>
      </w:r>
    </w:p>
    <w:p>
      <w:pPr>
        <w:spacing w:after="80"/>
        <w:ind w:left="360" w:hanging="360"/>
        <w:jc w:val="left"/>
      </w:pPr>
      <w:r>
        <w:rPr>
          <w:rFonts w:ascii="Times New Roman" w:cs="Times New Roman" w:eastAsia="Times New Roman" w:hAnsi="Times New Roman"/>
          <w:sz w:val="21"/>
          <w:szCs w:val="21"/>
        </w:rPr>
        <w:t xml:space="preserve">Saharan, G.S., Verma, P.R., Meena, P.D., Kumar, A., 2014. White Rust of Crucifers: Biology, Ecology and Management. Springer India, New Delhi.</w:t>
      </w:r>
    </w:p>
    <w:p>
      <w:pPr>
        <w:spacing w:after="80"/>
        <w:ind w:left="360" w:hanging="360"/>
        <w:jc w:val="left"/>
      </w:pPr>
      <w:r>
        <w:rPr>
          <w:rFonts w:ascii="Times New Roman" w:cs="Times New Roman" w:eastAsia="Times New Roman" w:hAnsi="Times New Roman"/>
          <w:sz w:val="21"/>
          <w:szCs w:val="21"/>
        </w:rPr>
        <w:t xml:space="preserve">Shapiro, S.S., Wilk, M.B., 1965. An analysis of variance test for normality (complete samples). Biometrika 52 (3–4), 591–611. https://doi.org/10.1093/biomet/52.3-4.591</w:t>
      </w:r>
    </w:p>
    <w:p>
      <w:pPr>
        <w:spacing w:after="80"/>
        <w:ind w:left="360" w:hanging="360"/>
        <w:jc w:val="left"/>
      </w:pPr>
      <w:r>
        <w:rPr>
          <w:rFonts w:ascii="Times New Roman" w:cs="Times New Roman" w:eastAsia="Times New Roman" w:hAnsi="Times New Roman"/>
          <w:sz w:val="21"/>
          <w:szCs w:val="21"/>
        </w:rPr>
        <w:t xml:space="preserve">Tian, L., Xue, B., Wang, Z., Li, D., Yao, X., Cao, Q., Zhu, Y., Cao, W., Cheng, T., 2021. Spectroscopic detection of rice leaf blast infection from asymptomatic to mild stages with integrated machine learning and feature selection. Remote Sensing of Environment 257, 112350. https://doi.org/10.1016/j.rse.2021.112350</w:t>
      </w:r>
    </w:p>
    <w:p>
      <w:pPr>
        <w:spacing w:after="80"/>
        <w:ind w:left="360" w:hanging="360"/>
        <w:jc w:val="left"/>
      </w:pPr>
      <w:r>
        <w:rPr>
          <w:rFonts w:ascii="Times New Roman" w:cs="Times New Roman" w:eastAsia="Times New Roman" w:hAnsi="Times New Roman"/>
          <w:sz w:val="21"/>
          <w:szCs w:val="21"/>
        </w:rPr>
        <w:t xml:space="preserve">Torrence, C., Compo, G.P., 1998. A practical guide to wavelet analysis. Bulletin of the American Meteorological Society 79 (1), 61–78.</w:t>
      </w:r>
    </w:p>
    <w:p>
      <w:pPr>
        <w:spacing w:after="80"/>
        <w:ind w:left="360" w:hanging="360"/>
        <w:jc w:val="left"/>
      </w:pPr>
      <w:r>
        <w:rPr>
          <w:rFonts w:ascii="Times New Roman" w:cs="Times New Roman" w:eastAsia="Times New Roman" w:hAnsi="Times New Roman"/>
          <w:sz w:val="21"/>
          <w:szCs w:val="21"/>
        </w:rPr>
        <w:t xml:space="preserve">Tsai, F., Philpot, W., 1998. Derivative analysis of hyperspectral data. Remote Sensing of Environment 66 (1), 41–51.</w:t>
      </w:r>
    </w:p>
    <w:p>
      <w:pPr>
        <w:spacing w:after="80"/>
        <w:ind w:left="360" w:hanging="360"/>
        <w:jc w:val="left"/>
      </w:pPr>
      <w:r>
        <w:rPr>
          <w:rFonts w:ascii="Times New Roman" w:cs="Times New Roman" w:eastAsia="Times New Roman" w:hAnsi="Times New Roman"/>
          <w:sz w:val="21"/>
          <w:szCs w:val="21"/>
        </w:rPr>
        <w:t xml:space="preserve">Varma, S., Simon, R., 2006. Bias in error estimation when using cross-validation for model selection. BMC Bioinformatics 7, 91. https://doi.org/10.1186/1471-2105-7-91</w:t>
      </w:r>
    </w:p>
    <w:p>
      <w:pPr>
        <w:spacing w:after="80"/>
        <w:ind w:left="360" w:hanging="360"/>
        <w:jc w:val="left"/>
      </w:pPr>
      <w:r>
        <w:rPr>
          <w:rFonts w:ascii="Times New Roman" w:cs="Times New Roman" w:eastAsia="Times New Roman" w:hAnsi="Times New Roman"/>
          <w:sz w:val="21"/>
          <w:szCs w:val="21"/>
        </w:rPr>
        <w:t xml:space="preserve">Zhang, J., Yuan, L., Pu, R., Loraamm, R.W., Yang, G., Wang, J., 2014. Comparison between wavelet spectral features and conventional spectral features in detecting yellow rust for winter wheat. Computers and Electronics in Agriculture 100, 79–87. https://doi.org/10.1016/j.compag.2013.11.001</w:t>
      </w:r>
    </w:p>
    <w:p>
      <w:pPr>
        <w:pStyle w:val="Heading2"/>
      </w:pPr>
      <w:r>
        <w:rPr>
          <w:rFonts w:ascii="Times New Roman" w:cs="Times New Roman" w:eastAsia="Times New Roman" w:hAnsi="Times New Roman"/>
        </w:rPr>
        <w:t xml:space="preserve">Errors found in the reference list of Tian et al. (2021)</w:t>
      </w:r>
    </w:p>
    <w:p>
      <w:pPr>
        <w:keepNext/>
        <w:spacing w:after="80" w:before="200"/>
      </w:pPr>
      <w:r>
        <w:rPr>
          <w:rFonts w:ascii="Times New Roman" w:cs="Times New Roman" w:eastAsia="Times New Roman" w:hAnsi="Times New Roman"/>
          <w:b/>
          <w:bCs/>
          <w:sz w:val="20"/>
          <w:szCs w:val="20"/>
        </w:rPr>
        <w:t xml:space="preserve">Table 15.</w:t>
      </w:r>
      <w:r>
        <w:rPr>
          <w:rFonts w:ascii="Times New Roman" w:cs="Times New Roman" w:eastAsia="Times New Roman" w:hAnsi="Times New Roman"/>
          <w:sz w:val="20"/>
          <w:szCs w:val="20"/>
        </w:rPr>
        <w:t xml:space="preserve"> Reference errors in Tian et al. (2021) detected during cross-checking.</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764"/>
        <w:gridCol w:w="3529"/>
        <w:gridCol w:w="4117"/>
      </w:tblGrid>
      <w:tr>
        <w:trPr>
          <w:tblHeader/>
        </w:trPr>
        <w:tc>
          <w:tcPr>
            <w:tcW w:type="dxa" w:w="1764"/>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Reference</w:t>
            </w:r>
          </w:p>
        </w:tc>
        <w:tc>
          <w:tcPr>
            <w:tcW w:type="dxa" w:w="3529"/>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As printed</w:t>
            </w:r>
          </w:p>
        </w:tc>
        <w:tc>
          <w:tcPr>
            <w:tcW w:type="dxa" w:w="4117"/>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Correct</w:t>
            </w:r>
          </w:p>
        </w:tc>
      </w:tr>
      <w:tr>
        <w:tc>
          <w:tcPr>
            <w:tcW w:type="dxa" w:w="1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Fisher (1936)</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Title given as 'The use of multiple measures in taxonomic problems'</w:t>
            </w:r>
          </w:p>
        </w:tc>
        <w:tc>
          <w:tcPr>
            <w:tcW w:type="dxa" w:w="41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Correct title: 'The use of multiple measurements in taxonomic problems', Ann. Eugenics 7 (2), 179–188</w:t>
            </w:r>
          </w:p>
        </w:tc>
      </w:tr>
      <w:tr>
        <w:tc>
          <w:tcPr>
            <w:tcW w:type="dxa" w:w="1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Chang and Lin (2011)</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Title given only as 'Libsvm'; pages '1–27'</w:t>
            </w:r>
          </w:p>
        </w:tc>
        <w:tc>
          <w:tcPr>
            <w:tcW w:type="dxa" w:w="41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LIBSVM: a library for support vector machines. ACM TIST 2 (3), 27:1–27:27</w:t>
            </w:r>
          </w:p>
        </w:tc>
      </w:tr>
      <w:tr>
        <w:tc>
          <w:tcPr>
            <w:tcW w:type="dxa" w:w="1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Huang et al. (2019)</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No journal, volume or pages; authors 'Enslowd IV, B.T.' and 'Gonge, J.'; Zeman omitted</w:t>
            </w:r>
          </w:p>
        </w:tc>
        <w:tc>
          <w:tcPr>
            <w:tcW w:type="dxa" w:w="41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PNAS 116 (31), 15386–15391; authors Huang, Li, Risinger, Enslow, Zeman, Gong, Yang, Schanze</w:t>
            </w:r>
          </w:p>
        </w:tc>
      </w:tr>
      <w:tr>
        <w:tc>
          <w:tcPr>
            <w:tcW w:type="dxa" w:w="1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Jacquemoud and Féret (1990)</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Co-author given as Féret, J.B.; no volume</w:t>
            </w:r>
          </w:p>
        </w:tc>
        <w:tc>
          <w:tcPr>
            <w:tcW w:type="dxa" w:w="41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Jacquemoud, S., Baret, F., 1990. PROSPECT. Remote Sens. Environ. 34, 75–91</w:t>
            </w:r>
          </w:p>
        </w:tc>
      </w:tr>
      <w:tr>
        <w:tc>
          <w:tcPr>
            <w:tcW w:type="dxa" w:w="1764"/>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Leys et al. (2013) as used in Tian et al.</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Text: outliers = 'median minus/plus three standard deviations'</w:t>
            </w:r>
          </w:p>
        </w:tc>
        <w:tc>
          <w:tcPr>
            <w:tcW w:type="dxa" w:w="4117"/>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Leys et al. recommend the median ± k·MAD (k = 2.5 moderately, 3 very conservative); median ± 3 MAD is used here</w:t>
            </w:r>
          </w:p>
        </w:tc>
      </w:tr>
    </w:tbl>
    <w:p>
      <w:pPr>
        <w:spacing w:after="120"/>
      </w:pPr>
    </w:p>
    <w:p>
      <w:pPr>
        <w:pStyle w:val="Heading1"/>
        <w:pageBreakBefore/>
      </w:pPr>
      <w:r>
        <w:rPr>
          <w:rFonts w:ascii="Times New Roman" w:cs="Times New Roman" w:eastAsia="Times New Roman" w:hAnsi="Times New Roman"/>
        </w:rPr>
        <w:t xml:space="preserve">Appendix A. Paper vs this study</w:t>
      </w:r>
    </w:p>
    <w:p>
      <w:pPr>
        <w:keepNext/>
        <w:spacing w:after="80" w:before="200"/>
      </w:pPr>
      <w:r>
        <w:rPr>
          <w:rFonts w:ascii="Times New Roman" w:cs="Times New Roman" w:eastAsia="Times New Roman" w:hAnsi="Times New Roman"/>
          <w:b/>
          <w:bCs/>
          <w:sz w:val="20"/>
          <w:szCs w:val="20"/>
        </w:rPr>
        <w:t xml:space="preserve">Table 16.</w:t>
      </w:r>
      <w:r>
        <w:rPr>
          <w:rFonts w:ascii="Times New Roman" w:cs="Times New Roman" w:eastAsia="Times New Roman" w:hAnsi="Times New Roman"/>
          <w:sz w:val="20"/>
          <w:szCs w:val="20"/>
        </w:rPr>
        <w:t xml:space="preserve"> Design and method of Tian et al. (2021) and of this study.</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529"/>
        <w:gridCol w:w="3529"/>
        <w:gridCol w:w="4353"/>
      </w:tblGrid>
      <w:tr>
        <w:trPr>
          <w:tblHeader/>
        </w:trPr>
        <w:tc>
          <w:tcPr>
            <w:tcW w:type="dxa" w:w="1529"/>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Aspect</w:t>
            </w:r>
          </w:p>
        </w:tc>
        <w:tc>
          <w:tcPr>
            <w:tcW w:type="dxa" w:w="3529"/>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Tian et al. (2021)</w:t>
            </w:r>
          </w:p>
        </w:tc>
        <w:tc>
          <w:tcPr>
            <w:tcW w:type="dxa" w:w="4353"/>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5"/>
                <w:szCs w:val="15"/>
              </w:rPr>
              <w:t xml:space="preserve">This study</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Pathosystem</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Rice leaf blast (Magnaporthe oryzae), greenhouse</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White rust (Albugo candida) of mustard, field plots</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Sampling unit</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Single leaves (paired infected/healthy)</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Plot average of 3–15 leaf spectra per plot (48 plots)</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Classes</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Balanced (26+26, 45+45)</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Imbalanced: 12 healthy vs 36 diseased</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Time points</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5 DAIs (2018) + 6 DAIs (2019)</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4 measurement dates T1–T4 (11 Feb, 24 Feb, 3 Mar, 13 Mar 2026) on the same 48 plots</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Infection stage</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Asymptomatic / early / mild, defined by DAI and visible lesions</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Measurement date T1–T4 × inoculation timing D1–D4 (days after sowing) – 16 stage combinations (Step 6D)</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Design</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Pots, paired infected and healthy leaves</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 varieties × 4 inoculation timings × 3 replications (R1–R3) + 12 uninoculated controls (block C)</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Biochemistry</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Measured Ca+b, Cx+c, Canth, Cw</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Not measured → spectral proxies (C8)</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Candidate features</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Reflectance bands, 97 SIs, CWT coefficients</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Reflectance bands, D1–D3 derivatives, CWT coefficients, 87 VIs, 48 CR parameters, 23 red-edge parameters</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Spectral range</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350–2500 nm</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400–2400 nm without detector-join guard zones (C1)</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Separability</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Thresholding, OA</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Thresholding, balanced accuracy (C2)</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Feature extraction</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Top 5 % per DAI → intersection → 1 representative per region; SIs: top-10 union</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Same, with explicit consistency level k</w:t>
            </w:r>
            <w:r>
              <w:rPr>
                <w:rFonts w:ascii="Times New Roman" w:cs="Times New Roman" w:eastAsia="Times New Roman" w:hAnsi="Times New Roman"/>
                <w:b w:val="false"/>
                <w:bCs w:val="false"/>
                <w:sz w:val="15"/>
                <w:szCs w:val="15"/>
                <w:vertAlign w:val="superscript"/>
              </w:rPr>
              <w:t xml:space="preserve">*</w:t>
            </w:r>
            <w:r>
              <w:rPr>
                <w:rFonts w:ascii="Times New Roman" w:cs="Times New Roman" w:eastAsia="Times New Roman" w:hAnsi="Times New Roman"/>
                <w:b w:val="false"/>
                <w:bCs w:val="false"/>
                <w:sz w:val="15"/>
                <w:szCs w:val="15"/>
              </w:rPr>
              <w:t xml:space="preserve"> (C3); scalar families top 10 % union</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Collinearity</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VIF &lt; 10</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Iterative relevance-aware VIF &lt; 10 (C5)</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Classifiers</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LDA, k-NN (k = 3), SVM-RBF (grid search)</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Same (C6)</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Validation</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4-fold CV × 100 repetitions, mean optimal OA, modal OFC</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A: identical replication; B: nested CV (C4); C: permutation null; D: stage-wise (controls vs each inoculation timing)</w:t>
            </w:r>
          </w:p>
        </w:tc>
      </w:tr>
      <w:tr>
        <w:tc>
          <w:tcPr>
            <w:tcW w:type="dxa" w:w="1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Software</w:t>
            </w:r>
          </w:p>
        </w:tc>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R 4.0.1 (caret, kknn, e1071), IDL wavelet toolkit</w:t>
            </w:r>
          </w:p>
        </w:tc>
        <w:tc>
          <w:tcPr>
            <w:tcW w:type="dxa" w:w="4353"/>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5"/>
                <w:szCs w:val="15"/>
              </w:rPr>
              <w:t xml:space="preserve">Python 3 (scikit-learn, PyWavelets, SciPy, statsmodels)</w:t>
            </w:r>
          </w:p>
        </w:tc>
      </w:tr>
    </w:tbl>
    <w:p>
      <w:pPr>
        <w:spacing w:after="120"/>
      </w:pPr>
    </w:p>
    <w:p>
      <w:pPr>
        <w:pStyle w:val="Heading1"/>
      </w:pPr>
      <w:r>
        <w:rPr>
          <w:rFonts w:ascii="Times New Roman" w:cs="Times New Roman" w:eastAsia="Times New Roman" w:hAnsi="Times New Roman"/>
        </w:rPr>
        <w:t xml:space="preserve">Appendix B. Guide to the accompanying files</w:t>
      </w:r>
    </w:p>
    <w:p>
      <w:pPr>
        <w:keepNext/>
        <w:spacing w:after="80" w:before="200"/>
      </w:pPr>
      <w:r>
        <w:rPr>
          <w:rFonts w:ascii="Times New Roman" w:cs="Times New Roman" w:eastAsia="Times New Roman" w:hAnsi="Times New Roman"/>
          <w:b/>
          <w:bCs/>
          <w:sz w:val="20"/>
          <w:szCs w:val="20"/>
        </w:rPr>
        <w:t xml:space="preserve">Table 17.</w:t>
      </w:r>
      <w:r>
        <w:rPr>
          <w:rFonts w:ascii="Times New Roman" w:cs="Times New Roman" w:eastAsia="Times New Roman" w:hAnsi="Times New Roman"/>
          <w:sz w:val="20"/>
          <w:szCs w:val="20"/>
        </w:rPr>
        <w:t xml:space="preserve"> Files delivered with this chapter.</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529"/>
        <w:gridCol w:w="5882"/>
      </w:tblGrid>
      <w:tr>
        <w:trPr>
          <w:tblHeader/>
        </w:trPr>
        <w:tc>
          <w:tcPr>
            <w:tcW w:type="dxa" w:w="3529"/>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File</w:t>
            </w:r>
          </w:p>
        </w:tc>
        <w:tc>
          <w:tcPr>
            <w:tcW w:type="dxa" w:w="5882"/>
            <w:tcBorders>
              <w:top w:val="single" w:color="8C8B86" w:sz="4"/>
              <w:left w:val="single" w:color="8C8B86" w:sz="4"/>
              <w:bottom w:val="single" w:color="8C8B86" w:sz="4"/>
              <w:right w:val="single" w:color="8C8B86" w:sz="4"/>
            </w:tcBorders>
            <w:shd w:fill="DCE8F7" w:color="auto" w:val="clear"/>
            <w:tcMar>
              <w:top w:type="dxa" w:w="40"/>
              <w:left w:type="dxa" w:w="70"/>
              <w:bottom w:type="dxa" w:w="40"/>
              <w:right w:type="dxa" w:w="70"/>
            </w:tcMar>
            <w:vAlign w:val="center"/>
          </w:tcPr>
          <w:p>
            <w:pPr>
              <w:spacing w:after="0" w:before="0"/>
            </w:pPr>
            <w:r>
              <w:rPr>
                <w:rFonts w:ascii="Times New Roman" w:cs="Times New Roman" w:eastAsia="Times New Roman" w:hAnsi="Times New Roman"/>
                <w:b/>
                <w:bCs/>
                <w:sz w:val="17"/>
                <w:szCs w:val="17"/>
              </w:rPr>
              <w:t xml:space="preserve">Content</w:t>
            </w:r>
          </w:p>
        </w:tc>
      </w:tr>
      <w:tr>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WhiteRust_ML-SFFS_TianMethod_Analysis.xlsx</w:t>
            </w:r>
          </w:p>
        </w:tc>
        <w:tc>
          <w:tcPr>
            <w:tcW w:type="dxa" w:w="5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25 sheets, one per step (S00 contents … S24 references); green cells are live Excel formulas that recompute key results</w:t>
            </w:r>
          </w:p>
        </w:tc>
      </w:tr>
      <w:tr>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WhiteRust_ML-SFFS_TianMethod_Slides.pptx</w:t>
            </w:r>
          </w:p>
        </w:tc>
        <w:tc>
          <w:tcPr>
            <w:tcW w:type="dxa" w:w="5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Step-by-step slides of the workflow, results and corrections</w:t>
            </w:r>
          </w:p>
        </w:tc>
      </w:tr>
      <w:tr>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WhiteRust_ML-SFFS_TianMethod_Thesis_Chapter.docx</w:t>
            </w:r>
          </w:p>
        </w:tc>
        <w:tc>
          <w:tcPr>
            <w:tcW w:type="dxa" w:w="5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This document</w:t>
            </w:r>
          </w:p>
        </w:tc>
      </w:tr>
      <w:tr>
        <w:tc>
          <w:tcPr>
            <w:tcW w:type="dxa" w:w="3529"/>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code/ (Python, JavaScript)</w:t>
            </w:r>
          </w:p>
        </w:tc>
        <w:tc>
          <w:tcPr>
            <w:tcW w:type="dxa" w:w="5882"/>
            <w:tcBorders>
              <w:top w:val="single" w:color="8C8B86" w:sz="4"/>
              <w:left w:val="single" w:color="8C8B86" w:sz="4"/>
              <w:bottom w:val="single" w:color="8C8B86" w:sz="4"/>
              <w:right w:val="single" w:color="8C8B86" w:sz="4"/>
            </w:tcBorders>
            <w:tcMar>
              <w:top w:type="dxa" w:w="40"/>
              <w:left w:type="dxa" w:w="70"/>
              <w:bottom w:type="dxa" w:w="40"/>
              <w:right w:type="dxa" w:w="70"/>
            </w:tcMar>
            <w:vAlign w:val="center"/>
          </w:tcPr>
          <w:p>
            <w:pPr>
              <w:spacing w:after="0" w:before="0"/>
            </w:pPr>
            <w:r>
              <w:rPr>
                <w:rFonts w:ascii="Times New Roman" w:cs="Times New Roman" w:eastAsia="Times New Roman" w:hAnsi="Times New Roman"/>
                <w:b w:val="false"/>
                <w:bCs w:val="false"/>
                <w:sz w:val="17"/>
                <w:szCs w:val="17"/>
              </w:rPr>
              <w:t xml:space="preserve">Scripts that reproduce every number: s01_load … s12_doc</w:t>
            </w:r>
          </w:p>
        </w:tc>
      </w:tr>
    </w:tbl>
    <w:p>
      <w:pPr>
        <w:spacing w:after="120"/>
      </w:pPr>
    </w:p>
    <w:sectPr>
      <w:footerReference w:type="default" r:id="rId7"/>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D366B"/>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C5CA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C5C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3308a79ab0d3492b87c57e54f1ded5f16a3e49.png"/><Relationship Id="rId9" Type="http://schemas.openxmlformats.org/officeDocument/2006/relationships/image" Target="media/f65abb81d842aa6f0db412ecfeca6299953a9da4.png"/><Relationship Id="rId10" Type="http://schemas.openxmlformats.org/officeDocument/2006/relationships/image" Target="media/28031973712e75e605f0ab4fc5e301cf7bc6c996.png"/><Relationship Id="rId11" Type="http://schemas.openxmlformats.org/officeDocument/2006/relationships/image" Target="media/35e4d93d5f9863a34b35ce3a3e4f9adc0e6ab3d0.png"/><Relationship Id="rId12" Type="http://schemas.openxmlformats.org/officeDocument/2006/relationships/image" Target="media/9dedac96e3575154665b49f789aaebe1a81775c4.png"/><Relationship Id="rId13" Type="http://schemas.openxmlformats.org/officeDocument/2006/relationships/image" Target="media/b751e767990cbe99d7d54cb6770a3f658e1975f3.png"/><Relationship Id="rId14" Type="http://schemas.openxmlformats.org/officeDocument/2006/relationships/image" Target="media/d4220c18f8d39b3546d8d2681dceee5aaebd6e09.png"/><Relationship Id="rId15" Type="http://schemas.openxmlformats.org/officeDocument/2006/relationships/image" Target="media/616d43bfc68e446dab8794ee0be15230bd42274f.png"/><Relationship Id="rId16" Type="http://schemas.openxmlformats.org/officeDocument/2006/relationships/image" Target="media/ebf1964c3699685ac995fbd8c3702b2b8a35edb2.png"/><Relationship Id="rId17" Type="http://schemas.openxmlformats.org/officeDocument/2006/relationships/image" Target="media/57f92824f5c221f6f8b6ddb6fa8e82e30e77affc.png"/><Relationship Id="rId18" Type="http://schemas.openxmlformats.org/officeDocument/2006/relationships/image" Target="media/77f41f0e361a6dd80c3d6d0d7b8a7bb76df0e3b8.png"/><Relationship Id="rId19" Type="http://schemas.openxmlformats.org/officeDocument/2006/relationships/image" Target="media/d6b956b288e1e2efe85d06dfc797c26f67c3a52a.png"/><Relationship Id="rId20" Type="http://schemas.openxmlformats.org/officeDocument/2006/relationships/image" Target="media/369f05d2f359b60a31b02030ecc633632c88eb18.png"/><Relationship Id="rId21" Type="http://schemas.openxmlformats.org/officeDocument/2006/relationships/image" Target="media/09043f7beaec5f64c9e261b34e33eb0cf301702c.png"/><Relationship Id="rId22" Type="http://schemas.openxmlformats.org/officeDocument/2006/relationships/image" Target="media/ecd3dbe94d8aad429e943521d76f73fd5db20466.png"/><Relationship Id="rId23" Type="http://schemas.openxmlformats.org/officeDocument/2006/relationships/image" Target="media/1eb2d2b3aa574876be1e2403a7f097dcc6bf26e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rust ML-SFFS (Tian et al. 2021 method)</dc:title>
  <dc:creator>ML-SFFS analysis</dc:creator>
  <dc:description>White rust ML-SFFS (Tian et al. 2021 method)</dc:description>
  <cp:lastModifiedBy>Un-named</cp:lastModifiedBy>
  <cp:revision>1</cp:revision>
  <dcterms:created xsi:type="dcterms:W3CDTF">2026-10-21T15:48:49.234Z</dcterms:created>
  <dcterms:modified xsi:type="dcterms:W3CDTF">2026-10-21T15:48:49.234Z</dcterms:modified>
</cp:coreProperties>
</file>

<file path=docProps/custom.xml><?xml version="1.0" encoding="utf-8"?>
<Properties xmlns="http://schemas.openxmlformats.org/officeDocument/2006/custom-properties" xmlns:vt="http://schemas.openxmlformats.org/officeDocument/2006/docPropsVTypes"/>
</file>