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7.png" ContentType="image/png"/>
  <Override PartName="/word/media/rId50.png" ContentType="image/png"/>
  <Override PartName="/word/media/rId53.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98.png" ContentType="image/png"/>
  <Override PartName="/word/media/rId101.png" ContentType="image/png"/>
  <Override PartName="/word/media/rId104.png" ContentType="image/png"/>
  <Override PartName="/word/media/rId107.png" ContentType="image/png"/>
  <Override PartName="/word/media/rId110.png" ContentType="image/png"/>
  <Override PartName="/word/media/rId116.png" ContentType="image/png"/>
  <Override PartName="/word/media/rId119.png" ContentType="image/png"/>
  <Override PartName="/word/media/rId122.png" ContentType="image/png"/>
  <Override PartName="/word/media/rId131.png" ContentType="image/png"/>
  <Override PartName="/word/media/rId140.png" ContentType="image/png"/>
  <Override PartName="/word/media/rId143.png" ContentType="image/png"/>
  <Override PartName="/word/media/rId149.png" ContentType="image/png"/>
  <Override PartName="/word/media/rId152.png" ContentType="image/png"/>
  <Override PartName="/word/media/rId155.png" ContentType="image/png"/>
  <Override PartName="/word/media/rId158.png" ContentType="image/png"/>
  <Override PartName="/word/media/rId161.png" ContentType="image/png"/>
  <Override PartName="/word/media/rId164.png" ContentType="image/png"/>
  <Override PartName="/word/media/rId167.png" ContentType="image/png"/>
  <Override PartName="/word/media/rId170.png" ContentType="image/png"/>
  <Override PartName="/word/media/rId173.png" ContentType="image/png"/>
  <Override PartName="/word/media/rId89.png" ContentType="image/png"/>
  <Override PartName="/word/media/rId128.png" ContentType="image/png"/>
  <Override PartName="/word/media/rId134.png" ContentType="image/png"/>
  <Override PartName="/word/media/rId137.png" ContentType="image/png"/>
  <Override PartName="/word/media/rId146.png" ContentType="image/png"/>
  <Override PartName="/word/media/rId44.png" ContentType="image/png"/>
  <Override PartName="/word/media/rId92.png" ContentType="image/png"/>
  <Override PartName="/word/media/rId95.png" ContentType="image/png"/>
  <Override PartName="/word/media/rId41.png" ContentType="image/png"/>
  <Override PartName="/word/media/rId56.png" ContentType="image/png"/>
  <Override PartName="/word/media/rId59.png" ContentType="image/png"/>
  <Override PartName="/word/media/rId125.png" ContentType="image/png"/>
  <Override PartName="/word/media/rId113.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ISRO</w:t>
      </w:r>
      <w:r>
        <w:t xml:space="preserve"> </w:t>
      </w:r>
      <w:r>
        <w:t xml:space="preserve">Scientist</w:t>
      </w:r>
      <w:r>
        <w:t xml:space="preserve"> </w:t>
      </w:r>
      <w:r>
        <w:t xml:space="preserve">Interview</w:t>
      </w:r>
      <w:r>
        <w:t xml:space="preserve"> </w:t>
      </w:r>
      <w:r>
        <w:t xml:space="preserve">Master</w:t>
      </w:r>
      <w:r>
        <w:t xml:space="preserve"> </w:t>
      </w:r>
      <w:r>
        <w:t xml:space="preserve">Manual</w:t>
      </w:r>
    </w:p>
    <w:p>
      <w:pPr>
        <w:pStyle w:val="Subtitle"/>
      </w:pPr>
      <w:r>
        <w:t xml:space="preserve">Remote</w:t>
      </w:r>
      <w:r>
        <w:t xml:space="preserve"> </w:t>
      </w:r>
      <w:r>
        <w:t xml:space="preserve">Sensing,</w:t>
      </w:r>
      <w:r>
        <w:t xml:space="preserve"> </w:t>
      </w:r>
      <w:r>
        <w:t xml:space="preserve">GIS,</w:t>
      </w:r>
      <w:r>
        <w:t xml:space="preserve"> </w:t>
      </w:r>
      <w:r>
        <w:t xml:space="preserve">Soil</w:t>
      </w:r>
      <w:r>
        <w:t xml:space="preserve"> </w:t>
      </w:r>
      <w:r>
        <w:t xml:space="preserve">Science,</w:t>
      </w:r>
      <w:r>
        <w:t xml:space="preserve"> </w:t>
      </w:r>
      <w:r>
        <w:t xml:space="preserve">Agrometeorology,</w:t>
      </w:r>
      <w:r>
        <w:t xml:space="preserve"> </w:t>
      </w:r>
      <w:r>
        <w:t xml:space="preserve">Crop</w:t>
      </w:r>
      <w:r>
        <w:t xml:space="preserve"> </w:t>
      </w:r>
      <w:r>
        <w:t xml:space="preserve">Monitoring</w:t>
      </w:r>
      <w:r>
        <w:t xml:space="preserve"> </w:t>
      </w:r>
      <w:r>
        <w:t xml:space="preserve">and</w:t>
      </w:r>
      <w:r>
        <w:t xml:space="preserve"> </w:t>
      </w:r>
      <w:r>
        <w:t xml:space="preserve">Agriculture</w:t>
      </w:r>
      <w:r>
        <w:t xml:space="preserve"> </w:t>
      </w:r>
      <w:r>
        <w:t xml:space="preserve">Analytics</w:t>
      </w:r>
      <w:r>
        <w:t xml:space="preserve"> </w:t>
      </w:r>
      <w:r>
        <w:t xml:space="preserve">—</w:t>
      </w:r>
      <w:r>
        <w:t xml:space="preserve"> </w:t>
      </w:r>
      <w:r>
        <w:t xml:space="preserve">complete</w:t>
      </w:r>
      <w:r>
        <w:t xml:space="preserve"> </w:t>
      </w:r>
      <w:r>
        <w:t xml:space="preserve">concept</w:t>
      </w:r>
      <w:r>
        <w:t xml:space="preserve"> </w:t>
      </w:r>
      <w:r>
        <w:t xml:space="preserve">notes</w:t>
      </w:r>
      <w:r>
        <w:t xml:space="preserve"> </w:t>
      </w:r>
      <w:r>
        <w:t xml:space="preserve">with</w:t>
      </w:r>
      <w:r>
        <w:t xml:space="preserve"> </w:t>
      </w:r>
      <w:r>
        <w:t xml:space="preserve">equations,</w:t>
      </w:r>
      <w:r>
        <w:t xml:space="preserve"> </w:t>
      </w:r>
      <w:r>
        <w:t xml:space="preserve">steps</w:t>
      </w:r>
      <w:r>
        <w:t xml:space="preserve"> </w:t>
      </w:r>
      <w:r>
        <w:t xml:space="preserve">and</w:t>
      </w:r>
      <w:r>
        <w:t xml:space="preserve"> </w:t>
      </w:r>
      <w:r>
        <w:t xml:space="preserve">flowcharts</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pPr>
        <w:pStyle w:val="PartTitle"/>
      </w:pPr>
      <w:r>
        <w:t xml:space="preserve">Part I</w:t>
      </w:r>
      <w:r>
        <w:br/>
      </w:r>
      <w:r>
        <w:t xml:space="preserve">Foundations of Remote Sensing</w:t>
      </w:r>
    </w:p>
    <w:p>
      <w:pPr>
        <w:pStyle w:val="PartSub"/>
      </w:pPr>
      <w:r>
        <w:t xml:space="preserve">Radiation physics, signatures, sensors, processing, indices and satellite missions</w:t>
      </w:r>
    </w:p>
    <w:p>
      <w:pPr>
        <w:pStyle w:val="Heading1"/>
      </w:pPr>
      <w:r>
        <w:t xml:space="preserve">Chapter 1. Remote Sensing: History, Principles and the Remote Sensing Process</w:t>
      </w:r>
    </w:p>
    <w:p>
      <w:pPr>
        <w:pStyle w:val="Heading2"/>
      </w:pPr>
      <w:r>
        <w:t xml:space="preserve">1.1 What Remote Sensing Is</w:t>
      </w:r>
    </w:p>
    <w:p>
      <w:pPr>
        <w:pStyle w:val="FirstParagraph"/>
      </w:pPr>
      <w:r>
        <w:rPr>
          <w:bCs/>
          <w:b/>
        </w:rPr>
        <w:t xml:space="preserve">Remote sensing (RS)</w:t>
      </w:r>
      <w:r>
        <w:t xml:space="preserve"> </w:t>
      </w:r>
      <w:r>
        <w:t xml:space="preserve">is the science and art of obtaining information about an object, area or phenomenon by analysing data acquired by a device that is</w:t>
      </w:r>
      <w:r>
        <w:t xml:space="preserve"> </w:t>
      </w:r>
      <w:r>
        <w:rPr>
          <w:bCs/>
          <w:b/>
        </w:rPr>
        <w:t xml:space="preserve">not in physical contact</w:t>
      </w:r>
      <w:r>
        <w:t xml:space="preserve"> </w:t>
      </w:r>
      <w:r>
        <w:t xml:space="preserve">with it. In practice it means measuring the</w:t>
      </w:r>
      <w:r>
        <w:t xml:space="preserve"> </w:t>
      </w:r>
      <w:r>
        <w:rPr>
          <w:bCs/>
          <w:b/>
        </w:rPr>
        <w:t xml:space="preserve">electromagnetic radiation (EMR)</w:t>
      </w:r>
      <w:r>
        <w:t xml:space="preserve"> </w:t>
      </w:r>
      <w:r>
        <w:t xml:space="preserve">that a target reflects, emits or scatters back, and converting those measurements into information about the target.</w:t>
      </w:r>
    </w:p>
    <w:p>
      <w:pPr>
        <w:pStyle w:val="Compact"/>
        <w:numPr>
          <w:ilvl w:val="0"/>
          <w:numId w:val="1001"/>
        </w:numPr>
      </w:pPr>
      <w:r>
        <w:t xml:space="preserve">Our own eyes are passive remote sensors. They record reflected sunlight between 0.4 and 0.7 µm, and the brain interprets tone, colour and shape.</w:t>
      </w:r>
    </w:p>
    <w:p>
      <w:pPr>
        <w:pStyle w:val="Compact"/>
        <w:numPr>
          <w:ilvl w:val="0"/>
          <w:numId w:val="1001"/>
        </w:numPr>
      </w:pPr>
      <w:r>
        <w:t xml:space="preserve">Remote sensing instruments extend this ability into regions the eye cannot see:</w:t>
      </w:r>
      <w:r>
        <w:t xml:space="preserve"> </w:t>
      </w:r>
      <w:r>
        <w:rPr>
          <w:bCs/>
          <w:b/>
        </w:rPr>
        <w:t xml:space="preserve">near infrared (NIR), shortwave infrared (SWIR), thermal infrared (TIR) and microwaves</w:t>
      </w:r>
      <w:r>
        <w:t xml:space="preserve">.</w:t>
      </w:r>
    </w:p>
    <w:p>
      <w:pPr>
        <w:pStyle w:val="Compact"/>
        <w:numPr>
          <w:ilvl w:val="0"/>
          <w:numId w:val="1001"/>
        </w:numPr>
      </w:pPr>
      <w:r>
        <w:t xml:space="preserve">The amount of radiation leaving a target (</w:t>
      </w:r>
      <w:r>
        <w:rPr>
          <w:bCs/>
          <w:b/>
        </w:rPr>
        <w:t xml:space="preserve">radiance</w:t>
      </w:r>
      <w:r>
        <w:t xml:space="preserve">) depends both on the target’s properties and on the radiation falling on it (</w:t>
      </w:r>
      <w:r>
        <w:rPr>
          <w:bCs/>
          <w:b/>
        </w:rPr>
        <w:t xml:space="preserve">irradiance</w:t>
      </w:r>
      <w:r>
        <w:t xml:space="preserve">). Remote sensing therefore always works with a</w:t>
      </w:r>
      <w:r>
        <w:t xml:space="preserve"> </w:t>
      </w:r>
      <w:r>
        <w:rPr>
          <w:iCs/>
          <w:i/>
        </w:rPr>
        <w:t xml:space="preserve">ratio</w:t>
      </w:r>
      <w:r>
        <w:t xml:space="preserve"> </w:t>
      </w:r>
      <w:r>
        <w:t xml:space="preserve">or a</w:t>
      </w:r>
      <w:r>
        <w:t xml:space="preserve"> </w:t>
      </w:r>
      <w:r>
        <w:rPr>
          <w:iCs/>
          <w:i/>
        </w:rPr>
        <w:t xml:space="preserve">model</w:t>
      </w:r>
      <w:r>
        <w:t xml:space="preserve"> </w:t>
      </w:r>
      <w:r>
        <w:t xml:space="preserve">that separates the two.</w:t>
      </w:r>
    </w:p>
    <w:p>
      <w:pPr>
        <w:pStyle w:val="KeyPoint"/>
      </w:pPr>
      <w:r>
        <w:rPr>
          <w:bCs/>
          <w:b/>
        </w:rPr>
        <w:t xml:space="preserve">One-line definition for the interview:</w:t>
      </w:r>
      <w:r>
        <w:t xml:space="preserve"> </w:t>
      </w:r>
      <w:r>
        <w:t xml:space="preserve">remote sensing is the acquisition of information about the Earth’s surface and atmosphere, without contact, by recording reflected, emitted or back-scattered electromagnetic energy from airborne or spaceborne platforms and interpreting it with physical and statistical models.</w:t>
      </w:r>
    </w:p>
    <w:p>
      <w:pPr>
        <w:pStyle w:val="Heading2"/>
      </w:pPr>
      <w:r>
        <w:t xml:space="preserve">1.2 Why Remote Sensing Works: the Basic Strategy</w:t>
      </w:r>
    </w:p>
    <w:p>
      <w:pPr>
        <w:pStyle w:val="FirstParagraph"/>
      </w:pPr>
      <w:r>
        <w:t xml:space="preserve">Every material has its own characteristic way of reflecting, absorbing, transmitting and emitting energy at different wavelengths. This depends on its</w:t>
      </w:r>
      <w:r>
        <w:t xml:space="preserve"> </w:t>
      </w:r>
      <w:r>
        <w:rPr>
          <w:bCs/>
          <w:b/>
        </w:rPr>
        <w:t xml:space="preserve">chemical composition</w:t>
      </w:r>
      <w:r>
        <w:t xml:space="preserve"> </w:t>
      </w:r>
      <w:r>
        <w:t xml:space="preserve">(pigments, water, minerals), its</w:t>
      </w:r>
      <w:r>
        <w:t xml:space="preserve"> </w:t>
      </w:r>
      <w:r>
        <w:rPr>
          <w:bCs/>
          <w:b/>
        </w:rPr>
        <w:t xml:space="preserve">physical structure</w:t>
      </w:r>
      <w:r>
        <w:t xml:space="preserve"> </w:t>
      </w:r>
      <w:r>
        <w:t xml:space="preserve">(cells, grain size, roughness) and its</w:t>
      </w:r>
      <w:r>
        <w:t xml:space="preserve"> </w:t>
      </w:r>
      <w:r>
        <w:rPr>
          <w:bCs/>
          <w:b/>
        </w:rPr>
        <w:t xml:space="preserve">temperature</w:t>
      </w:r>
      <w:r>
        <w:t xml:space="preserve">. If these spectral characteristics are measured in several wavebands, one material can be told apart from another, and its condition (healthy or stressed, wet or dry, young or mature) can be estimated.</w:t>
      </w:r>
    </w:p>
    <w:p>
      <w:pPr>
        <w:pStyle w:val="BodyText"/>
      </w:pPr>
      <w:r>
        <w:t xml:space="preserve">Remotely sensed data carry two kinds of information:</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Information</w:t>
            </w:r>
          </w:p>
        </w:tc>
        <w:tc>
          <w:tcPr/>
          <w:p>
            <w:pPr>
              <w:pStyle w:val="Compact"/>
              <w:jc w:val="left"/>
            </w:pPr>
            <w:r>
              <w:t xml:space="preserve">What it describes</w:t>
            </w:r>
          </w:p>
        </w:tc>
        <w:tc>
          <w:tcPr/>
          <w:p>
            <w:pPr>
              <w:pStyle w:val="Compact"/>
              <w:jc w:val="left"/>
            </w:pPr>
            <w:r>
              <w:t xml:space="preserve">Examples</w:t>
            </w:r>
          </w:p>
        </w:tc>
      </w:tr>
      <w:tr>
        <w:tc>
          <w:tcPr/>
          <w:p>
            <w:pPr>
              <w:pStyle w:val="Compact"/>
              <w:jc w:val="left"/>
            </w:pPr>
            <w:r>
              <w:rPr>
                <w:bCs/>
                <w:b/>
              </w:rPr>
              <w:t xml:space="preserve">Spatial</w:t>
            </w:r>
          </w:p>
        </w:tc>
        <w:tc>
          <w:tcPr/>
          <w:p>
            <w:pPr>
              <w:pStyle w:val="Compact"/>
              <w:jc w:val="left"/>
            </w:pPr>
            <w:r>
              <w:t xml:space="preserve">Size, shape, pattern, orientation, texture, context</w:t>
            </w:r>
          </w:p>
        </w:tc>
        <w:tc>
          <w:tcPr/>
          <w:p>
            <w:pPr>
              <w:pStyle w:val="Compact"/>
              <w:jc w:val="left"/>
            </w:pPr>
            <w:r>
              <w:t xml:space="preserve">Field boundaries, canal network, cloud pattern of a cyclone</w:t>
            </w:r>
          </w:p>
        </w:tc>
      </w:tr>
      <w:tr>
        <w:tc>
          <w:tcPr/>
          <w:p>
            <w:pPr>
              <w:pStyle w:val="Compact"/>
              <w:jc w:val="left"/>
            </w:pPr>
            <w:r>
              <w:rPr>
                <w:bCs/>
                <w:b/>
              </w:rPr>
              <w:t xml:space="preserve">Spectral</w:t>
            </w:r>
          </w:p>
        </w:tc>
        <w:tc>
          <w:tcPr/>
          <w:p>
            <w:pPr>
              <w:pStyle w:val="Compact"/>
              <w:jc w:val="left"/>
            </w:pPr>
            <w:r>
              <w:t xml:space="preserve">Tone, colour, the spectral signature across bands</w:t>
            </w:r>
          </w:p>
        </w:tc>
        <w:tc>
          <w:tcPr/>
          <w:p>
            <w:pPr>
              <w:pStyle w:val="Compact"/>
              <w:jc w:val="left"/>
            </w:pPr>
            <w:r>
              <w:t xml:space="preserve">Crop vigour, soil moisture, water turbidity</w:t>
            </w:r>
          </w:p>
        </w:tc>
      </w:tr>
      <w:tr>
        <w:tc>
          <w:tcPr/>
          <w:p>
            <w:pPr>
              <w:pStyle w:val="Compact"/>
              <w:jc w:val="left"/>
            </w:pPr>
            <w:r>
              <w:rPr>
                <w:bCs/>
                <w:b/>
              </w:rPr>
              <w:t xml:space="preserve">Temporal</w:t>
            </w:r>
          </w:p>
        </w:tc>
        <w:tc>
          <w:tcPr/>
          <w:p>
            <w:pPr>
              <w:pStyle w:val="Compact"/>
              <w:jc w:val="left"/>
            </w:pPr>
            <w:r>
              <w:t xml:space="preserve">Change between repeated observations</w:t>
            </w:r>
          </w:p>
        </w:tc>
        <w:tc>
          <w:tcPr/>
          <w:p>
            <w:pPr>
              <w:pStyle w:val="Compact"/>
              <w:jc w:val="left"/>
            </w:pPr>
            <w:r>
              <w:t xml:space="preserve">Crop phenology, flood progression, deforestation</w:t>
            </w:r>
          </w:p>
        </w:tc>
      </w:tr>
      <w:tr>
        <w:tc>
          <w:tcPr/>
          <w:p>
            <w:pPr>
              <w:pStyle w:val="Compact"/>
              <w:jc w:val="left"/>
            </w:pPr>
            <w:r>
              <w:rPr>
                <w:bCs/>
                <w:b/>
              </w:rPr>
              <w:t xml:space="preserve">Polarisation / phase</w:t>
            </w:r>
            <w:r>
              <w:t xml:space="preserve"> </w:t>
            </w:r>
            <w:r>
              <w:t xml:space="preserve">(microwave)</w:t>
            </w:r>
          </w:p>
        </w:tc>
        <w:tc>
          <w:tcPr/>
          <w:p>
            <w:pPr>
              <w:pStyle w:val="Compact"/>
              <w:jc w:val="left"/>
            </w:pPr>
            <w:r>
              <w:t xml:space="preserve">Scattering mechanism, geometry, displacement</w:t>
            </w:r>
          </w:p>
        </w:tc>
        <w:tc>
          <w:tcPr/>
          <w:p>
            <w:pPr>
              <w:pStyle w:val="Compact"/>
              <w:jc w:val="left"/>
            </w:pPr>
            <w:r>
              <w:t xml:space="preserve">Rice detection, InSAR deformation</w:t>
            </w:r>
          </w:p>
        </w:tc>
      </w:tr>
    </w:tbl>
    <w:p>
      <w:pPr>
        <w:pStyle w:val="Heading2"/>
      </w:pPr>
      <w:r>
        <w:t xml:space="preserve">1.3 Stages of the Remote Sensing Process</w:t>
      </w:r>
    </w:p>
    <w:p>
      <w:pPr>
        <w:pStyle w:val="FirstParagraph"/>
      </w:pPr>
      <w:r>
        <w:t xml:space="preserve">A remote sensing system is an integrated chain. Each link affects the quality of the final product.</w:t>
      </w:r>
    </w:p>
    <w:p>
      <w:pPr>
        <w:pStyle w:val="CaptionedFigure"/>
      </w:pPr>
      <w:r>
        <w:drawing>
          <wp:inline>
            <wp:extent cx="5334000" cy="4067175"/>
            <wp:effectExtent b="0" l="0" r="0" t="0"/>
            <wp:docPr descr="The remote sensing process — from energy source to user" title="" id="21" name="Picture"/>
            <a:graphic>
              <a:graphicData uri="http://schemas.openxmlformats.org/drawingml/2006/picture">
                <pic:pic>
                  <pic:nvPicPr>
                    <pic:cNvPr descr="/tmp/claude-0/-home-user-sonu/ab07c29a-21cd-5a4a-9d2d-68ad72d07153/scratchpad/build/../flows/flow_001.png" id="22" name="Picture"/>
                    <pic:cNvPicPr>
                      <a:picLocks noChangeArrowheads="1" noChangeAspect="1"/>
                    </pic:cNvPicPr>
                  </pic:nvPicPr>
                  <pic:blipFill>
                    <a:blip r:embed="rId20"/>
                    <a:stretch>
                      <a:fillRect/>
                    </a:stretch>
                  </pic:blipFill>
                  <pic:spPr bwMode="auto">
                    <a:xfrm>
                      <a:off x="0" y="0"/>
                      <a:ext cx="5334000" cy="4067175"/>
                    </a:xfrm>
                    <a:prstGeom prst="rect">
                      <a:avLst/>
                    </a:prstGeom>
                    <a:noFill/>
                    <a:ln w="9525">
                      <a:noFill/>
                      <a:headEnd/>
                      <a:tailEnd/>
                    </a:ln>
                  </pic:spPr>
                </pic:pic>
              </a:graphicData>
            </a:graphic>
          </wp:inline>
        </w:drawing>
      </w:r>
    </w:p>
    <w:p>
      <w:pPr>
        <w:pStyle w:val="ImageCaption"/>
      </w:pPr>
      <w:r>
        <w:t xml:space="preserve">The remote sensing process — from energy source to user</w:t>
      </w:r>
    </w:p>
    <w:p>
      <w:pPr>
        <w:pStyle w:val="Compact"/>
        <w:numPr>
          <w:ilvl w:val="0"/>
          <w:numId w:val="1002"/>
        </w:numPr>
      </w:pPr>
      <w:r>
        <w:rPr>
          <w:bCs/>
          <w:b/>
        </w:rPr>
        <w:t xml:space="preserve">Energy source or illumination.</w:t>
      </w:r>
      <w:r>
        <w:t xml:space="preserve"> </w:t>
      </w:r>
      <w:r>
        <w:t xml:space="preserve">The Sun has an effective temperature of about 5800–6000 K and peaks at about 0.5 µm. The Earth emits its own thermal energy, peaking at about 9.7 µm. A radar or LiDAR carries its own source.</w:t>
      </w:r>
    </w:p>
    <w:p>
      <w:pPr>
        <w:pStyle w:val="Compact"/>
        <w:numPr>
          <w:ilvl w:val="0"/>
          <w:numId w:val="1002"/>
        </w:numPr>
      </w:pPr>
      <w:r>
        <w:rPr>
          <w:bCs/>
          <w:b/>
        </w:rPr>
        <w:t xml:space="preserve">Radiation and the atmosphere.</w:t>
      </w:r>
      <w:r>
        <w:t xml:space="preserve"> </w:t>
      </w:r>
      <w:r>
        <w:t xml:space="preserve">Energy is scattered (Rayleigh, Mie, non-selective) and absorbed (O₃, CO₂, H₂O) and reaches the surface only through</w:t>
      </w:r>
      <w:r>
        <w:t xml:space="preserve"> </w:t>
      </w:r>
      <w:r>
        <w:rPr>
          <w:bCs/>
          <w:b/>
        </w:rPr>
        <w:t xml:space="preserve">atmospheric windows</w:t>
      </w:r>
      <w:r>
        <w:t xml:space="preserve">.</w:t>
      </w:r>
    </w:p>
    <w:p>
      <w:pPr>
        <w:pStyle w:val="Compact"/>
        <w:numPr>
          <w:ilvl w:val="0"/>
          <w:numId w:val="1002"/>
        </w:numPr>
      </w:pPr>
      <w:r>
        <w:rPr>
          <w:bCs/>
          <w:b/>
        </w:rPr>
        <w:t xml:space="preserve">Interaction with the target.</w:t>
      </w:r>
      <w:r>
        <w:t xml:space="preserve"> </w:t>
      </w:r>
      <w:r>
        <w:t xml:space="preserve">Incident energy splits into reflected, absorbed and transmitted parts:</w:t>
      </w:r>
      <w:r>
        <w:t xml:space="preserve"> </w:t>
      </w:r>
      <m:oMath>
        <m:sSub>
          <m:e>
            <m:r>
              <m:t>E</m:t>
            </m:r>
          </m:e>
          <m:sub>
            <m:r>
              <m:t>I</m:t>
            </m:r>
          </m:sub>
        </m:sSub>
        <m:d>
          <m:dPr>
            <m:begChr m:val="("/>
            <m:endChr m:val=")"/>
            <m:sepChr m:val=""/>
            <m:grow/>
          </m:dPr>
          <m:e>
            <m:r>
              <m:t>λ</m:t>
            </m:r>
          </m:e>
        </m:d>
        <m:r>
          <m:rPr>
            <m:sty m:val="p"/>
          </m:rPr>
          <m:t>=</m:t>
        </m:r>
        <m:sSub>
          <m:e>
            <m:r>
              <m:t>E</m:t>
            </m:r>
          </m:e>
          <m:sub>
            <m:r>
              <m:t>R</m:t>
            </m:r>
          </m:sub>
        </m:sSub>
        <m:d>
          <m:dPr>
            <m:begChr m:val="("/>
            <m:endChr m:val=")"/>
            <m:sepChr m:val=""/>
            <m:grow/>
          </m:dPr>
          <m:e>
            <m:r>
              <m:t>λ</m:t>
            </m:r>
          </m:e>
        </m:d>
        <m:r>
          <m:rPr>
            <m:sty m:val="p"/>
          </m:rPr>
          <m:t>+</m:t>
        </m:r>
        <m:sSub>
          <m:e>
            <m:r>
              <m:t>E</m:t>
            </m:r>
          </m:e>
          <m:sub>
            <m:r>
              <m:t>A</m:t>
            </m:r>
          </m:sub>
        </m:sSub>
        <m:d>
          <m:dPr>
            <m:begChr m:val="("/>
            <m:endChr m:val=")"/>
            <m:sepChr m:val=""/>
            <m:grow/>
          </m:dPr>
          <m:e>
            <m:r>
              <m:t>λ</m:t>
            </m:r>
          </m:e>
        </m:d>
        <m:r>
          <m:rPr>
            <m:sty m:val="p"/>
          </m:rPr>
          <m:t>+</m:t>
        </m:r>
        <m:sSub>
          <m:e>
            <m:r>
              <m:t>E</m:t>
            </m:r>
          </m:e>
          <m:sub>
            <m:r>
              <m:t>T</m:t>
            </m:r>
          </m:sub>
        </m:sSub>
        <m:d>
          <m:dPr>
            <m:begChr m:val="("/>
            <m:endChr m:val=")"/>
            <m:sepChr m:val=""/>
            <m:grow/>
          </m:dPr>
          <m:e>
            <m:r>
              <m:t>λ</m:t>
            </m:r>
          </m:e>
        </m:d>
      </m:oMath>
      <w:r>
        <w:t xml:space="preserve">.</w:t>
      </w:r>
    </w:p>
    <w:p>
      <w:pPr>
        <w:pStyle w:val="Compact"/>
        <w:numPr>
          <w:ilvl w:val="0"/>
          <w:numId w:val="1002"/>
        </w:numPr>
      </w:pPr>
      <w:r>
        <w:rPr>
          <w:bCs/>
          <w:b/>
        </w:rPr>
        <w:t xml:space="preserve">Recording of energy by the sensor.</w:t>
      </w:r>
      <w:r>
        <w:t xml:space="preserve"> </w:t>
      </w:r>
      <w:r>
        <w:t xml:space="preserve">A radiometer converts photons into an electrical signal and then a</w:t>
      </w:r>
      <w:r>
        <w:t xml:space="preserve"> </w:t>
      </w:r>
      <w:r>
        <w:rPr>
          <w:bCs/>
          <w:b/>
        </w:rPr>
        <w:t xml:space="preserve">digital number (DN)</w:t>
      </w:r>
      <w:r>
        <w:t xml:space="preserve">.</w:t>
      </w:r>
    </w:p>
    <w:p>
      <w:pPr>
        <w:pStyle w:val="Compact"/>
        <w:numPr>
          <w:ilvl w:val="0"/>
          <w:numId w:val="1002"/>
        </w:numPr>
      </w:pPr>
      <w:r>
        <w:rPr>
          <w:bCs/>
          <w:b/>
        </w:rPr>
        <w:t xml:space="preserve">Transmission, reception and processing.</w:t>
      </w:r>
      <w:r>
        <w:t xml:space="preserve"> </w:t>
      </w:r>
      <w:r>
        <w:t xml:space="preserve">Data are downlinked (for example to NRSC’s Shadnagar station), corrected and archived.</w:t>
      </w:r>
    </w:p>
    <w:p>
      <w:pPr>
        <w:pStyle w:val="Compact"/>
        <w:numPr>
          <w:ilvl w:val="0"/>
          <w:numId w:val="1002"/>
        </w:numPr>
      </w:pPr>
      <w:r>
        <w:rPr>
          <w:bCs/>
          <w:b/>
        </w:rPr>
        <w:t xml:space="preserve">Interpretation and analysis.</w:t>
      </w:r>
      <w:r>
        <w:t xml:space="preserve"> </w:t>
      </w:r>
      <w:r>
        <w:t xml:space="preserve">Visual interpretation uses image elements. Digital analysis uses enhancement, indices, classification and models.</w:t>
      </w:r>
    </w:p>
    <w:p>
      <w:pPr>
        <w:pStyle w:val="Compact"/>
        <w:numPr>
          <w:ilvl w:val="0"/>
          <w:numId w:val="1002"/>
        </w:numPr>
      </w:pPr>
      <w:r>
        <w:rPr>
          <w:bCs/>
          <w:b/>
        </w:rPr>
        <w:t xml:space="preserve">Application.</w:t>
      </w:r>
      <w:r>
        <w:t xml:space="preserve"> </w:t>
      </w:r>
      <w:r>
        <w:t xml:space="preserve">Information is integrated with ground data in a GIS and reaches decision makers. Examples are FASAL forecasts, drought bulletins and flood maps.</w:t>
      </w:r>
    </w:p>
    <w:p>
      <w:pPr>
        <w:pStyle w:val="Heading2"/>
      </w:pPr>
      <w:r>
        <w:t xml:space="preserve">1.4 Classification of Remote Sensing Systems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Basis</w:t>
            </w:r>
          </w:p>
        </w:tc>
        <w:tc>
          <w:tcPr/>
          <w:p>
            <w:pPr>
              <w:pStyle w:val="Compact"/>
              <w:jc w:val="left"/>
            </w:pPr>
            <w:r>
              <w:t xml:space="preserve">Types</w:t>
            </w:r>
          </w:p>
        </w:tc>
        <w:tc>
          <w:tcPr/>
          <w:p>
            <w:pPr>
              <w:pStyle w:val="Compact"/>
              <w:jc w:val="left"/>
            </w:pPr>
            <w:r>
              <w:t xml:space="preserve">Notes</w:t>
            </w:r>
          </w:p>
        </w:tc>
      </w:tr>
      <w:tr>
        <w:tc>
          <w:tcPr/>
          <w:p>
            <w:pPr>
              <w:pStyle w:val="Compact"/>
              <w:jc w:val="left"/>
            </w:pPr>
            <w:r>
              <w:rPr>
                <w:bCs/>
                <w:b/>
              </w:rPr>
              <w:t xml:space="preserve">Source of energy</w:t>
            </w:r>
          </w:p>
        </w:tc>
        <w:tc>
          <w:tcPr/>
          <w:p>
            <w:pPr>
              <w:pStyle w:val="Compact"/>
              <w:jc w:val="left"/>
            </w:pPr>
            <w:r>
              <w:rPr>
                <w:bCs/>
                <w:b/>
              </w:rPr>
              <w:t xml:space="preserve">Passive</w:t>
            </w:r>
            <w:r>
              <w:t xml:space="preserve"> </w:t>
            </w:r>
            <w:r>
              <w:t xml:space="preserve">(uses the Sun or the target’s own emission) /</w:t>
            </w:r>
            <w:r>
              <w:t xml:space="preserve"> </w:t>
            </w:r>
            <w:r>
              <w:rPr>
                <w:bCs/>
                <w:b/>
              </w:rPr>
              <w:t xml:space="preserve">Active</w:t>
            </w:r>
            <w:r>
              <w:t xml:space="preserve"> </w:t>
            </w:r>
            <w:r>
              <w:t xml:space="preserve">(carries its own source)</w:t>
            </w:r>
          </w:p>
        </w:tc>
        <w:tc>
          <w:tcPr/>
          <w:p>
            <w:pPr>
              <w:pStyle w:val="Compact"/>
              <w:jc w:val="left"/>
            </w:pPr>
            <w:r>
              <w:t xml:space="preserve">Passive optical sensors work only in daylight, except thermal sensors. Active SAR and LiDAR work day and night.</w:t>
            </w:r>
          </w:p>
        </w:tc>
      </w:tr>
      <w:tr>
        <w:tc>
          <w:tcPr/>
          <w:p>
            <w:pPr>
              <w:pStyle w:val="Compact"/>
              <w:jc w:val="left"/>
            </w:pPr>
            <w:r>
              <w:rPr>
                <w:bCs/>
                <w:b/>
              </w:rPr>
              <w:t xml:space="preserve">Wavelength region</w:t>
            </w:r>
          </w:p>
        </w:tc>
        <w:tc>
          <w:tcPr/>
          <w:p>
            <w:pPr>
              <w:pStyle w:val="Compact"/>
              <w:jc w:val="left"/>
            </w:pPr>
            <w:r>
              <w:t xml:space="preserve">Optical (VIS–NIR–SWIR), thermal IR, microwave</w:t>
            </w:r>
          </w:p>
        </w:tc>
        <w:tc>
          <w:tcPr/>
          <w:p>
            <w:pPr>
              <w:pStyle w:val="Compact"/>
              <w:jc w:val="left"/>
            </w:pPr>
            <w:r>
              <w:t xml:space="preserve">Optical sensors measure reflectance, thermal sensors measure emitted radiance, microwave sensors measure back-scatter or brightness temperature.</w:t>
            </w:r>
          </w:p>
        </w:tc>
      </w:tr>
      <w:tr>
        <w:tc>
          <w:tcPr/>
          <w:p>
            <w:pPr>
              <w:pStyle w:val="Compact"/>
              <w:jc w:val="left"/>
            </w:pPr>
            <w:r>
              <w:rPr>
                <w:bCs/>
                <w:b/>
              </w:rPr>
              <w:t xml:space="preserve">Platform</w:t>
            </w:r>
          </w:p>
        </w:tc>
        <w:tc>
          <w:tcPr/>
          <w:p>
            <w:pPr>
              <w:pStyle w:val="Compact"/>
              <w:jc w:val="left"/>
            </w:pPr>
            <w:r>
              <w:t xml:space="preserve">Ground-based (proximal), airborne (aircraft, UAV, balloon), spaceborne (LEO, MEO, GEO)</w:t>
            </w:r>
          </w:p>
        </w:tc>
        <w:tc>
          <w:tcPr/>
          <w:p>
            <w:pPr>
              <w:pStyle w:val="Compact"/>
              <w:jc w:val="left"/>
            </w:pPr>
            <w:r>
              <w:t xml:space="preserve">Trade-off between detail and coverage.</w:t>
            </w:r>
          </w:p>
        </w:tc>
      </w:tr>
      <w:tr>
        <w:tc>
          <w:tcPr/>
          <w:p>
            <w:pPr>
              <w:pStyle w:val="Compact"/>
              <w:jc w:val="left"/>
            </w:pPr>
            <w:r>
              <w:rPr>
                <w:bCs/>
                <w:b/>
              </w:rPr>
              <w:t xml:space="preserve">Imaging mode</w:t>
            </w:r>
          </w:p>
        </w:tc>
        <w:tc>
          <w:tcPr/>
          <w:p>
            <w:pPr>
              <w:pStyle w:val="Compact"/>
              <w:jc w:val="left"/>
            </w:pPr>
            <w:r>
              <w:t xml:space="preserve">Imaging (camera, scanner, SAR) / non-imaging (radiometer, altimeter, sounder, scatterometer)</w:t>
            </w:r>
          </w:p>
        </w:tc>
        <w:tc>
          <w:tcPr/>
          <w:p>
            <w:pPr>
              <w:pStyle w:val="Compact"/>
              <w:jc w:val="left"/>
            </w:pPr>
            <w:r>
              <w:t xml:space="preserve">Sounders give vertical profiles, not pictures.</w:t>
            </w:r>
          </w:p>
        </w:tc>
      </w:tr>
      <w:tr>
        <w:tc>
          <w:tcPr/>
          <w:p>
            <w:pPr>
              <w:pStyle w:val="Compact"/>
              <w:jc w:val="left"/>
            </w:pPr>
            <w:r>
              <w:rPr>
                <w:bCs/>
                <w:b/>
              </w:rPr>
              <w:t xml:space="preserve">Number of bands</w:t>
            </w:r>
          </w:p>
        </w:tc>
        <w:tc>
          <w:tcPr/>
          <w:p>
            <w:pPr>
              <w:pStyle w:val="Compact"/>
              <w:jc w:val="left"/>
            </w:pPr>
            <w:r>
              <w:t xml:space="preserve">Panchromatic, multispectral (3–15), superspectral, hyperspectral (100+)</w:t>
            </w:r>
          </w:p>
        </w:tc>
        <w:tc>
          <w:tcPr/>
          <w:p>
            <w:pPr>
              <w:pStyle w:val="Compact"/>
              <w:jc w:val="left"/>
            </w:pPr>
            <w:r>
              <w:t xml:space="preserve">Spectral resolution.</w:t>
            </w:r>
          </w:p>
        </w:tc>
      </w:tr>
      <w:tr>
        <w:tc>
          <w:tcPr/>
          <w:p>
            <w:pPr>
              <w:pStyle w:val="Compact"/>
              <w:jc w:val="left"/>
            </w:pPr>
            <w:r>
              <w:rPr>
                <w:bCs/>
                <w:b/>
              </w:rPr>
              <w:t xml:space="preserve">Scanning principle</w:t>
            </w:r>
          </w:p>
        </w:tc>
        <w:tc>
          <w:tcPr/>
          <w:p>
            <w:pPr>
              <w:pStyle w:val="Compact"/>
              <w:jc w:val="left"/>
            </w:pPr>
            <w:r>
              <w:t xml:space="preserve">Framing camera, whiskbroom (across-track), pushbroom (along-track)</w:t>
            </w:r>
          </w:p>
        </w:tc>
        <w:tc>
          <w:tcPr/>
          <w:p>
            <w:pPr>
              <w:pStyle w:val="Compact"/>
              <w:jc w:val="left"/>
            </w:pPr>
            <w:r>
              <w:t xml:space="preserve">Pushbroom sensors (CCD arrays) are used on IRS LISS.</w:t>
            </w:r>
          </w:p>
        </w:tc>
      </w:tr>
    </w:tbl>
    <w:p>
      <w:pPr>
        <w:pStyle w:val="ExamTip"/>
      </w:pPr>
      <w:r>
        <w:rPr>
          <w:bCs/>
          <w:b/>
        </w:rPr>
        <w:t xml:space="preserve">Active versus passive, in one sentence.</w:t>
      </w:r>
      <w:r>
        <w:t xml:space="preserve"> </w:t>
      </w:r>
      <w:r>
        <w:t xml:space="preserve">Active systems such as RADAR and LiDAR illuminate the target themselves, so they work at night and (for microwaves) through clouds. Passive systems depend on the Sun or on the target’s own thermal emission.</w:t>
      </w:r>
    </w:p>
    <w:p>
      <w:pPr>
        <w:pStyle w:val="Heading2"/>
      </w:pPr>
      <w:r>
        <w:t xml:space="preserve">1.5 Characteristics of an Ideal (and a Real) Remote Sensing System</w:t>
      </w:r>
    </w:p>
    <w:p>
      <w:pPr>
        <w:pStyle w:val="FirstParagraph"/>
      </w:pPr>
      <w:r>
        <w:t xml:space="preserve">An</w:t>
      </w:r>
      <w:r>
        <w:t xml:space="preserve"> </w:t>
      </w:r>
      <w:r>
        <w:rPr>
          <w:bCs/>
          <w:b/>
        </w:rPr>
        <w:t xml:space="preserve">ideal</w:t>
      </w:r>
      <w:r>
        <w:t xml:space="preserve"> </w:t>
      </w:r>
      <w:r>
        <w:t xml:space="preserve">system would have a uniform energy source at all wavelengths, a non-interfering atmosphere, a unique energy–matter interaction for every material, a</w:t>
      </w:r>
      <w:r>
        <w:t xml:space="preserve"> </w:t>
      </w:r>
      <w:r>
        <w:t xml:space="preserve">“</w:t>
      </w:r>
      <w:r>
        <w:t xml:space="preserve">super sensor</w:t>
      </w:r>
      <w:r>
        <w:t xml:space="preserve">”</w:t>
      </w:r>
      <w:r>
        <w:t xml:space="preserve"> </w:t>
      </w:r>
      <w:r>
        <w:t xml:space="preserve">sensitive to all wavelengths with unlimited spatial and radiometric detail, real-time data handling, and users who know how to use the data. A</w:t>
      </w:r>
      <w:r>
        <w:t xml:space="preserve"> </w:t>
      </w:r>
      <w:r>
        <w:rPr>
          <w:bCs/>
          <w:b/>
        </w:rPr>
        <w:t xml:space="preserve">real</w:t>
      </w:r>
      <w:r>
        <w:t xml:space="preserve"> </w:t>
      </w:r>
      <w:r>
        <w:t xml:space="preserve">system falls short at every stage:</w:t>
      </w:r>
    </w:p>
    <w:p>
      <w:pPr>
        <w:pStyle w:val="Compact"/>
        <w:numPr>
          <w:ilvl w:val="0"/>
          <w:numId w:val="1003"/>
        </w:numPr>
      </w:pPr>
      <w:r>
        <w:t xml:space="preserve">The Sun’s energy is not uniform with wavelength.</w:t>
      </w:r>
    </w:p>
    <w:p>
      <w:pPr>
        <w:pStyle w:val="Compact"/>
        <w:numPr>
          <w:ilvl w:val="0"/>
          <w:numId w:val="1003"/>
        </w:numPr>
      </w:pPr>
      <w:r>
        <w:t xml:space="preserve">The atmosphere scatters and absorbs.</w:t>
      </w:r>
    </w:p>
    <w:p>
      <w:pPr>
        <w:pStyle w:val="Compact"/>
        <w:numPr>
          <w:ilvl w:val="0"/>
          <w:numId w:val="1003"/>
        </w:numPr>
      </w:pPr>
      <w:r>
        <w:t xml:space="preserve">Different materials can look spectrally similar (</w:t>
      </w:r>
      <w:r>
        <w:rPr>
          <w:bCs/>
          <w:b/>
        </w:rPr>
        <w:t xml:space="preserve">spectral confusion</w:t>
      </w:r>
      <w:r>
        <w:t xml:space="preserve">), and the same material can look different under different conditions (</w:t>
      </w:r>
      <w:r>
        <w:rPr>
          <w:bCs/>
          <w:b/>
        </w:rPr>
        <w:t xml:space="preserve">spectral variability</w:t>
      </w:r>
      <w:r>
        <w:t xml:space="preserve">).</w:t>
      </w:r>
    </w:p>
    <w:p>
      <w:pPr>
        <w:pStyle w:val="Compact"/>
        <w:numPr>
          <w:ilvl w:val="0"/>
          <w:numId w:val="1003"/>
        </w:numPr>
      </w:pPr>
      <w:r>
        <w:t xml:space="preserve">No sensor achieves high spatial, spectral, temporal and radiometric resolution all at once.</w:t>
      </w:r>
    </w:p>
    <w:p>
      <w:pPr>
        <w:pStyle w:val="Compact"/>
        <w:numPr>
          <w:ilvl w:val="0"/>
          <w:numId w:val="1003"/>
        </w:numPr>
      </w:pPr>
      <w:r>
        <w:t xml:space="preserve">Data volumes are huge, and processing and user capacity are finite.</w:t>
      </w:r>
    </w:p>
    <w:p>
      <w:pPr>
        <w:pStyle w:val="FirstParagraph"/>
      </w:pPr>
      <w:r>
        <w:t xml:space="preserve">These limitations are the reason pre-processing, ground truth, multi-sensor fusion and models exist.</w:t>
      </w:r>
    </w:p>
    <w:p>
      <w:pPr>
        <w:pStyle w:val="Heading2"/>
      </w:pPr>
      <w:r>
        <w:t xml:space="preserve">1.6 Historical Development of Remote Sensing</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Year</w:t>
            </w:r>
          </w:p>
        </w:tc>
        <w:tc>
          <w:tcPr/>
          <w:p>
            <w:pPr>
              <w:pStyle w:val="Compact"/>
              <w:jc w:val="left"/>
            </w:pPr>
            <w:r>
              <w:t xml:space="preserve">Milestone</w:t>
            </w:r>
          </w:p>
        </w:tc>
      </w:tr>
      <w:tr>
        <w:tc>
          <w:tcPr/>
          <w:p>
            <w:pPr>
              <w:pStyle w:val="Compact"/>
              <w:jc w:val="left"/>
            </w:pPr>
            <w:r>
              <w:t xml:space="preserve">1800</w:t>
            </w:r>
          </w:p>
        </w:tc>
        <w:tc>
          <w:tcPr/>
          <w:p>
            <w:pPr>
              <w:pStyle w:val="Compact"/>
              <w:jc w:val="left"/>
            </w:pPr>
            <w:r>
              <w:t xml:space="preserve">Sir William Herschel discovers infrared radiation</w:t>
            </w:r>
          </w:p>
        </w:tc>
      </w:tr>
      <w:tr>
        <w:tc>
          <w:tcPr/>
          <w:p>
            <w:pPr>
              <w:pStyle w:val="Compact"/>
              <w:jc w:val="left"/>
            </w:pPr>
            <w:r>
              <w:t xml:space="preserve">1839</w:t>
            </w:r>
          </w:p>
        </w:tc>
        <w:tc>
          <w:tcPr/>
          <w:p>
            <w:pPr>
              <w:pStyle w:val="Compact"/>
              <w:jc w:val="left"/>
            </w:pPr>
            <w:r>
              <w:t xml:space="preserve">Beginning of practical photography (Daguerre, Niépce)</w:t>
            </w:r>
          </w:p>
        </w:tc>
      </w:tr>
      <w:tr>
        <w:tc>
          <w:tcPr/>
          <w:p>
            <w:pPr>
              <w:pStyle w:val="Compact"/>
              <w:jc w:val="left"/>
            </w:pPr>
            <w:r>
              <w:t xml:space="preserve">1847</w:t>
            </w:r>
          </w:p>
        </w:tc>
        <w:tc>
          <w:tcPr/>
          <w:p>
            <w:pPr>
              <w:pStyle w:val="Compact"/>
              <w:jc w:val="left"/>
            </w:pPr>
            <w:r>
              <w:t xml:space="preserve">J.B.L. Foucault demonstrates the infrared spectrum</w:t>
            </w:r>
          </w:p>
        </w:tc>
      </w:tr>
      <w:tr>
        <w:tc>
          <w:tcPr/>
          <w:p>
            <w:pPr>
              <w:pStyle w:val="Compact"/>
              <w:jc w:val="left"/>
            </w:pPr>
            <w:r>
              <w:t xml:space="preserve">1859</w:t>
            </w:r>
          </w:p>
        </w:tc>
        <w:tc>
          <w:tcPr/>
          <w:p>
            <w:pPr>
              <w:pStyle w:val="Compact"/>
              <w:jc w:val="left"/>
            </w:pPr>
            <w:r>
              <w:t xml:space="preserve">Gaspard-Félix Tournachon (</w:t>
            </w:r>
            <w:r>
              <w:t xml:space="preserve">“</w:t>
            </w:r>
            <w:r>
              <w:t xml:space="preserve">Nadar</w:t>
            </w:r>
            <w:r>
              <w:t xml:space="preserve">”</w:t>
            </w:r>
            <w:r>
              <w:t xml:space="preserve">) photographs a village near Paris from a</w:t>
            </w:r>
            <w:r>
              <w:t xml:space="preserve"> </w:t>
            </w:r>
            <w:r>
              <w:rPr>
                <w:bCs/>
                <w:b/>
              </w:rPr>
              <w:t xml:space="preserve">balloon</w:t>
            </w:r>
            <w:r>
              <w:t xml:space="preserve">, the first aerial photograph</w:t>
            </w:r>
          </w:p>
        </w:tc>
      </w:tr>
      <w:tr>
        <w:tc>
          <w:tcPr/>
          <w:p>
            <w:pPr>
              <w:pStyle w:val="Compact"/>
              <w:jc w:val="left"/>
            </w:pPr>
            <w:r>
              <w:t xml:space="preserve">1873</w:t>
            </w:r>
          </w:p>
        </w:tc>
        <w:tc>
          <w:tcPr/>
          <w:p>
            <w:pPr>
              <w:pStyle w:val="Compact"/>
              <w:jc w:val="left"/>
            </w:pPr>
            <w:r>
              <w:t xml:space="preserve">James Clerk Maxwell’s electromagnetic theory</w:t>
            </w:r>
          </w:p>
        </w:tc>
      </w:tr>
      <w:tr>
        <w:tc>
          <w:tcPr/>
          <w:p>
            <w:pPr>
              <w:pStyle w:val="Compact"/>
              <w:jc w:val="left"/>
            </w:pPr>
            <w:r>
              <w:t xml:space="preserve">1909</w:t>
            </w:r>
          </w:p>
        </w:tc>
        <w:tc>
          <w:tcPr/>
          <w:p>
            <w:pPr>
              <w:pStyle w:val="Compact"/>
              <w:jc w:val="left"/>
            </w:pPr>
            <w:r>
              <w:t xml:space="preserve">Photography from aeroplanes (Wilbur Wright)</w:t>
            </w:r>
          </w:p>
        </w:tc>
      </w:tr>
      <w:tr>
        <w:tc>
          <w:tcPr/>
          <w:p>
            <w:pPr>
              <w:pStyle w:val="Compact"/>
              <w:jc w:val="left"/>
            </w:pPr>
            <w:r>
              <w:t xml:space="preserve">1914–18</w:t>
            </w:r>
          </w:p>
        </w:tc>
        <w:tc>
          <w:tcPr/>
          <w:p>
            <w:pPr>
              <w:pStyle w:val="Compact"/>
              <w:jc w:val="left"/>
            </w:pPr>
            <w:r>
              <w:t xml:space="preserve">World War I: systematic aerial reconnaissance</w:t>
            </w:r>
          </w:p>
        </w:tc>
      </w:tr>
      <w:tr>
        <w:tc>
          <w:tcPr/>
          <w:p>
            <w:pPr>
              <w:pStyle w:val="Compact"/>
              <w:jc w:val="left"/>
            </w:pPr>
            <w:r>
              <w:t xml:space="preserve">1935</w:t>
            </w:r>
          </w:p>
        </w:tc>
        <w:tc>
          <w:tcPr/>
          <w:p>
            <w:pPr>
              <w:pStyle w:val="Compact"/>
              <w:jc w:val="left"/>
            </w:pPr>
            <w:r>
              <w:t xml:space="preserve">Development of radar (UK, Germany)</w:t>
            </w:r>
          </w:p>
        </w:tc>
      </w:tr>
      <w:tr>
        <w:tc>
          <w:tcPr/>
          <w:p>
            <w:pPr>
              <w:pStyle w:val="Compact"/>
              <w:jc w:val="left"/>
            </w:pPr>
            <w:r>
              <w:t xml:space="preserve">1939–45</w:t>
            </w:r>
          </w:p>
        </w:tc>
        <w:tc>
          <w:tcPr/>
          <w:p>
            <w:pPr>
              <w:pStyle w:val="Compact"/>
              <w:jc w:val="left"/>
            </w:pPr>
            <w:r>
              <w:t xml:space="preserve">World War II: NIR photography for camouflage detection, thermal sensing, radar (</w:t>
            </w:r>
            <w:r>
              <w:t xml:space="preserve">“</w:t>
            </w:r>
            <w:r>
              <w:t xml:space="preserve">plan position indicator</w:t>
            </w:r>
            <w:r>
              <w:t xml:space="preserve">”</w:t>
            </w:r>
            <w:r>
              <w:t xml:space="preserve">, 1941)</w:t>
            </w:r>
          </w:p>
        </w:tc>
      </w:tr>
      <w:tr>
        <w:tc>
          <w:tcPr/>
          <w:p>
            <w:pPr>
              <w:pStyle w:val="Compact"/>
              <w:jc w:val="left"/>
            </w:pPr>
            <w:r>
              <w:t xml:space="preserve">1956</w:t>
            </w:r>
          </w:p>
        </w:tc>
        <w:tc>
          <w:tcPr/>
          <w:p>
            <w:pPr>
              <w:pStyle w:val="Compact"/>
              <w:jc w:val="left"/>
            </w:pPr>
            <w:r>
              <w:t xml:space="preserve">R.N. Colwell uses</w:t>
            </w:r>
            <w:r>
              <w:t xml:space="preserve"> </w:t>
            </w:r>
            <w:r>
              <w:rPr>
                <w:bCs/>
                <w:b/>
              </w:rPr>
              <w:t xml:space="preserve">colour-infrared (CIR)</w:t>
            </w:r>
            <w:r>
              <w:t xml:space="preserve"> </w:t>
            </w:r>
            <w:r>
              <w:t xml:space="preserve">film to detect diseased cereal crops</w:t>
            </w:r>
          </w:p>
        </w:tc>
      </w:tr>
      <w:tr>
        <w:tc>
          <w:tcPr/>
          <w:p>
            <w:pPr>
              <w:pStyle w:val="Compact"/>
              <w:jc w:val="left"/>
            </w:pPr>
            <w:r>
              <w:t xml:space="preserve">1959</w:t>
            </w:r>
          </w:p>
        </w:tc>
        <w:tc>
          <w:tcPr/>
          <w:p>
            <w:pPr>
              <w:pStyle w:val="Compact"/>
              <w:jc w:val="left"/>
            </w:pPr>
            <w:r>
              <w:t xml:space="preserve">Explorer-6 takes the first space photograph of the Earth</w:t>
            </w:r>
          </w:p>
        </w:tc>
      </w:tr>
      <w:tr>
        <w:tc>
          <w:tcPr/>
          <w:p>
            <w:pPr>
              <w:pStyle w:val="Compact"/>
              <w:jc w:val="left"/>
            </w:pPr>
            <w:r>
              <w:rPr>
                <w:bCs/>
                <w:b/>
              </w:rPr>
              <w:t xml:space="preserve">1 April 1960</w:t>
            </w:r>
          </w:p>
        </w:tc>
        <w:tc>
          <w:tcPr/>
          <w:p>
            <w:pPr>
              <w:pStyle w:val="Compact"/>
              <w:jc w:val="left"/>
            </w:pPr>
            <w:r>
              <w:rPr>
                <w:bCs/>
                <w:b/>
              </w:rPr>
              <w:t xml:space="preserve">TIROS-1</w:t>
            </w:r>
            <w:r>
              <w:t xml:space="preserve">, the first meteorological satellite (USA)</w:t>
            </w:r>
          </w:p>
        </w:tc>
      </w:tr>
      <w:tr>
        <w:tc>
          <w:tcPr/>
          <w:p>
            <w:pPr>
              <w:pStyle w:val="Compact"/>
              <w:jc w:val="left"/>
            </w:pPr>
            <w:r>
              <w:t xml:space="preserve">1966</w:t>
            </w:r>
          </w:p>
        </w:tc>
        <w:tc>
          <w:tcPr/>
          <w:p>
            <w:pPr>
              <w:pStyle w:val="Compact"/>
              <w:jc w:val="left"/>
            </w:pPr>
            <w:r>
              <w:t xml:space="preserve">First geostationary meteorological imaging (ATS-1)</w:t>
            </w:r>
          </w:p>
        </w:tc>
      </w:tr>
      <w:tr>
        <w:tc>
          <w:tcPr/>
          <w:p>
            <w:pPr>
              <w:pStyle w:val="Compact"/>
              <w:jc w:val="left"/>
            </w:pPr>
            <w:r>
              <w:rPr>
                <w:bCs/>
                <w:b/>
              </w:rPr>
              <w:t xml:space="preserve">23 July 1972</w:t>
            </w:r>
          </w:p>
        </w:tc>
        <w:tc>
          <w:tcPr/>
          <w:p>
            <w:pPr>
              <w:pStyle w:val="Compact"/>
              <w:jc w:val="left"/>
            </w:pPr>
            <w:r>
              <w:rPr>
                <w:bCs/>
                <w:b/>
              </w:rPr>
              <w:t xml:space="preserve">ERTS-1 (Landsat-1)</w:t>
            </w:r>
            <w:r>
              <w:t xml:space="preserve"> </w:t>
            </w:r>
            <w:r>
              <w:t xml:space="preserve">with MSS, the first Earth resources satellite</w:t>
            </w:r>
          </w:p>
        </w:tc>
      </w:tr>
      <w:tr>
        <w:tc>
          <w:tcPr/>
          <w:p>
            <w:pPr>
              <w:pStyle w:val="Compact"/>
              <w:jc w:val="left"/>
            </w:pPr>
            <w:r>
              <w:t xml:space="preserve">1977</w:t>
            </w:r>
          </w:p>
        </w:tc>
        <w:tc>
          <w:tcPr/>
          <w:p>
            <w:pPr>
              <w:pStyle w:val="Compact"/>
              <w:jc w:val="left"/>
            </w:pPr>
            <w:r>
              <w:t xml:space="preserve">Geostationary meteorological satellites from Japan (GMS) and Europe (Meteosat)</w:t>
            </w:r>
          </w:p>
        </w:tc>
      </w:tr>
      <w:tr>
        <w:tc>
          <w:tcPr/>
          <w:p>
            <w:pPr>
              <w:pStyle w:val="Compact"/>
              <w:jc w:val="left"/>
            </w:pPr>
            <w:r>
              <w:t xml:space="preserve">1978</w:t>
            </w:r>
          </w:p>
        </w:tc>
        <w:tc>
          <w:tcPr/>
          <w:p>
            <w:pPr>
              <w:pStyle w:val="Compact"/>
              <w:jc w:val="left"/>
            </w:pPr>
            <w:r>
              <w:t xml:space="preserve">Seasat, the first civilian spaceborne SAR</w:t>
            </w:r>
          </w:p>
        </w:tc>
      </w:tr>
      <w:tr>
        <w:tc>
          <w:tcPr/>
          <w:p>
            <w:pPr>
              <w:pStyle w:val="Compact"/>
              <w:jc w:val="left"/>
            </w:pPr>
            <w:r>
              <w:t xml:space="preserve">1982</w:t>
            </w:r>
          </w:p>
        </w:tc>
        <w:tc>
          <w:tcPr/>
          <w:p>
            <w:pPr>
              <w:pStyle w:val="Compact"/>
              <w:jc w:val="left"/>
            </w:pPr>
            <w:r>
              <w:t xml:space="preserve">Landsat-4 Thematic Mapper (TM)</w:t>
            </w:r>
          </w:p>
        </w:tc>
      </w:tr>
      <w:tr>
        <w:tc>
          <w:tcPr/>
          <w:p>
            <w:pPr>
              <w:pStyle w:val="Compact"/>
              <w:jc w:val="left"/>
            </w:pPr>
            <w:r>
              <w:t xml:space="preserve">1986</w:t>
            </w:r>
          </w:p>
        </w:tc>
        <w:tc>
          <w:tcPr/>
          <w:p>
            <w:pPr>
              <w:pStyle w:val="Compact"/>
              <w:jc w:val="left"/>
            </w:pPr>
            <w:r>
              <w:t xml:space="preserve">SPOT-1 (France), the first pointable optics allowing cross-track stereo; airborne hyperspectral (AVIRIS) development</w:t>
            </w:r>
          </w:p>
        </w:tc>
      </w:tr>
      <w:tr>
        <w:tc>
          <w:tcPr/>
          <w:p>
            <w:pPr>
              <w:pStyle w:val="Compact"/>
              <w:jc w:val="left"/>
            </w:pPr>
            <w:r>
              <w:t xml:space="preserve">1988</w:t>
            </w:r>
          </w:p>
        </w:tc>
        <w:tc>
          <w:tcPr/>
          <w:p>
            <w:pPr>
              <w:pStyle w:val="Compact"/>
              <w:jc w:val="left"/>
            </w:pPr>
            <w:r>
              <w:rPr>
                <w:bCs/>
                <w:b/>
              </w:rPr>
              <w:t xml:space="preserve">IRS-1A</w:t>
            </w:r>
            <w:r>
              <w:t xml:space="preserve">, India’s first operational remote sensing satellite</w:t>
            </w:r>
          </w:p>
        </w:tc>
      </w:tr>
      <w:tr>
        <w:tc>
          <w:tcPr/>
          <w:p>
            <w:pPr>
              <w:pStyle w:val="Compact"/>
              <w:jc w:val="left"/>
            </w:pPr>
            <w:r>
              <w:t xml:space="preserve">1999</w:t>
            </w:r>
          </w:p>
        </w:tc>
        <w:tc>
          <w:tcPr/>
          <w:p>
            <w:pPr>
              <w:pStyle w:val="Compact"/>
              <w:jc w:val="left"/>
            </w:pPr>
            <w:r>
              <w:t xml:space="preserve">IKONOS, the first commercial 1 m imagery; Terra (EOS) with MODIS</w:t>
            </w:r>
          </w:p>
        </w:tc>
      </w:tr>
      <w:tr>
        <w:tc>
          <w:tcPr/>
          <w:p>
            <w:pPr>
              <w:pStyle w:val="Compact"/>
              <w:jc w:val="left"/>
            </w:pPr>
            <w:r>
              <w:t xml:space="preserve">2000s–present</w:t>
            </w:r>
          </w:p>
        </w:tc>
        <w:tc>
          <w:tcPr/>
          <w:p>
            <w:pPr>
              <w:pStyle w:val="Compact"/>
              <w:jc w:val="left"/>
            </w:pPr>
            <w:r>
              <w:t xml:space="preserve">Very high resolution (sub-metre), SAR constellations, hyperspectral missions, small-satellite constellations, cloud computing on analysis-ready data</w:t>
            </w:r>
          </w:p>
        </w:tc>
      </w:tr>
    </w:tbl>
    <w:p>
      <w:pPr>
        <w:pStyle w:val="BodyText"/>
      </w:pPr>
      <w:r>
        <w:rPr>
          <w:bCs/>
          <w:b/>
        </w:rPr>
        <w:t xml:space="preserve">Indian milestones.</w:t>
      </w:r>
    </w:p>
    <w:p>
      <w:pPr>
        <w:pStyle w:val="Compact"/>
        <w:numPr>
          <w:ilvl w:val="0"/>
          <w:numId w:val="1004"/>
        </w:numPr>
      </w:pPr>
      <w:r>
        <w:rPr>
          <w:bCs/>
          <w:b/>
        </w:rPr>
        <w:t xml:space="preserve">1970:</w:t>
      </w:r>
      <w:r>
        <w:t xml:space="preserve"> </w:t>
      </w:r>
      <w:r>
        <w:t xml:space="preserve">coconut root-wilt detection in Kerala using CIR aerial photography, India’s first remote sensing experiment.</w:t>
      </w:r>
    </w:p>
    <w:p>
      <w:pPr>
        <w:pStyle w:val="Compact"/>
        <w:numPr>
          <w:ilvl w:val="0"/>
          <w:numId w:val="1004"/>
        </w:numPr>
      </w:pPr>
      <w:r>
        <w:rPr>
          <w:bCs/>
          <w:b/>
        </w:rPr>
        <w:t xml:space="preserve">1975:</w:t>
      </w:r>
      <w:r>
        <w:t xml:space="preserve"> </w:t>
      </w:r>
      <w:r>
        <w:t xml:space="preserve">Aryabhata.</w:t>
      </w:r>
    </w:p>
    <w:p>
      <w:pPr>
        <w:pStyle w:val="Compact"/>
        <w:numPr>
          <w:ilvl w:val="0"/>
          <w:numId w:val="1004"/>
        </w:numPr>
      </w:pPr>
      <w:r>
        <w:rPr>
          <w:bCs/>
          <w:b/>
        </w:rPr>
        <w:t xml:space="preserve">1979 and 1981:</w:t>
      </w:r>
      <w:r>
        <w:t xml:space="preserve"> </w:t>
      </w:r>
      <w:r>
        <w:t xml:space="preserve">Bhaskara-I and II (TV cameras and the SAMIR microwave radiometer).</w:t>
      </w:r>
    </w:p>
    <w:p>
      <w:pPr>
        <w:pStyle w:val="Compact"/>
        <w:numPr>
          <w:ilvl w:val="0"/>
          <w:numId w:val="1004"/>
        </w:numPr>
      </w:pPr>
      <w:r>
        <w:rPr>
          <w:bCs/>
          <w:b/>
        </w:rPr>
        <w:t xml:space="preserve">1988:</w:t>
      </w:r>
      <w:r>
        <w:t xml:space="preserve"> </w:t>
      </w:r>
      <w:r>
        <w:t xml:space="preserve">IRS-1A (LISS-I and LISS-II).</w:t>
      </w:r>
    </w:p>
    <w:p>
      <w:pPr>
        <w:pStyle w:val="Compact"/>
        <w:numPr>
          <w:ilvl w:val="0"/>
          <w:numId w:val="1004"/>
        </w:numPr>
      </w:pPr>
      <w:r>
        <w:rPr>
          <w:bCs/>
          <w:b/>
        </w:rPr>
        <w:t xml:space="preserve">1995:</w:t>
      </w:r>
      <w:r>
        <w:t xml:space="preserve"> </w:t>
      </w:r>
      <w:r>
        <w:t xml:space="preserve">IRS-1C (PAN 5.8 m, LISS-III, WiFS).</w:t>
      </w:r>
    </w:p>
    <w:p>
      <w:pPr>
        <w:pStyle w:val="Compact"/>
        <w:numPr>
          <w:ilvl w:val="0"/>
          <w:numId w:val="1004"/>
        </w:numPr>
      </w:pPr>
      <w:r>
        <w:rPr>
          <w:bCs/>
          <w:b/>
        </w:rPr>
        <w:t xml:space="preserve">2003 onward:</w:t>
      </w:r>
      <w:r>
        <w:t xml:space="preserve"> </w:t>
      </w:r>
      <w:r>
        <w:t xml:space="preserve">Resourcesat, Cartosat, Oceansat, RISAT and INSAT-3D, and in 2025 NISAR.</w:t>
      </w:r>
    </w:p>
    <w:p>
      <w:pPr>
        <w:pStyle w:val="Heading2"/>
      </w:pPr>
      <w:r>
        <w:t xml:space="preserve">1.7 Remote Sensing versus Conventional Aerial Photography</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Conventional aerial photography</w:t>
            </w:r>
          </w:p>
        </w:tc>
        <w:tc>
          <w:tcPr/>
          <w:p>
            <w:pPr>
              <w:pStyle w:val="Compact"/>
              <w:jc w:val="left"/>
            </w:pPr>
            <w:r>
              <w:t xml:space="preserve">Modern (satellite) remote sensing</w:t>
            </w:r>
          </w:p>
        </w:tc>
      </w:tr>
      <w:tr>
        <w:tc>
          <w:tcPr/>
          <w:p>
            <w:pPr>
              <w:pStyle w:val="Compact"/>
              <w:jc w:val="left"/>
            </w:pPr>
            <w:r>
              <w:t xml:space="preserve">Spectral range</w:t>
            </w:r>
          </w:p>
        </w:tc>
        <w:tc>
          <w:tcPr/>
          <w:p>
            <w:pPr>
              <w:pStyle w:val="Compact"/>
              <w:jc w:val="left"/>
            </w:pPr>
            <w:r>
              <w:t xml:space="preserve">Visible and photographic NIR (0.3–0.9 µm) on film</w:t>
            </w:r>
          </w:p>
        </w:tc>
        <w:tc>
          <w:tcPr/>
          <w:p>
            <w:pPr>
              <w:pStyle w:val="Compact"/>
              <w:jc w:val="left"/>
            </w:pPr>
            <w:r>
              <w:t xml:space="preserve">UV to microwave, with many narrow bands</w:t>
            </w:r>
          </w:p>
        </w:tc>
      </w:tr>
      <w:tr>
        <w:tc>
          <w:tcPr/>
          <w:p>
            <w:pPr>
              <w:pStyle w:val="Compact"/>
              <w:jc w:val="left"/>
            </w:pPr>
            <w:r>
              <w:t xml:space="preserve">Recording</w:t>
            </w:r>
          </w:p>
        </w:tc>
        <w:tc>
          <w:tcPr/>
          <w:p>
            <w:pPr>
              <w:pStyle w:val="Compact"/>
              <w:jc w:val="left"/>
            </w:pPr>
            <w:r>
              <w:t xml:space="preserve">Photochemical (film), hard to calibrate</w:t>
            </w:r>
          </w:p>
        </w:tc>
        <w:tc>
          <w:tcPr/>
          <w:p>
            <w:pPr>
              <w:pStyle w:val="Compact"/>
              <w:jc w:val="left"/>
            </w:pPr>
            <w:r>
              <w:t xml:space="preserve">Electronic, digital and radiometrically calibrated</w:t>
            </w:r>
          </w:p>
        </w:tc>
      </w:tr>
      <w:tr>
        <w:tc>
          <w:tcPr/>
          <w:p>
            <w:pPr>
              <w:pStyle w:val="Compact"/>
              <w:jc w:val="left"/>
            </w:pPr>
            <w:r>
              <w:t xml:space="preserve">Platform</w:t>
            </w:r>
          </w:p>
        </w:tc>
        <w:tc>
          <w:tcPr/>
          <w:p>
            <w:pPr>
              <w:pStyle w:val="Compact"/>
              <w:jc w:val="left"/>
            </w:pPr>
            <w:r>
              <w:t xml:space="preserve">Aircraft</w:t>
            </w:r>
          </w:p>
        </w:tc>
        <w:tc>
          <w:tcPr/>
          <w:p>
            <w:pPr>
              <w:pStyle w:val="Compact"/>
              <w:jc w:val="left"/>
            </w:pPr>
            <w:r>
              <w:t xml:space="preserve">Aircraft, UAV, satellites</w:t>
            </w:r>
          </w:p>
        </w:tc>
      </w:tr>
      <w:tr>
        <w:tc>
          <w:tcPr/>
          <w:p>
            <w:pPr>
              <w:pStyle w:val="Compact"/>
              <w:jc w:val="left"/>
            </w:pPr>
            <w:r>
              <w:t xml:space="preserve">Coverage</w:t>
            </w:r>
          </w:p>
        </w:tc>
        <w:tc>
          <w:tcPr/>
          <w:p>
            <w:pPr>
              <w:pStyle w:val="Compact"/>
              <w:jc w:val="left"/>
            </w:pPr>
            <w:r>
              <w:t xml:space="preserve">Local, on demand</w:t>
            </w:r>
          </w:p>
        </w:tc>
        <w:tc>
          <w:tcPr/>
          <w:p>
            <w:pPr>
              <w:pStyle w:val="Compact"/>
              <w:jc w:val="left"/>
            </w:pPr>
            <w:r>
              <w:t xml:space="preserve">Synoptic and repetitive (days)</w:t>
            </w:r>
          </w:p>
        </w:tc>
      </w:tr>
      <w:tr>
        <w:tc>
          <w:tcPr/>
          <w:p>
            <w:pPr>
              <w:pStyle w:val="Compact"/>
              <w:jc w:val="left"/>
            </w:pPr>
            <w:r>
              <w:t xml:space="preserve">Emphasis</w:t>
            </w:r>
          </w:p>
        </w:tc>
        <w:tc>
          <w:tcPr/>
          <w:p>
            <w:pPr>
              <w:pStyle w:val="Compact"/>
              <w:jc w:val="left"/>
            </w:pPr>
            <w:r>
              <w:t xml:space="preserve">Spatial detail and stereo photogrammetry</w:t>
            </w:r>
          </w:p>
        </w:tc>
        <w:tc>
          <w:tcPr/>
          <w:p>
            <w:pPr>
              <w:pStyle w:val="Compact"/>
              <w:jc w:val="left"/>
            </w:pPr>
            <w:r>
              <w:t xml:space="preserve">Spectral and temporal information plus spatial detail</w:t>
            </w:r>
          </w:p>
        </w:tc>
      </w:tr>
      <w:tr>
        <w:tc>
          <w:tcPr/>
          <w:p>
            <w:pPr>
              <w:pStyle w:val="Compact"/>
              <w:jc w:val="left"/>
            </w:pPr>
            <w:r>
              <w:t xml:space="preserve">Analysis</w:t>
            </w:r>
          </w:p>
        </w:tc>
        <w:tc>
          <w:tcPr/>
          <w:p>
            <w:pPr>
              <w:pStyle w:val="Compact"/>
              <w:jc w:val="left"/>
            </w:pPr>
            <w:r>
              <w:t xml:space="preserve">Manual interpretation</w:t>
            </w:r>
          </w:p>
        </w:tc>
        <w:tc>
          <w:tcPr/>
          <w:p>
            <w:pPr>
              <w:pStyle w:val="Compact"/>
              <w:jc w:val="left"/>
            </w:pPr>
            <w:r>
              <w:t xml:space="preserve">Digital image processing, automated classification, models</w:t>
            </w:r>
          </w:p>
        </w:tc>
      </w:tr>
      <w:tr>
        <w:tc>
          <w:tcPr/>
          <w:p>
            <w:pPr>
              <w:pStyle w:val="Compact"/>
              <w:jc w:val="left"/>
            </w:pPr>
            <w:r>
              <w:t xml:space="preserve">Typical use</w:t>
            </w:r>
          </w:p>
        </w:tc>
        <w:tc>
          <w:tcPr/>
          <w:p>
            <w:pPr>
              <w:pStyle w:val="Compact"/>
              <w:jc w:val="left"/>
            </w:pPr>
            <w:r>
              <w:t xml:space="preserve">Large-scale mapping, cadastral and route surveys, town planning</w:t>
            </w:r>
          </w:p>
        </w:tc>
        <w:tc>
          <w:tcPr/>
          <w:p>
            <w:pPr>
              <w:pStyle w:val="Compact"/>
              <w:jc w:val="left"/>
            </w:pPr>
            <w:r>
              <w:t xml:space="preserve">Medium- to large-scale resource surveys and monitoring (forestry, agriculture, geology, watersheds)</w:t>
            </w:r>
          </w:p>
        </w:tc>
      </w:tr>
    </w:tbl>
    <w:p>
      <w:pPr>
        <w:pStyle w:val="BodyText"/>
      </w:pPr>
      <w:r>
        <w:t xml:space="preserve">Aerial photographs still have the advantage of very high spatial detail and stereoscopy at large scales. Satellite data provide repeatable, calibrated, multispectral and wide-area coverage. Today’s sub-metre satellites and UAVs have largely closed the spatial-detail gap.</w:t>
      </w:r>
    </w:p>
    <w:p>
      <w:pPr>
        <w:pStyle w:val="Heading2"/>
      </w:pPr>
      <w:r>
        <w:t xml:space="preserve">1.8 Elements of Visual Image Interpretation</w:t>
      </w:r>
    </w:p>
    <w:p>
      <w:pPr>
        <w:pStyle w:val="FirstParagraph"/>
      </w:pPr>
      <w:r>
        <w:t xml:space="preserve">Before any digital analysis, an interpreter recognises objects using</w:t>
      </w:r>
      <w:r>
        <w:t xml:space="preserve"> </w:t>
      </w:r>
      <w:r>
        <w:rPr>
          <w:bCs/>
          <w:b/>
        </w:rPr>
        <w:t xml:space="preserve">eight classical elements of image interpretation</w:t>
      </w:r>
      <w:r>
        <w:t xml:space="preserve">. They are arranged from simple to complex:</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Meaning</w:t>
            </w:r>
          </w:p>
        </w:tc>
        <w:tc>
          <w:tcPr/>
          <w:p>
            <w:pPr>
              <w:pStyle w:val="Compact"/>
              <w:jc w:val="left"/>
            </w:pPr>
            <w:r>
              <w:t xml:space="preserve">Agricultural example</w:t>
            </w:r>
          </w:p>
        </w:tc>
      </w:tr>
      <w:tr>
        <w:tc>
          <w:tcPr/>
          <w:p>
            <w:pPr>
              <w:pStyle w:val="Compact"/>
              <w:jc w:val="left"/>
            </w:pPr>
            <w:r>
              <w:rPr>
                <w:bCs/>
                <w:b/>
              </w:rPr>
              <w:t xml:space="preserve">Tone / colour</w:t>
            </w:r>
          </w:p>
        </w:tc>
        <w:tc>
          <w:tcPr/>
          <w:p>
            <w:pPr>
              <w:pStyle w:val="Compact"/>
              <w:jc w:val="left"/>
            </w:pPr>
            <w:r>
              <w:t xml:space="preserve">Relative brightness or hue</w:t>
            </w:r>
          </w:p>
        </w:tc>
        <w:tc>
          <w:tcPr/>
          <w:p>
            <w:pPr>
              <w:pStyle w:val="Compact"/>
              <w:jc w:val="left"/>
            </w:pPr>
            <w:r>
              <w:t xml:space="preserve">Healthy crop is bright red in a standard FCC; water is dark blue-black</w:t>
            </w:r>
          </w:p>
        </w:tc>
      </w:tr>
      <w:tr>
        <w:tc>
          <w:tcPr/>
          <w:p>
            <w:pPr>
              <w:pStyle w:val="Compact"/>
              <w:jc w:val="left"/>
            </w:pPr>
            <w:r>
              <w:rPr>
                <w:bCs/>
                <w:b/>
              </w:rPr>
              <w:t xml:space="preserve">Size</w:t>
            </w:r>
          </w:p>
        </w:tc>
        <w:tc>
          <w:tcPr/>
          <w:p>
            <w:pPr>
              <w:pStyle w:val="Compact"/>
              <w:jc w:val="left"/>
            </w:pPr>
            <w:r>
              <w:t xml:space="preserve">Absolute or relative dimension</w:t>
            </w:r>
          </w:p>
        </w:tc>
        <w:tc>
          <w:tcPr/>
          <w:p>
            <w:pPr>
              <w:pStyle w:val="Compact"/>
              <w:jc w:val="left"/>
            </w:pPr>
            <w:r>
              <w:t xml:space="preserve">Large regular fields (Punjab) versus small fragmented holdings (Kerala)</w:t>
            </w:r>
          </w:p>
        </w:tc>
      </w:tr>
      <w:tr>
        <w:tc>
          <w:tcPr/>
          <w:p>
            <w:pPr>
              <w:pStyle w:val="Compact"/>
              <w:jc w:val="left"/>
            </w:pPr>
            <w:r>
              <w:rPr>
                <w:bCs/>
                <w:b/>
              </w:rPr>
              <w:t xml:space="preserve">Shape</w:t>
            </w:r>
          </w:p>
        </w:tc>
        <w:tc>
          <w:tcPr/>
          <w:p>
            <w:pPr>
              <w:pStyle w:val="Compact"/>
              <w:jc w:val="left"/>
            </w:pPr>
            <w:r>
              <w:t xml:space="preserve">General form or outline</w:t>
            </w:r>
          </w:p>
        </w:tc>
        <w:tc>
          <w:tcPr/>
          <w:p>
            <w:pPr>
              <w:pStyle w:val="Compact"/>
              <w:jc w:val="left"/>
            </w:pPr>
            <w:r>
              <w:t xml:space="preserve">Circular centre-pivot fields, linear canals, rectangular paddy plots</w:t>
            </w:r>
          </w:p>
        </w:tc>
      </w:tr>
      <w:tr>
        <w:tc>
          <w:tcPr/>
          <w:p>
            <w:pPr>
              <w:pStyle w:val="Compact"/>
              <w:jc w:val="left"/>
            </w:pPr>
            <w:r>
              <w:rPr>
                <w:bCs/>
                <w:b/>
              </w:rPr>
              <w:t xml:space="preserve">Texture</w:t>
            </w:r>
          </w:p>
        </w:tc>
        <w:tc>
          <w:tcPr/>
          <w:p>
            <w:pPr>
              <w:pStyle w:val="Compact"/>
              <w:jc w:val="left"/>
            </w:pPr>
            <w:r>
              <w:t xml:space="preserve">Frequency of tonal change (smooth or coarse)</w:t>
            </w:r>
          </w:p>
        </w:tc>
        <w:tc>
          <w:tcPr/>
          <w:p>
            <w:pPr>
              <w:pStyle w:val="Compact"/>
              <w:jc w:val="left"/>
            </w:pPr>
            <w:r>
              <w:t xml:space="preserve">Smooth for a uniform crop, coarse for orchards and forest</w:t>
            </w:r>
          </w:p>
        </w:tc>
      </w:tr>
      <w:tr>
        <w:tc>
          <w:tcPr/>
          <w:p>
            <w:pPr>
              <w:pStyle w:val="Compact"/>
              <w:jc w:val="left"/>
            </w:pPr>
            <w:r>
              <w:rPr>
                <w:bCs/>
                <w:b/>
              </w:rPr>
              <w:t xml:space="preserve">Pattern</w:t>
            </w:r>
          </w:p>
        </w:tc>
        <w:tc>
          <w:tcPr/>
          <w:p>
            <w:pPr>
              <w:pStyle w:val="Compact"/>
              <w:jc w:val="left"/>
            </w:pPr>
            <w:r>
              <w:t xml:space="preserve">Spatial arrangement of objects</w:t>
            </w:r>
          </w:p>
        </w:tc>
        <w:tc>
          <w:tcPr/>
          <w:p>
            <w:pPr>
              <w:pStyle w:val="Compact"/>
              <w:jc w:val="left"/>
            </w:pPr>
            <w:r>
              <w:t xml:space="preserve">Regularly spaced orchard trees, drainage pattern, terraces</w:t>
            </w:r>
          </w:p>
        </w:tc>
      </w:tr>
      <w:tr>
        <w:tc>
          <w:tcPr/>
          <w:p>
            <w:pPr>
              <w:pStyle w:val="Compact"/>
              <w:jc w:val="left"/>
            </w:pPr>
            <w:r>
              <w:rPr>
                <w:bCs/>
                <w:b/>
              </w:rPr>
              <w:t xml:space="preserve">Shadow</w:t>
            </w:r>
          </w:p>
        </w:tc>
        <w:tc>
          <w:tcPr/>
          <w:p>
            <w:pPr>
              <w:pStyle w:val="Compact"/>
              <w:jc w:val="left"/>
            </w:pPr>
            <w:r>
              <w:t xml:space="preserve">Shows height and profile</w:t>
            </w:r>
          </w:p>
        </w:tc>
        <w:tc>
          <w:tcPr/>
          <w:p>
            <w:pPr>
              <w:pStyle w:val="Compact"/>
              <w:jc w:val="left"/>
            </w:pPr>
            <w:r>
              <w:t xml:space="preserve">Tree height, buildings, relief</w:t>
            </w:r>
          </w:p>
        </w:tc>
      </w:tr>
      <w:tr>
        <w:tc>
          <w:tcPr/>
          <w:p>
            <w:pPr>
              <w:pStyle w:val="Compact"/>
              <w:jc w:val="left"/>
            </w:pPr>
            <w:r>
              <w:rPr>
                <w:bCs/>
                <w:b/>
              </w:rPr>
              <w:t xml:space="preserve">Site</w:t>
            </w:r>
          </w:p>
        </w:tc>
        <w:tc>
          <w:tcPr/>
          <w:p>
            <w:pPr>
              <w:pStyle w:val="Compact"/>
              <w:jc w:val="left"/>
            </w:pPr>
            <w:r>
              <w:t xml:space="preserve">Location relative to terrain</w:t>
            </w:r>
          </w:p>
        </w:tc>
        <w:tc>
          <w:tcPr/>
          <w:p>
            <w:pPr>
              <w:pStyle w:val="Compact"/>
              <w:jc w:val="left"/>
            </w:pPr>
            <w:r>
              <w:t xml:space="preserve">Rice in low-lying areas, tea on hill slopes</w:t>
            </w:r>
          </w:p>
        </w:tc>
      </w:tr>
      <w:tr>
        <w:tc>
          <w:tcPr/>
          <w:p>
            <w:pPr>
              <w:pStyle w:val="Compact"/>
              <w:jc w:val="left"/>
            </w:pPr>
            <w:r>
              <w:rPr>
                <w:bCs/>
                <w:b/>
              </w:rPr>
              <w:t xml:space="preserve">Association</w:t>
            </w:r>
          </w:p>
        </w:tc>
        <w:tc>
          <w:tcPr/>
          <w:p>
            <w:pPr>
              <w:pStyle w:val="Compact"/>
              <w:jc w:val="left"/>
            </w:pPr>
            <w:r>
              <w:t xml:space="preserve">Objects that occur together</w:t>
            </w:r>
          </w:p>
        </w:tc>
        <w:tc>
          <w:tcPr/>
          <w:p>
            <w:pPr>
              <w:pStyle w:val="Compact"/>
              <w:jc w:val="left"/>
            </w:pPr>
            <w:r>
              <w:t xml:space="preserve">Sugar factory near cane fields, brick kilns near settlements</w:t>
            </w:r>
          </w:p>
        </w:tc>
      </w:tr>
    </w:tbl>
    <w:p>
      <w:pPr>
        <w:pStyle w:val="BodyText"/>
      </w:pPr>
      <w:r>
        <w:t xml:space="preserve">Interpreters use</w:t>
      </w:r>
      <w:r>
        <w:t xml:space="preserve"> </w:t>
      </w:r>
      <w:r>
        <w:rPr>
          <w:bCs/>
          <w:b/>
        </w:rPr>
        <w:t xml:space="preserve">interpretation keys</w:t>
      </w:r>
      <w:r>
        <w:t xml:space="preserve"> </w:t>
      </w:r>
      <w:r>
        <w:t xml:space="preserve">(reference sets of image examples) and</w:t>
      </w:r>
      <w:r>
        <w:t xml:space="preserve"> </w:t>
      </w:r>
      <w:r>
        <w:rPr>
          <w:bCs/>
          <w:b/>
        </w:rPr>
        <w:t xml:space="preserve">convergence of evidence</w:t>
      </w:r>
      <w:r>
        <w:t xml:space="preserve"> </w:t>
      </w:r>
      <w:r>
        <w:t xml:space="preserve">(several elements pointing to the same answer) to reach reliable conclusions. Standard</w:t>
      </w:r>
      <w:r>
        <w:t xml:space="preserve"> </w:t>
      </w:r>
      <w:r>
        <w:rPr>
          <w:bCs/>
          <w:b/>
        </w:rPr>
        <w:t xml:space="preserve">false colour composites (FCC)</w:t>
      </w:r>
      <w:r>
        <w:t xml:space="preserve"> </w:t>
      </w:r>
      <w:r>
        <w:t xml:space="preserve">assign NIR to red, red to green and green to blue. In them vegetation looks red, water dark, settlements cyan-grey and bare soil whitish to brown.</w:t>
      </w:r>
    </w:p>
    <w:p>
      <w:pPr>
        <w:pStyle w:val="Heading2"/>
      </w:pPr>
      <w:r>
        <w:t xml:space="preserve">1.9 Applications of Remote Sensing at a Glance</w:t>
      </w:r>
    </w:p>
    <w:p>
      <w:pPr>
        <w:pStyle w:val="Compact"/>
        <w:numPr>
          <w:ilvl w:val="0"/>
          <w:numId w:val="1005"/>
        </w:numPr>
      </w:pPr>
      <w:r>
        <w:rPr>
          <w:bCs/>
          <w:b/>
        </w:rPr>
        <w:t xml:space="preserve">Agriculture.</w:t>
      </w:r>
      <w:r>
        <w:t xml:space="preserve"> </w:t>
      </w:r>
      <w:r>
        <w:t xml:space="preserve">Crop inventory and acreage, condition and yield, drought, irrigation, soil mapping, insurance.</w:t>
      </w:r>
    </w:p>
    <w:p>
      <w:pPr>
        <w:pStyle w:val="Compact"/>
        <w:numPr>
          <w:ilvl w:val="0"/>
          <w:numId w:val="1005"/>
        </w:numPr>
      </w:pPr>
      <w:r>
        <w:rPr>
          <w:bCs/>
          <w:b/>
        </w:rPr>
        <w:t xml:space="preserve">Forestry and ecology.</w:t>
      </w:r>
      <w:r>
        <w:t xml:space="preserve"> </w:t>
      </w:r>
      <w:r>
        <w:t xml:space="preserve">Forest cover and density, biomass and carbon, fire, biodiversity, habitat.</w:t>
      </w:r>
    </w:p>
    <w:p>
      <w:pPr>
        <w:pStyle w:val="Compact"/>
        <w:numPr>
          <w:ilvl w:val="0"/>
          <w:numId w:val="1005"/>
        </w:numPr>
      </w:pPr>
      <w:r>
        <w:rPr>
          <w:bCs/>
          <w:b/>
        </w:rPr>
        <w:t xml:space="preserve">Water.</w:t>
      </w:r>
      <w:r>
        <w:t xml:space="preserve"> </w:t>
      </w:r>
      <w:r>
        <w:t xml:space="preserve">Surface water, snow, groundwater prospects, floods, water quality, irrigation commands.</w:t>
      </w:r>
    </w:p>
    <w:p>
      <w:pPr>
        <w:pStyle w:val="Compact"/>
        <w:numPr>
          <w:ilvl w:val="0"/>
          <w:numId w:val="1005"/>
        </w:numPr>
      </w:pPr>
      <w:r>
        <w:rPr>
          <w:bCs/>
          <w:b/>
        </w:rPr>
        <w:t xml:space="preserve">Land.</w:t>
      </w:r>
      <w:r>
        <w:t xml:space="preserve"> </w:t>
      </w:r>
      <w:r>
        <w:t xml:space="preserve">Land use and land cover (LULC), wastelands, land degradation, urban sprawl, cadastral mapping.</w:t>
      </w:r>
    </w:p>
    <w:p>
      <w:pPr>
        <w:pStyle w:val="Compact"/>
        <w:numPr>
          <w:ilvl w:val="0"/>
          <w:numId w:val="1005"/>
        </w:numPr>
      </w:pPr>
      <w:r>
        <w:rPr>
          <w:bCs/>
          <w:b/>
        </w:rPr>
        <w:t xml:space="preserve">Earth sciences.</w:t>
      </w:r>
      <w:r>
        <w:t xml:space="preserve"> </w:t>
      </w:r>
      <w:r>
        <w:t xml:space="preserve">Geology, minerals, geomorphology, landslides, earthquakes, InSAR deformation.</w:t>
      </w:r>
    </w:p>
    <w:p>
      <w:pPr>
        <w:pStyle w:val="Compact"/>
        <w:numPr>
          <w:ilvl w:val="0"/>
          <w:numId w:val="1005"/>
        </w:numPr>
      </w:pPr>
      <w:r>
        <w:rPr>
          <w:bCs/>
          <w:b/>
        </w:rPr>
        <w:t xml:space="preserve">Atmosphere and oceans.</w:t>
      </w:r>
      <w:r>
        <w:t xml:space="preserve"> </w:t>
      </w:r>
      <w:r>
        <w:t xml:space="preserve">Weather and cyclone monitoring, SST, chlorophyll, potential fishing zones, coastal zones.</w:t>
      </w:r>
    </w:p>
    <w:p>
      <w:pPr>
        <w:pStyle w:val="Compact"/>
        <w:numPr>
          <w:ilvl w:val="0"/>
          <w:numId w:val="1005"/>
        </w:numPr>
      </w:pPr>
      <w:r>
        <w:rPr>
          <w:bCs/>
          <w:b/>
        </w:rPr>
        <w:t xml:space="preserve">Disaster management.</w:t>
      </w:r>
      <w:r>
        <w:t xml:space="preserve"> </w:t>
      </w:r>
      <w:r>
        <w:t xml:space="preserve">Preparedness, early warning, response and damage assessment.</w:t>
      </w:r>
    </w:p>
    <w:p>
      <w:pPr>
        <w:pStyle w:val="Heading3"/>
      </w:pPr>
      <w:r>
        <w:t xml:space="preserve">1.9.1 Likely interview questions</w:t>
      </w:r>
    </w:p>
    <w:p>
      <w:pPr>
        <w:pStyle w:val="FirstParagraph"/>
      </w:pPr>
      <w:r>
        <w:rPr>
          <w:bCs/>
          <w:b/>
        </w:rPr>
        <w:t xml:space="preserve">Q. Define remote sensing and name its stages.</w:t>
      </w:r>
      <w:r>
        <w:t xml:space="preserve"> </w:t>
      </w:r>
      <w:r>
        <w:t xml:space="preserve">Contact-free acquisition of information by recording reflected, emitted or back-scattered EMR. The stages are: energy source, atmospheric path, target interaction, return path, sensor recording, transmission and processing, interpretation, and application.</w:t>
      </w:r>
    </w:p>
    <w:p>
      <w:pPr>
        <w:pStyle w:val="BodyText"/>
      </w:pPr>
      <w:r>
        <w:rPr>
          <w:bCs/>
          <w:b/>
        </w:rPr>
        <w:t xml:space="preserve">Q. Which was the first meteorological satellite and which the first Earth resources satellite?</w:t>
      </w:r>
      <w:r>
        <w:t xml:space="preserve"> </w:t>
      </w:r>
      <w:r>
        <w:t xml:space="preserve">TIROS-1 (1 April 1960) and ERTS-1 / Landsat-1 (23 July 1972).</w:t>
      </w:r>
    </w:p>
    <w:p>
      <w:pPr>
        <w:pStyle w:val="BodyText"/>
      </w:pPr>
      <w:r>
        <w:rPr>
          <w:bCs/>
          <w:b/>
        </w:rPr>
        <w:t xml:space="preserve">Q. What was India’s first remote sensing experiment?</w:t>
      </w:r>
      <w:r>
        <w:t xml:space="preserve"> </w:t>
      </w:r>
      <w:r>
        <w:t xml:space="preserve">The 1970 detection of coconut root-wilt in Kerala with colour-infrared aerial photography.</w:t>
      </w:r>
    </w:p>
    <w:p>
      <w:pPr>
        <w:pStyle w:val="BodyText"/>
      </w:pPr>
      <w:r>
        <w:rPr>
          <w:bCs/>
          <w:b/>
        </w:rPr>
        <w:t xml:space="preserve">Q. Why does vegetation appear red in a standard FCC?</w:t>
      </w:r>
      <w:r>
        <w:t xml:space="preserve"> </w:t>
      </w:r>
      <w:r>
        <w:t xml:space="preserve">Because the NIR band, where healthy vegetation reflects 40–50%, is displayed through the red gun.</w:t>
      </w:r>
    </w:p>
    <w:p>
      <w:pPr>
        <w:pStyle w:val="BodyText"/>
      </w:pPr>
      <w:r>
        <w:rPr>
          <w:bCs/>
          <w:b/>
        </w:rPr>
        <w:t xml:space="preserve">Q. Name the elements of image interpretation.</w:t>
      </w:r>
      <w:r>
        <w:t xml:space="preserve"> </w:t>
      </w:r>
      <w:r>
        <w:t xml:space="preserve">Tone or colour, size, shape, texture, pattern, shadow, site and association.</w:t>
      </w:r>
    </w:p>
    <w:p>
      <w:pPr>
        <w:pStyle w:val="Heading2"/>
      </w:pPr>
      <w:r>
        <w:t xml:space="preserve">1.10 Introduction: Why Remote Sensing Works for Agriculture</w:t>
      </w:r>
    </w:p>
    <w:p>
      <w:pPr>
        <w:pStyle w:val="FirstParagraph"/>
      </w:pPr>
      <w:r>
        <w:t xml:space="preserve">Remote sensing is the science of acquiring information about an object or area without physical contact, typically by measuring the electromagnetic (EM) radiation that objects reflect, emit, or scatter. In agriculture, this principle is exploited because every biophysical and biochemical property of a crop — chlorophyll content, leaf area, canopy water status, biomass, structure, and even the underlying soil moisture and texture — leaves a measurable fingerprint on the way radiation interacts with the crop-soil-atmosphere system. Understanding</w:t>
      </w:r>
      <w:r>
        <w:t xml:space="preserve"> </w:t>
      </w:r>
      <w:r>
        <w:rPr>
          <w:iCs/>
          <w:i/>
        </w:rPr>
        <w:t xml:space="preserve">how</w:t>
      </w:r>
      <w:r>
        <w:t xml:space="preserve"> </w:t>
      </w:r>
      <w:r>
        <w:t xml:space="preserve">and</w:t>
      </w:r>
      <w:r>
        <w:t xml:space="preserve"> </w:t>
      </w:r>
      <w:r>
        <w:rPr>
          <w:iCs/>
          <w:i/>
        </w:rPr>
        <w:t xml:space="preserve">why</w:t>
      </w:r>
      <w:r>
        <w:t xml:space="preserve"> </w:t>
      </w:r>
      <w:r>
        <w:t xml:space="preserve">this interaction occurs across different wavelengths, platforms, and sensor types is the foundation on which all downstream applications — crop classification, yield modelling, stress detection, precision agriculture, and biophysical parameter retrieval — are built. This chapter lays out that foundation.</w:t>
      </w:r>
    </w:p>
    <w:p>
      <w:pPr>
        <w:pStyle w:val="Heading1"/>
      </w:pPr>
      <w:r>
        <w:t xml:space="preserve">Chapter 2. Electromagnetic Radiation, Radiation Laws and Energy Interactions</w:t>
      </w:r>
    </w:p>
    <w:p>
      <w:pPr>
        <w:pStyle w:val="Heading2"/>
      </w:pPr>
      <w:r>
        <w:t xml:space="preserve">2.1 The Electromagnetic Spectrum and Radiation-Matter Interaction</w:t>
      </w:r>
    </w:p>
    <w:p>
      <w:pPr>
        <w:pStyle w:val="Heading3"/>
      </w:pPr>
      <w:r>
        <w:t xml:space="preserve">2.1.1 The EM Spectrum in Brief</w:t>
      </w:r>
    </w:p>
    <w:p>
      <w:pPr>
        <w:pStyle w:val="FirstParagraph"/>
      </w:pPr>
      <w:r>
        <w:t xml:space="preserve">The electromagnetic spectrum spans wavelengths from gamma rays (picometers) to radio waves (kilometers). Remote sensing for agriculture primarily exploits the following regions:</w:t>
      </w:r>
    </w:p>
    <w:tbl>
      <w:tblPr>
        <w:tblStyle w:val="Table"/>
        <w:tblW w:type="pct" w:w="4937"/>
        <w:jc w:val="left"/>
        <w:tblLook w:firstRow="1" w:lastRow="0" w:firstColumn="0" w:lastColumn="0" w:noHBand="0" w:noVBand="0" w:val="0020"/>
      </w:tblPr>
      <w:tblGrid>
        <w:gridCol w:w="1453"/>
        <w:gridCol w:w="3007"/>
        <w:gridCol w:w="3358"/>
      </w:tblGrid>
      <w:tr>
        <w:trPr>
          <w:tblHeader w:val="true"/>
        </w:trPr>
        <w:tc>
          <w:tcPr/>
          <w:p>
            <w:pPr>
              <w:pStyle w:val="Compact"/>
              <w:jc w:val="left"/>
            </w:pPr>
            <w:r>
              <w:t xml:space="preserve">Region</w:t>
            </w:r>
          </w:p>
        </w:tc>
        <w:tc>
          <w:tcPr/>
          <w:p>
            <w:pPr>
              <w:pStyle w:val="Compact"/>
              <w:jc w:val="left"/>
            </w:pPr>
            <w:r>
              <w:t xml:space="preserve">Approximate Wavelength</w:t>
            </w:r>
          </w:p>
        </w:tc>
        <w:tc>
          <w:tcPr/>
          <w:p>
            <w:pPr>
              <w:pStyle w:val="Compact"/>
              <w:jc w:val="left"/>
            </w:pPr>
            <w:r>
              <w:t xml:space="preserve">Key Agricultural Relevance</w:t>
            </w:r>
          </w:p>
        </w:tc>
      </w:tr>
      <w:tr>
        <w:tc>
          <w:tcPr/>
          <w:p>
            <w:pPr>
              <w:pStyle w:val="Compact"/>
              <w:jc w:val="left"/>
            </w:pPr>
            <w:r>
              <w:t xml:space="preserve">Visible (VIS)</w:t>
            </w:r>
          </w:p>
        </w:tc>
        <w:tc>
          <w:tcPr/>
          <w:p>
            <w:pPr>
              <w:pStyle w:val="Compact"/>
              <w:jc w:val="left"/>
            </w:pPr>
            <w:r>
              <w:t xml:space="preserve">0.4–0.7 µm (Blue 0.4–0.5, Green 0.5–0.6, Red 0.6–0.7)</w:t>
            </w:r>
          </w:p>
        </w:tc>
        <w:tc>
          <w:tcPr/>
          <w:p>
            <w:pPr>
              <w:pStyle w:val="Compact"/>
              <w:jc w:val="left"/>
            </w:pPr>
            <w:r>
              <w:t xml:space="preserve">Pigment absorption (chlorophyll, carotenoids), color/vigor</w:t>
            </w:r>
          </w:p>
        </w:tc>
      </w:tr>
      <w:tr>
        <w:tc>
          <w:tcPr/>
          <w:p>
            <w:pPr>
              <w:pStyle w:val="Compact"/>
              <w:jc w:val="left"/>
            </w:pPr>
            <w:r>
              <w:t xml:space="preserve">Near-Infrared (NIR)</w:t>
            </w:r>
          </w:p>
        </w:tc>
        <w:tc>
          <w:tcPr/>
          <w:p>
            <w:pPr>
              <w:pStyle w:val="Compact"/>
              <w:jc w:val="left"/>
            </w:pPr>
            <w:r>
              <w:t xml:space="preserve">0.7–1.3 µm</w:t>
            </w:r>
          </w:p>
        </w:tc>
        <w:tc>
          <w:tcPr/>
          <w:p>
            <w:pPr>
              <w:pStyle w:val="Compact"/>
              <w:jc w:val="left"/>
            </w:pPr>
            <w:r>
              <w:t xml:space="preserve">Leaf internal (mesophyll) structure, biomass, LAI</w:t>
            </w:r>
          </w:p>
        </w:tc>
      </w:tr>
      <w:tr>
        <w:tc>
          <w:tcPr/>
          <w:p>
            <w:pPr>
              <w:pStyle w:val="Compact"/>
              <w:jc w:val="left"/>
            </w:pPr>
            <w:r>
              <w:t xml:space="preserve">Short-Wave Infrared (SWIR)</w:t>
            </w:r>
          </w:p>
        </w:tc>
        <w:tc>
          <w:tcPr/>
          <w:p>
            <w:pPr>
              <w:pStyle w:val="Compact"/>
              <w:jc w:val="left"/>
            </w:pPr>
            <w:r>
              <w:t xml:space="preserve">1.3–3.0 µm</w:t>
            </w:r>
          </w:p>
        </w:tc>
        <w:tc>
          <w:tcPr/>
          <w:p>
            <w:pPr>
              <w:pStyle w:val="Compact"/>
              <w:jc w:val="left"/>
            </w:pPr>
            <w:r>
              <w:t xml:space="preserve">Leaf and canopy water content, dry matter, lignin/cellulose</w:t>
            </w:r>
          </w:p>
        </w:tc>
      </w:tr>
      <w:tr>
        <w:tc>
          <w:tcPr/>
          <w:p>
            <w:pPr>
              <w:pStyle w:val="Compact"/>
              <w:jc w:val="left"/>
            </w:pPr>
            <w:r>
              <w:t xml:space="preserve">Thermal Infrared (TIR)</w:t>
            </w:r>
          </w:p>
        </w:tc>
        <w:tc>
          <w:tcPr/>
          <w:p>
            <w:pPr>
              <w:pStyle w:val="Compact"/>
              <w:jc w:val="left"/>
            </w:pPr>
            <w:r>
              <w:t xml:space="preserve">3–14 µm (agriculture mainly 8–14 µm)</w:t>
            </w:r>
          </w:p>
        </w:tc>
        <w:tc>
          <w:tcPr/>
          <w:p>
            <w:pPr>
              <w:pStyle w:val="Compact"/>
              <w:jc w:val="left"/>
            </w:pPr>
            <w:r>
              <w:t xml:space="preserve">Canopy/soil temperature, evapotranspiration, water stress</w:t>
            </w:r>
          </w:p>
        </w:tc>
      </w:tr>
      <w:tr>
        <w:tc>
          <w:tcPr/>
          <w:p>
            <w:pPr>
              <w:pStyle w:val="Compact"/>
              <w:jc w:val="left"/>
            </w:pPr>
            <w:r>
              <w:t xml:space="preserve">Microwave</w:t>
            </w:r>
          </w:p>
        </w:tc>
        <w:tc>
          <w:tcPr/>
          <w:p>
            <w:pPr>
              <w:pStyle w:val="Compact"/>
              <w:jc w:val="left"/>
            </w:pPr>
            <w:r>
              <w:t xml:space="preserve">1 mm – 1 m (Ku, X, C, S, L, P bands)</w:t>
            </w:r>
          </w:p>
        </w:tc>
        <w:tc>
          <w:tcPr/>
          <w:p>
            <w:pPr>
              <w:pStyle w:val="Compact"/>
              <w:jc w:val="left"/>
            </w:pPr>
            <w:r>
              <w:t xml:space="preserve">Soil moisture, canopy structure, biomass, all-weather monitoring</w:t>
            </w:r>
          </w:p>
        </w:tc>
      </w:tr>
    </w:tbl>
    <w:p>
      <w:pPr>
        <w:pStyle w:val="BodyText"/>
      </w:pPr>
      <w:r>
        <w:t xml:space="preserve">When radiation strikes any surface — a leaf, a soil particle, or a water body — the incident energy is partitioned into three components:</w:t>
      </w:r>
      <w:r>
        <w:t xml:space="preserve"> </w:t>
      </w:r>
      <w:r>
        <w:rPr>
          <w:bCs/>
          <w:b/>
        </w:rPr>
        <w:t xml:space="preserve">reflectance (ρ)</w:t>
      </w:r>
      <w:r>
        <w:t xml:space="preserve">,</w:t>
      </w:r>
      <w:r>
        <w:t xml:space="preserve"> </w:t>
      </w:r>
      <w:r>
        <w:rPr>
          <w:bCs/>
          <w:b/>
        </w:rPr>
        <w:t xml:space="preserve">absorptance (α)</w:t>
      </w:r>
      <w:r>
        <w:t xml:space="preserve">, and</w:t>
      </w:r>
      <w:r>
        <w:t xml:space="preserve"> </w:t>
      </w:r>
      <w:r>
        <w:rPr>
          <w:bCs/>
          <w:b/>
        </w:rPr>
        <w:t xml:space="preserve">transmittance (τ)</w:t>
      </w:r>
      <w:r>
        <w:t xml:space="preserve">, such that ρ + α + τ = 1 at every wavelength (conservation of energy). The proportions in which this partitioning occurs are wavelength-dependent and material-dependent, and it is precisely this wavelength-dependence — the</w:t>
      </w:r>
      <w:r>
        <w:t xml:space="preserve"> </w:t>
      </w:r>
      <w:r>
        <w:rPr>
          <w:iCs/>
          <w:i/>
        </w:rPr>
        <w:t xml:space="preserve">spectral signature</w:t>
      </w:r>
      <w:r>
        <w:t xml:space="preserve"> </w:t>
      </w:r>
      <w:r>
        <w:t xml:space="preserve">— that remote sensing measures and interprets.</w:t>
      </w:r>
    </w:p>
    <w:p>
      <w:pPr>
        <w:pStyle w:val="Heading3"/>
      </w:pPr>
      <w:r>
        <w:t xml:space="preserve">2.1.2 Interaction with Vegetation</w:t>
      </w:r>
    </w:p>
    <w:p>
      <w:pPr>
        <w:pStyle w:val="FirstParagraph"/>
      </w:pPr>
      <w:r>
        <w:t xml:space="preserve">A green leaf is a layered biochemical and structural system, and its spectral behavior is best understood layer by layer:</w:t>
      </w:r>
    </w:p>
    <w:p>
      <w:pPr>
        <w:pStyle w:val="Compact"/>
        <w:numPr>
          <w:ilvl w:val="0"/>
          <w:numId w:val="1006"/>
        </w:numPr>
      </w:pPr>
      <w:r>
        <w:rPr>
          <w:bCs/>
          <w:b/>
        </w:rPr>
        <w:t xml:space="preserve">Visible region (0.4–0.7 µm):</w:t>
      </w:r>
      <w:r>
        <w:t xml:space="preserve"> </w:t>
      </w:r>
      <w:r>
        <w:t xml:space="preserve">Dominated by absorption from leaf pigments residing in the palisade mesophyll — chlorophyll-a and chlorophyll-b (strong absorption peaks near 0.45 µm and 0.65–0.68 µm), carotenoids (absorb strongly in blue, ~0.45–0.50 µm), and anthocyanins. Because chlorophyll absorbs most blue and red light for photosynthesis, reflectance in these bands is low (typically 3–10%), while a small reflectance peak occurs in the green (~0.55 µm) — this is why healthy vegetation appears green to the human eye. This is often called the</w:t>
      </w:r>
      <w:r>
        <w:t xml:space="preserve"> </w:t>
      </w:r>
      <w:r>
        <w:t xml:space="preserve">“</w:t>
      </w:r>
      <w:r>
        <w:t xml:space="preserve">green hump.</w:t>
      </w:r>
      <w:r>
        <w:t xml:space="preserve">”</w:t>
      </w:r>
    </w:p>
    <w:p>
      <w:pPr>
        <w:pStyle w:val="Compact"/>
        <w:numPr>
          <w:ilvl w:val="0"/>
          <w:numId w:val="1006"/>
        </w:numPr>
      </w:pPr>
      <w:r>
        <w:rPr>
          <w:bCs/>
          <w:b/>
        </w:rPr>
        <w:t xml:space="preserve">Red Edge (0.68–0.75 µm):</w:t>
      </w:r>
      <w:r>
        <w:t xml:space="preserve"> </w:t>
      </w:r>
      <w:r>
        <w:t xml:space="preserve">A very steep transition zone where reflectance rises sharply from the chlorophyll absorption trough to the high NIR plateau. The exact position and slope of this red-edge inflection point is extremely sensitive to chlorophyll concentration and canopy nitrogen status, which is why sensors like Sentinel-2 include dedicated red-edge bands (B5, B6, B7 at 705, 740, 783 nm) for agricultural applications such as nitrogen status and stress detection.</w:t>
      </w:r>
    </w:p>
    <w:p>
      <w:pPr>
        <w:pStyle w:val="Compact"/>
        <w:numPr>
          <w:ilvl w:val="0"/>
          <w:numId w:val="1006"/>
        </w:numPr>
      </w:pPr>
      <w:r>
        <w:rPr>
          <w:bCs/>
          <w:b/>
        </w:rPr>
        <w:t xml:space="preserve">Near-Infrared plateau (0.7–1.3 µm):</w:t>
      </w:r>
      <w:r>
        <w:t xml:space="preserve"> </w:t>
      </w:r>
      <w:r>
        <w:t xml:space="preserve">Reflectance rises dramatically to 40–50% (or higher) because pigments do not absorb in this range, and the spongy mesophyll’s internal leaf structure — the air-cell wall interfaces with contrasting refractive indices — causes intense multiple scattering. This is the single most diagnostic feature separating vegetation from other land cover: soils and water do not show this abrupt reflectance jump. NIR reflectance is strongly correlated with leaf area index (LAI), canopy structure, and the number of mesophyll cell layers, and is therefore central to nearly all vegetation indices (e.g., NDVI = (NIR − Red)/(NIR + Red)).</w:t>
      </w:r>
    </w:p>
    <w:p>
      <w:pPr>
        <w:pStyle w:val="Compact"/>
        <w:numPr>
          <w:ilvl w:val="0"/>
          <w:numId w:val="1006"/>
        </w:numPr>
      </w:pPr>
      <w:r>
        <w:rPr>
          <w:bCs/>
          <w:b/>
        </w:rPr>
        <w:t xml:space="preserve">Short-Wave Infrared (1.3–2.5 µm):</w:t>
      </w:r>
      <w:r>
        <w:t xml:space="preserve"> </w:t>
      </w:r>
      <w:r>
        <w:t xml:space="preserve">Governed primarily by leaf water content. Strong water absorption troughs occur near 1.45, 1.95, and 2.7 µm; between these, at around 1.6 µm and 2.2 µm, reflectance is comparatively higher and sensitive to both water content and dry biochemical matter (cellulose, lignin, starch, protein). SWIR reflectance is the physical basis for water-stress and moisture-sensitive indices such as NDWI and the Normalized Difference Infrared Index (NDII).</w:t>
      </w:r>
    </w:p>
    <w:p>
      <w:pPr>
        <w:pStyle w:val="Compact"/>
        <w:numPr>
          <w:ilvl w:val="0"/>
          <w:numId w:val="1006"/>
        </w:numPr>
      </w:pPr>
      <w:r>
        <w:rPr>
          <w:bCs/>
          <w:b/>
        </w:rPr>
        <w:t xml:space="preserve">Thermal Infrared (8–14 µm):</w:t>
      </w:r>
      <w:r>
        <w:t xml:space="preserve"> </w:t>
      </w:r>
      <w:r>
        <w:t xml:space="preserve">Vegetation does not</w:t>
      </w:r>
      <w:r>
        <w:t xml:space="preserve"> </w:t>
      </w:r>
      <w:r>
        <w:t xml:space="preserve">“</w:t>
      </w:r>
      <w:r>
        <w:t xml:space="preserve">reflect</w:t>
      </w:r>
      <w:r>
        <w:t xml:space="preserve">”</w:t>
      </w:r>
      <w:r>
        <w:t xml:space="preserve"> </w:t>
      </w:r>
      <w:r>
        <w:t xml:space="preserve">in this range in a meaningful sense for passive optical sensing; instead it emits thermal radiation proportional to canopy temperature (modulated by emissivity, typically 0.97–0.99 for healthy vegetation). Canopy temperature is controlled by transpiration (stomatal conductance) — a water-stressed plant closes stomata, transpiration (and hence evaporative cooling) drops, and canopy temperature rises above ambient air temperature. This is the physical basis of the Crop Water Stress Index (CWSI) and thermal-based irrigation scheduling.</w:t>
      </w:r>
    </w:p>
    <w:p>
      <w:pPr>
        <w:pStyle w:val="Compact"/>
        <w:numPr>
          <w:ilvl w:val="0"/>
          <w:numId w:val="1006"/>
        </w:numPr>
      </w:pPr>
      <w:r>
        <w:rPr>
          <w:bCs/>
          <w:b/>
        </w:rPr>
        <w:t xml:space="preserve">Microwave region:</w:t>
      </w:r>
      <w:r>
        <w:t xml:space="preserve"> </w:t>
      </w:r>
      <w:r>
        <w:t xml:space="preserve">Vegetation canopies interact with microwaves primarily through volume scattering from stems, leaves, and branches, and the degree of penetration depends strongly on wavelength: longer wavelengths (L-band, ~23 cm) penetrate deeper into canopy and can sense soil beneath, while shorter wavelengths (X, C-band) interact more with the upper canopy layer. Backscatter intensity depends on dielectric constant (driven mainly by water content) and canopy geometry/roughness, making microwave sensing valuable for structural and moisture parameters that are invisible to optical sensors, and crucially, usable through clouds and at night.</w:t>
      </w:r>
    </w:p>
    <w:p>
      <w:pPr>
        <w:pStyle w:val="Heading3"/>
      </w:pPr>
      <w:r>
        <w:t xml:space="preserve">2.1.3 Interaction with Soil</w:t>
      </w:r>
    </w:p>
    <w:p>
      <w:pPr>
        <w:pStyle w:val="FirstParagraph"/>
      </w:pPr>
      <w:r>
        <w:t xml:space="preserve">Soil reflectance is more monotonically increasing with wavelength (in the absence of water and mineral absorption features) than vegetation, and is controlled by five interacting factors:</w:t>
      </w:r>
      <w:r>
        <w:t xml:space="preserve"> </w:t>
      </w:r>
      <w:r>
        <w:rPr>
          <w:bCs/>
          <w:b/>
        </w:rPr>
        <w:t xml:space="preserve">soil moisture content, organic matter content, texture (particle size), mineralogy (iron oxides, clay content), and surface roughness.</w:t>
      </w:r>
    </w:p>
    <w:p>
      <w:pPr>
        <w:pStyle w:val="Compact"/>
        <w:numPr>
          <w:ilvl w:val="0"/>
          <w:numId w:val="1007"/>
        </w:numPr>
      </w:pPr>
      <w:r>
        <w:t xml:space="preserve">Increasing</w:t>
      </w:r>
      <w:r>
        <w:t xml:space="preserve"> </w:t>
      </w:r>
      <w:r>
        <w:rPr>
          <w:bCs/>
          <w:b/>
        </w:rPr>
        <w:t xml:space="preserve">soil moisture</w:t>
      </w:r>
      <w:r>
        <w:t xml:space="preserve"> </w:t>
      </w:r>
      <w:r>
        <w:t xml:space="preserve">lowers reflectance across the whole optical spectrum (water fills pore spaces, increases internal absorption and multiple internal reflection losses), with the effect most pronounced in SWIR water-absorption bands.</w:t>
      </w:r>
    </w:p>
    <w:p>
      <w:pPr>
        <w:pStyle w:val="Compact"/>
        <w:numPr>
          <w:ilvl w:val="0"/>
          <w:numId w:val="1007"/>
        </w:numPr>
      </w:pPr>
      <w:r>
        <w:t xml:space="preserve">Increasing</w:t>
      </w:r>
      <w:r>
        <w:t xml:space="preserve"> </w:t>
      </w:r>
      <w:r>
        <w:rPr>
          <w:bCs/>
          <w:b/>
        </w:rPr>
        <w:t xml:space="preserve">organic matter</w:t>
      </w:r>
      <w:r>
        <w:t xml:space="preserve"> </w:t>
      </w:r>
      <w:r>
        <w:t xml:space="preserve">darkens soil, lowering reflectance particularly in the visible region — this is why humus-rich soils appear darker than sandy or calcareous soils.</w:t>
      </w:r>
    </w:p>
    <w:p>
      <w:pPr>
        <w:pStyle w:val="Compact"/>
        <w:numPr>
          <w:ilvl w:val="0"/>
          <w:numId w:val="1007"/>
        </w:numPr>
      </w:pPr>
      <w:r>
        <w:rPr>
          <w:bCs/>
          <w:b/>
        </w:rPr>
        <w:t xml:space="preserve">Iron oxides</w:t>
      </w:r>
      <w:r>
        <w:t xml:space="preserve"> </w:t>
      </w:r>
      <w:r>
        <w:t xml:space="preserve">produce characteristic absorption features near 0.45–0.55 µm and 0.87–0.92 µm, giving iron-rich soils their reddish appearance.</w:t>
      </w:r>
    </w:p>
    <w:p>
      <w:pPr>
        <w:pStyle w:val="Compact"/>
        <w:numPr>
          <w:ilvl w:val="0"/>
          <w:numId w:val="1007"/>
        </w:numPr>
      </w:pPr>
      <w:r>
        <w:rPr>
          <w:bCs/>
          <w:b/>
        </w:rPr>
        <w:t xml:space="preserve">Texture and roughness</w:t>
      </w:r>
      <w:r>
        <w:t xml:space="preserve"> </w:t>
      </w:r>
      <w:r>
        <w:t xml:space="preserve">affect the multiple-scattering geometry at the surface, generally coarser/rougher surfaces show relatively lower and more diffuse reflectance than smooth, fine-textured surfaces.</w:t>
      </w:r>
    </w:p>
    <w:p>
      <w:pPr>
        <w:pStyle w:val="Heading3"/>
      </w:pPr>
      <w:r>
        <w:t xml:space="preserve">2.1.4 Interaction with Water</w:t>
      </w:r>
    </w:p>
    <w:p>
      <w:pPr>
        <w:pStyle w:val="FirstParagraph"/>
      </w:pPr>
      <w:r>
        <w:t xml:space="preserve">Water bodies (and, by extension, flooded paddy fields) show very low reflectance across almost the entire optical spectrum because water strongly absorbs radiation, especially beyond 0.7 µm — reflectance in NIR and SWIR from clear open water is typically near zero. This is the basis for water-body/paddy-flood detection using NIR or SWIR thresholds (e.g., Modified NDWI). Turbidity, chlorophyll (algae) content, and suspended sediments modulate the small visible-region reflectance (blue-green peak).</w:t>
      </w:r>
    </w:p>
    <w:p>
      <w:pPr>
        <w:pStyle w:val="Heading2"/>
      </w:pPr>
      <w:r>
        <w:t xml:space="preserve">2.2 The Dual Nature of Electromagnetic Radiation</w:t>
      </w:r>
    </w:p>
    <w:p>
      <w:pPr>
        <w:pStyle w:val="FirstParagraph"/>
      </w:pPr>
      <w:r>
        <w:t xml:space="preserve">EMR is energy that travels as coupled</w:t>
      </w:r>
      <w:r>
        <w:t xml:space="preserve"> </w:t>
      </w:r>
      <w:r>
        <w:rPr>
          <w:bCs/>
          <w:b/>
        </w:rPr>
        <w:t xml:space="preserve">electric (E)</w:t>
      </w:r>
      <w:r>
        <w:t xml:space="preserve"> </w:t>
      </w:r>
      <w:r>
        <w:t xml:space="preserve">and</w:t>
      </w:r>
      <w:r>
        <w:t xml:space="preserve"> </w:t>
      </w:r>
      <w:r>
        <w:rPr>
          <w:bCs/>
          <w:b/>
        </w:rPr>
        <w:t xml:space="preserve">magnetic (M)</w:t>
      </w:r>
      <w:r>
        <w:t xml:space="preserve"> </w:t>
      </w:r>
      <w:r>
        <w:t xml:space="preserve">fields oscillating perpendicular to each other and to the direction of travel. It needs no medium and moves at the speed of light.</w:t>
      </w:r>
    </w:p>
    <w:p>
      <w:pPr>
        <w:pStyle w:val="BodyText"/>
      </w:pPr>
      <w:r>
        <w:rPr>
          <w:bCs/>
          <w:b/>
        </w:rPr>
        <w:t xml:space="preserve">Wave model.</w:t>
      </w:r>
      <w:r>
        <w:t xml:space="preserve"> </w:t>
      </w:r>
      <w:r>
        <w:t xml:space="preserve">Speed, wavelength and frequency are linked by</w:t>
      </w:r>
    </w:p>
    <w:p>
      <w:pPr>
        <w:pStyle w:val="BodyText"/>
      </w:pPr>
      <m:oMathPara>
        <m:oMathParaPr>
          <m:jc m:val="center"/>
        </m:oMathParaPr>
        <m:oMath>
          <m:r>
            <m:t>c</m:t>
          </m:r>
          <m:r>
            <m:rPr>
              <m:sty m:val="p"/>
            </m:rPr>
            <m:t>=</m:t>
          </m:r>
          <m:r>
            <m:t>ν</m:t>
          </m:r>
          <m:r>
            <m:t>λ</m:t>
          </m:r>
          <m:r>
            <m:rPr>
              <m:sty m:val="p"/>
            </m:rPr>
            <m:t>,</m:t>
          </m:r>
          <m:r>
            <m:t>  </m:t>
          </m:r>
          <m:r>
            <m:t>c</m:t>
          </m:r>
          <m:r>
            <m:rPr>
              <m:sty m:val="p"/>
            </m:rPr>
            <m:t>≈</m:t>
          </m:r>
          <m:r>
            <m:t>3</m:t>
          </m:r>
          <m:r>
            <m:rPr>
              <m:sty m:val="p"/>
            </m:rPr>
            <m:t>×</m:t>
          </m:r>
          <m:sSup>
            <m:e>
              <m:r>
                <m:t>10</m:t>
              </m:r>
            </m:e>
            <m:sup>
              <m:r>
                <m:t>8</m:t>
              </m:r>
            </m:sup>
          </m:sSup>
          <m:r>
            <m:t> </m:t>
          </m:r>
          <m:sSup>
            <m:e>
              <m:r>
                <m:rPr>
                  <m:nor/>
                  <m:sty m:val="p"/>
                </m:rPr>
                <m:t>m s</m:t>
              </m:r>
            </m:e>
            <m:sup>
              <m:r>
                <m:rPr>
                  <m:sty m:val="p"/>
                </m:rPr>
                <m:t>−</m:t>
              </m:r>
              <m:r>
                <m:t>1</m:t>
              </m:r>
            </m:sup>
          </m:sSup>
        </m:oMath>
      </m:oMathPara>
    </w:p>
    <w:p>
      <w:pPr>
        <w:pStyle w:val="FirstParagraph"/>
      </w:pPr>
      <w:r>
        <w:t xml:space="preserve">where</w:t>
      </w:r>
      <w:r>
        <w:t xml:space="preserve"> </w:t>
      </w:r>
      <m:oMath>
        <m:r>
          <m:t>λ</m:t>
        </m:r>
      </m:oMath>
      <w:r>
        <w:t xml:space="preserve"> </w:t>
      </w:r>
      <w:r>
        <w:t xml:space="preserve">is wavelength (m) and</w:t>
      </w:r>
      <w:r>
        <w:t xml:space="preserve"> </w:t>
      </w:r>
      <m:oMath>
        <m:r>
          <m:t>ν</m:t>
        </m:r>
      </m:oMath>
      <w:r>
        <w:t xml:space="preserve"> </w:t>
      </w:r>
      <w:r>
        <w:t xml:space="preserve">is frequency (Hz). Longer wavelength means lower frequency.</w:t>
      </w:r>
    </w:p>
    <w:p>
      <w:pPr>
        <w:pStyle w:val="BodyText"/>
      </w:pPr>
      <w:r>
        <w:rPr>
          <w:bCs/>
          <w:b/>
        </w:rPr>
        <w:t xml:space="preserve">Particle (quantum) model.</w:t>
      </w:r>
      <w:r>
        <w:t xml:space="preserve"> </w:t>
      </w:r>
      <w:r>
        <w:t xml:space="preserve">EMR also consists of discrete packets called</w:t>
      </w:r>
      <w:r>
        <w:t xml:space="preserve"> </w:t>
      </w:r>
      <w:r>
        <w:rPr>
          <w:bCs/>
          <w:b/>
        </w:rPr>
        <w:t xml:space="preserve">photons</w:t>
      </w:r>
      <w:r>
        <w:t xml:space="preserve">, each carrying energy</w:t>
      </w:r>
    </w:p>
    <w:p>
      <w:pPr>
        <w:pStyle w:val="BodyText"/>
      </w:pPr>
      <m:oMathPara>
        <m:oMathParaPr>
          <m:jc m:val="center"/>
        </m:oMathParaPr>
        <m:oMath>
          <m:r>
            <m:t>Q</m:t>
          </m:r>
          <m:r>
            <m:rPr>
              <m:sty m:val="p"/>
            </m:rPr>
            <m:t>=</m:t>
          </m:r>
          <m:r>
            <m:t>h</m:t>
          </m:r>
          <m:r>
            <m:t>ν</m:t>
          </m:r>
          <m:r>
            <m:rPr>
              <m:sty m:val="p"/>
            </m:rPr>
            <m:t>=</m:t>
          </m:r>
          <m:f>
            <m:fPr>
              <m:type m:val="bar"/>
            </m:fPr>
            <m:num>
              <m:r>
                <m:t>h</m:t>
              </m:r>
              <m:r>
                <m:t>c</m:t>
              </m:r>
            </m:num>
            <m:den>
              <m:r>
                <m:t>λ</m:t>
              </m:r>
            </m:den>
          </m:f>
          <m:r>
            <m:rPr>
              <m:sty m:val="p"/>
            </m:rPr>
            <m:t>,</m:t>
          </m:r>
          <m:r>
            <m:t>  </m:t>
          </m:r>
          <m:r>
            <m:t>h</m:t>
          </m:r>
          <m:r>
            <m:rPr>
              <m:sty m:val="p"/>
            </m:rPr>
            <m:t>=</m:t>
          </m:r>
          <m:r>
            <m:t>6.626</m:t>
          </m:r>
          <m:r>
            <m:rPr>
              <m:sty m:val="p"/>
            </m:rPr>
            <m:t>×</m:t>
          </m:r>
          <m:sSup>
            <m:e>
              <m:r>
                <m:t>10</m:t>
              </m:r>
            </m:e>
            <m:sup>
              <m:r>
                <m:rPr>
                  <m:sty m:val="p"/>
                </m:rPr>
                <m:t>−</m:t>
              </m:r>
              <m:r>
                <m:t>34</m:t>
              </m:r>
            </m:sup>
          </m:sSup>
          <m:r>
            <m:t> </m:t>
          </m:r>
          <m:r>
            <m:rPr>
              <m:nor/>
              <m:sty m:val="p"/>
            </m:rPr>
            <m:t>J s</m:t>
          </m:r>
        </m:oMath>
      </m:oMathPara>
    </w:p>
    <w:p>
      <w:pPr>
        <w:pStyle w:val="FirstParagraph"/>
      </w:pPr>
      <w:r>
        <w:rPr>
          <w:bCs/>
          <w:b/>
        </w:rPr>
        <w:t xml:space="preserve">Consequence for remote sensing.</w:t>
      </w:r>
      <w:r>
        <w:t xml:space="preserve"> </w:t>
      </w:r>
      <w:r>
        <w:t xml:space="preserve">Long-wavelength radiation (thermal IR, microwave) carries little energy per photon. Thermal and microwave sensors therefore need</w:t>
      </w:r>
      <w:r>
        <w:t xml:space="preserve"> </w:t>
      </w:r>
      <w:r>
        <w:rPr>
          <w:bCs/>
          <w:b/>
        </w:rPr>
        <w:t xml:space="preserve">larger IFOVs or longer dwell times</w:t>
      </w:r>
      <w:r>
        <w:t xml:space="preserve"> </w:t>
      </w:r>
      <w:r>
        <w:t xml:space="preserve">(and cooled detectors) to collect a measurable signal, which is why their spatial resolution is coarser than that of optical sensors.</w:t>
      </w:r>
    </w:p>
    <w:p>
      <w:pPr>
        <w:pStyle w:val="ExamTip"/>
      </w:pPr>
      <w:r>
        <w:rPr>
          <w:bCs/>
          <w:b/>
        </w:rPr>
        <w:t xml:space="preserve">Worked example.</w:t>
      </w:r>
      <w:r>
        <w:t xml:space="preserve"> </w:t>
      </w:r>
      <w:r>
        <w:t xml:space="preserve">One photon of red light (0.65 µm) carries</w:t>
      </w:r>
      <w:r>
        <w:t xml:space="preserve"> </w:t>
      </w:r>
      <m:oMath>
        <m:r>
          <m:t>Q</m:t>
        </m:r>
        <m:r>
          <m:rPr>
            <m:sty m:val="p"/>
          </m:rPr>
          <m:t>=</m:t>
        </m:r>
        <m:d>
          <m:dPr>
            <m:begChr m:val="("/>
            <m:endChr m:val=")"/>
            <m:sepChr m:val=""/>
            <m:grow/>
          </m:dPr>
          <m:e>
            <m:r>
              <m:t>6.626</m:t>
            </m:r>
            <m:r>
              <m:rPr>
                <m:sty m:val="p"/>
              </m:rPr>
              <m:t>×</m:t>
            </m:r>
            <m:sSup>
              <m:e>
                <m:r>
                  <m:t>10</m:t>
                </m:r>
              </m:e>
              <m:sup>
                <m:r>
                  <m:rPr>
                    <m:sty m:val="p"/>
                  </m:rPr>
                  <m:t>−</m:t>
                </m:r>
                <m:r>
                  <m:t>34</m:t>
                </m:r>
              </m:sup>
            </m:sSup>
            <m:r>
              <m:rPr>
                <m:sty m:val="p"/>
              </m:rPr>
              <m:t>×</m:t>
            </m:r>
            <m:r>
              <m:t>3</m:t>
            </m:r>
            <m:r>
              <m:rPr>
                <m:sty m:val="p"/>
              </m:rPr>
              <m:t>×</m:t>
            </m:r>
            <m:sSup>
              <m:e>
                <m:r>
                  <m:t>10</m:t>
                </m:r>
              </m:e>
              <m:sup>
                <m:r>
                  <m:t>8</m:t>
                </m:r>
              </m:sup>
            </m:sSup>
          </m:e>
        </m:d>
        <m:r>
          <m:rPr>
            <m:sty m:val="p"/>
          </m:rPr>
          <m:t>/</m:t>
        </m:r>
        <m:d>
          <m:dPr>
            <m:begChr m:val="("/>
            <m:endChr m:val=")"/>
            <m:sepChr m:val=""/>
            <m:grow/>
          </m:dPr>
          <m:e>
            <m:r>
              <m:t>0.65</m:t>
            </m:r>
            <m:r>
              <m:rPr>
                <m:sty m:val="p"/>
              </m:rPr>
              <m:t>×</m:t>
            </m:r>
            <m:sSup>
              <m:e>
                <m:r>
                  <m:t>10</m:t>
                </m:r>
              </m:e>
              <m:sup>
                <m:r>
                  <m:rPr>
                    <m:sty m:val="p"/>
                  </m:rPr>
                  <m:t>−</m:t>
                </m:r>
                <m:r>
                  <m:t>6</m:t>
                </m:r>
              </m:sup>
            </m:sSup>
          </m:e>
        </m:d>
        <m:r>
          <m:rPr>
            <m:sty m:val="p"/>
          </m:rPr>
          <m:t>≈</m:t>
        </m:r>
        <m:r>
          <m:t>3.06</m:t>
        </m:r>
        <m:r>
          <m:rPr>
            <m:sty m:val="p"/>
          </m:rPr>
          <m:t>×</m:t>
        </m:r>
        <m:sSup>
          <m:e>
            <m:r>
              <m:t>10</m:t>
            </m:r>
          </m:e>
          <m:sup>
            <m:r>
              <m:rPr>
                <m:sty m:val="p"/>
              </m:rPr>
              <m:t>−</m:t>
            </m:r>
            <m:r>
              <m:t>19</m:t>
            </m:r>
          </m:sup>
        </m:sSup>
      </m:oMath>
      <w:r>
        <w:t xml:space="preserve"> </w:t>
      </w:r>
      <w:r>
        <w:t xml:space="preserve">J. A 10 µm thermal photon carries about 1/15 of that energy.</w:t>
      </w:r>
    </w:p>
    <w:p>
      <w:pPr>
        <w:pStyle w:val="Heading2"/>
      </w:pPr>
      <w:r>
        <w:t xml:space="preserve">2.3 Radiometric Quantities and Units</w:t>
      </w:r>
    </w:p>
    <w:p>
      <w:pPr>
        <w:pStyle w:val="FirstParagraph"/>
      </w:pPr>
      <w:r>
        <w:t xml:space="preserve">Remote sensing measurements are always expressed in standard radiometric quantities. Interviewers frequently ask for the difference between</w:t>
      </w:r>
      <w:r>
        <w:t xml:space="preserve"> </w:t>
      </w:r>
      <w:r>
        <w:rPr>
          <w:iCs/>
          <w:i/>
        </w:rPr>
        <w:t xml:space="preserve">irradiance</w:t>
      </w:r>
      <w:r>
        <w:t xml:space="preserve">,</w:t>
      </w:r>
      <w:r>
        <w:t xml:space="preserve"> </w:t>
      </w:r>
      <w:r>
        <w:rPr>
          <w:iCs/>
          <w:i/>
        </w:rPr>
        <w:t xml:space="preserve">exitance</w:t>
      </w:r>
      <w:r>
        <w:t xml:space="preserve"> </w:t>
      </w:r>
      <w:r>
        <w:t xml:space="preserve">and</w:t>
      </w:r>
      <w:r>
        <w:t xml:space="preserve"> </w:t>
      </w:r>
      <w:r>
        <w:rPr>
          <w:iCs/>
          <w:i/>
        </w:rPr>
        <w:t xml:space="preserve">radiance</w:t>
      </w:r>
      <w:r>
        <w:t xml:space="preserve">.</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Quantity</w:t>
            </w:r>
          </w:p>
        </w:tc>
        <w:tc>
          <w:tcPr/>
          <w:p>
            <w:pPr>
              <w:pStyle w:val="Compact"/>
              <w:jc w:val="left"/>
            </w:pPr>
            <w:r>
              <w:t xml:space="preserve">Symbol</w:t>
            </w:r>
          </w:p>
        </w:tc>
        <w:tc>
          <w:tcPr/>
          <w:p>
            <w:pPr>
              <w:pStyle w:val="Compact"/>
              <w:jc w:val="left"/>
            </w:pPr>
            <w:r>
              <w:t xml:space="preserve">Definition</w:t>
            </w:r>
          </w:p>
        </w:tc>
        <w:tc>
          <w:tcPr/>
          <w:p>
            <w:pPr>
              <w:pStyle w:val="Compact"/>
              <w:jc w:val="left"/>
            </w:pPr>
            <w:r>
              <w:t xml:space="preserve">SI unit</w:t>
            </w:r>
          </w:p>
        </w:tc>
      </w:tr>
      <w:tr>
        <w:tc>
          <w:tcPr/>
          <w:p>
            <w:pPr>
              <w:pStyle w:val="Compact"/>
              <w:jc w:val="left"/>
            </w:pPr>
            <w:r>
              <w:t xml:space="preserve">Radiant energy</w:t>
            </w:r>
          </w:p>
        </w:tc>
        <w:tc>
          <w:tcPr/>
          <w:p>
            <w:pPr>
              <w:pStyle w:val="Compact"/>
              <w:jc w:val="left"/>
            </w:pPr>
            <m:oMath>
              <m:r>
                <m:t>Q</m:t>
              </m:r>
            </m:oMath>
          </w:p>
        </w:tc>
        <w:tc>
          <w:tcPr/>
          <w:p>
            <w:pPr>
              <w:pStyle w:val="Compact"/>
              <w:jc w:val="left"/>
            </w:pPr>
            <w:r>
              <w:t xml:space="preserve">Total energy of radiation</w:t>
            </w:r>
          </w:p>
        </w:tc>
        <w:tc>
          <w:tcPr/>
          <w:p>
            <w:pPr>
              <w:pStyle w:val="Compact"/>
              <w:jc w:val="left"/>
            </w:pPr>
            <w:r>
              <w:t xml:space="preserve">J</w:t>
            </w:r>
          </w:p>
        </w:tc>
      </w:tr>
      <w:tr>
        <w:tc>
          <w:tcPr/>
          <w:p>
            <w:pPr>
              <w:pStyle w:val="Compact"/>
              <w:jc w:val="left"/>
            </w:pPr>
            <w:r>
              <w:t xml:space="preserve">Radiant flux (power)</w:t>
            </w:r>
          </w:p>
        </w:tc>
        <w:tc>
          <w:tcPr/>
          <w:p>
            <w:pPr>
              <w:pStyle w:val="Compact"/>
              <w:jc w:val="left"/>
            </w:pPr>
            <m:oMath>
              <m:r>
                <m:t>Φ</m:t>
              </m:r>
            </m:oMath>
          </w:p>
        </w:tc>
        <w:tc>
          <w:tcPr/>
          <w:p>
            <w:pPr>
              <w:pStyle w:val="Compact"/>
              <w:jc w:val="left"/>
            </w:pPr>
            <w:r>
              <w:t xml:space="preserve">Energy per unit time,</w:t>
            </w:r>
            <w:r>
              <w:t xml:space="preserve"> </w:t>
            </w:r>
            <m:oMath>
              <m:r>
                <m:t>Φ</m:t>
              </m:r>
              <m:r>
                <m:rPr>
                  <m:sty m:val="p"/>
                </m:rPr>
                <m:t>=</m:t>
              </m:r>
              <m:r>
                <m:t>d</m:t>
              </m:r>
              <m:r>
                <m:t>Q</m:t>
              </m:r>
              <m:r>
                <m:rPr>
                  <m:sty m:val="p"/>
                </m:rPr>
                <m:t>/</m:t>
              </m:r>
              <m:r>
                <m:t>d</m:t>
              </m:r>
              <m:r>
                <m:t>t</m:t>
              </m:r>
            </m:oMath>
          </w:p>
        </w:tc>
        <w:tc>
          <w:tcPr/>
          <w:p>
            <w:pPr>
              <w:pStyle w:val="Compact"/>
              <w:jc w:val="left"/>
            </w:pPr>
            <w:r>
              <w:t xml:space="preserve">W (J s⁻¹)</w:t>
            </w:r>
          </w:p>
        </w:tc>
      </w:tr>
      <w:tr>
        <w:tc>
          <w:tcPr/>
          <w:p>
            <w:pPr>
              <w:pStyle w:val="Compact"/>
              <w:jc w:val="left"/>
            </w:pPr>
            <w:r>
              <w:t xml:space="preserve">Radiant flux density</w:t>
            </w:r>
          </w:p>
        </w:tc>
        <w:tc>
          <w:tcPr/>
          <w:p>
            <w:pPr>
              <w:pStyle w:val="Compact"/>
              <w:jc w:val="left"/>
            </w:pPr>
            <w:r>
              <w:t xml:space="preserve">—</w:t>
            </w:r>
          </w:p>
        </w:tc>
        <w:tc>
          <w:tcPr/>
          <w:p>
            <w:pPr>
              <w:pStyle w:val="Compact"/>
              <w:jc w:val="left"/>
            </w:pPr>
            <w:r>
              <w:t xml:space="preserve">Flux per unit area</w:t>
            </w:r>
          </w:p>
        </w:tc>
        <w:tc>
          <w:tcPr/>
          <w:p>
            <w:pPr>
              <w:pStyle w:val="Compact"/>
              <w:jc w:val="left"/>
            </w:pPr>
            <w:r>
              <w:t xml:space="preserve">W m⁻²</w:t>
            </w:r>
          </w:p>
        </w:tc>
      </w:tr>
      <w:tr>
        <w:tc>
          <w:tcPr/>
          <w:p>
            <w:pPr>
              <w:pStyle w:val="Compact"/>
              <w:jc w:val="left"/>
            </w:pPr>
            <w:r>
              <w:rPr>
                <w:bCs/>
                <w:b/>
              </w:rPr>
              <w:t xml:space="preserve">Irradiance</w:t>
            </w:r>
          </w:p>
        </w:tc>
        <w:tc>
          <w:tcPr/>
          <w:p>
            <w:pPr>
              <w:pStyle w:val="Compact"/>
              <w:jc w:val="left"/>
            </w:pPr>
            <m:oMath>
              <m:r>
                <m:t>E</m:t>
              </m:r>
            </m:oMath>
          </w:p>
        </w:tc>
        <w:tc>
          <w:tcPr/>
          <w:p>
            <w:pPr>
              <w:pStyle w:val="Compact"/>
              <w:jc w:val="left"/>
            </w:pPr>
            <w:r>
              <w:t xml:space="preserve">Flux</w:t>
            </w:r>
            <w:r>
              <w:t xml:space="preserve"> </w:t>
            </w:r>
            <w:r>
              <w:rPr>
                <w:bCs/>
                <w:b/>
              </w:rPr>
              <w:t xml:space="preserve">incident on</w:t>
            </w:r>
            <w:r>
              <w:t xml:space="preserve"> </w:t>
            </w:r>
            <w:r>
              <w:t xml:space="preserve">a surface per unit area</w:t>
            </w:r>
          </w:p>
        </w:tc>
        <w:tc>
          <w:tcPr/>
          <w:p>
            <w:pPr>
              <w:pStyle w:val="Compact"/>
              <w:jc w:val="left"/>
            </w:pPr>
            <w:r>
              <w:t xml:space="preserve">W m⁻²</w:t>
            </w:r>
          </w:p>
        </w:tc>
      </w:tr>
      <w:tr>
        <w:tc>
          <w:tcPr/>
          <w:p>
            <w:pPr>
              <w:pStyle w:val="Compact"/>
              <w:jc w:val="left"/>
            </w:pPr>
            <w:r>
              <w:rPr>
                <w:bCs/>
                <w:b/>
              </w:rPr>
              <w:t xml:space="preserve">Radiant exitance (emittance)</w:t>
            </w:r>
          </w:p>
        </w:tc>
        <w:tc>
          <w:tcPr/>
          <w:p>
            <w:pPr>
              <w:pStyle w:val="Compact"/>
              <w:jc w:val="left"/>
            </w:pPr>
            <m:oMath>
              <m:r>
                <m:t>M</m:t>
              </m:r>
            </m:oMath>
          </w:p>
        </w:tc>
        <w:tc>
          <w:tcPr/>
          <w:p>
            <w:pPr>
              <w:pStyle w:val="Compact"/>
              <w:jc w:val="left"/>
            </w:pPr>
            <w:r>
              <w:t xml:space="preserve">Flux</w:t>
            </w:r>
            <w:r>
              <w:t xml:space="preserve"> </w:t>
            </w:r>
            <w:r>
              <w:rPr>
                <w:bCs/>
                <w:b/>
              </w:rPr>
              <w:t xml:space="preserve">leaving</w:t>
            </w:r>
            <w:r>
              <w:t xml:space="preserve"> </w:t>
            </w:r>
            <w:r>
              <w:t xml:space="preserve">a surface per unit area</w:t>
            </w:r>
          </w:p>
        </w:tc>
        <w:tc>
          <w:tcPr/>
          <w:p>
            <w:pPr>
              <w:pStyle w:val="Compact"/>
              <w:jc w:val="left"/>
            </w:pPr>
            <w:r>
              <w:t xml:space="preserve">W m⁻²</w:t>
            </w:r>
          </w:p>
        </w:tc>
      </w:tr>
      <w:tr>
        <w:tc>
          <w:tcPr/>
          <w:p>
            <w:pPr>
              <w:pStyle w:val="Compact"/>
              <w:jc w:val="left"/>
            </w:pPr>
            <w:r>
              <w:t xml:space="preserve">Radiant intensity</w:t>
            </w:r>
          </w:p>
        </w:tc>
        <w:tc>
          <w:tcPr/>
          <w:p>
            <w:pPr>
              <w:pStyle w:val="Compact"/>
              <w:jc w:val="left"/>
            </w:pPr>
            <m:oMath>
              <m:r>
                <m:t>I</m:t>
              </m:r>
            </m:oMath>
          </w:p>
        </w:tc>
        <w:tc>
          <w:tcPr/>
          <w:p>
            <w:pPr>
              <w:pStyle w:val="Compact"/>
              <w:jc w:val="left"/>
            </w:pPr>
            <w:r>
              <w:t xml:space="preserve">Flux per unit</w:t>
            </w:r>
            <w:r>
              <w:t xml:space="preserve"> </w:t>
            </w:r>
            <w:r>
              <w:rPr>
                <w:bCs/>
                <w:b/>
              </w:rPr>
              <w:t xml:space="preserve">solid angle</w:t>
            </w:r>
            <w:r>
              <w:t xml:space="preserve"> </w:t>
            </w:r>
            <w:r>
              <w:t xml:space="preserve">from a point source</w:t>
            </w:r>
          </w:p>
        </w:tc>
        <w:tc>
          <w:tcPr/>
          <w:p>
            <w:pPr>
              <w:pStyle w:val="Compact"/>
              <w:jc w:val="left"/>
            </w:pPr>
            <w:r>
              <w:t xml:space="preserve">W sr⁻¹</w:t>
            </w:r>
          </w:p>
        </w:tc>
      </w:tr>
      <w:tr>
        <w:tc>
          <w:tcPr/>
          <w:p>
            <w:pPr>
              <w:pStyle w:val="Compact"/>
              <w:jc w:val="left"/>
            </w:pPr>
            <w:r>
              <w:rPr>
                <w:bCs/>
                <w:b/>
              </w:rPr>
              <w:t xml:space="preserve">Radiance</w:t>
            </w:r>
          </w:p>
        </w:tc>
        <w:tc>
          <w:tcPr/>
          <w:p>
            <w:pPr>
              <w:pStyle w:val="Compact"/>
              <w:jc w:val="left"/>
            </w:pPr>
            <m:oMath>
              <m:r>
                <m:t>L</m:t>
              </m:r>
            </m:oMath>
          </w:p>
        </w:tc>
        <w:tc>
          <w:tcPr/>
          <w:p>
            <w:pPr>
              <w:pStyle w:val="Compact"/>
              <w:jc w:val="left"/>
            </w:pPr>
            <w:r>
              <w:t xml:space="preserve">Flux per unit projected area per unit solid angle in a given direction</w:t>
            </w:r>
          </w:p>
        </w:tc>
        <w:tc>
          <w:tcPr/>
          <w:p>
            <w:pPr>
              <w:pStyle w:val="Compact"/>
              <w:jc w:val="left"/>
            </w:pPr>
            <w:r>
              <w:t xml:space="preserve">W m⁻² sr⁻¹</w:t>
            </w:r>
          </w:p>
        </w:tc>
      </w:tr>
      <w:tr>
        <w:tc>
          <w:tcPr/>
          <w:p>
            <w:pPr>
              <w:pStyle w:val="Compact"/>
              <w:jc w:val="left"/>
            </w:pPr>
            <w:r>
              <w:t xml:space="preserve">Spectral radiance</w:t>
            </w:r>
          </w:p>
        </w:tc>
        <w:tc>
          <w:tcPr/>
          <w:p>
            <w:pPr>
              <w:pStyle w:val="Compact"/>
              <w:jc w:val="left"/>
            </w:pPr>
            <m:oMath>
              <m:sSub>
                <m:e>
                  <m:r>
                    <m:t>L</m:t>
                  </m:r>
                </m:e>
                <m:sub>
                  <m:r>
                    <m:t>λ</m:t>
                  </m:r>
                </m:sub>
              </m:sSub>
            </m:oMath>
          </w:p>
        </w:tc>
        <w:tc>
          <w:tcPr/>
          <w:p>
            <w:pPr>
              <w:pStyle w:val="Compact"/>
              <w:jc w:val="left"/>
            </w:pPr>
            <w:r>
              <w:t xml:space="preserve">Radiance per unit wavelength</w:t>
            </w:r>
          </w:p>
        </w:tc>
        <w:tc>
          <w:tcPr/>
          <w:p>
            <w:pPr>
              <w:pStyle w:val="Compact"/>
              <w:jc w:val="left"/>
            </w:pPr>
            <w:r>
              <w:t xml:space="preserve">W m⁻² sr⁻¹ µm⁻¹</w:t>
            </w:r>
          </w:p>
        </w:tc>
      </w:tr>
    </w:tbl>
    <w:p>
      <w:pPr>
        <w:pStyle w:val="BodyText"/>
      </w:pPr>
      <m:oMathPara>
        <m:oMathParaPr>
          <m:jc m:val="center"/>
        </m:oMathParaPr>
        <m:oMath>
          <m:r>
            <m:t>L</m:t>
          </m:r>
          <m:r>
            <m:rPr>
              <m:sty m:val="p"/>
            </m:rPr>
            <m:t>=</m:t>
          </m:r>
          <m:f>
            <m:fPr>
              <m:type m:val="bar"/>
            </m:fPr>
            <m:num>
              <m:sSup>
                <m:e>
                  <m:r>
                    <m:t>d</m:t>
                  </m:r>
                </m:e>
                <m:sup>
                  <m:r>
                    <m:t>2</m:t>
                  </m:r>
                </m:sup>
              </m:sSup>
              <m:r>
                <m:t>Φ</m:t>
              </m:r>
            </m:num>
            <m:den>
              <m:r>
                <m:t>d</m:t>
              </m:r>
              <m:r>
                <m:t>A</m:t>
              </m:r>
              <m:r>
                <m:t> </m:t>
              </m:r>
              <m:r>
                <m:rPr>
                  <m:sty m:val="p"/>
                </m:rPr>
                <m:t>cos</m:t>
              </m:r>
              <m:r>
                <m:t>θ</m:t>
              </m:r>
              <m:r>
                <m:t> </m:t>
              </m:r>
              <m:r>
                <m:t>d</m:t>
              </m:r>
              <m:r>
                <m:t>Ω</m:t>
              </m:r>
            </m:den>
          </m:f>
        </m:oMath>
      </m:oMathPara>
    </w:p>
    <w:p>
      <w:pPr>
        <w:pStyle w:val="Compact"/>
        <w:numPr>
          <w:ilvl w:val="0"/>
          <w:numId w:val="1008"/>
        </w:numPr>
      </w:pPr>
      <w:r>
        <w:rPr>
          <w:bCs/>
          <w:b/>
        </w:rPr>
        <w:t xml:space="preserve">Solid angle</w:t>
      </w:r>
      <w:r>
        <w:t xml:space="preserve"> </w:t>
      </w:r>
      <m:oMath>
        <m:r>
          <m:t>Ω</m:t>
        </m:r>
        <m:r>
          <m:rPr>
            <m:sty m:val="p"/>
          </m:rPr>
          <m:t>=</m:t>
        </m:r>
        <m:r>
          <m:t>A</m:t>
        </m:r>
        <m:r>
          <m:rPr>
            <m:sty m:val="p"/>
          </m:rPr>
          <m:t>/</m:t>
        </m:r>
        <m:sSup>
          <m:e>
            <m:r>
              <m:t>r</m:t>
            </m:r>
          </m:e>
          <m:sup>
            <m:r>
              <m:t>2</m:t>
            </m:r>
          </m:sup>
        </m:sSup>
      </m:oMath>
      <w:r>
        <w:t xml:space="preserve"> </w:t>
      </w:r>
      <w:r>
        <w:t xml:space="preserve">in steradians (sr). A full sphere subtends</w:t>
      </w:r>
      <w:r>
        <w:t xml:space="preserve"> </w:t>
      </w:r>
      <m:oMath>
        <m:r>
          <m:t>4</m:t>
        </m:r>
        <m:r>
          <m:t>π</m:t>
        </m:r>
      </m:oMath>
      <w:r>
        <w:t xml:space="preserve"> </w:t>
      </w:r>
      <w:r>
        <w:t xml:space="preserve">sr and a hemisphere</w:t>
      </w:r>
      <w:r>
        <w:t xml:space="preserve"> </w:t>
      </w:r>
      <m:oMath>
        <m:r>
          <m:t>2</m:t>
        </m:r>
        <m:r>
          <m:t>π</m:t>
        </m:r>
      </m:oMath>
      <w:r>
        <w:t xml:space="preserve"> </w:t>
      </w:r>
      <w:r>
        <w:t xml:space="preserve">sr.</w:t>
      </w:r>
    </w:p>
    <w:p>
      <w:pPr>
        <w:pStyle w:val="Compact"/>
        <w:numPr>
          <w:ilvl w:val="0"/>
          <w:numId w:val="1008"/>
        </w:numPr>
      </w:pPr>
      <w:r>
        <w:rPr>
          <w:bCs/>
          <w:b/>
        </w:rPr>
        <w:t xml:space="preserve">Radiance is what a sensor measures.</w:t>
      </w:r>
      <w:r>
        <w:t xml:space="preserve"> </w:t>
      </w:r>
      <w:r>
        <w:t xml:space="preserve">A satellite radiometer sees a small solid angle (its IFOV) looking at a small ground area. Radiance is independent of distance in a non-absorbing medium, which is why it is the fundamental quantity.</w:t>
      </w:r>
    </w:p>
    <w:p>
      <w:pPr>
        <w:pStyle w:val="Compact"/>
        <w:numPr>
          <w:ilvl w:val="0"/>
          <w:numId w:val="1008"/>
        </w:numPr>
      </w:pPr>
      <w:r>
        <w:rPr>
          <w:bCs/>
          <w:b/>
        </w:rPr>
        <w:t xml:space="preserve">Reflectance</w:t>
      </w:r>
      <w:r>
        <w:t xml:space="preserve"> </w:t>
      </w:r>
      <w:r>
        <w:t xml:space="preserve">is dimensionless: reflected exitance divided by incident irradiance.</w:t>
      </w:r>
    </w:p>
    <w:p>
      <w:pPr>
        <w:pStyle w:val="FirstParagraph"/>
      </w:pPr>
      <w:r>
        <w:rPr>
          <w:bCs/>
          <w:b/>
        </w:rPr>
        <w:t xml:space="preserve">Lambert’s cosine law and Lambertian surfaces.</w:t>
      </w:r>
      <w:r>
        <w:t xml:space="preserve"> </w:t>
      </w:r>
      <w:r>
        <w:t xml:space="preserve">A perfectly diffuse (Lambertian) surface has the same radiance in all directions. The flux it emits per unit solid angle falls off with the cosine of the viewing angle,</w:t>
      </w:r>
      <w:r>
        <w:t xml:space="preserve"> </w:t>
      </w:r>
      <m:oMath>
        <m:r>
          <m:t>I</m:t>
        </m:r>
        <m:d>
          <m:dPr>
            <m:begChr m:val="("/>
            <m:endChr m:val=")"/>
            <m:sepChr m:val=""/>
            <m:grow/>
          </m:dPr>
          <m:e>
            <m:r>
              <m:t>θ</m:t>
            </m:r>
          </m:e>
        </m:d>
        <m:r>
          <m:rPr>
            <m:sty m:val="p"/>
          </m:rPr>
          <m:t>=</m:t>
        </m:r>
        <m:sSub>
          <m:e>
            <m:r>
              <m:t>I</m:t>
            </m:r>
          </m:e>
          <m:sub>
            <m:r>
              <m:t>0</m:t>
            </m:r>
          </m:sub>
        </m:sSub>
        <m:r>
          <m:rPr>
            <m:sty m:val="p"/>
          </m:rPr>
          <m:t>cos</m:t>
        </m:r>
        <m:r>
          <m:t>θ</m:t>
        </m:r>
      </m:oMath>
      <w:r>
        <w:t xml:space="preserve">. For such a surface</w:t>
      </w:r>
    </w:p>
    <w:p>
      <w:pPr>
        <w:pStyle w:val="BodyText"/>
      </w:pPr>
      <m:oMathPara>
        <m:oMathParaPr>
          <m:jc m:val="center"/>
        </m:oMathParaPr>
        <m:oMath>
          <m:r>
            <m:t>M</m:t>
          </m:r>
          <m:r>
            <m:rPr>
              <m:sty m:val="p"/>
            </m:rPr>
            <m:t>=</m:t>
          </m:r>
          <m:r>
            <m:t>π</m:t>
          </m:r>
          <m:r>
            <m:t>L</m:t>
          </m:r>
          <m:r>
            <m:t> </m:t>
          </m:r>
          <m:r>
            <m:rPr>
              <m:sty m:val="p"/>
            </m:rPr>
            <m:t>⇒</m:t>
          </m:r>
          <m:r>
            <m:t> </m:t>
          </m:r>
          <m:r>
            <m:t>L</m:t>
          </m:r>
          <m:r>
            <m:rPr>
              <m:sty m:val="p"/>
            </m:rPr>
            <m:t>=</m:t>
          </m:r>
          <m:f>
            <m:fPr>
              <m:type m:val="bar"/>
            </m:fPr>
            <m:num>
              <m:r>
                <m:t>ρ</m:t>
              </m:r>
              <m:r>
                <m:t> </m:t>
              </m:r>
              <m:r>
                <m:t>E</m:t>
              </m:r>
            </m:num>
            <m:den>
              <m:r>
                <m:t>π</m:t>
              </m:r>
            </m:den>
          </m:f>
        </m:oMath>
      </m:oMathPara>
    </w:p>
    <w:p>
      <w:pPr>
        <w:pStyle w:val="FirstParagraph"/>
      </w:pPr>
      <w:r>
        <w:t xml:space="preserve">This</w:t>
      </w:r>
      <w:r>
        <w:t xml:space="preserve"> </w:t>
      </w:r>
      <m:oMath>
        <m:r>
          <m:t>π</m:t>
        </m:r>
      </m:oMath>
      <w:r>
        <w:t xml:space="preserve"> </w:t>
      </w:r>
      <w:r>
        <w:t xml:space="preserve">appears in every top-of-atmosphere reflectance formula,</w:t>
      </w:r>
      <w:r>
        <w:t xml:space="preserve"> </w:t>
      </w:r>
      <m:oMath>
        <m:r>
          <m:t>ρ</m:t>
        </m:r>
        <m:r>
          <m:rPr>
            <m:sty m:val="p"/>
          </m:rPr>
          <m:t>=</m:t>
        </m:r>
        <m:r>
          <m:t>π</m:t>
        </m:r>
        <m:r>
          <m:t>L</m:t>
        </m:r>
        <m:sSup>
          <m:e>
            <m:r>
              <m:t>d</m:t>
            </m:r>
          </m:e>
          <m:sup>
            <m:r>
              <m:t>2</m:t>
            </m:r>
          </m:sup>
        </m:sSup>
        <m:r>
          <m:rPr>
            <m:sty m:val="p"/>
          </m:rPr>
          <m:t>/</m:t>
        </m:r>
        <m:d>
          <m:dPr>
            <m:begChr m:val="("/>
            <m:endChr m:val=")"/>
            <m:sepChr m:val=""/>
            <m:grow/>
          </m:dPr>
          <m:e>
            <m:sSub>
              <m:e>
                <m:r>
                  <m:t>E</m:t>
                </m:r>
              </m:e>
              <m:sub>
                <m:r>
                  <m:t>s</m:t>
                </m:r>
                <m:r>
                  <m:t>u</m:t>
                </m:r>
                <m:r>
                  <m:t>n</m:t>
                </m:r>
              </m:sub>
            </m:sSub>
            <m:r>
              <m:rPr>
                <m:sty m:val="p"/>
              </m:rPr>
              <m:t>cos</m:t>
            </m:r>
            <m:sSub>
              <m:e>
                <m:r>
                  <m:t>θ</m:t>
                </m:r>
              </m:e>
              <m:sub>
                <m:r>
                  <m:t>s</m:t>
                </m:r>
              </m:sub>
            </m:sSub>
          </m:e>
        </m:d>
      </m:oMath>
      <w:r>
        <w:t xml:space="preserve">.</w:t>
      </w:r>
    </w:p>
    <w:p>
      <w:pPr>
        <w:pStyle w:val="Heading2"/>
      </w:pPr>
      <w:r>
        <w:t xml:space="preserve">2.4 The Laws of Radiation</w:t>
      </w:r>
    </w:p>
    <w:p>
      <w:pPr>
        <w:pStyle w:val="FirstParagraph"/>
      </w:pPr>
      <w:r>
        <w:t xml:space="preserve">All matter above absolute zero (0 K) emits EMR because of molecular and atomic oscillation. A</w:t>
      </w:r>
      <w:r>
        <w:t xml:space="preserve"> </w:t>
      </w:r>
      <w:r>
        <w:rPr>
          <w:bCs/>
          <w:b/>
        </w:rPr>
        <w:t xml:space="preserve">blackbody</w:t>
      </w:r>
      <w:r>
        <w:t xml:space="preserve"> </w:t>
      </w:r>
      <w:r>
        <w:t xml:space="preserve">is an ideal body that absorbs all incident radiation at every wavelength and emits the maximum possible radiation for its temperature.</w:t>
      </w:r>
    </w:p>
    <w:p>
      <w:pPr>
        <w:pStyle w:val="Heading3"/>
      </w:pPr>
      <w:r>
        <w:t xml:space="preserve">2.4.1 Planck’s radiation law</w:t>
      </w:r>
    </w:p>
    <w:p>
      <w:pPr>
        <w:pStyle w:val="FirstParagraph"/>
      </w:pPr>
      <w:r>
        <w:t xml:space="preserve">The spectral exitance of a blackbody at absolute temperature</w:t>
      </w:r>
      <w:r>
        <w:t xml:space="preserve"> </w:t>
      </w:r>
      <m:oMath>
        <m:r>
          <m:t>T</m:t>
        </m:r>
      </m:oMath>
      <w:r>
        <w:t xml:space="preserve"> </w:t>
      </w:r>
      <w:r>
        <w:t xml:space="preserve">is</w:t>
      </w:r>
    </w:p>
    <w:p>
      <w:pPr>
        <w:pStyle w:val="BodyText"/>
      </w:pPr>
      <m:oMathPara>
        <m:oMathParaPr>
          <m:jc m:val="center"/>
        </m:oMathParaPr>
        <m:oMath>
          <m:sSub>
            <m:e>
              <m:r>
                <m:t>M</m:t>
              </m:r>
            </m:e>
            <m:sub>
              <m:r>
                <m:t>λ</m:t>
              </m:r>
            </m:sub>
          </m:sSub>
          <m:d>
            <m:dPr>
              <m:begChr m:val="("/>
              <m:endChr m:val=")"/>
              <m:sepChr m:val=""/>
              <m:grow/>
            </m:dPr>
            <m:e>
              <m:r>
                <m:t>T</m:t>
              </m:r>
            </m:e>
          </m:d>
          <m:r>
            <m:rPr>
              <m:sty m:val="p"/>
            </m:rPr>
            <m:t>=</m:t>
          </m:r>
          <m:f>
            <m:fPr>
              <m:type m:val="bar"/>
            </m:fPr>
            <m:num>
              <m:r>
                <m:t>2</m:t>
              </m:r>
              <m:r>
                <m:t>π</m:t>
              </m:r>
              <m:r>
                <m:t>h</m:t>
              </m:r>
              <m:sSup>
                <m:e>
                  <m:r>
                    <m:t>c</m:t>
                  </m:r>
                </m:e>
                <m:sup>
                  <m:r>
                    <m:t>2</m:t>
                  </m:r>
                </m:sup>
              </m:sSup>
            </m:num>
            <m:den>
              <m:sSup>
                <m:e>
                  <m:r>
                    <m:t>λ</m:t>
                  </m:r>
                </m:e>
                <m:sup>
                  <m:r>
                    <m:t>5</m:t>
                  </m:r>
                </m:sup>
              </m:sSup>
            </m:den>
          </m:f>
          <m:r>
            <m:t> </m:t>
          </m:r>
          <m:f>
            <m:fPr>
              <m:type m:val="bar"/>
            </m:fPr>
            <m:num>
              <m:r>
                <m:t>1</m:t>
              </m:r>
            </m:num>
            <m:den>
              <m:sSup>
                <m:e>
                  <m:r>
                    <m:t>e</m:t>
                  </m:r>
                </m:e>
                <m:sup>
                  <m:r>
                    <m:t>h</m:t>
                  </m:r>
                  <m:r>
                    <m:t>c</m:t>
                  </m:r>
                  <m:r>
                    <m:rPr>
                      <m:sty m:val="p"/>
                    </m:rPr>
                    <m:t>/</m:t>
                  </m:r>
                  <m:r>
                    <m:t>λ</m:t>
                  </m:r>
                  <m:r>
                    <m:t>k</m:t>
                  </m:r>
                  <m:r>
                    <m:t>T</m:t>
                  </m:r>
                </m:sup>
              </m:sSup>
              <m:r>
                <m:rPr>
                  <m:sty m:val="p"/>
                </m:rPr>
                <m:t>−</m:t>
              </m:r>
              <m:r>
                <m:t>1</m:t>
              </m:r>
            </m:den>
          </m:f>
        </m:oMath>
      </m:oMathPara>
    </w:p>
    <w:p>
      <w:pPr>
        <w:pStyle w:val="FirstParagraph"/>
      </w:pPr>
      <w:r>
        <w:t xml:space="preserve">or, written with the radiation constants,</w:t>
      </w:r>
    </w:p>
    <w:p>
      <w:pPr>
        <w:pStyle w:val="BodyText"/>
      </w:pPr>
      <m:oMathPara>
        <m:oMathParaPr>
          <m:jc m:val="center"/>
        </m:oMathParaPr>
        <m:oMath>
          <m:sSub>
            <m:e>
              <m:r>
                <m:t>M</m:t>
              </m:r>
            </m:e>
            <m:sub>
              <m:r>
                <m:t>λ</m:t>
              </m:r>
            </m:sub>
          </m:sSub>
          <m:r>
            <m:rPr>
              <m:sty m:val="p"/>
            </m:rPr>
            <m:t>=</m:t>
          </m:r>
          <m:f>
            <m:fPr>
              <m:type m:val="bar"/>
            </m:fPr>
            <m:num>
              <m:sSub>
                <m:e>
                  <m:r>
                    <m:t>C</m:t>
                  </m:r>
                </m:e>
                <m:sub>
                  <m:r>
                    <m:t>1</m:t>
                  </m:r>
                </m:sub>
              </m:sSub>
            </m:num>
            <m:den>
              <m:sSup>
                <m:e>
                  <m:r>
                    <m:t>λ</m:t>
                  </m:r>
                </m:e>
                <m:sup>
                  <m:r>
                    <m:t>5</m:t>
                  </m:r>
                </m:sup>
              </m:sSup>
              <m:d>
                <m:dPr>
                  <m:begChr m:val="("/>
                  <m:endChr m:val=")"/>
                  <m:sepChr m:val=""/>
                  <m:grow/>
                </m:dPr>
                <m:e>
                  <m:sSup>
                    <m:e>
                      <m:r>
                        <m:t>e</m:t>
                      </m:r>
                    </m:e>
                    <m:sup>
                      <m:sSub>
                        <m:e>
                          <m:r>
                            <m:t>C</m:t>
                          </m:r>
                        </m:e>
                        <m:sub>
                          <m:r>
                            <m:t>2</m:t>
                          </m:r>
                        </m:sub>
                      </m:sSub>
                      <m:r>
                        <m:rPr>
                          <m:sty m:val="p"/>
                        </m:rPr>
                        <m:t>/</m:t>
                      </m:r>
                      <m:r>
                        <m:t>λ</m:t>
                      </m:r>
                      <m:r>
                        <m:t>T</m:t>
                      </m:r>
                    </m:sup>
                  </m:sSup>
                  <m:r>
                    <m:rPr>
                      <m:sty m:val="p"/>
                    </m:rPr>
                    <m:t>−</m:t>
                  </m:r>
                  <m:r>
                    <m:t>1</m:t>
                  </m:r>
                </m:e>
              </m:d>
            </m:den>
          </m:f>
          <m:r>
            <m:rPr>
              <m:sty m:val="p"/>
            </m:rPr>
            <m:t>,</m:t>
          </m:r>
          <m:r>
            <m:t> </m:t>
          </m:r>
          <m:sSub>
            <m:e>
              <m:r>
                <m:t>C</m:t>
              </m:r>
            </m:e>
            <m:sub>
              <m:r>
                <m:t>1</m:t>
              </m:r>
            </m:sub>
          </m:sSub>
          <m:r>
            <m:rPr>
              <m:sty m:val="p"/>
            </m:rPr>
            <m:t>=</m:t>
          </m:r>
          <m:r>
            <m:t>3.742</m:t>
          </m:r>
          <m:r>
            <m:rPr>
              <m:sty m:val="p"/>
            </m:rPr>
            <m:t>×</m:t>
          </m:r>
          <m:sSup>
            <m:e>
              <m:r>
                <m:t>10</m:t>
              </m:r>
            </m:e>
            <m:sup>
              <m:r>
                <m:rPr>
                  <m:sty m:val="p"/>
                </m:rPr>
                <m:t>−</m:t>
              </m:r>
              <m:r>
                <m:t>16</m:t>
              </m:r>
            </m:sup>
          </m:sSup>
          <m:r>
            <m:t> </m:t>
          </m:r>
          <m:sSup>
            <m:e>
              <m:r>
                <m:rPr>
                  <m:nor/>
                  <m:sty m:val="p"/>
                </m:rPr>
                <m:t>W m</m:t>
              </m:r>
            </m:e>
            <m:sup>
              <m:r>
                <m:t>2</m:t>
              </m:r>
            </m:sup>
          </m:sSup>
          <m:r>
            <m:rPr>
              <m:sty m:val="p"/>
            </m:rPr>
            <m:t>,</m:t>
          </m:r>
          <m:r>
            <m:t> </m:t>
          </m:r>
          <m:sSub>
            <m:e>
              <m:r>
                <m:t>C</m:t>
              </m:r>
            </m:e>
            <m:sub>
              <m:r>
                <m:t>2</m:t>
              </m:r>
            </m:sub>
          </m:sSub>
          <m:r>
            <m:rPr>
              <m:sty m:val="p"/>
            </m:rPr>
            <m:t>=</m:t>
          </m:r>
          <m:r>
            <m:t>1.4388</m:t>
          </m:r>
          <m:r>
            <m:rPr>
              <m:sty m:val="p"/>
            </m:rPr>
            <m:t>×</m:t>
          </m:r>
          <m:sSup>
            <m:e>
              <m:r>
                <m:t>10</m:t>
              </m:r>
            </m:e>
            <m:sup>
              <m:r>
                <m:rPr>
                  <m:sty m:val="p"/>
                </m:rPr>
                <m:t>−</m:t>
              </m:r>
              <m:r>
                <m:t>2</m:t>
              </m:r>
            </m:sup>
          </m:sSup>
          <m:r>
            <m:t> </m:t>
          </m:r>
          <m:r>
            <m:rPr>
              <m:nor/>
              <m:sty m:val="p"/>
            </m:rPr>
            <m:t>m K</m:t>
          </m:r>
        </m:oMath>
      </m:oMathPara>
    </w:p>
    <w:p>
      <w:pPr>
        <w:pStyle w:val="FirstParagraph"/>
      </w:pPr>
      <w:r>
        <w:t xml:space="preserve">(</w:t>
      </w:r>
      <m:oMath>
        <m:r>
          <m:t>k</m:t>
        </m:r>
        <m:r>
          <m:rPr>
            <m:sty m:val="p"/>
          </m:rPr>
          <m:t>=</m:t>
        </m:r>
        <m:r>
          <m:t>1.381</m:t>
        </m:r>
        <m:r>
          <m:rPr>
            <m:sty m:val="p"/>
          </m:rPr>
          <m:t>×</m:t>
        </m:r>
        <m:sSup>
          <m:e>
            <m:r>
              <m:t>10</m:t>
            </m:r>
          </m:e>
          <m:sup>
            <m:r>
              <m:rPr>
                <m:sty m:val="p"/>
              </m:rPr>
              <m:t>−</m:t>
            </m:r>
            <m:r>
              <m:t>23</m:t>
            </m:r>
          </m:sup>
        </m:sSup>
      </m:oMath>
      <w:r>
        <w:t xml:space="preserve"> </w:t>
      </w:r>
      <w:r>
        <w:t xml:space="preserve">J K⁻¹ is Boltzmann’s constant.) Planck’s law gives the complete curve of emitted energy against wavelength.</w:t>
      </w:r>
      <w:r>
        <w:t xml:space="preserve"> </w:t>
      </w:r>
      <w:r>
        <w:rPr>
          <w:bCs/>
          <w:b/>
        </w:rPr>
        <w:t xml:space="preserve">Inverting</w:t>
      </w:r>
      <w:r>
        <w:t xml:space="preserve"> </w:t>
      </w:r>
      <w:r>
        <w:t xml:space="preserve">it gives the</w:t>
      </w:r>
      <w:r>
        <w:t xml:space="preserve"> </w:t>
      </w:r>
      <w:r>
        <w:rPr>
          <w:bCs/>
          <w:b/>
        </w:rPr>
        <w:t xml:space="preserve">brightness temperature</w:t>
      </w:r>
      <w:r>
        <w:t xml:space="preserve"> </w:t>
      </w:r>
      <w:r>
        <w:t xml:space="preserve">used in thermal remote sensing:</w:t>
      </w:r>
    </w:p>
    <w:p>
      <w:pPr>
        <w:pStyle w:val="BodyText"/>
      </w:pPr>
      <m:oMathPara>
        <m:oMathParaPr>
          <m:jc m:val="center"/>
        </m:oMathParaPr>
        <m:oMath>
          <m:sSub>
            <m:e>
              <m:r>
                <m:t>T</m:t>
              </m:r>
            </m:e>
            <m:sub>
              <m:r>
                <m:t>B</m:t>
              </m:r>
            </m:sub>
          </m:sSub>
          <m:r>
            <m:rPr>
              <m:sty m:val="p"/>
            </m:rPr>
            <m:t>=</m:t>
          </m:r>
          <m:f>
            <m:fPr>
              <m:type m:val="bar"/>
            </m:fPr>
            <m:num>
              <m:sSub>
                <m:e>
                  <m:r>
                    <m:t>C</m:t>
                  </m:r>
                </m:e>
                <m:sub>
                  <m:r>
                    <m:t>2</m:t>
                  </m:r>
                </m:sub>
              </m:sSub>
            </m:num>
            <m:den>
              <m:r>
                <m:t>λ</m:t>
              </m:r>
              <m:r>
                <m:t> </m:t>
              </m:r>
              <m:r>
                <m:rPr>
                  <m:sty m:val="p"/>
                </m:rPr>
                <m:t>ln</m:t>
              </m:r>
              <m:r>
                <m:t>​</m:t>
              </m:r>
              <m:d>
                <m:dPr>
                  <m:begChr m:val="("/>
                  <m:endChr m:val=")"/>
                  <m:sepChr m:val=""/>
                  <m:grow/>
                </m:dPr>
                <m:e>
                  <m:f>
                    <m:fPr>
                      <m:type m:val="bar"/>
                    </m:fPr>
                    <m:num>
                      <m:sSub>
                        <m:e>
                          <m:r>
                            <m:t>C</m:t>
                          </m:r>
                        </m:e>
                        <m:sub>
                          <m:r>
                            <m:t>1</m:t>
                          </m:r>
                        </m:sub>
                      </m:sSub>
                    </m:num>
                    <m:den>
                      <m:sSup>
                        <m:e>
                          <m:r>
                            <m:t>λ</m:t>
                          </m:r>
                        </m:e>
                        <m:sup>
                          <m:r>
                            <m:t>5</m:t>
                          </m:r>
                        </m:sup>
                      </m:sSup>
                      <m:r>
                        <m:t> </m:t>
                      </m:r>
                      <m:r>
                        <m:t>π</m:t>
                      </m:r>
                      <m:sSub>
                        <m:e>
                          <m:r>
                            <m:t>L</m:t>
                          </m:r>
                        </m:e>
                        <m:sub>
                          <m:r>
                            <m:t>λ</m:t>
                          </m:r>
                        </m:sub>
                      </m:sSub>
                    </m:den>
                  </m:f>
                  <m:r>
                    <m:rPr>
                      <m:sty m:val="p"/>
                    </m:rPr>
                    <m:t>+</m:t>
                  </m:r>
                  <m:r>
                    <m:t>1</m:t>
                  </m:r>
                </m:e>
              </m:d>
            </m:den>
          </m:f>
        </m:oMath>
      </m:oMathPara>
    </w:p>
    <w:p>
      <w:pPr>
        <w:pStyle w:val="Heading3"/>
      </w:pPr>
      <w:r>
        <w:t xml:space="preserve">2.4.2 Stefan–Boltzmann law</w:t>
      </w:r>
    </w:p>
    <w:p>
      <w:pPr>
        <w:pStyle w:val="FirstParagraph"/>
      </w:pPr>
      <w:r>
        <w:t xml:space="preserve">Integrating Planck’s law over all wavelengths gives the total exitance:</w:t>
      </w:r>
    </w:p>
    <w:p>
      <w:pPr>
        <w:pStyle w:val="BodyText"/>
      </w:pPr>
      <m:oMathPara>
        <m:oMathParaPr>
          <m:jc m:val="center"/>
        </m:oMathParaPr>
        <m:oMath>
          <m:r>
            <m:t>M</m:t>
          </m:r>
          <m:r>
            <m:rPr>
              <m:sty m:val="p"/>
            </m:rPr>
            <m:t>=</m:t>
          </m:r>
          <m:r>
            <m:t>σ</m:t>
          </m:r>
          <m:sSup>
            <m:e>
              <m:r>
                <m:t>T</m:t>
              </m:r>
            </m:e>
            <m:sup>
              <m:r>
                <m:t>4</m:t>
              </m:r>
            </m:sup>
          </m:sSup>
          <m:r>
            <m:rPr>
              <m:sty m:val="p"/>
            </m:rPr>
            <m:t>,</m:t>
          </m:r>
          <m:r>
            <m:t>  </m:t>
          </m:r>
          <m:r>
            <m:t>σ</m:t>
          </m:r>
          <m:r>
            <m:rPr>
              <m:sty m:val="p"/>
            </m:rPr>
            <m:t>=</m:t>
          </m:r>
          <m:r>
            <m:t>5.67</m:t>
          </m:r>
          <m:r>
            <m:rPr>
              <m:sty m:val="p"/>
            </m:rPr>
            <m:t>×</m:t>
          </m:r>
          <m:sSup>
            <m:e>
              <m:r>
                <m:t>10</m:t>
              </m:r>
            </m:e>
            <m:sup>
              <m:r>
                <m:rPr>
                  <m:sty m:val="p"/>
                </m:rPr>
                <m:t>−</m:t>
              </m:r>
              <m:r>
                <m:t>8</m:t>
              </m:r>
            </m:sup>
          </m:sSup>
          <m:r>
            <m:t> </m:t>
          </m:r>
          <m:sSup>
            <m:e>
              <m:r>
                <m:rPr>
                  <m:nor/>
                  <m:sty m:val="p"/>
                </m:rPr>
                <m:t>W m</m:t>
              </m:r>
            </m:e>
            <m:sup>
              <m:r>
                <m:rPr>
                  <m:sty m:val="p"/>
                </m:rPr>
                <m:t>−</m:t>
              </m:r>
              <m:r>
                <m:t>2</m:t>
              </m:r>
            </m:sup>
          </m:sSup>
          <m:sSup>
            <m:e>
              <m:r>
                <m:rPr>
                  <m:nor/>
                  <m:sty m:val="p"/>
                </m:rPr>
                <m:t>K</m:t>
              </m:r>
            </m:e>
            <m:sup>
              <m:r>
                <m:rPr>
                  <m:sty m:val="p"/>
                </m:rPr>
                <m:t>−</m:t>
              </m:r>
              <m:r>
                <m:t>4</m:t>
              </m:r>
            </m:sup>
          </m:sSup>
        </m:oMath>
      </m:oMathPara>
    </w:p>
    <w:p>
      <w:pPr>
        <w:pStyle w:val="FirstParagraph"/>
      </w:pPr>
      <w:r>
        <w:t xml:space="preserve">For a real (grey) body,</w:t>
      </w:r>
      <w:r>
        <w:t xml:space="preserve"> </w:t>
      </w:r>
      <m:oMath>
        <m:r>
          <m:t>M</m:t>
        </m:r>
        <m:r>
          <m:rPr>
            <m:sty m:val="p"/>
          </m:rPr>
          <m:t>=</m:t>
        </m:r>
        <m:r>
          <m:t>ε</m:t>
        </m:r>
        <m:r>
          <m:t>σ</m:t>
        </m:r>
        <m:sSup>
          <m:e>
            <m:r>
              <m:t>T</m:t>
            </m:r>
          </m:e>
          <m:sup>
            <m:r>
              <m:t>4</m:t>
            </m:r>
          </m:sup>
        </m:sSup>
      </m:oMath>
      <w:r>
        <w:t xml:space="preserve">. Total emitted energy rises very steeply with temperature: doubling</w:t>
      </w:r>
      <w:r>
        <w:t xml:space="preserve"> </w:t>
      </w:r>
      <m:oMath>
        <m:r>
          <m:t>T</m:t>
        </m:r>
      </m:oMath>
      <w:r>
        <w:t xml:space="preserve"> </w:t>
      </w:r>
      <w:r>
        <w:t xml:space="preserve">multiplies</w:t>
      </w:r>
      <w:r>
        <w:t xml:space="preserve"> </w:t>
      </w:r>
      <m:oMath>
        <m:r>
          <m:t>M</m:t>
        </m:r>
      </m:oMath>
      <w:r>
        <w:t xml:space="preserve"> </w:t>
      </w:r>
      <w:r>
        <w:t xml:space="preserve">by 16. This law is the basis of the longwave terms in the net radiation balance (</w:t>
      </w:r>
      <m:oMath>
        <m:r>
          <m:t>ε</m:t>
        </m:r>
        <m:r>
          <m:t>σ</m:t>
        </m:r>
        <m:sSubSup>
          <m:e>
            <m:r>
              <m:t>T</m:t>
            </m:r>
          </m:e>
          <m:sub>
            <m:r>
              <m:t>s</m:t>
            </m:r>
          </m:sub>
          <m:sup>
            <m:r>
              <m:t>4</m:t>
            </m:r>
          </m:sup>
        </m:sSubSup>
      </m:oMath>
      <w:r>
        <w:t xml:space="preserve">).</w:t>
      </w:r>
    </w:p>
    <w:p>
      <w:pPr>
        <w:pStyle w:val="Heading3"/>
      </w:pPr>
      <w:r>
        <w:t xml:space="preserve">2.4.3 Wien’s displacement law</w:t>
      </w:r>
    </w:p>
    <w:p>
      <w:pPr>
        <w:pStyle w:val="FirstParagraph"/>
      </w:pPr>
      <w:r>
        <w:t xml:space="preserve">The wavelength of peak emission is inversely proportional to temperature:</w:t>
      </w:r>
    </w:p>
    <w:p>
      <w:pPr>
        <w:pStyle w:val="BodyText"/>
      </w:pPr>
      <m:oMathPara>
        <m:oMathParaPr>
          <m:jc m:val="center"/>
        </m:oMathParaPr>
        <m:oMath>
          <m:sSub>
            <m:e>
              <m:r>
                <m:t>λ</m:t>
              </m:r>
            </m:e>
            <m:sub>
              <m:r>
                <m:t>m</m:t>
              </m:r>
              <m:r>
                <m:t>a</m:t>
              </m:r>
              <m:r>
                <m:t>x</m:t>
              </m:r>
            </m:sub>
          </m:sSub>
          <m:r>
            <m:rPr>
              <m:sty m:val="p"/>
            </m:rPr>
            <m:t>=</m:t>
          </m:r>
          <m:f>
            <m:fPr>
              <m:type m:val="bar"/>
            </m:fPr>
            <m:num>
              <m:r>
                <m:t>2898</m:t>
              </m:r>
              <m:r>
                <m:t> </m:t>
              </m:r>
              <m:r>
                <m:t>μ</m:t>
              </m:r>
              <m:r>
                <m:rPr>
                  <m:nor/>
                  <m:sty m:val="p"/>
                </m:rPr>
                <m:t>m K</m:t>
              </m:r>
            </m:num>
            <m:den>
              <m:r>
                <m:t>T</m:t>
              </m:r>
            </m:den>
          </m:f>
        </m:oMath>
      </m:oMathPara>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Body</w:t>
            </w:r>
          </w:p>
        </w:tc>
        <w:tc>
          <w:tcPr/>
          <w:p>
            <w:pPr>
              <w:pStyle w:val="Compact"/>
              <w:jc w:val="left"/>
            </w:pPr>
            <w:r>
              <w:t xml:space="preserve">T (K)</w:t>
            </w:r>
          </w:p>
        </w:tc>
        <w:tc>
          <w:tcPr/>
          <w:p>
            <w:pPr>
              <w:pStyle w:val="Compact"/>
              <w:jc w:val="left"/>
            </w:pPr>
            <w:r>
              <w:t xml:space="preserve">λmax</w:t>
            </w:r>
          </w:p>
        </w:tc>
        <w:tc>
          <w:tcPr/>
          <w:p>
            <w:pPr>
              <w:pStyle w:val="Compact"/>
              <w:jc w:val="left"/>
            </w:pPr>
            <w:r>
              <w:t xml:space="preserve">Consequence</w:t>
            </w:r>
          </w:p>
        </w:tc>
      </w:tr>
      <w:tr>
        <w:tc>
          <w:tcPr/>
          <w:p>
            <w:pPr>
              <w:pStyle w:val="Compact"/>
              <w:jc w:val="left"/>
            </w:pPr>
            <w:r>
              <w:t xml:space="preserve">Sun</w:t>
            </w:r>
          </w:p>
        </w:tc>
        <w:tc>
          <w:tcPr/>
          <w:p>
            <w:pPr>
              <w:pStyle w:val="Compact"/>
              <w:jc w:val="left"/>
            </w:pPr>
            <w:r>
              <w:t xml:space="preserve">~5800–6000</w:t>
            </w:r>
          </w:p>
        </w:tc>
        <w:tc>
          <w:tcPr/>
          <w:p>
            <w:pPr>
              <w:pStyle w:val="Compact"/>
              <w:jc w:val="left"/>
            </w:pPr>
            <w:r>
              <w:t xml:space="preserve">~0.48–0.5 µm (visible, green)</w:t>
            </w:r>
          </w:p>
        </w:tc>
        <w:tc>
          <w:tcPr/>
          <w:p>
            <w:pPr>
              <w:pStyle w:val="Compact"/>
              <w:jc w:val="left"/>
            </w:pPr>
            <w:r>
              <w:t xml:space="preserve">Optical remote sensing uses reflected sunlight</w:t>
            </w:r>
          </w:p>
        </w:tc>
      </w:tr>
      <w:tr>
        <w:tc>
          <w:tcPr/>
          <w:p>
            <w:pPr>
              <w:pStyle w:val="Compact"/>
              <w:jc w:val="left"/>
            </w:pPr>
            <w:r>
              <w:t xml:space="preserve">Earth / crops</w:t>
            </w:r>
          </w:p>
        </w:tc>
        <w:tc>
          <w:tcPr/>
          <w:p>
            <w:pPr>
              <w:pStyle w:val="Compact"/>
              <w:jc w:val="left"/>
            </w:pPr>
            <w:r>
              <w:t xml:space="preserve">~300</w:t>
            </w:r>
          </w:p>
        </w:tc>
        <w:tc>
          <w:tcPr/>
          <w:p>
            <w:pPr>
              <w:pStyle w:val="Compact"/>
              <w:jc w:val="left"/>
            </w:pPr>
            <w:r>
              <w:t xml:space="preserve">~9.7 µm (TIR)</w:t>
            </w:r>
          </w:p>
        </w:tc>
        <w:tc>
          <w:tcPr/>
          <w:p>
            <w:pPr>
              <w:pStyle w:val="Compact"/>
              <w:jc w:val="left"/>
            </w:pPr>
            <w:r>
              <w:t xml:space="preserve">Thermal sensing uses the 8–14 µm window</w:t>
            </w:r>
          </w:p>
        </w:tc>
      </w:tr>
      <w:tr>
        <w:tc>
          <w:tcPr/>
          <w:p>
            <w:pPr>
              <w:pStyle w:val="Compact"/>
              <w:jc w:val="left"/>
            </w:pPr>
            <w:r>
              <w:t xml:space="preserve">Forest fire</w:t>
            </w:r>
          </w:p>
        </w:tc>
        <w:tc>
          <w:tcPr/>
          <w:p>
            <w:pPr>
              <w:pStyle w:val="Compact"/>
              <w:jc w:val="left"/>
            </w:pPr>
            <w:r>
              <w:t xml:space="preserve">~800–1000</w:t>
            </w:r>
          </w:p>
        </w:tc>
        <w:tc>
          <w:tcPr/>
          <w:p>
            <w:pPr>
              <w:pStyle w:val="Compact"/>
              <w:jc w:val="left"/>
            </w:pPr>
            <w:r>
              <w:t xml:space="preserve">~2.9–3.6 µm</w:t>
            </w:r>
          </w:p>
        </w:tc>
        <w:tc>
          <w:tcPr/>
          <w:p>
            <w:pPr>
              <w:pStyle w:val="Compact"/>
              <w:jc w:val="left"/>
            </w:pPr>
            <w:r>
              <w:t xml:space="preserve">Fires are detected in the 3.7–4 µm MWIR channel</w:t>
            </w:r>
          </w:p>
        </w:tc>
      </w:tr>
      <w:tr>
        <w:tc>
          <w:tcPr/>
          <w:p>
            <w:pPr>
              <w:pStyle w:val="Compact"/>
              <w:jc w:val="left"/>
            </w:pPr>
            <w:r>
              <w:t xml:space="preserve">Snow / ice</w:t>
            </w:r>
          </w:p>
        </w:tc>
        <w:tc>
          <w:tcPr/>
          <w:p>
            <w:pPr>
              <w:pStyle w:val="Compact"/>
              <w:jc w:val="left"/>
            </w:pPr>
            <w:r>
              <w:t xml:space="preserve">~273</w:t>
            </w:r>
          </w:p>
        </w:tc>
        <w:tc>
          <w:tcPr/>
          <w:p>
            <w:pPr>
              <w:pStyle w:val="Compact"/>
              <w:jc w:val="left"/>
            </w:pPr>
            <w:r>
              <w:t xml:space="preserve">~10.6 µm</w:t>
            </w:r>
          </w:p>
        </w:tc>
        <w:tc>
          <w:tcPr/>
          <w:p>
            <w:pPr>
              <w:pStyle w:val="Compact"/>
              <w:jc w:val="left"/>
            </w:pPr>
            <w:r>
              <w:t xml:space="preserve">—</w:t>
            </w:r>
          </w:p>
        </w:tc>
      </w:tr>
    </w:tbl>
    <w:p>
      <w:pPr>
        <w:pStyle w:val="BodyText"/>
      </w:pPr>
      <w:r>
        <w:t xml:space="preserve">This is why the</w:t>
      </w:r>
      <w:r>
        <w:t xml:space="preserve"> </w:t>
      </w:r>
      <w:r>
        <w:rPr>
          <w:bCs/>
          <w:b/>
        </w:rPr>
        <w:t xml:space="preserve">3.7 µm channel</w:t>
      </w:r>
      <w:r>
        <w:t xml:space="preserve"> </w:t>
      </w:r>
      <w:r>
        <w:t xml:space="preserve">(AVHRR channel 3, MODIS bands 21/22) is the fire channel. A small hot fire within a pixel raises the 3.7 µm radiance far more than the 11 µm radiance.</w:t>
      </w:r>
    </w:p>
    <w:p>
      <w:pPr>
        <w:pStyle w:val="Heading3"/>
      </w:pPr>
      <w:r>
        <w:t xml:space="preserve">2.4.4 Kirchhoff’s law</w:t>
      </w:r>
    </w:p>
    <w:p>
      <w:pPr>
        <w:pStyle w:val="FirstParagraph"/>
      </w:pPr>
      <w:r>
        <w:t xml:space="preserve">At thermal equilibrium, for each wavelength,</w:t>
      </w:r>
      <w:r>
        <w:t xml:space="preserve"> </w:t>
      </w:r>
      <w:r>
        <w:rPr>
          <w:bCs/>
          <w:b/>
        </w:rPr>
        <w:t xml:space="preserve">absorptivity equals emissivity</w:t>
      </w:r>
      <w:r>
        <w:t xml:space="preserve">:</w:t>
      </w:r>
      <w:r>
        <w:t xml:space="preserve"> </w:t>
      </w:r>
      <m:oMath>
        <m:sSub>
          <m:e>
            <m:r>
              <m:t>α</m:t>
            </m:r>
          </m:e>
          <m:sub>
            <m:r>
              <m:t>λ</m:t>
            </m:r>
          </m:sub>
        </m:sSub>
        <m:r>
          <m:rPr>
            <m:sty m:val="p"/>
          </m:rPr>
          <m:t>=</m:t>
        </m:r>
        <m:sSub>
          <m:e>
            <m:r>
              <m:t>ε</m:t>
            </m:r>
          </m:e>
          <m:sub>
            <m:r>
              <m:t>λ</m:t>
            </m:r>
          </m:sub>
        </m:sSub>
      </m:oMath>
      <w:r>
        <w:t xml:space="preserve">.</w:t>
      </w:r>
      <w:r>
        <w:t xml:space="preserve"> </w:t>
      </w:r>
      <w:r>
        <w:rPr>
          <w:bCs/>
          <w:b/>
        </w:rPr>
        <w:t xml:space="preserve">Good absorbers are good emitters.</w:t>
      </w:r>
      <w:r>
        <w:t xml:space="preserve"> </w:t>
      </w:r>
      <w:r>
        <w:t xml:space="preserve">Because</w:t>
      </w:r>
      <w:r>
        <w:t xml:space="preserve"> </w:t>
      </w:r>
      <m:oMath>
        <m:r>
          <m:t>ρ</m:t>
        </m:r>
        <m:r>
          <m:rPr>
            <m:sty m:val="p"/>
          </m:rPr>
          <m:t>+</m:t>
        </m:r>
        <m:r>
          <m:t>α</m:t>
        </m:r>
        <m:r>
          <m:rPr>
            <m:sty m:val="p"/>
          </m:rPr>
          <m:t>+</m:t>
        </m:r>
        <m:r>
          <m:t>τ</m:t>
        </m:r>
        <m:r>
          <m:rPr>
            <m:sty m:val="p"/>
          </m:rPr>
          <m:t>=</m:t>
        </m:r>
        <m:r>
          <m:t>1</m:t>
        </m:r>
      </m:oMath>
      <w:r>
        <w:t xml:space="preserve">, for an opaque body (</w:t>
      </w:r>
      <m:oMath>
        <m:r>
          <m:t>τ</m:t>
        </m:r>
        <m:r>
          <m:rPr>
            <m:sty m:val="p"/>
          </m:rPr>
          <m:t>=</m:t>
        </m:r>
        <m:r>
          <m:t>0</m:t>
        </m:r>
      </m:oMath>
      <w:r>
        <w:t xml:space="preserve">):</w:t>
      </w:r>
    </w:p>
    <w:p>
      <w:pPr>
        <w:pStyle w:val="BodyText"/>
      </w:pPr>
      <m:oMathPara>
        <m:oMathParaPr>
          <m:jc m:val="center"/>
        </m:oMathParaPr>
        <m:oMath>
          <m:sSub>
            <m:e>
              <m:r>
                <m:t>ε</m:t>
              </m:r>
            </m:e>
            <m:sub>
              <m:r>
                <m:t>λ</m:t>
              </m:r>
            </m:sub>
          </m:sSub>
          <m:r>
            <m:rPr>
              <m:sty m:val="p"/>
            </m:rPr>
            <m:t>=</m:t>
          </m:r>
          <m:r>
            <m:t>1</m:t>
          </m:r>
          <m:r>
            <m:rPr>
              <m:sty m:val="p"/>
            </m:rPr>
            <m:t>−</m:t>
          </m:r>
          <m:sSub>
            <m:e>
              <m:r>
                <m:t>ρ</m:t>
              </m:r>
            </m:e>
            <m:sub>
              <m:r>
                <m:t>λ</m:t>
              </m:r>
            </m:sub>
          </m:sSub>
        </m:oMath>
      </m:oMathPara>
    </w:p>
    <w:p>
      <w:pPr>
        <w:pStyle w:val="FirstParagraph"/>
      </w:pPr>
      <w:r>
        <w:t xml:space="preserve">This is why water, which is dark in the TIR, has an emissivity of about 0.98–0.99, and why metals, which are highly reflective, have low emissivity and look</w:t>
      </w:r>
      <w:r>
        <w:t xml:space="preserve"> </w:t>
      </w:r>
      <w:r>
        <w:t xml:space="preserve">“</w:t>
      </w:r>
      <w:r>
        <w:t xml:space="preserve">cold</w:t>
      </w:r>
      <w:r>
        <w:t xml:space="preserve">”</w:t>
      </w:r>
      <w:r>
        <w:t xml:space="preserve"> </w:t>
      </w:r>
      <w:r>
        <w:t xml:space="preserve">on thermal images.</w:t>
      </w:r>
    </w:p>
    <w:p>
      <w:pPr>
        <w:pStyle w:val="Heading3"/>
      </w:pPr>
      <w:r>
        <w:t xml:space="preserve">2.4.5 Rayleigh–Jeans approximation</w:t>
      </w:r>
    </w:p>
    <w:p>
      <w:pPr>
        <w:pStyle w:val="FirstParagraph"/>
      </w:pPr>
      <w:r>
        <w:t xml:space="preserve">At long wavelengths (microwaves), where</w:t>
      </w:r>
      <w:r>
        <w:t xml:space="preserve"> </w:t>
      </w:r>
      <m:oMath>
        <m:r>
          <m:t>h</m:t>
        </m:r>
        <m:r>
          <m:t>c</m:t>
        </m:r>
        <m:r>
          <m:rPr>
            <m:sty m:val="p"/>
          </m:rPr>
          <m:t>/</m:t>
        </m:r>
        <m:r>
          <m:t>λ</m:t>
        </m:r>
        <m:r>
          <m:t>k</m:t>
        </m:r>
        <m:r>
          <m:t>T</m:t>
        </m:r>
        <m:r>
          <m:rPr>
            <m:sty m:val="p"/>
          </m:rPr>
          <m:t>≪</m:t>
        </m:r>
        <m:r>
          <m:t>1</m:t>
        </m:r>
      </m:oMath>
      <w:r>
        <w:t xml:space="preserve">, Planck’s law becomes linear in temperature:</w:t>
      </w:r>
    </w:p>
    <w:p>
      <w:pPr>
        <w:pStyle w:val="BodyText"/>
      </w:pPr>
      <m:oMathPara>
        <m:oMathParaPr>
          <m:jc m:val="center"/>
        </m:oMathParaPr>
        <m:oMath>
          <m:sSub>
            <m:e>
              <m:r>
                <m:t>L</m:t>
              </m:r>
            </m:e>
            <m:sub>
              <m:r>
                <m:t>λ</m:t>
              </m:r>
            </m:sub>
          </m:sSub>
          <m:r>
            <m:rPr>
              <m:sty m:val="p"/>
            </m:rPr>
            <m:t>≈</m:t>
          </m:r>
          <m:f>
            <m:fPr>
              <m:type m:val="bar"/>
            </m:fPr>
            <m:num>
              <m:r>
                <m:t>2</m:t>
              </m:r>
              <m:r>
                <m:t>c</m:t>
              </m:r>
              <m:r>
                <m:t>k</m:t>
              </m:r>
              <m:r>
                <m:t>T</m:t>
              </m:r>
            </m:num>
            <m:den>
              <m:sSup>
                <m:e>
                  <m:r>
                    <m:t>λ</m:t>
                  </m:r>
                </m:e>
                <m:sup>
                  <m:r>
                    <m:t>4</m:t>
                  </m:r>
                </m:sup>
              </m:sSup>
            </m:den>
          </m:f>
          <m:r>
            <m:t> </m:t>
          </m:r>
          <m:r>
            <m:rPr>
              <m:sty m:val="p"/>
            </m:rPr>
            <m:t>⇒</m:t>
          </m:r>
          <m:r>
            <m:t> </m:t>
          </m:r>
          <m:sSub>
            <m:e>
              <m:r>
                <m:t>T</m:t>
              </m:r>
            </m:e>
            <m:sub>
              <m:r>
                <m:t>B</m:t>
              </m:r>
            </m:sub>
          </m:sSub>
          <m:r>
            <m:rPr>
              <m:sty m:val="p"/>
            </m:rPr>
            <m:t>=</m:t>
          </m:r>
          <m:r>
            <m:t>ε</m:t>
          </m:r>
          <m:r>
            <m:t> </m:t>
          </m:r>
          <m:sSub>
            <m:e>
              <m:r>
                <m:t>T</m:t>
              </m:r>
            </m:e>
            <m:sub>
              <m:r>
                <m:t>p</m:t>
              </m:r>
              <m:r>
                <m:t>h</m:t>
              </m:r>
              <m:r>
                <m:t>y</m:t>
              </m:r>
              <m:r>
                <m:t>s</m:t>
              </m:r>
              <m:r>
                <m:t>i</m:t>
              </m:r>
              <m:r>
                <m:t>c</m:t>
              </m:r>
              <m:r>
                <m:t>a</m:t>
              </m:r>
              <m:r>
                <m:t>l</m:t>
              </m:r>
            </m:sub>
          </m:sSub>
        </m:oMath>
      </m:oMathPara>
    </w:p>
    <w:p>
      <w:pPr>
        <w:pStyle w:val="FirstParagraph"/>
      </w:pPr>
      <w:r>
        <w:t xml:space="preserve">The passive microwave brightness temperature is therefore directly proportional to physical temperature multiplied by emissivity. Because wet soil has low emissivity (high dielectric constant),</w:t>
      </w:r>
      <w:r>
        <w:t xml:space="preserve"> </w:t>
      </w:r>
      <m:oMath>
        <m:sSub>
          <m:e>
            <m:r>
              <m:t>T</m:t>
            </m:r>
          </m:e>
          <m:sub>
            <m:r>
              <m:t>B</m:t>
            </m:r>
          </m:sub>
        </m:sSub>
      </m:oMath>
      <w:r>
        <w:t xml:space="preserve"> </w:t>
      </w:r>
      <w:r>
        <w:t xml:space="preserve">falls as soil moisture rises. This is the basis of SMAP, SMOS and AMSR soil-moisture retrieval.</w:t>
      </w:r>
    </w:p>
    <w:p>
      <w:pPr>
        <w:pStyle w:val="Heading3"/>
      </w:pPr>
      <w:r>
        <w:t xml:space="preserve">2.4.6 Emissivity: blackbody, greybody and selective radiator</w:t>
      </w:r>
    </w:p>
    <w:p>
      <w:pPr>
        <w:pStyle w:val="FirstParagraph"/>
      </w:pPr>
      <w:r>
        <w:rPr>
          <w:bCs/>
          <w:b/>
        </w:rPr>
        <w:t xml:space="preserve">Emissivity</w:t>
      </w:r>
      <w:r>
        <w:t xml:space="preserve"> </w:t>
      </w:r>
      <w:r>
        <w:t xml:space="preserve">is</w:t>
      </w:r>
      <w:r>
        <w:t xml:space="preserve"> </w:t>
      </w:r>
      <m:oMath>
        <m:sSub>
          <m:e>
            <m:r>
              <m:t>ε</m:t>
            </m:r>
          </m:e>
          <m:sub>
            <m:r>
              <m:t>λ</m:t>
            </m:r>
          </m:sub>
        </m:sSub>
        <m:r>
          <m:rPr>
            <m:sty m:val="p"/>
          </m:rPr>
          <m:t>=</m:t>
        </m:r>
        <m:sSub>
          <m:e>
            <m:r>
              <m:t>M</m:t>
            </m:r>
          </m:e>
          <m:sub>
            <m:r>
              <m:t>λ</m:t>
            </m:r>
          </m:sub>
        </m:sSub>
        <m:d>
          <m:dPr>
            <m:begChr m:val="("/>
            <m:endChr m:val=")"/>
            <m:sepChr m:val=""/>
            <m:grow/>
          </m:dPr>
          <m:e>
            <m:r>
              <m:rPr>
                <m:nor/>
                <m:sty m:val="p"/>
              </m:rPr>
              <m:t>real</m:t>
            </m:r>
          </m:e>
        </m:d>
        <m:r>
          <m:rPr>
            <m:sty m:val="p"/>
          </m:rPr>
          <m:t>/</m:t>
        </m:r>
        <m:sSub>
          <m:e>
            <m:r>
              <m:t>M</m:t>
            </m:r>
          </m:e>
          <m:sub>
            <m:r>
              <m:t>λ</m:t>
            </m:r>
          </m:sub>
        </m:sSub>
        <m:d>
          <m:dPr>
            <m:begChr m:val="("/>
            <m:endChr m:val=")"/>
            <m:sepChr m:val=""/>
            <m:grow/>
          </m:dPr>
          <m:e>
            <m:r>
              <m:rPr>
                <m:nor/>
                <m:sty m:val="p"/>
              </m:rPr>
              <m:t>blackbody</m:t>
            </m:r>
          </m:e>
        </m:d>
      </m:oMath>
      <w:r>
        <w:t xml:space="preserve"> </w:t>
      </w:r>
      <w:r>
        <w:t xml:space="preserve">at the same temperature.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Emissivity behaviour</w:t>
            </w:r>
          </w:p>
        </w:tc>
        <w:tc>
          <w:tcPr/>
          <w:p>
            <w:pPr>
              <w:pStyle w:val="Compact"/>
              <w:jc w:val="left"/>
            </w:pPr>
            <w:r>
              <w:t xml:space="preserve">Example</w:t>
            </w:r>
          </w:p>
        </w:tc>
      </w:tr>
      <w:tr>
        <w:tc>
          <w:tcPr/>
          <w:p>
            <w:pPr>
              <w:pStyle w:val="Compact"/>
              <w:jc w:val="left"/>
            </w:pPr>
            <w:r>
              <w:t xml:space="preserve">Blackbody</w:t>
            </w:r>
          </w:p>
        </w:tc>
        <w:tc>
          <w:tcPr/>
          <w:p>
            <w:pPr>
              <w:pStyle w:val="Compact"/>
              <w:jc w:val="left"/>
            </w:pPr>
            <m:oMath>
              <m:r>
                <m:t>ε</m:t>
              </m:r>
              <m:r>
                <m:rPr>
                  <m:sty m:val="p"/>
                </m:rPr>
                <m:t>=</m:t>
              </m:r>
              <m:r>
                <m:t>1</m:t>
              </m:r>
            </m:oMath>
            <w:r>
              <w:t xml:space="preserve"> </w:t>
            </w:r>
            <w:r>
              <w:t xml:space="preserve">at all wavelengths</w:t>
            </w:r>
          </w:p>
        </w:tc>
        <w:tc>
          <w:tcPr/>
          <w:p>
            <w:pPr>
              <w:pStyle w:val="Compact"/>
              <w:jc w:val="left"/>
            </w:pPr>
            <w:r>
              <w:t xml:space="preserve">Theoretical; laboratory cavity</w:t>
            </w:r>
          </w:p>
        </w:tc>
      </w:tr>
      <w:tr>
        <w:tc>
          <w:tcPr/>
          <w:p>
            <w:pPr>
              <w:pStyle w:val="Compact"/>
              <w:jc w:val="left"/>
            </w:pPr>
            <w:r>
              <w:t xml:space="preserve">Greybody</w:t>
            </w:r>
          </w:p>
        </w:tc>
        <w:tc>
          <w:tcPr/>
          <w:p>
            <w:pPr>
              <w:pStyle w:val="Compact"/>
              <w:jc w:val="left"/>
            </w:pPr>
            <m:oMath>
              <m:r>
                <m:t>ε</m:t>
              </m:r>
              <m:r>
                <m:rPr>
                  <m:sty m:val="p"/>
                </m:rPr>
                <m:t>&lt;</m:t>
              </m:r>
              <m:r>
                <m:t>1</m:t>
              </m:r>
            </m:oMath>
            <w:r>
              <w:t xml:space="preserve">, constant with wavelength</w:t>
            </w:r>
          </w:p>
        </w:tc>
        <w:tc>
          <w:tcPr/>
          <w:p>
            <w:pPr>
              <w:pStyle w:val="Compact"/>
              <w:jc w:val="left"/>
            </w:pPr>
            <w:r>
              <w:t xml:space="preserve">Approximation for many natural surfaces in 8–14 µm</w:t>
            </w:r>
          </w:p>
        </w:tc>
      </w:tr>
      <w:tr>
        <w:tc>
          <w:tcPr/>
          <w:p>
            <w:pPr>
              <w:pStyle w:val="Compact"/>
              <w:jc w:val="left"/>
            </w:pPr>
            <w:r>
              <w:t xml:space="preserve">Selective radiator</w:t>
            </w:r>
          </w:p>
        </w:tc>
        <w:tc>
          <w:tcPr/>
          <w:p>
            <w:pPr>
              <w:pStyle w:val="Compact"/>
              <w:jc w:val="left"/>
            </w:pPr>
            <m:oMath>
              <m:r>
                <m:t>ε</m:t>
              </m:r>
            </m:oMath>
            <w:r>
              <w:t xml:space="preserve"> </w:t>
            </w:r>
            <w:r>
              <w:t xml:space="preserve">varies with wavelength</w:t>
            </w:r>
          </w:p>
        </w:tc>
        <w:tc>
          <w:tcPr/>
          <w:p>
            <w:pPr>
              <w:pStyle w:val="Compact"/>
              <w:jc w:val="left"/>
            </w:pPr>
            <w:r>
              <w:t xml:space="preserve">Quartz-rich sand (reststrahlen dip at 8–10 µm), gases</w:t>
            </w:r>
          </w:p>
        </w:tc>
      </w:tr>
    </w:tbl>
    <w:p>
      <w:pPr>
        <w:pStyle w:val="BodyText"/>
      </w:pPr>
      <w:r>
        <w:t xml:space="preserve">Typical 8–14 µm emissivities: water 0.98–0.99, dense vegetation 0.97–0.99, wet soil 0.95–0.98, dry sand 0.90–0.93, concrete 0.71–0.90, polished aluminium about 0.05.</w:t>
      </w:r>
    </w:p>
    <w:p>
      <w:pPr>
        <w:pStyle w:val="BodyText"/>
      </w:pPr>
      <w:r>
        <w:rPr>
          <w:bCs/>
          <w:b/>
        </w:rPr>
        <w:t xml:space="preserve">Kinetic versus radiant temperature.</w:t>
      </w:r>
      <w:r>
        <w:t xml:space="preserve"> </w:t>
      </w:r>
      <w:r>
        <w:t xml:space="preserve">The kinetic (true) temperature</w:t>
      </w:r>
      <w:r>
        <w:t xml:space="preserve"> </w:t>
      </w:r>
      <m:oMath>
        <m:sSub>
          <m:e>
            <m:r>
              <m:t>T</m:t>
            </m:r>
          </m:e>
          <m:sub>
            <m:r>
              <m:t>k</m:t>
            </m:r>
            <m:r>
              <m:t>i</m:t>
            </m:r>
            <m:r>
              <m:t>n</m:t>
            </m:r>
          </m:sub>
        </m:sSub>
      </m:oMath>
      <w:r>
        <w:t xml:space="preserve"> </w:t>
      </w:r>
      <w:r>
        <w:t xml:space="preserve">is related to the radiant temperature a radiometer sees by</w:t>
      </w:r>
    </w:p>
    <w:p>
      <w:pPr>
        <w:pStyle w:val="BodyText"/>
      </w:pPr>
      <m:oMathPara>
        <m:oMathParaPr>
          <m:jc m:val="center"/>
        </m:oMathParaPr>
        <m:oMath>
          <m:sSub>
            <m:e>
              <m:r>
                <m:t>T</m:t>
              </m:r>
            </m:e>
            <m:sub>
              <m:r>
                <m:t>r</m:t>
              </m:r>
              <m:r>
                <m:t>a</m:t>
              </m:r>
              <m:r>
                <m:t>d</m:t>
              </m:r>
            </m:sub>
          </m:sSub>
          <m:r>
            <m:rPr>
              <m:sty m:val="p"/>
            </m:rPr>
            <m:t>=</m:t>
          </m:r>
          <m:sSup>
            <m:e>
              <m:r>
                <m:t>ε</m:t>
              </m:r>
            </m:e>
            <m:sup>
              <m:r>
                <m:t>1</m:t>
              </m:r>
              <m:r>
                <m:rPr>
                  <m:sty m:val="p"/>
                </m:rPr>
                <m:t>/</m:t>
              </m:r>
              <m:r>
                <m:t>4</m:t>
              </m:r>
            </m:sup>
          </m:sSup>
          <m:r>
            <m:t> </m:t>
          </m:r>
          <m:sSub>
            <m:e>
              <m:r>
                <m:t>T</m:t>
              </m:r>
            </m:e>
            <m:sub>
              <m:r>
                <m:t>k</m:t>
              </m:r>
              <m:r>
                <m:t>i</m:t>
              </m:r>
              <m:r>
                <m:t>n</m:t>
              </m:r>
            </m:sub>
          </m:sSub>
        </m:oMath>
      </m:oMathPara>
    </w:p>
    <w:p>
      <w:pPr>
        <w:pStyle w:val="FirstParagraph"/>
      </w:pPr>
      <w:r>
        <w:t xml:space="preserve">Because</w:t>
      </w:r>
      <w:r>
        <w:t xml:space="preserve"> </w:t>
      </w:r>
      <m:oMath>
        <m:r>
          <m:t>ε</m:t>
        </m:r>
        <m:r>
          <m:rPr>
            <m:sty m:val="p"/>
          </m:rPr>
          <m:t>&lt;</m:t>
        </m:r>
        <m:r>
          <m:t>1</m:t>
        </m:r>
      </m:oMath>
      <w:r>
        <w:t xml:space="preserve">, the radiant temperature is always lower than the kinetic temperature. Ignoring emissivity therefore underestimates land surface temperature, which is why LST algorithms need emissivity estimates (for example from NDVI).</w:t>
      </w:r>
    </w:p>
    <w:p>
      <w:pPr>
        <w:pStyle w:val="KeyPoint"/>
      </w:pPr>
      <w:r>
        <w:rPr>
          <w:bCs/>
          <w:b/>
        </w:rPr>
        <w:t xml:space="preserve">Memory chain:</w:t>
      </w:r>
      <w:r>
        <w:t xml:space="preserve"> </w:t>
      </w:r>
      <w:r>
        <w:t xml:space="preserve">Planck gives the curve, Stefan–Boltzmann the area under it, Wien the position of its peak, Kirchhoff says absorbers are emitters (</w:t>
      </w:r>
      <m:oMath>
        <m:r>
          <m:t>α</m:t>
        </m:r>
        <m:r>
          <m:rPr>
            <m:sty m:val="p"/>
          </m:rPr>
          <m:t>=</m:t>
        </m:r>
        <m:r>
          <m:t>ε</m:t>
        </m:r>
      </m:oMath>
      <w:r>
        <w:t xml:space="preserve">), and Rayleigh–Jeans makes microwave</w:t>
      </w:r>
      <w:r>
        <w:t xml:space="preserve"> </w:t>
      </w:r>
      <m:oMath>
        <m:sSub>
          <m:e>
            <m:r>
              <m:t>T</m:t>
            </m:r>
          </m:e>
          <m:sub>
            <m:r>
              <m:t>B</m:t>
            </m:r>
          </m:sub>
        </m:sSub>
      </m:oMath>
      <w:r>
        <w:t xml:space="preserve"> </w:t>
      </w:r>
      <w:r>
        <w:t xml:space="preserve">linear in</w:t>
      </w:r>
      <w:r>
        <w:t xml:space="preserve"> </w:t>
      </w:r>
      <m:oMath>
        <m:r>
          <m:t>T</m:t>
        </m:r>
      </m:oMath>
      <w:r>
        <w:t xml:space="preserve">.</w:t>
      </w:r>
    </w:p>
    <w:p>
      <w:pPr>
        <w:pStyle w:val="Heading2"/>
      </w:pPr>
      <w:r>
        <w:t xml:space="preserve">2.5 Energy Interactions in the Atmosphere</w:t>
      </w:r>
    </w:p>
    <w:p>
      <w:pPr>
        <w:pStyle w:val="FirstParagraph"/>
      </w:pPr>
      <w:r>
        <w:t xml:space="preserve">Radiation travels through the atmosphere twice (Sun to surface, surface to sensor). Three processes modify it.</w:t>
      </w:r>
    </w:p>
    <w:p>
      <w:pPr>
        <w:pStyle w:val="Heading3"/>
      </w:pPr>
      <w:r>
        <w:t xml:space="preserve">2.5.1 Scattering</w:t>
      </w:r>
    </w:p>
    <w:p>
      <w:pPr>
        <w:pStyle w:val="FirstParagraph"/>
      </w:pPr>
      <w:r>
        <w:rPr>
          <w:bCs/>
          <w:b/>
        </w:rPr>
        <w:t xml:space="preserve">Scattering</w:t>
      </w:r>
      <w:r>
        <w:t xml:space="preserve"> </w:t>
      </w:r>
      <w:r>
        <w:t xml:space="preserve">is the redirection of EMR by particles or gas molecules. The type depends on the ratio of particle size (</w:t>
      </w:r>
      <m:oMath>
        <m:r>
          <m:t>d</m:t>
        </m:r>
      </m:oMath>
      <w:r>
        <w:t xml:space="preserve">) to wavelength.</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Scattering</w:t>
            </w:r>
          </w:p>
        </w:tc>
        <w:tc>
          <w:tcPr/>
          <w:p>
            <w:pPr>
              <w:pStyle w:val="Compact"/>
              <w:jc w:val="left"/>
            </w:pPr>
            <w:r>
              <w:t xml:space="preserve">Particle size relative to λ</w:t>
            </w:r>
          </w:p>
        </w:tc>
        <w:tc>
          <w:tcPr/>
          <w:p>
            <w:pPr>
              <w:pStyle w:val="Compact"/>
              <w:jc w:val="left"/>
            </w:pPr>
            <w:r>
              <w:t xml:space="preserve">Wavelength dependence</w:t>
            </w:r>
          </w:p>
        </w:tc>
        <w:tc>
          <w:tcPr/>
          <w:p>
            <w:pPr>
              <w:pStyle w:val="Compact"/>
              <w:jc w:val="left"/>
            </w:pPr>
            <w:r>
              <w:t xml:space="preserve">Particles</w:t>
            </w:r>
          </w:p>
        </w:tc>
        <w:tc>
          <w:tcPr/>
          <w:p>
            <w:pPr>
              <w:pStyle w:val="Compact"/>
              <w:jc w:val="left"/>
            </w:pPr>
            <w:r>
              <w:t xml:space="preserve">Effect</w:t>
            </w:r>
          </w:p>
        </w:tc>
      </w:tr>
      <w:tr>
        <w:tc>
          <w:tcPr/>
          <w:p>
            <w:pPr>
              <w:pStyle w:val="Compact"/>
              <w:jc w:val="left"/>
            </w:pPr>
            <w:r>
              <w:rPr>
                <w:bCs/>
                <w:b/>
              </w:rPr>
              <w:t xml:space="preserve">Rayleigh (selective)</w:t>
            </w:r>
          </w:p>
        </w:tc>
        <w:tc>
          <w:tcPr/>
          <w:p>
            <w:pPr>
              <w:pStyle w:val="Compact"/>
              <w:jc w:val="left"/>
            </w:pPr>
            <m:oMath>
              <m:r>
                <m:t>d</m:t>
              </m:r>
              <m:r>
                <m:rPr>
                  <m:sty m:val="p"/>
                </m:rPr>
                <m:t>≪</m:t>
              </m:r>
              <m:r>
                <m:t>λ</m:t>
              </m:r>
            </m:oMath>
          </w:p>
        </w:tc>
        <w:tc>
          <w:tcPr/>
          <w:p>
            <w:pPr>
              <w:pStyle w:val="Compact"/>
              <w:jc w:val="left"/>
            </w:pPr>
            <m:oMath>
              <m:r>
                <m:rPr>
                  <m:sty m:val="p"/>
                </m:rPr>
                <m:t>∝</m:t>
              </m:r>
              <m:sSup>
                <m:e>
                  <m:r>
                    <m:t>λ</m:t>
                  </m:r>
                </m:e>
                <m:sup>
                  <m:r>
                    <m:rPr>
                      <m:sty m:val="p"/>
                    </m:rPr>
                    <m:t>−</m:t>
                  </m:r>
                  <m:r>
                    <m:t>4</m:t>
                  </m:r>
                </m:sup>
              </m:sSup>
            </m:oMath>
          </w:p>
        </w:tc>
        <w:tc>
          <w:tcPr/>
          <w:p>
            <w:pPr>
              <w:pStyle w:val="Compact"/>
              <w:jc w:val="left"/>
            </w:pPr>
            <w:r>
              <w:t xml:space="preserve">N₂, O₂ molecules</w:t>
            </w:r>
          </w:p>
        </w:tc>
        <w:tc>
          <w:tcPr/>
          <w:p>
            <w:pPr>
              <w:pStyle w:val="Compact"/>
              <w:jc w:val="left"/>
            </w:pPr>
            <w:r>
              <w:t xml:space="preserve">Blue sky, red sunsets, haze in the blue band, path radiance</w:t>
            </w:r>
          </w:p>
        </w:tc>
      </w:tr>
      <w:tr>
        <w:tc>
          <w:tcPr/>
          <w:p>
            <w:pPr>
              <w:pStyle w:val="Compact"/>
              <w:jc w:val="left"/>
            </w:pPr>
            <w:r>
              <w:rPr>
                <w:bCs/>
                <w:b/>
              </w:rPr>
              <w:t xml:space="preserve">Mie</w:t>
            </w:r>
          </w:p>
        </w:tc>
        <w:tc>
          <w:tcPr/>
          <w:p>
            <w:pPr>
              <w:pStyle w:val="Compact"/>
              <w:jc w:val="left"/>
            </w:pPr>
            <m:oMath>
              <m:r>
                <m:t>d</m:t>
              </m:r>
              <m:r>
                <m:rPr>
                  <m:sty m:val="p"/>
                </m:rPr>
                <m:t>≈</m:t>
              </m:r>
              <m:r>
                <m:t>λ</m:t>
              </m:r>
            </m:oMath>
            <w:r>
              <w:t xml:space="preserve"> </w:t>
            </w:r>
            <w:r>
              <w:t xml:space="preserve">(0.1–10 µm)</w:t>
            </w:r>
          </w:p>
        </w:tc>
        <w:tc>
          <w:tcPr/>
          <w:p>
            <w:pPr>
              <w:pStyle w:val="Compact"/>
              <w:jc w:val="left"/>
            </w:pPr>
            <m:oMath>
              <m:sSup>
                <m:e>
                  <m:r>
                    <m:t>λ</m:t>
                  </m:r>
                </m:e>
                <m:sup>
                  <m:r>
                    <m:t>0</m:t>
                  </m:r>
                </m:sup>
              </m:sSup>
            </m:oMath>
            <w:r>
              <w:t xml:space="preserve"> </w:t>
            </w:r>
            <w:r>
              <w:t xml:space="preserve">to</w:t>
            </w:r>
            <w:r>
              <w:t xml:space="preserve"> </w:t>
            </w:r>
            <m:oMath>
              <m:sSup>
                <m:e>
                  <m:r>
                    <m:t>λ</m:t>
                  </m:r>
                </m:e>
                <m:sup>
                  <m:r>
                    <m:rPr>
                      <m:sty m:val="p"/>
                    </m:rPr>
                    <m:t>−</m:t>
                  </m:r>
                  <m:r>
                    <m:t>4</m:t>
                  </m:r>
                </m:sup>
              </m:sSup>
            </m:oMath>
            <w:r>
              <w:t xml:space="preserve"> </w:t>
            </w:r>
            <w:r>
              <w:t xml:space="preserve">(about</w:t>
            </w:r>
            <w:r>
              <w:t xml:space="preserve"> </w:t>
            </w:r>
            <m:oMath>
              <m:sSup>
                <m:e>
                  <m:r>
                    <m:t>λ</m:t>
                  </m:r>
                </m:e>
                <m:sup>
                  <m:r>
                    <m:rPr>
                      <m:sty m:val="p"/>
                    </m:rPr>
                    <m:t>−</m:t>
                  </m:r>
                  <m:r>
                    <m:t>1</m:t>
                  </m:r>
                </m:sup>
              </m:sSup>
            </m:oMath>
            <w:r>
              <w:t xml:space="preserve">)</w:t>
            </w:r>
          </w:p>
        </w:tc>
        <w:tc>
          <w:tcPr/>
          <w:p>
            <w:pPr>
              <w:pStyle w:val="Compact"/>
              <w:jc w:val="left"/>
            </w:pPr>
            <w:r>
              <w:t xml:space="preserve">Smoke, dust, aerosols, pollen, water vapour</w:t>
            </w:r>
          </w:p>
        </w:tc>
        <w:tc>
          <w:tcPr/>
          <w:p>
            <w:pPr>
              <w:pStyle w:val="Compact"/>
              <w:jc w:val="left"/>
            </w:pPr>
            <w:r>
              <w:t xml:space="preserve">Hazy, overcast lower atmosphere; affects VIS–NIR</w:t>
            </w:r>
          </w:p>
        </w:tc>
      </w:tr>
      <w:tr>
        <w:tc>
          <w:tcPr/>
          <w:p>
            <w:pPr>
              <w:pStyle w:val="Compact"/>
              <w:jc w:val="left"/>
            </w:pPr>
            <w:r>
              <w:rPr>
                <w:bCs/>
                <w:b/>
              </w:rPr>
              <w:t xml:space="preserve">Non-selective</w:t>
            </w:r>
          </w:p>
        </w:tc>
        <w:tc>
          <w:tcPr/>
          <w:p>
            <w:pPr>
              <w:pStyle w:val="Compact"/>
              <w:jc w:val="left"/>
            </w:pPr>
            <m:oMath>
              <m:r>
                <m:t>d</m:t>
              </m:r>
              <m:r>
                <m:rPr>
                  <m:sty m:val="p"/>
                </m:rPr>
                <m:t>≫</m:t>
              </m:r>
              <m:r>
                <m:t>λ</m:t>
              </m:r>
            </m:oMath>
            <w:r>
              <w:t xml:space="preserve"> </w:t>
            </w:r>
            <w:r>
              <w:t xml:space="preserve">(&gt;10 µm)</w:t>
            </w:r>
          </w:p>
        </w:tc>
        <w:tc>
          <w:tcPr/>
          <w:p>
            <w:pPr>
              <w:pStyle w:val="Compact"/>
              <w:jc w:val="left"/>
            </w:pPr>
            <w:r>
              <w:t xml:space="preserve">Independent of λ</w:t>
            </w:r>
          </w:p>
        </w:tc>
        <w:tc>
          <w:tcPr/>
          <w:p>
            <w:pPr>
              <w:pStyle w:val="Compact"/>
              <w:jc w:val="left"/>
            </w:pPr>
            <w:r>
              <w:t xml:space="preserve">Water droplets, ice crystals, large dust</w:t>
            </w:r>
          </w:p>
        </w:tc>
        <w:tc>
          <w:tcPr/>
          <w:p>
            <w:pPr>
              <w:pStyle w:val="Compact"/>
              <w:jc w:val="left"/>
            </w:pPr>
            <w:r>
              <w:t xml:space="preserve">Clouds and fog look</w:t>
            </w:r>
            <w:r>
              <w:t xml:space="preserve"> </w:t>
            </w:r>
            <w:r>
              <w:rPr>
                <w:bCs/>
                <w:b/>
              </w:rPr>
              <w:t xml:space="preserve">white</w:t>
            </w:r>
            <w:r>
              <w:t xml:space="preserve"> </w:t>
            </w:r>
            <w:r>
              <w:t xml:space="preserve">because all visible wavelengths scatter equally</w:t>
            </w:r>
          </w:p>
        </w:tc>
      </w:tr>
    </w:tbl>
    <w:p>
      <w:pPr>
        <w:pStyle w:val="BodyText"/>
      </w:pPr>
      <w:r>
        <w:rPr>
          <w:bCs/>
          <w:b/>
        </w:rPr>
        <w:t xml:space="preserve">Rayleigh scattering</w:t>
      </w:r>
      <w:r>
        <w:t xml:space="preserve"> </w:t>
      </w:r>
      <w:r>
        <w:t xml:space="preserve">is the most important for optical remote sensing. Blue light (0.45 µm) is scattered about</w:t>
      </w:r>
      <w:r>
        <w:t xml:space="preserve"> </w:t>
      </w:r>
      <m:oMath>
        <m:sSup>
          <m:e>
            <m:d>
              <m:dPr>
                <m:begChr m:val="("/>
                <m:endChr m:val=")"/>
                <m:sepChr m:val=""/>
                <m:grow/>
              </m:dPr>
              <m:e>
                <m:r>
                  <m:t>0.7</m:t>
                </m:r>
                <m:r>
                  <m:rPr>
                    <m:sty m:val="p"/>
                  </m:rPr>
                  <m:t>/</m:t>
                </m:r>
                <m:r>
                  <m:t>0.45</m:t>
                </m:r>
              </m:e>
            </m:d>
          </m:e>
          <m:sup>
            <m:r>
              <m:t>4</m:t>
            </m:r>
          </m:sup>
        </m:sSup>
        <m:r>
          <m:rPr>
            <m:sty m:val="p"/>
          </m:rPr>
          <m:t>≈</m:t>
        </m:r>
        <m:r>
          <m:t>5.9</m:t>
        </m:r>
      </m:oMath>
      <w:r>
        <w:t xml:space="preserve"> </w:t>
      </w:r>
      <w:r>
        <w:t xml:space="preserve">times more than red (0.7 µm). This is why the blue band is hazy, why</w:t>
      </w:r>
      <w:r>
        <w:t xml:space="preserve"> </w:t>
      </w:r>
      <w:r>
        <w:t xml:space="preserve">“</w:t>
      </w:r>
      <w:r>
        <w:t xml:space="preserve">minus-blue</w:t>
      </w:r>
      <w:r>
        <w:t xml:space="preserve">”</w:t>
      </w:r>
      <w:r>
        <w:t xml:space="preserve"> </w:t>
      </w:r>
      <w:r>
        <w:t xml:space="preserve">(yellow) filters were used in aerial photography, and why atmospheric correction removes</w:t>
      </w:r>
      <w:r>
        <w:t xml:space="preserve"> </w:t>
      </w:r>
      <w:r>
        <w:rPr>
          <w:bCs/>
          <w:b/>
        </w:rPr>
        <w:t xml:space="preserve">path radiance</w:t>
      </w:r>
      <w:r>
        <w:t xml:space="preserve"> </w:t>
      </w:r>
      <w:r>
        <w:t xml:space="preserve">first from shorter wavelengths. Without scattering the sky would be black.</w:t>
      </w:r>
    </w:p>
    <w:p>
      <w:pPr>
        <w:pStyle w:val="Heading3"/>
      </w:pPr>
      <w:r>
        <w:t xml:space="preserve">2.5.2 Absorption</w:t>
      </w:r>
    </w:p>
    <w:p>
      <w:pPr>
        <w:pStyle w:val="FirstParagraph"/>
      </w:pPr>
      <w:r>
        <w:t xml:space="preserve">Gases absorb in specific bands. Three gases dominate:</w:t>
      </w:r>
    </w:p>
    <w:p>
      <w:pPr>
        <w:pStyle w:val="Compact"/>
        <w:numPr>
          <w:ilvl w:val="0"/>
          <w:numId w:val="1009"/>
        </w:numPr>
      </w:pPr>
      <w:r>
        <w:rPr>
          <w:bCs/>
          <w:b/>
        </w:rPr>
        <w:t xml:space="preserve">Ozone (O₃):</w:t>
      </w:r>
      <w:r>
        <w:t xml:space="preserve"> </w:t>
      </w:r>
      <w:r>
        <w:t xml:space="preserve">absorbs UV shorter than about 0.3 µm (protects life), and has a band at 9.6 µm.</w:t>
      </w:r>
    </w:p>
    <w:p>
      <w:pPr>
        <w:pStyle w:val="Compact"/>
        <w:numPr>
          <w:ilvl w:val="0"/>
          <w:numId w:val="1009"/>
        </w:numPr>
      </w:pPr>
      <w:r>
        <w:rPr>
          <w:bCs/>
          <w:b/>
        </w:rPr>
        <w:t xml:space="preserve">Carbon dioxide (CO₂):</w:t>
      </w:r>
      <w:r>
        <w:t xml:space="preserve"> </w:t>
      </w:r>
      <w:r>
        <w:t xml:space="preserve">absorbs at 2.7, 4.3 and 15 µm (13–17.5 µm). The 15 µm band is used for</w:t>
      </w:r>
      <w:r>
        <w:t xml:space="preserve"> </w:t>
      </w:r>
      <w:r>
        <w:rPr>
          <w:bCs/>
          <w:b/>
        </w:rPr>
        <w:t xml:space="preserve">temperature sounding</w:t>
      </w:r>
      <w:r>
        <w:t xml:space="preserve">.</w:t>
      </w:r>
    </w:p>
    <w:p>
      <w:pPr>
        <w:pStyle w:val="Compact"/>
        <w:numPr>
          <w:ilvl w:val="0"/>
          <w:numId w:val="1009"/>
        </w:numPr>
      </w:pPr>
      <w:r>
        <w:rPr>
          <w:bCs/>
          <w:b/>
        </w:rPr>
        <w:t xml:space="preserve">Water vapour (H₂O):</w:t>
      </w:r>
      <w:r>
        <w:t xml:space="preserve"> </w:t>
      </w:r>
      <w:r>
        <w:t xml:space="preserve">absorbs at 0.94, 1.14, 1.4, 1.9, 2.7 µm and 5.5–7.0 µm, and beyond 27 µm. The</w:t>
      </w:r>
      <w:r>
        <w:t xml:space="preserve"> </w:t>
      </w:r>
      <w:r>
        <w:rPr>
          <w:bCs/>
          <w:b/>
        </w:rPr>
        <w:t xml:space="preserve">6.7 µm band</w:t>
      </w:r>
      <w:r>
        <w:t xml:space="preserve"> </w:t>
      </w:r>
      <w:r>
        <w:t xml:space="preserve">gives water-vapour imagery (INSAT-3D WV channel). In microwaves there are lines at 22.235 and 183 GHz.</w:t>
      </w:r>
    </w:p>
    <w:p>
      <w:pPr>
        <w:pStyle w:val="Compact"/>
        <w:numPr>
          <w:ilvl w:val="0"/>
          <w:numId w:val="1009"/>
        </w:numPr>
      </w:pPr>
      <w:r>
        <w:rPr>
          <w:bCs/>
          <w:b/>
        </w:rPr>
        <w:t xml:space="preserve">Oxygen (O₂):</w:t>
      </w:r>
      <w:r>
        <w:t xml:space="preserve"> </w:t>
      </w:r>
      <w:r>
        <w:t xml:space="preserve">the 0.76 µm A-band (used for SIF retrieval and cloud-top pressure) and 50–60 GHz (microwave temperature sounding, AMSU).</w:t>
      </w:r>
    </w:p>
    <w:p>
      <w:pPr>
        <w:pStyle w:val="Heading3"/>
      </w:pPr>
      <w:r>
        <w:t xml:space="preserve">2.5.3 Atmospheric windows</w:t>
      </w:r>
    </w:p>
    <w:p>
      <w:pPr>
        <w:pStyle w:val="FirstParagraph"/>
      </w:pPr>
      <w:r>
        <w:t xml:space="preserve">Wavelength regions where the atmosphere is relatively transparent are the</w:t>
      </w:r>
      <w:r>
        <w:t xml:space="preserve"> </w:t>
      </w:r>
      <w:r>
        <w:rPr>
          <w:bCs/>
          <w:b/>
        </w:rPr>
        <w:t xml:space="preserve">atmospheric windows</w:t>
      </w:r>
      <w:r>
        <w:t xml:space="preserve">. All Earth-observation sensors are designed inside them:</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Window</w:t>
            </w:r>
          </w:p>
        </w:tc>
        <w:tc>
          <w:tcPr/>
          <w:p>
            <w:pPr>
              <w:pStyle w:val="Compact"/>
              <w:jc w:val="left"/>
            </w:pPr>
            <w:r>
              <w:t xml:space="preserve">Range</w:t>
            </w:r>
          </w:p>
        </w:tc>
        <w:tc>
          <w:tcPr/>
          <w:p>
            <w:pPr>
              <w:pStyle w:val="Compact"/>
              <w:jc w:val="left"/>
            </w:pPr>
            <w:r>
              <w:t xml:space="preserve">Used for</w:t>
            </w:r>
          </w:p>
        </w:tc>
      </w:tr>
      <w:tr>
        <w:tc>
          <w:tcPr/>
          <w:p>
            <w:pPr>
              <w:pStyle w:val="Compact"/>
              <w:jc w:val="left"/>
            </w:pPr>
            <w:r>
              <w:t xml:space="preserve">UV–visible</w:t>
            </w:r>
          </w:p>
        </w:tc>
        <w:tc>
          <w:tcPr/>
          <w:p>
            <w:pPr>
              <w:pStyle w:val="Compact"/>
              <w:jc w:val="left"/>
            </w:pPr>
            <w:r>
              <w:t xml:space="preserve">0.3–0.75 µm</w:t>
            </w:r>
          </w:p>
        </w:tc>
        <w:tc>
          <w:tcPr/>
          <w:p>
            <w:pPr>
              <w:pStyle w:val="Compact"/>
              <w:jc w:val="left"/>
            </w:pPr>
            <w:r>
              <w:t xml:space="preserve">Panchromatic and multispectral imaging, ocean colour</w:t>
            </w:r>
          </w:p>
        </w:tc>
      </w:tr>
      <w:tr>
        <w:tc>
          <w:tcPr/>
          <w:p>
            <w:pPr>
              <w:pStyle w:val="Compact"/>
              <w:jc w:val="left"/>
            </w:pPr>
            <w:r>
              <w:t xml:space="preserve">NIR</w:t>
            </w:r>
          </w:p>
        </w:tc>
        <w:tc>
          <w:tcPr/>
          <w:p>
            <w:pPr>
              <w:pStyle w:val="Compact"/>
              <w:jc w:val="left"/>
            </w:pPr>
            <w:r>
              <w:t xml:space="preserve">0.77–0.91, 1.0–1.12 µm</w:t>
            </w:r>
          </w:p>
        </w:tc>
        <w:tc>
          <w:tcPr/>
          <w:p>
            <w:pPr>
              <w:pStyle w:val="Compact"/>
              <w:jc w:val="left"/>
            </w:pPr>
            <w:r>
              <w:t xml:space="preserve">Vegetation</w:t>
            </w:r>
          </w:p>
        </w:tc>
      </w:tr>
      <w:tr>
        <w:tc>
          <w:tcPr/>
          <w:p>
            <w:pPr>
              <w:pStyle w:val="Compact"/>
              <w:jc w:val="left"/>
            </w:pPr>
            <w:r>
              <w:t xml:space="preserve">SWIR</w:t>
            </w:r>
          </w:p>
        </w:tc>
        <w:tc>
          <w:tcPr/>
          <w:p>
            <w:pPr>
              <w:pStyle w:val="Compact"/>
              <w:jc w:val="left"/>
            </w:pPr>
            <w:r>
              <w:t xml:space="preserve">1.19–1.34, 1.55–1.75, 2.05–2.4 µm</w:t>
            </w:r>
          </w:p>
        </w:tc>
        <w:tc>
          <w:tcPr/>
          <w:p>
            <w:pPr>
              <w:pStyle w:val="Compact"/>
              <w:jc w:val="left"/>
            </w:pPr>
            <w:r>
              <w:t xml:space="preserve">Moisture, minerals</w:t>
            </w:r>
          </w:p>
        </w:tc>
      </w:tr>
      <w:tr>
        <w:tc>
          <w:tcPr/>
          <w:p>
            <w:pPr>
              <w:pStyle w:val="Compact"/>
              <w:jc w:val="left"/>
            </w:pPr>
            <w:r>
              <w:t xml:space="preserve">MWIR</w:t>
            </w:r>
          </w:p>
        </w:tc>
        <w:tc>
          <w:tcPr/>
          <w:p>
            <w:pPr>
              <w:pStyle w:val="Compact"/>
              <w:jc w:val="left"/>
            </w:pPr>
            <w:r>
              <w:t xml:space="preserve">3.5–4.2 µm</w:t>
            </w:r>
          </w:p>
        </w:tc>
        <w:tc>
          <w:tcPr/>
          <w:p>
            <w:pPr>
              <w:pStyle w:val="Compact"/>
              <w:jc w:val="left"/>
            </w:pPr>
            <w:r>
              <w:t xml:space="preserve">Fires, night-time cloud, SST</w:t>
            </w:r>
          </w:p>
        </w:tc>
      </w:tr>
      <w:tr>
        <w:tc>
          <w:tcPr/>
          <w:p>
            <w:pPr>
              <w:pStyle w:val="Compact"/>
              <w:jc w:val="left"/>
            </w:pPr>
            <w:r>
              <w:rPr>
                <w:bCs/>
                <w:b/>
              </w:rPr>
              <w:t xml:space="preserve">TIR</w:t>
            </w:r>
          </w:p>
        </w:tc>
        <w:tc>
          <w:tcPr/>
          <w:p>
            <w:pPr>
              <w:pStyle w:val="Compact"/>
              <w:jc w:val="left"/>
            </w:pPr>
            <w:r>
              <w:rPr>
                <w:bCs/>
                <w:b/>
              </w:rPr>
              <w:t xml:space="preserve">8–9.2 and 10.2–12.4 µm</w:t>
            </w:r>
            <w:r>
              <w:t xml:space="preserve"> </w:t>
            </w:r>
            <w:r>
              <w:t xml:space="preserve">(8–14 µm overall; the 9.6 µm O₃ band lies between)</w:t>
            </w:r>
          </w:p>
        </w:tc>
        <w:tc>
          <w:tcPr/>
          <w:p>
            <w:pPr>
              <w:pStyle w:val="Compact"/>
              <w:jc w:val="left"/>
            </w:pPr>
            <w:r>
              <w:t xml:space="preserve">LST, SST, ET</w:t>
            </w:r>
          </w:p>
        </w:tc>
      </w:tr>
      <w:tr>
        <w:tc>
          <w:tcPr/>
          <w:p>
            <w:pPr>
              <w:pStyle w:val="Compact"/>
              <w:jc w:val="left"/>
            </w:pPr>
            <w:r>
              <w:t xml:space="preserve">Microwave</w:t>
            </w:r>
          </w:p>
        </w:tc>
        <w:tc>
          <w:tcPr/>
          <w:p>
            <w:pPr>
              <w:pStyle w:val="Compact"/>
              <w:jc w:val="left"/>
            </w:pPr>
            <w:r>
              <w:t xml:space="preserve">&gt; ~1 mm (above ~1 cm almost fully transparent)</w:t>
            </w:r>
          </w:p>
        </w:tc>
        <w:tc>
          <w:tcPr/>
          <w:p>
            <w:pPr>
              <w:pStyle w:val="Compact"/>
              <w:jc w:val="left"/>
            </w:pPr>
            <w:r>
              <w:t xml:space="preserve">SAR, radiometers; all-weather</w:t>
            </w:r>
          </w:p>
        </w:tc>
      </w:tr>
    </w:tbl>
    <w:p>
      <w:pPr>
        <w:pStyle w:val="Heading3"/>
      </w:pPr>
      <w:r>
        <w:t xml:space="preserve">2.5.4 Refraction</w:t>
      </w:r>
    </w:p>
    <w:p>
      <w:pPr>
        <w:pStyle w:val="FirstParagraph"/>
      </w:pPr>
      <w:r>
        <w:rPr>
          <w:bCs/>
          <w:b/>
        </w:rPr>
        <w:t xml:space="preserve">Refraction</w:t>
      </w:r>
      <w:r>
        <w:t xml:space="preserve"> </w:t>
      </w:r>
      <w:r>
        <w:t xml:space="preserve">is the bending of radiation at the boundary of media with different densities (Snell’s law:</w:t>
      </w:r>
      <w:r>
        <w:t xml:space="preserve"> </w:t>
      </w:r>
      <m:oMath>
        <m:sSub>
          <m:e>
            <m:r>
              <m:t>n</m:t>
            </m:r>
          </m:e>
          <m:sub>
            <m:r>
              <m:t>1</m:t>
            </m:r>
          </m:sub>
        </m:sSub>
        <m:r>
          <m:rPr>
            <m:sty m:val="p"/>
          </m:rPr>
          <m:t>sin</m:t>
        </m:r>
        <m:sSub>
          <m:e>
            <m:r>
              <m:t>θ</m:t>
            </m:r>
          </m:e>
          <m:sub>
            <m:r>
              <m:t>1</m:t>
            </m:r>
          </m:sub>
        </m:sSub>
        <m:r>
          <m:rPr>
            <m:sty m:val="p"/>
          </m:rPr>
          <m:t>=</m:t>
        </m:r>
        <m:sSub>
          <m:e>
            <m:r>
              <m:t>n</m:t>
            </m:r>
          </m:e>
          <m:sub>
            <m:r>
              <m:t>2</m:t>
            </m:r>
          </m:sub>
        </m:sSub>
        <m:r>
          <m:rPr>
            <m:sty m:val="p"/>
          </m:rPr>
          <m:t>sin</m:t>
        </m:r>
        <m:sSub>
          <m:e>
            <m:r>
              <m:t>θ</m:t>
            </m:r>
          </m:e>
          <m:sub>
            <m:r>
              <m:t>2</m:t>
            </m:r>
          </m:sub>
        </m:sSub>
      </m:oMath>
      <w:r>
        <w:t xml:space="preserve">). Layers of the atmosphere with different temperature and humidity bend rays slightly. Mirages over hot roads are an example. Refraction is a small geometric error source, and it matters for GNSS signal delay in the troposphere.</w:t>
      </w:r>
    </w:p>
    <w:p>
      <w:pPr>
        <w:pStyle w:val="Heading2"/>
      </w:pPr>
      <w:r>
        <w:t xml:space="preserve">2.6 Energy Interactions with Earth Surface Features</w:t>
      </w:r>
    </w:p>
    <w:p>
      <w:pPr>
        <w:pStyle w:val="FirstParagraph"/>
      </w:pPr>
      <w:r>
        <w:t xml:space="preserve">Incident energy at each wavelength is partitioned as</w:t>
      </w:r>
    </w:p>
    <w:p>
      <w:pPr>
        <w:pStyle w:val="BodyText"/>
      </w:pPr>
      <m:oMathPara>
        <m:oMathParaPr>
          <m:jc m:val="center"/>
        </m:oMathParaPr>
        <m:oMath>
          <m:sSub>
            <m:e>
              <m:r>
                <m:t>E</m:t>
              </m:r>
            </m:e>
            <m:sub>
              <m:r>
                <m:t>I</m:t>
              </m:r>
            </m:sub>
          </m:sSub>
          <m:d>
            <m:dPr>
              <m:begChr m:val="("/>
              <m:endChr m:val=")"/>
              <m:sepChr m:val=""/>
              <m:grow/>
            </m:dPr>
            <m:e>
              <m:r>
                <m:t>λ</m:t>
              </m:r>
            </m:e>
          </m:d>
          <m:r>
            <m:rPr>
              <m:sty m:val="p"/>
            </m:rPr>
            <m:t>=</m:t>
          </m:r>
          <m:sSub>
            <m:e>
              <m:r>
                <m:t>E</m:t>
              </m:r>
            </m:e>
            <m:sub>
              <m:r>
                <m:t>R</m:t>
              </m:r>
            </m:sub>
          </m:sSub>
          <m:d>
            <m:dPr>
              <m:begChr m:val="("/>
              <m:endChr m:val=")"/>
              <m:sepChr m:val=""/>
              <m:grow/>
            </m:dPr>
            <m:e>
              <m:r>
                <m:t>λ</m:t>
              </m:r>
            </m:e>
          </m:d>
          <m:r>
            <m:rPr>
              <m:sty m:val="p"/>
            </m:rPr>
            <m:t>+</m:t>
          </m:r>
          <m:sSub>
            <m:e>
              <m:r>
                <m:t>E</m:t>
              </m:r>
            </m:e>
            <m:sub>
              <m:r>
                <m:t>A</m:t>
              </m:r>
            </m:sub>
          </m:sSub>
          <m:d>
            <m:dPr>
              <m:begChr m:val="("/>
              <m:endChr m:val=")"/>
              <m:sepChr m:val=""/>
              <m:grow/>
            </m:dPr>
            <m:e>
              <m:r>
                <m:t>λ</m:t>
              </m:r>
            </m:e>
          </m:d>
          <m:r>
            <m:rPr>
              <m:sty m:val="p"/>
            </m:rPr>
            <m:t>+</m:t>
          </m:r>
          <m:sSub>
            <m:e>
              <m:r>
                <m:t>E</m:t>
              </m:r>
            </m:e>
            <m:sub>
              <m:r>
                <m:t>T</m:t>
              </m:r>
            </m:sub>
          </m:sSub>
          <m:d>
            <m:dPr>
              <m:begChr m:val="("/>
              <m:endChr m:val=")"/>
              <m:sepChr m:val=""/>
              <m:grow/>
            </m:dPr>
            <m:e>
              <m:r>
                <m:t>λ</m:t>
              </m:r>
            </m:e>
          </m:d>
          <m:r>
            <m:t> </m:t>
          </m:r>
          <m:r>
            <m:rPr>
              <m:sty m:val="p"/>
            </m:rPr>
            <m:t>⇒</m:t>
          </m:r>
          <m:r>
            <m:t> </m:t>
          </m:r>
          <m:sSub>
            <m:e>
              <m:r>
                <m:t>ρ</m:t>
              </m:r>
            </m:e>
            <m:sub>
              <m:r>
                <m:t>λ</m:t>
              </m:r>
            </m:sub>
          </m:sSub>
          <m:r>
            <m:rPr>
              <m:sty m:val="p"/>
            </m:rPr>
            <m:t>+</m:t>
          </m:r>
          <m:sSub>
            <m:e>
              <m:r>
                <m:t>α</m:t>
              </m:r>
            </m:e>
            <m:sub>
              <m:r>
                <m:t>λ</m:t>
              </m:r>
            </m:sub>
          </m:sSub>
          <m:r>
            <m:rPr>
              <m:sty m:val="p"/>
            </m:rPr>
            <m:t>+</m:t>
          </m:r>
          <m:sSub>
            <m:e>
              <m:r>
                <m:t>τ</m:t>
              </m:r>
            </m:e>
            <m:sub>
              <m:r>
                <m:t>λ</m:t>
              </m:r>
            </m:sub>
          </m:sSub>
          <m:r>
            <m:rPr>
              <m:sty m:val="p"/>
            </m:rPr>
            <m:t>=</m:t>
          </m:r>
          <m:r>
            <m:t>1</m:t>
          </m:r>
        </m:oMath>
      </m:oMathPara>
    </w:p>
    <w:p>
      <w:pPr>
        <w:pStyle w:val="FirstParagraph"/>
      </w:pPr>
      <w:r>
        <w:t xml:space="preserve">The proportions depend on the material, its condition and the wavelength. That is the origin of the</w:t>
      </w:r>
      <w:r>
        <w:t xml:space="preserve"> </w:t>
      </w:r>
      <w:r>
        <w:rPr>
          <w:bCs/>
          <w:b/>
        </w:rPr>
        <w:t xml:space="preserve">spectral signature</w:t>
      </w:r>
      <w:r>
        <w:t xml:space="preserve">.</w:t>
      </w:r>
    </w:p>
    <w:p>
      <w:pPr>
        <w:pStyle w:val="Heading3"/>
      </w:pPr>
      <w:r>
        <w:t xml:space="preserve">2.6.1 Types of reflection</w:t>
      </w:r>
    </w:p>
    <w:p>
      <w:pPr>
        <w:pStyle w:val="FirstParagraph"/>
      </w:pPr>
      <w:r>
        <w:t xml:space="preserve">The roughness of a surface</w:t>
      </w:r>
      <w:r>
        <w:t xml:space="preserve"> </w:t>
      </w:r>
      <w:r>
        <w:rPr>
          <w:iCs/>
          <w:i/>
        </w:rPr>
        <w:t xml:space="preserve">relative to the wavelength</w:t>
      </w:r>
      <w:r>
        <w:t xml:space="preserve"> </w:t>
      </w:r>
      <w:r>
        <w:t xml:space="preserve">decides how it reflects: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Surface</w:t>
            </w:r>
          </w:p>
        </w:tc>
        <w:tc>
          <w:tcPr/>
          <w:p>
            <w:pPr>
              <w:pStyle w:val="Compact"/>
              <w:jc w:val="left"/>
            </w:pPr>
            <w:r>
              <w:t xml:space="preserve">Behaviour</w:t>
            </w:r>
          </w:p>
        </w:tc>
      </w:tr>
      <w:tr>
        <w:tc>
          <w:tcPr/>
          <w:p>
            <w:pPr>
              <w:pStyle w:val="Compact"/>
              <w:jc w:val="left"/>
            </w:pPr>
            <w:r>
              <w:rPr>
                <w:bCs/>
                <w:b/>
              </w:rPr>
              <w:t xml:space="preserve">Specular</w:t>
            </w:r>
          </w:p>
        </w:tc>
        <w:tc>
          <w:tcPr/>
          <w:p>
            <w:pPr>
              <w:pStyle w:val="Compact"/>
              <w:jc w:val="left"/>
            </w:pPr>
            <w:r>
              <w:t xml:space="preserve">Smooth (height variations</w:t>
            </w:r>
            <w:r>
              <w:t xml:space="preserve"> </w:t>
            </w:r>
            <m:oMath>
              <m:r>
                <m:rPr>
                  <m:sty m:val="p"/>
                </m:rPr>
                <m:t>≪</m:t>
              </m:r>
              <m:r>
                <m:t>λ</m:t>
              </m:r>
            </m:oMath>
            <w:r>
              <w:t xml:space="preserve">)</w:t>
            </w:r>
          </w:p>
        </w:tc>
        <w:tc>
          <w:tcPr/>
          <w:p>
            <w:pPr>
              <w:pStyle w:val="Compact"/>
              <w:jc w:val="left"/>
            </w:pPr>
            <w:r>
              <w:t xml:space="preserve">Mirror-like; angle of reflection equals angle of incidence; calm water, smooth roads;</w:t>
            </w:r>
            <w:r>
              <w:t xml:space="preserve"> </w:t>
            </w:r>
            <w:r>
              <w:t xml:space="preserve">“</w:t>
            </w:r>
            <w:r>
              <w:t xml:space="preserve">sun glint</w:t>
            </w:r>
            <w:r>
              <w:t xml:space="preserve">”</w:t>
            </w:r>
          </w:p>
        </w:tc>
      </w:tr>
      <w:tr>
        <w:tc>
          <w:tcPr/>
          <w:p>
            <w:pPr>
              <w:pStyle w:val="Compact"/>
              <w:jc w:val="left"/>
            </w:pPr>
            <w:r>
              <w:rPr>
                <w:bCs/>
                <w:b/>
              </w:rPr>
              <w:t xml:space="preserve">Near-specular</w:t>
            </w:r>
          </w:p>
        </w:tc>
        <w:tc>
          <w:tcPr/>
          <w:p>
            <w:pPr>
              <w:pStyle w:val="Compact"/>
              <w:jc w:val="left"/>
            </w:pPr>
            <w:r>
              <w:t xml:space="preserve">Slightly rough</w:t>
            </w:r>
          </w:p>
        </w:tc>
        <w:tc>
          <w:tcPr/>
          <w:p>
            <w:pPr>
              <w:pStyle w:val="Compact"/>
              <w:jc w:val="left"/>
            </w:pPr>
            <w:r>
              <w:t xml:space="preserve">Mostly forward reflection</w:t>
            </w:r>
          </w:p>
        </w:tc>
      </w:tr>
      <w:tr>
        <w:tc>
          <w:tcPr/>
          <w:p>
            <w:pPr>
              <w:pStyle w:val="Compact"/>
              <w:jc w:val="left"/>
            </w:pPr>
            <w:r>
              <w:rPr>
                <w:bCs/>
                <w:b/>
              </w:rPr>
              <w:t xml:space="preserve">Diffuse (Lambertian)</w:t>
            </w:r>
          </w:p>
        </w:tc>
        <w:tc>
          <w:tcPr/>
          <w:p>
            <w:pPr>
              <w:pStyle w:val="Compact"/>
              <w:jc w:val="left"/>
            </w:pPr>
            <w:r>
              <w:t xml:space="preserve">Rough relative to λ</w:t>
            </w:r>
          </w:p>
        </w:tc>
        <w:tc>
          <w:tcPr/>
          <w:p>
            <w:pPr>
              <w:pStyle w:val="Compact"/>
              <w:jc w:val="left"/>
            </w:pPr>
            <w:r>
              <w:t xml:space="preserve">Equal radiance in all directions; ideal for remote sensing because reflectance does not depend on view angle</w:t>
            </w:r>
          </w:p>
        </w:tc>
      </w:tr>
      <w:tr>
        <w:tc>
          <w:tcPr/>
          <w:p>
            <w:pPr>
              <w:pStyle w:val="Compact"/>
              <w:jc w:val="left"/>
            </w:pPr>
            <w:r>
              <w:rPr>
                <w:bCs/>
                <w:b/>
              </w:rPr>
              <w:t xml:space="preserve">Quasi-Lambertian / complex</w:t>
            </w:r>
          </w:p>
        </w:tc>
        <w:tc>
          <w:tcPr/>
          <w:p>
            <w:pPr>
              <w:pStyle w:val="Compact"/>
              <w:jc w:val="left"/>
            </w:pPr>
            <w:r>
              <w:t xml:space="preserve">Most natural surfaces</w:t>
            </w:r>
          </w:p>
        </w:tc>
        <w:tc>
          <w:tcPr/>
          <w:p>
            <w:pPr>
              <w:pStyle w:val="Compact"/>
              <w:jc w:val="left"/>
            </w:pPr>
            <w:r>
              <w:t xml:space="preserve">Anisotropic; described by the</w:t>
            </w:r>
            <w:r>
              <w:t xml:space="preserve"> </w:t>
            </w:r>
            <w:r>
              <w:rPr>
                <w:bCs/>
                <w:b/>
              </w:rPr>
              <w:t xml:space="preserve">BRDF</w:t>
            </w:r>
          </w:p>
        </w:tc>
      </w:tr>
    </w:tbl>
    <w:p>
      <w:pPr>
        <w:pStyle w:val="BodyText"/>
      </w:pPr>
      <w:r>
        <w:rPr>
          <w:bCs/>
          <w:b/>
        </w:rPr>
        <w:t xml:space="preserve">Rayleigh roughness criterion</w:t>
      </w:r>
      <w:r>
        <w:t xml:space="preserve"> </w:t>
      </w:r>
      <w:r>
        <w:t xml:space="preserve">(for radar and for optics): a surface is</w:t>
      </w:r>
      <w:r>
        <w:t xml:space="preserve"> </w:t>
      </w:r>
      <w:r>
        <w:t xml:space="preserve">“</w:t>
      </w:r>
      <w:r>
        <w:t xml:space="preserve">smooth</w:t>
      </w:r>
      <w:r>
        <w:t xml:space="preserve">”</w:t>
      </w:r>
      <w:r>
        <w:t xml:space="preserve"> </w:t>
      </w:r>
      <w:r>
        <w:t xml:space="preserve">if</w:t>
      </w:r>
    </w:p>
    <w:p>
      <w:pPr>
        <w:pStyle w:val="BodyText"/>
      </w:pPr>
      <m:oMathPara>
        <m:oMathParaPr>
          <m:jc m:val="center"/>
        </m:oMathParaPr>
        <m:oMath>
          <m:r>
            <m:t>h</m:t>
          </m:r>
          <m:r>
            <m:rPr>
              <m:sty m:val="p"/>
            </m:rPr>
            <m:t>&lt;</m:t>
          </m:r>
          <m:f>
            <m:fPr>
              <m:type m:val="bar"/>
            </m:fPr>
            <m:num>
              <m:r>
                <m:t>λ</m:t>
              </m:r>
            </m:num>
            <m:den>
              <m:r>
                <m:t>8</m:t>
              </m:r>
              <m:r>
                <m:rPr>
                  <m:sty m:val="p"/>
                </m:rPr>
                <m:t>cos</m:t>
              </m:r>
              <m:r>
                <m:t>θ</m:t>
              </m:r>
            </m:den>
          </m:f>
        </m:oMath>
      </m:oMathPara>
    </w:p>
    <w:p>
      <w:pPr>
        <w:pStyle w:val="FirstParagraph"/>
      </w:pPr>
      <w:r>
        <w:t xml:space="preserve">where</w:t>
      </w:r>
      <w:r>
        <w:t xml:space="preserve"> </w:t>
      </w:r>
      <m:oMath>
        <m:r>
          <m:t>h</m:t>
        </m:r>
      </m:oMath>
      <w:r>
        <w:t xml:space="preserve"> </w:t>
      </w:r>
      <w:r>
        <w:t xml:space="preserve">is the RMS surface height and</w:t>
      </w:r>
      <w:r>
        <w:t xml:space="preserve"> </w:t>
      </w:r>
      <m:oMath>
        <m:r>
          <m:t>θ</m:t>
        </m:r>
      </m:oMath>
      <w:r>
        <w:t xml:space="preserve"> </w:t>
      </w:r>
      <w:r>
        <w:t xml:space="preserve">the incidence angle. A ploughed field may be rough to C-band (5.6 cm) but smooth to L-band (24 cm). This is why multi-frequency radar tells surfaces apart.</w:t>
      </w:r>
    </w:p>
    <w:p>
      <w:pPr>
        <w:pStyle w:val="BodyText"/>
      </w:pPr>
      <w:r>
        <w:rPr>
          <w:bCs/>
          <w:b/>
        </w:rPr>
        <w:t xml:space="preserve">Spectral reflectance</w:t>
      </w:r>
      <w:r>
        <w:t xml:space="preserve"> </w:t>
      </w:r>
      <w:r>
        <w:t xml:space="preserve">is</w:t>
      </w:r>
      <w:r>
        <w:t xml:space="preserve"> </w:t>
      </w:r>
      <m:oMath>
        <m:r>
          <m:t>ρ</m:t>
        </m:r>
        <m:d>
          <m:dPr>
            <m:begChr m:val="("/>
            <m:endChr m:val=")"/>
            <m:sepChr m:val=""/>
            <m:grow/>
          </m:dPr>
          <m:e>
            <m:r>
              <m:t>λ</m:t>
            </m:r>
          </m:e>
        </m:d>
        <m:r>
          <m:rPr>
            <m:sty m:val="p"/>
          </m:rPr>
          <m:t>=</m:t>
        </m:r>
        <m:f>
          <m:fPr>
            <m:type m:val="bar"/>
          </m:fPr>
          <m:num>
            <m:sSub>
              <m:e>
                <m:r>
                  <m:t>E</m:t>
                </m:r>
              </m:e>
              <m:sub>
                <m:r>
                  <m:t>R</m:t>
                </m:r>
              </m:sub>
            </m:sSub>
            <m:d>
              <m:dPr>
                <m:begChr m:val="("/>
                <m:endChr m:val=")"/>
                <m:sepChr m:val=""/>
                <m:grow/>
              </m:dPr>
              <m:e>
                <m:r>
                  <m:t>λ</m:t>
                </m:r>
              </m:e>
            </m:d>
          </m:num>
          <m:den>
            <m:sSub>
              <m:e>
                <m:r>
                  <m:t>E</m:t>
                </m:r>
              </m:e>
              <m:sub>
                <m:r>
                  <m:t>I</m:t>
                </m:r>
              </m:sub>
            </m:sSub>
            <m:d>
              <m:dPr>
                <m:begChr m:val="("/>
                <m:endChr m:val=")"/>
                <m:sepChr m:val=""/>
                <m:grow/>
              </m:dPr>
              <m:e>
                <m:r>
                  <m:t>λ</m:t>
                </m:r>
              </m:e>
            </m:d>
          </m:den>
        </m:f>
        <m:r>
          <m:rPr>
            <m:sty m:val="p"/>
          </m:rPr>
          <m:t>×</m:t>
        </m:r>
        <m:r>
          <m:t>100</m:t>
        </m:r>
      </m:oMath>
      <w:r>
        <w:t xml:space="preserve"> </w:t>
      </w:r>
      <w:r>
        <w:t xml:space="preserve">(%). A plot of</w:t>
      </w:r>
      <w:r>
        <w:t xml:space="preserve"> </w:t>
      </w:r>
      <m:oMath>
        <m:r>
          <m:t>ρ</m:t>
        </m:r>
        <m:d>
          <m:dPr>
            <m:begChr m:val="("/>
            <m:endChr m:val=")"/>
            <m:sepChr m:val=""/>
            <m:grow/>
          </m:dPr>
          <m:e>
            <m:r>
              <m:t>λ</m:t>
            </m:r>
          </m:e>
        </m:d>
      </m:oMath>
      <w:r>
        <w:t xml:space="preserve"> </w:t>
      </w:r>
      <w:r>
        <w:t xml:space="preserve">against</w:t>
      </w:r>
      <w:r>
        <w:t xml:space="preserve"> </w:t>
      </w:r>
      <m:oMath>
        <m:r>
          <m:t>λ</m:t>
        </m:r>
      </m:oMath>
      <w:r>
        <w:t xml:space="preserve"> </w:t>
      </w:r>
      <w:r>
        <w:t xml:space="preserve">is the</w:t>
      </w:r>
      <w:r>
        <w:t xml:space="preserve"> </w:t>
      </w:r>
      <w:r>
        <w:rPr>
          <w:bCs/>
          <w:b/>
        </w:rPr>
        <w:t xml:space="preserve">spectral reflectance curve</w:t>
      </w:r>
      <w:r>
        <w:t xml:space="preserve">. Averaging many curves of one class gives the</w:t>
      </w:r>
      <w:r>
        <w:t xml:space="preserve"> </w:t>
      </w:r>
      <w:r>
        <w:rPr>
          <w:bCs/>
          <w:b/>
        </w:rPr>
        <w:t xml:space="preserve">generalised spectral response pattern</w:t>
      </w:r>
      <w:r>
        <w:t xml:space="preserve"> </w:t>
      </w:r>
      <w:r>
        <w:t xml:space="preserve">or spectral signature.</w:t>
      </w:r>
    </w:p>
    <w:p>
      <w:pPr>
        <w:pStyle w:val="Heading3"/>
      </w:pPr>
      <w:r>
        <w:t xml:space="preserve">2.6.2 Transmission</w:t>
      </w:r>
    </w:p>
    <w:p>
      <w:pPr>
        <w:pStyle w:val="FirstParagraph"/>
      </w:pPr>
      <w:r>
        <w:rPr>
          <w:bCs/>
          <w:b/>
        </w:rPr>
        <w:t xml:space="preserve">Transmittance</w:t>
      </w:r>
      <w:r>
        <w:t xml:space="preserve"> </w:t>
      </w:r>
      <w:r>
        <w:t xml:space="preserve">is</w:t>
      </w:r>
      <w:r>
        <w:t xml:space="preserve"> </w:t>
      </w:r>
      <m:oMath>
        <m:r>
          <m:t>τ</m:t>
        </m:r>
        <m:r>
          <m:rPr>
            <m:sty m:val="p"/>
          </m:rPr>
          <m:t>=</m:t>
        </m:r>
        <m:sSub>
          <m:e>
            <m:r>
              <m:t>E</m:t>
            </m:r>
          </m:e>
          <m:sub>
            <m:r>
              <m:t>T</m:t>
            </m:r>
          </m:sub>
        </m:sSub>
        <m:r>
          <m:rPr>
            <m:sty m:val="p"/>
          </m:rPr>
          <m:t>/</m:t>
        </m:r>
        <m:sSub>
          <m:e>
            <m:r>
              <m:t>E</m:t>
            </m:r>
          </m:e>
          <m:sub>
            <m:r>
              <m:t>I</m:t>
            </m:r>
          </m:sub>
        </m:sSub>
      </m:oMath>
      <w:r>
        <w:t xml:space="preserve">. Leaves transmit 40–50% of NIR, which then scatters onto the leaves below. This is why the canopy’s NIR reflectance keeps increasing with leaf area index (LAI), up to about LAI 6–8 (the</w:t>
      </w:r>
      <w:r>
        <w:t xml:space="preserve"> </w:t>
      </w:r>
      <w:r>
        <w:t xml:space="preserve">“</w:t>
      </w:r>
      <w:r>
        <w:t xml:space="preserve">additive reflectance</w:t>
      </w:r>
      <w:r>
        <w:t xml:space="preserve">”</w:t>
      </w:r>
      <w:r>
        <w:t xml:space="preserve"> </w:t>
      </w:r>
      <w:r>
        <w:t xml:space="preserve">of stacked leaves). Water transmits blue-green light to depths of several metres. This is used for bathymetry and turbidity mapping.</w:t>
      </w:r>
    </w:p>
    <w:p>
      <w:pPr>
        <w:pStyle w:val="Heading2"/>
      </w:pPr>
      <w:r>
        <w:t xml:space="preserve">2.7 Interaction of Radiation with the Soil–Vegetation System</w:t>
      </w:r>
    </w:p>
    <w:p>
      <w:pPr>
        <w:pStyle w:val="Heading3"/>
      </w:pPr>
      <w:r>
        <w:t xml:space="preserve">2.7.1 Leaf level</w:t>
      </w:r>
    </w:p>
    <w:p>
      <w:pPr>
        <w:pStyle w:val="Compact"/>
        <w:numPr>
          <w:ilvl w:val="0"/>
          <w:numId w:val="1010"/>
        </w:numPr>
      </w:pPr>
      <w:r>
        <w:rPr>
          <w:bCs/>
          <w:b/>
        </w:rPr>
        <w:t xml:space="preserve">Visible (0.4–0.7 µm):</w:t>
      </w:r>
      <w:r>
        <w:t xml:space="preserve"> </w:t>
      </w:r>
      <w:r>
        <w:t xml:space="preserve">chlorophyll a and b and carotenoids absorb blue (~0.45 µm) and red (~0.67 µm) for photosynthesis, so reflectance is low (5–10%) with a green peak at 0.55 µm.</w:t>
      </w:r>
    </w:p>
    <w:p>
      <w:pPr>
        <w:pStyle w:val="Compact"/>
        <w:numPr>
          <w:ilvl w:val="0"/>
          <w:numId w:val="1010"/>
        </w:numPr>
      </w:pPr>
      <w:r>
        <w:rPr>
          <w:bCs/>
          <w:b/>
        </w:rPr>
        <w:t xml:space="preserve">Red edge (0.68–0.75 µm):</w:t>
      </w:r>
      <w:r>
        <w:t xml:space="preserve"> </w:t>
      </w:r>
      <w:r>
        <w:t xml:space="preserve">a steep rise. Its position shifts to longer wavelengths (</w:t>
      </w:r>
      <w:r>
        <w:t xml:space="preserve">“</w:t>
      </w:r>
      <w:r>
        <w:t xml:space="preserve">red shift</w:t>
      </w:r>
      <w:r>
        <w:t xml:space="preserve">”</w:t>
      </w:r>
      <w:r>
        <w:t xml:space="preserve">) with more chlorophyll, and to shorter wavelengths (</w:t>
      </w:r>
      <w:r>
        <w:t xml:space="preserve">“</w:t>
      </w:r>
      <w:r>
        <w:t xml:space="preserve">blue shift</w:t>
      </w:r>
      <w:r>
        <w:t xml:space="preserve">”</w:t>
      </w:r>
      <w:r>
        <w:t xml:space="preserve">) under stress.</w:t>
      </w:r>
    </w:p>
    <w:p>
      <w:pPr>
        <w:pStyle w:val="Compact"/>
        <w:numPr>
          <w:ilvl w:val="0"/>
          <w:numId w:val="1010"/>
        </w:numPr>
      </w:pPr>
      <w:r>
        <w:rPr>
          <w:bCs/>
          <w:b/>
        </w:rPr>
        <w:t xml:space="preserve">NIR (0.7–1.3 µm):</w:t>
      </w:r>
      <w:r>
        <w:t xml:space="preserve"> </w:t>
      </w:r>
      <w:r>
        <w:t xml:space="preserve">no pigment absorption. Multiple scattering at the cell wall–air interfaces of the</w:t>
      </w:r>
      <w:r>
        <w:t xml:space="preserve"> </w:t>
      </w:r>
      <w:r>
        <w:rPr>
          <w:bCs/>
          <w:b/>
        </w:rPr>
        <w:t xml:space="preserve">spongy mesophyll</w:t>
      </w:r>
      <w:r>
        <w:t xml:space="preserve"> </w:t>
      </w:r>
      <w:r>
        <w:t xml:space="preserve">(refractive indices about 1.4 versus 1.0) gives 40–60% reflectance and 40–50% transmittance.</w:t>
      </w:r>
    </w:p>
    <w:p>
      <w:pPr>
        <w:pStyle w:val="Compact"/>
        <w:numPr>
          <w:ilvl w:val="0"/>
          <w:numId w:val="1010"/>
        </w:numPr>
      </w:pPr>
      <w:r>
        <w:rPr>
          <w:bCs/>
          <w:b/>
        </w:rPr>
        <w:t xml:space="preserve">SWIR (1.3–2.5 µm):</w:t>
      </w:r>
      <w:r>
        <w:t xml:space="preserve"> </w:t>
      </w:r>
      <w:r>
        <w:t xml:space="preserve">water absorption at 1.45, 1.94 and 2.7 µm, plus dry matter (cellulose, lignin, protein) features at 1.7, 2.1 and 2.3 µm.</w:t>
      </w:r>
    </w:p>
    <w:p>
      <w:pPr>
        <w:pStyle w:val="Compact"/>
        <w:numPr>
          <w:ilvl w:val="0"/>
          <w:numId w:val="1010"/>
        </w:numPr>
      </w:pPr>
      <w:r>
        <w:rPr>
          <w:bCs/>
          <w:b/>
        </w:rPr>
        <w:t xml:space="preserve">Leaf optical models:</w:t>
      </w:r>
      <w:r>
        <w:t xml:space="preserve"> </w:t>
      </w:r>
      <w:r>
        <w:t xml:space="preserve">PROSPECT models a leaf as a stack of N layers with pigment, water and dry-matter content. Coupled with the canopy model SAIL it forms</w:t>
      </w:r>
      <w:r>
        <w:t xml:space="preserve"> </w:t>
      </w:r>
      <w:r>
        <w:rPr>
          <w:bCs/>
          <w:b/>
        </w:rPr>
        <w:t xml:space="preserve">PROSAIL</w:t>
      </w:r>
      <w:r>
        <w:t xml:space="preserve">.</w:t>
      </w:r>
    </w:p>
    <w:p>
      <w:pPr>
        <w:pStyle w:val="Heading3"/>
      </w:pPr>
      <w:r>
        <w:t xml:space="preserve">2.7.2 Canopy level: Beer–Lambert extinction of light</w:t>
      </w:r>
    </w:p>
    <w:p>
      <w:pPr>
        <w:pStyle w:val="FirstParagraph"/>
      </w:pPr>
      <w:r>
        <w:t xml:space="preserve">Light falling through a canopy is attenuated exponentially with cumulative leaf area:</w:t>
      </w:r>
    </w:p>
    <w:p>
      <w:pPr>
        <w:pStyle w:val="BodyText"/>
      </w:pPr>
      <m:oMathPara>
        <m:oMathParaPr>
          <m:jc m:val="center"/>
        </m:oMathParaPr>
        <m:oMath>
          <m:r>
            <m:t>I</m:t>
          </m:r>
          <m:r>
            <m:rPr>
              <m:sty m:val="p"/>
            </m:rPr>
            <m:t>=</m:t>
          </m:r>
          <m:sSub>
            <m:e>
              <m:r>
                <m:t>I</m:t>
              </m:r>
            </m:e>
            <m:sub>
              <m:r>
                <m:t>0</m:t>
              </m:r>
            </m:sub>
          </m:sSub>
          <m:r>
            <m:t> </m:t>
          </m:r>
          <m:sSup>
            <m:e>
              <m:r>
                <m:t>e</m:t>
              </m:r>
            </m:e>
            <m:sup>
              <m:r>
                <m:rPr>
                  <m:sty m:val="p"/>
                </m:rPr>
                <m:t>−</m:t>
              </m:r>
              <m:r>
                <m:t>k</m:t>
              </m:r>
              <m:r>
                <m:t> </m:t>
              </m:r>
              <m:r>
                <m:t>L</m:t>
              </m:r>
              <m:r>
                <m:t>A</m:t>
              </m:r>
              <m:r>
                <m:t>I</m:t>
              </m:r>
            </m:sup>
          </m:sSup>
        </m:oMath>
      </m:oMathPara>
    </w:p>
    <w:p>
      <w:pPr>
        <w:pStyle w:val="FirstParagraph"/>
      </w:pPr>
      <w:r>
        <w:t xml:space="preserve">where</w:t>
      </w:r>
      <w:r>
        <w:t xml:space="preserve"> </w:t>
      </w:r>
      <m:oMath>
        <m:sSub>
          <m:e>
            <m:r>
              <m:t>I</m:t>
            </m:r>
          </m:e>
          <m:sub>
            <m:r>
              <m:t>0</m:t>
            </m:r>
          </m:sub>
        </m:sSub>
      </m:oMath>
      <w:r>
        <w:t xml:space="preserve"> </w:t>
      </w:r>
      <w:r>
        <w:t xml:space="preserve">is irradiance above the canopy,</w:t>
      </w:r>
      <w:r>
        <w:t xml:space="preserve"> </w:t>
      </w:r>
      <m:oMath>
        <m:r>
          <m:t>I</m:t>
        </m:r>
      </m:oMath>
      <w:r>
        <w:t xml:space="preserve"> </w:t>
      </w:r>
      <w:r>
        <w:t xml:space="preserve">is irradiance at the soil, and</w:t>
      </w:r>
      <w:r>
        <w:t xml:space="preserve"> </w:t>
      </w:r>
      <m:oMath>
        <m:r>
          <m:t>k</m:t>
        </m:r>
      </m:oMath>
      <w:r>
        <w:t xml:space="preserve"> </w:t>
      </w:r>
      <w:r>
        <w:t xml:space="preserve">is the extinction coefficient.</w:t>
      </w:r>
      <w:r>
        <w:t xml:space="preserve"> </w:t>
      </w:r>
      <m:oMath>
        <m:r>
          <m:t>k</m:t>
        </m:r>
      </m:oMath>
      <w:r>
        <w:t xml:space="preserve"> </w:t>
      </w:r>
      <w:r>
        <w:t xml:space="preserve">is about 0.3–0.5 for erect (erectophile) canopies such as rice and wheat, and about 0.7–1.0 for planophile canopies such as cotton, soybean and sunflower. The</w:t>
      </w:r>
      <w:r>
        <w:t xml:space="preserve"> </w:t>
      </w:r>
      <w:r>
        <w:rPr>
          <w:bCs/>
          <w:b/>
        </w:rPr>
        <w:t xml:space="preserve">fraction of absorbed PAR</w:t>
      </w:r>
      <w:r>
        <w:t xml:space="preserve"> </w:t>
      </w:r>
      <w:r>
        <w:t xml:space="preserve">follows directly:</w:t>
      </w:r>
    </w:p>
    <w:p>
      <w:pPr>
        <w:pStyle w:val="BodyText"/>
      </w:pPr>
      <m:oMathPara>
        <m:oMathParaPr>
          <m:jc m:val="center"/>
        </m:oMathParaPr>
        <m:oMath>
          <m:sSub>
            <m:e>
              <m:r>
                <m:t>f</m:t>
              </m:r>
            </m:e>
            <m:sub>
              <m:r>
                <m:t>A</m:t>
              </m:r>
              <m:r>
                <m:t>P</m:t>
              </m:r>
              <m:r>
                <m:t>A</m:t>
              </m:r>
              <m:r>
                <m:t>R</m:t>
              </m:r>
            </m:sub>
          </m:sSub>
          <m:r>
            <m:rPr>
              <m:sty m:val="p"/>
            </m:rPr>
            <m:t>≈</m:t>
          </m:r>
          <m:r>
            <m:t>1</m:t>
          </m:r>
          <m:r>
            <m:rPr>
              <m:sty m:val="p"/>
            </m:rPr>
            <m:t>−</m:t>
          </m:r>
          <m:sSup>
            <m:e>
              <m:r>
                <m:t>e</m:t>
              </m:r>
            </m:e>
            <m:sup>
              <m:r>
                <m:rPr>
                  <m:sty m:val="p"/>
                </m:rPr>
                <m:t>−</m:t>
              </m:r>
              <m:r>
                <m:t>k</m:t>
              </m:r>
              <m:r>
                <m:t> </m:t>
              </m:r>
              <m:r>
                <m:t>L</m:t>
              </m:r>
              <m:r>
                <m:t>A</m:t>
              </m:r>
              <m:r>
                <m:t>I</m:t>
              </m:r>
            </m:sup>
          </m:sSup>
        </m:oMath>
      </m:oMathPara>
    </w:p>
    <w:p>
      <w:pPr>
        <w:pStyle w:val="FirstParagraph"/>
      </w:pPr>
      <w:r>
        <w:t xml:space="preserve">This is the physical link between remote sensing (NDVI is nearly linear in fAPAR) and crop growth (Monteith’s light use efficiency model).</w:t>
      </w:r>
    </w:p>
    <w:p>
      <w:pPr>
        <w:pStyle w:val="Heading3"/>
      </w:pPr>
      <w:r>
        <w:t xml:space="preserve">2.7.3 Soil level</w:t>
      </w:r>
    </w:p>
    <w:p>
      <w:pPr>
        <w:pStyle w:val="FirstParagraph"/>
      </w:pPr>
      <w:r>
        <w:t xml:space="preserve">Soil reflectance generally increases with wavelength. It is lowered by moisture, organic matter and coarse roughness. Iron oxides add absorption features (0.5 and 0.9 µm), clays an Al–OH feature at 2.2 µm, and carbonates a feature at 2.33 µm.</w:t>
      </w:r>
    </w:p>
    <w:p>
      <w:pPr>
        <w:pStyle w:val="Heading3"/>
      </w:pPr>
      <w:r>
        <w:t xml:space="preserve">2.7.4 Microwave interaction</w:t>
      </w:r>
    </w:p>
    <w:p>
      <w:pPr>
        <w:pStyle w:val="FirstParagraph"/>
      </w:pPr>
      <w:r>
        <w:t xml:space="preserve">Microwave interaction is governed by the</w:t>
      </w:r>
      <w:r>
        <w:t xml:space="preserve"> </w:t>
      </w:r>
      <w:r>
        <w:rPr>
          <w:bCs/>
          <w:b/>
        </w:rPr>
        <w:t xml:space="preserve">dielectric constant</w:t>
      </w:r>
      <w:r>
        <w:t xml:space="preserve"> </w:t>
      </w:r>
      <w:r>
        <w:t xml:space="preserve">and</w:t>
      </w:r>
      <w:r>
        <w:t xml:space="preserve"> </w:t>
      </w:r>
      <w:r>
        <w:rPr>
          <w:bCs/>
          <w:b/>
        </w:rPr>
        <w:t xml:space="preserve">geometry</w:t>
      </w:r>
      <w:r>
        <w:t xml:space="preserve">:</w:t>
      </w:r>
    </w:p>
    <w:p>
      <w:pPr>
        <w:pStyle w:val="Compact"/>
        <w:numPr>
          <w:ilvl w:val="0"/>
          <w:numId w:val="1011"/>
        </w:numPr>
      </w:pPr>
      <w:r>
        <w:t xml:space="preserve">The</w:t>
      </w:r>
      <w:r>
        <w:t xml:space="preserve"> </w:t>
      </w:r>
      <w:r>
        <w:rPr>
          <w:bCs/>
          <w:b/>
        </w:rPr>
        <w:t xml:space="preserve">dielectric constant</w:t>
      </w:r>
      <w:r>
        <w:t xml:space="preserve"> </w:t>
      </w:r>
      <w:r>
        <w:t xml:space="preserve">is about 3–5 for dry soil, 20–30 for wet soil and 80 for water. The higher it is, the stronger the reflection and the weaker the penetration.</w:t>
      </w:r>
    </w:p>
    <w:p>
      <w:pPr>
        <w:pStyle w:val="Compact"/>
        <w:numPr>
          <w:ilvl w:val="0"/>
          <w:numId w:val="1011"/>
        </w:numPr>
      </w:pPr>
      <w:r>
        <w:rPr>
          <w:bCs/>
          <w:b/>
        </w:rPr>
        <w:t xml:space="preserve">Scattering mechanisms:</w:t>
      </w:r>
      <w:r>
        <w:t xml:space="preserve"> </w:t>
      </w:r>
      <w:r>
        <w:t xml:space="preserve">surface (bare soil), volume (canopy), double-bounce (stems and water in flooded rice, trunks and ground in forests).</w:t>
      </w:r>
    </w:p>
    <w:p>
      <w:pPr>
        <w:pStyle w:val="Compact"/>
        <w:numPr>
          <w:ilvl w:val="0"/>
          <w:numId w:val="1011"/>
        </w:numPr>
      </w:pPr>
      <w:r>
        <w:rPr>
          <w:bCs/>
          <w:b/>
        </w:rPr>
        <w:t xml:space="preserve">Penetration depth</w:t>
      </w:r>
      <w:r>
        <w:t xml:space="preserve"> </w:t>
      </w:r>
      <w:r>
        <w:t xml:space="preserve">grows with wavelength (P &gt; L &gt; S &gt; C &gt; X) and with dryness.</w:t>
      </w:r>
    </w:p>
    <w:p>
      <w:pPr>
        <w:pStyle w:val="CaptionedFigure"/>
      </w:pPr>
      <w:r>
        <w:drawing>
          <wp:inline>
            <wp:extent cx="5334000" cy="3587114"/>
            <wp:effectExtent b="0" l="0" r="0" t="0"/>
            <wp:docPr descr="How solar radiation becomes a satellite signal over a crop field" title="" id="24" name="Picture"/>
            <a:graphic>
              <a:graphicData uri="http://schemas.openxmlformats.org/drawingml/2006/picture">
                <pic:pic>
                  <pic:nvPicPr>
                    <pic:cNvPr descr="/tmp/claude-0/-home-user-sonu/ab07c29a-21cd-5a4a-9d2d-68ad72d07153/scratchpad/build/../flows/flow_002.png" id="25" name="Picture"/>
                    <pic:cNvPicPr>
                      <a:picLocks noChangeArrowheads="1" noChangeAspect="1"/>
                    </pic:cNvPicPr>
                  </pic:nvPicPr>
                  <pic:blipFill>
                    <a:blip r:embed="rId23"/>
                    <a:stretch>
                      <a:fillRect/>
                    </a:stretch>
                  </pic:blipFill>
                  <pic:spPr bwMode="auto">
                    <a:xfrm>
                      <a:off x="0" y="0"/>
                      <a:ext cx="5334000" cy="3587114"/>
                    </a:xfrm>
                    <a:prstGeom prst="rect">
                      <a:avLst/>
                    </a:prstGeom>
                    <a:noFill/>
                    <a:ln w="9525">
                      <a:noFill/>
                      <a:headEnd/>
                      <a:tailEnd/>
                    </a:ln>
                  </pic:spPr>
                </pic:pic>
              </a:graphicData>
            </a:graphic>
          </wp:inline>
        </w:drawing>
      </w:r>
    </w:p>
    <w:p>
      <w:pPr>
        <w:pStyle w:val="ImageCaption"/>
      </w:pPr>
      <w:r>
        <w:t xml:space="preserve">How solar radiation becomes a satellite signal over a crop field</w:t>
      </w:r>
    </w:p>
    <w:p>
      <w:pPr>
        <w:pStyle w:val="Heading3"/>
      </w:pPr>
      <w:r>
        <w:t xml:space="preserve">2.7.5 Likely interview questions</w:t>
      </w:r>
    </w:p>
    <w:p>
      <w:pPr>
        <w:pStyle w:val="FirstParagraph"/>
      </w:pPr>
      <w:r>
        <w:rPr>
          <w:bCs/>
          <w:b/>
        </w:rPr>
        <w:t xml:space="preserve">Q. State Wien’s law and use it to explain the choice of thermal and fire channels.</w:t>
      </w:r>
      <w:r>
        <w:t xml:space="preserve"> </w:t>
      </w:r>
      <m:oMath>
        <m:sSub>
          <m:e>
            <m:r>
              <m:t>λ</m:t>
            </m:r>
          </m:e>
          <m:sub>
            <m:r>
              <m:t>m</m:t>
            </m:r>
            <m:r>
              <m:t>a</m:t>
            </m:r>
            <m:r>
              <m:t>x</m:t>
            </m:r>
          </m:sub>
        </m:sSub>
        <m:r>
          <m:rPr>
            <m:sty m:val="p"/>
          </m:rPr>
          <m:t>=</m:t>
        </m:r>
        <m:r>
          <m:t>2898</m:t>
        </m:r>
        <m:r>
          <m:rPr>
            <m:sty m:val="p"/>
          </m:rPr>
          <m:t>/</m:t>
        </m:r>
        <m:r>
          <m:t>T</m:t>
        </m:r>
      </m:oMath>
      <w:r>
        <w:t xml:space="preserve"> </w:t>
      </w:r>
      <w:r>
        <w:t xml:space="preserve">µm. Earth surfaces at about 300 K peak near 9.7 µm, so 8–14 µm is used for LST. Fires at about 800–1000 K peak near 3–3.6 µm, so the 3.7–4 µm channel is used to detect fires.</w:t>
      </w:r>
    </w:p>
    <w:p>
      <w:pPr>
        <w:pStyle w:val="BodyText"/>
      </w:pPr>
      <w:r>
        <w:rPr>
          <w:bCs/>
          <w:b/>
        </w:rPr>
        <w:t xml:space="preserve">Q. What is the difference between radiance and irradiance?</w:t>
      </w:r>
      <w:r>
        <w:t xml:space="preserve"> </w:t>
      </w:r>
      <w:r>
        <w:t xml:space="preserve">Irradiance is the flux arriving per unit area (W m⁻²). Radiance is the flux per unit projected area per unit solid angle in a particular direction (W m⁻² sr⁻¹), and it is what a sensor measures.</w:t>
      </w:r>
    </w:p>
    <w:p>
      <w:pPr>
        <w:pStyle w:val="BodyText"/>
      </w:pPr>
      <w:r>
        <w:rPr>
          <w:bCs/>
          <w:b/>
        </w:rPr>
        <w:t xml:space="preserve">Q. Why is the sky blue and why are clouds white?</w:t>
      </w:r>
      <w:r>
        <w:t xml:space="preserve"> </w:t>
      </w:r>
      <w:r>
        <w:t xml:space="preserve">Rayleigh scattering (</w:t>
      </w:r>
      <m:oMath>
        <m:r>
          <m:rPr>
            <m:sty m:val="p"/>
          </m:rPr>
          <m:t>∝</m:t>
        </m:r>
        <m:sSup>
          <m:e>
            <m:r>
              <m:t>λ</m:t>
            </m:r>
          </m:e>
          <m:sup>
            <m:r>
              <m:rPr>
                <m:sty m:val="p"/>
              </m:rPr>
              <m:t>−</m:t>
            </m:r>
            <m:r>
              <m:t>4</m:t>
            </m:r>
          </m:sup>
        </m:sSup>
      </m:oMath>
      <w:r>
        <w:t xml:space="preserve">) by gas molecules favours blue light. Cloud droplets are much larger than visible wavelengths and scatter all of them equally (non-selective scattering), so clouds look white.</w:t>
      </w:r>
    </w:p>
    <w:p>
      <w:pPr>
        <w:pStyle w:val="BodyText"/>
      </w:pPr>
      <w:r>
        <w:rPr>
          <w:bCs/>
          <w:b/>
        </w:rPr>
        <w:t xml:space="preserve">Q. Why is the radiant temperature lower than the kinetic temperature?</w:t>
      </w:r>
      <w:r>
        <w:t xml:space="preserve"> </w:t>
      </w:r>
      <m:oMath>
        <m:sSub>
          <m:e>
            <m:r>
              <m:t>T</m:t>
            </m:r>
          </m:e>
          <m:sub>
            <m:r>
              <m:t>r</m:t>
            </m:r>
            <m:r>
              <m:t>a</m:t>
            </m:r>
            <m:r>
              <m:t>d</m:t>
            </m:r>
          </m:sub>
        </m:sSub>
        <m:r>
          <m:rPr>
            <m:sty m:val="p"/>
          </m:rPr>
          <m:t>=</m:t>
        </m:r>
        <m:sSup>
          <m:e>
            <m:r>
              <m:t>ε</m:t>
            </m:r>
          </m:e>
          <m:sup>
            <m:r>
              <m:t>1</m:t>
            </m:r>
            <m:r>
              <m:rPr>
                <m:sty m:val="p"/>
              </m:rPr>
              <m:t>/</m:t>
            </m:r>
            <m:r>
              <m:t>4</m:t>
            </m:r>
          </m:sup>
        </m:sSup>
        <m:sSub>
          <m:e>
            <m:r>
              <m:t>T</m:t>
            </m:r>
          </m:e>
          <m:sub>
            <m:r>
              <m:t>k</m:t>
            </m:r>
            <m:r>
              <m:t>i</m:t>
            </m:r>
            <m:r>
              <m:t>n</m:t>
            </m:r>
          </m:sub>
        </m:sSub>
      </m:oMath>
      <w:r>
        <w:t xml:space="preserve">, and real surfaces have</w:t>
      </w:r>
      <w:r>
        <w:t xml:space="preserve"> </w:t>
      </w:r>
      <m:oMath>
        <m:r>
          <m:t>ε</m:t>
        </m:r>
        <m:r>
          <m:rPr>
            <m:sty m:val="p"/>
          </m:rPr>
          <m:t>&lt;</m:t>
        </m:r>
        <m:r>
          <m:t>1</m:t>
        </m:r>
      </m:oMath>
      <w:r>
        <w:t xml:space="preserve">.</w:t>
      </w:r>
    </w:p>
    <w:p>
      <w:pPr>
        <w:pStyle w:val="BodyText"/>
      </w:pPr>
      <w:r>
        <w:rPr>
          <w:bCs/>
          <w:b/>
        </w:rPr>
        <w:t xml:space="preserve">Q. What is an atmospheric window? Give the thermal window.</w:t>
      </w:r>
      <w:r>
        <w:t xml:space="preserve"> </w:t>
      </w:r>
      <w:r>
        <w:t xml:space="preserve">A wavelength region of high atmospheric transmittance. The thermal window is 8–14 µm, split by the ozone band at 9.6 µm.</w:t>
      </w:r>
    </w:p>
    <w:p>
      <w:pPr>
        <w:pStyle w:val="BodyText"/>
      </w:pPr>
      <w:r>
        <w:rPr>
          <w:bCs/>
          <w:b/>
        </w:rPr>
        <w:t xml:space="preserve">Q. How does Kirchhoff’s law help in thermal remote sensing?</w:t>
      </w:r>
      <w:r>
        <w:t xml:space="preserve"> </w:t>
      </w:r>
      <w:r>
        <w:t xml:space="preserve">Since</w:t>
      </w:r>
      <w:r>
        <w:t xml:space="preserve"> </w:t>
      </w:r>
      <m:oMath>
        <m:r>
          <m:t>ε</m:t>
        </m:r>
        <m:r>
          <m:rPr>
            <m:sty m:val="p"/>
          </m:rPr>
          <m:t>=</m:t>
        </m:r>
        <m:r>
          <m:t>1</m:t>
        </m:r>
        <m:r>
          <m:rPr>
            <m:sty m:val="p"/>
          </m:rPr>
          <m:t>−</m:t>
        </m:r>
        <m:r>
          <m:t>ρ</m:t>
        </m:r>
      </m:oMath>
      <w:r>
        <w:t xml:space="preserve"> </w:t>
      </w:r>
      <w:r>
        <w:t xml:space="preserve">for opaque bodies, emissivity can be estimated from reflectance (for example the NDVI-threshold method). It also explains why highly reflective metals look cold.</w:t>
      </w:r>
    </w:p>
    <w:p>
      <w:pPr>
        <w:pStyle w:val="Heading1"/>
      </w:pPr>
      <w:r>
        <w:t xml:space="preserve">Chapter 3. Spectral Signatures of Natural Targets and Their Physical Basis</w:t>
      </w:r>
    </w:p>
    <w:p>
      <w:pPr>
        <w:pStyle w:val="Heading2"/>
      </w:pPr>
      <w:r>
        <w:t xml:space="preserve">3.1 Spectral Signatures: Healthy vs. Stressed Vegetation</w:t>
      </w:r>
    </w:p>
    <w:p>
      <w:pPr>
        <w:pStyle w:val="FirstParagraph"/>
      </w:pPr>
      <w:r>
        <w:t xml:space="preserve">The</w:t>
      </w:r>
      <w:r>
        <w:t xml:space="preserve"> </w:t>
      </w:r>
      <w:r>
        <w:rPr>
          <w:bCs/>
          <w:b/>
        </w:rPr>
        <w:t xml:space="preserve">spectral signature</w:t>
      </w:r>
      <w:r>
        <w:t xml:space="preserve"> </w:t>
      </w:r>
      <w:r>
        <w:t xml:space="preserve">is the plot of reflectance (or emittance) versus wavelength that is characteristic of a target. For vegetation, this signature is not static — it is a dynamic, sensitive indicator of physiological state, and this sensitivity is the entire basis of remote-sensing-based crop stress detection.</w:t>
      </w:r>
    </w:p>
    <w:p>
      <w:pPr>
        <w:pStyle w:val="Heading3"/>
      </w:pPr>
      <w:r>
        <w:t xml:space="preserve">3.1.1 What Changes Under Stress</w:t>
      </w:r>
    </w:p>
    <w:tbl>
      <w:tblPr>
        <w:tblStyle w:val="Table"/>
        <w:tblW w:type="pct" w:w="4968"/>
        <w:jc w:val="left"/>
        <w:tblLook w:firstRow="1" w:lastRow="0" w:firstColumn="0" w:lastColumn="0" w:noHBand="0" w:noVBand="0" w:val="0020"/>
      </w:tblPr>
      <w:tblGrid>
        <w:gridCol w:w="949"/>
        <w:gridCol w:w="799"/>
        <w:gridCol w:w="2398"/>
        <w:gridCol w:w="3722"/>
      </w:tblGrid>
      <w:tr>
        <w:trPr>
          <w:tblHeader w:val="true"/>
        </w:trPr>
        <w:tc>
          <w:tcPr/>
          <w:p>
            <w:pPr>
              <w:pStyle w:val="Compact"/>
              <w:jc w:val="left"/>
            </w:pPr>
            <w:r>
              <w:t xml:space="preserve">Stress Factor</w:t>
            </w:r>
          </w:p>
        </w:tc>
        <w:tc>
          <w:tcPr/>
          <w:p>
            <w:pPr>
              <w:pStyle w:val="Compact"/>
              <w:jc w:val="left"/>
            </w:pPr>
            <w:r>
              <w:t xml:space="preserve">Spectral Region Most Affected</w:t>
            </w:r>
          </w:p>
        </w:tc>
        <w:tc>
          <w:tcPr/>
          <w:p>
            <w:pPr>
              <w:pStyle w:val="Compact"/>
              <w:jc w:val="left"/>
            </w:pPr>
            <w:r>
              <w:t xml:space="preserve">Mechanism</w:t>
            </w:r>
          </w:p>
        </w:tc>
        <w:tc>
          <w:tcPr/>
          <w:p>
            <w:pPr>
              <w:pStyle w:val="Compact"/>
              <w:jc w:val="left"/>
            </w:pPr>
            <w:r>
              <w:t xml:space="preserve">Typical Effect</w:t>
            </w:r>
          </w:p>
        </w:tc>
      </w:tr>
      <w:tr>
        <w:tc>
          <w:tcPr/>
          <w:p>
            <w:pPr>
              <w:pStyle w:val="Compact"/>
              <w:jc w:val="left"/>
            </w:pPr>
            <w:r>
              <w:t xml:space="preserve">Nutrient deficiency (esp. Nitrogen)</w:t>
            </w:r>
          </w:p>
        </w:tc>
        <w:tc>
          <w:tcPr/>
          <w:p>
            <w:pPr>
              <w:pStyle w:val="Compact"/>
              <w:jc w:val="left"/>
            </w:pPr>
            <w:r>
              <w:t xml:space="preserve">Visible (green/red), Red edge</w:t>
            </w:r>
          </w:p>
        </w:tc>
        <w:tc>
          <w:tcPr/>
          <w:p>
            <w:pPr>
              <w:pStyle w:val="Compact"/>
              <w:jc w:val="left"/>
            </w:pPr>
            <w:r>
              <w:t xml:space="preserve">Reduced chlorophyll synthesis</w:t>
            </w:r>
          </w:p>
        </w:tc>
        <w:tc>
          <w:tcPr/>
          <w:p>
            <w:pPr>
              <w:pStyle w:val="Compact"/>
              <w:jc w:val="left"/>
            </w:pPr>
            <w:r>
              <w:t xml:space="preserve">Reduced green reflectance peak; red-edge shifts toward shorter wavelengths (</w:t>
            </w:r>
            <w:r>
              <w:t xml:space="preserve">“</w:t>
            </w:r>
            <w:r>
              <w:t xml:space="preserve">blue shift</w:t>
            </w:r>
            <w:r>
              <w:t xml:space="preserve">”</w:t>
            </w:r>
            <w:r>
              <w:t xml:space="preserve">); increased red reflectance (less chlorophyll absorption)</w:t>
            </w:r>
          </w:p>
        </w:tc>
      </w:tr>
      <w:tr>
        <w:tc>
          <w:tcPr/>
          <w:p>
            <w:pPr>
              <w:pStyle w:val="Compact"/>
              <w:jc w:val="left"/>
            </w:pPr>
            <w:r>
              <w:t xml:space="preserve">Water/drought stress</w:t>
            </w:r>
          </w:p>
        </w:tc>
        <w:tc>
          <w:tcPr/>
          <w:p>
            <w:pPr>
              <w:pStyle w:val="Compact"/>
              <w:jc w:val="left"/>
            </w:pPr>
            <w:r>
              <w:t xml:space="preserve">SWIR, Thermal IR</w:t>
            </w:r>
          </w:p>
        </w:tc>
        <w:tc>
          <w:tcPr/>
          <w:p>
            <w:pPr>
              <w:pStyle w:val="Compact"/>
              <w:jc w:val="left"/>
            </w:pPr>
            <w:r>
              <w:t xml:space="preserve">Reduced leaf water content; stomatal closure</w:t>
            </w:r>
          </w:p>
        </w:tc>
        <w:tc>
          <w:tcPr/>
          <w:p>
            <w:pPr>
              <w:pStyle w:val="Compact"/>
              <w:jc w:val="left"/>
            </w:pPr>
            <w:r>
              <w:t xml:space="preserve">Increased SWIR reflectance (1.4–2.5 µm); increased canopy temperature (reduced transpirational cooling)</w:t>
            </w:r>
          </w:p>
        </w:tc>
      </w:tr>
      <w:tr>
        <w:tc>
          <w:tcPr/>
          <w:p>
            <w:pPr>
              <w:pStyle w:val="Compact"/>
              <w:jc w:val="left"/>
            </w:pPr>
            <w:r>
              <w:t xml:space="preserve">Disease/pest infestation</w:t>
            </w:r>
          </w:p>
        </w:tc>
        <w:tc>
          <w:tcPr/>
          <w:p>
            <w:pPr>
              <w:pStyle w:val="Compact"/>
              <w:jc w:val="left"/>
            </w:pPr>
            <w:r>
              <w:t xml:space="preserve">Visible, NIR, red edge</w:t>
            </w:r>
          </w:p>
        </w:tc>
        <w:tc>
          <w:tcPr/>
          <w:p>
            <w:pPr>
              <w:pStyle w:val="Compact"/>
              <w:jc w:val="left"/>
            </w:pPr>
            <w:r>
              <w:t xml:space="preserve">Tissue damage, chlorosis, necrosis, altered internal structure</w:t>
            </w:r>
          </w:p>
        </w:tc>
        <w:tc>
          <w:tcPr/>
          <w:p>
            <w:pPr>
              <w:pStyle w:val="Compact"/>
              <w:jc w:val="left"/>
            </w:pPr>
            <w:r>
              <w:t xml:space="preserve">Decreased NIR reflectance (structural collapse); increased visible reflectance; red-edge shift</w:t>
            </w:r>
          </w:p>
        </w:tc>
      </w:tr>
      <w:tr>
        <w:tc>
          <w:tcPr/>
          <w:p>
            <w:pPr>
              <w:pStyle w:val="Compact"/>
              <w:jc w:val="left"/>
            </w:pPr>
            <w:r>
              <w:t xml:space="preserve">Senescence/maturity</w:t>
            </w:r>
          </w:p>
        </w:tc>
        <w:tc>
          <w:tcPr/>
          <w:p>
            <w:pPr>
              <w:pStyle w:val="Compact"/>
              <w:jc w:val="left"/>
            </w:pPr>
            <w:r>
              <w:t xml:space="preserve">Visible, NIR</w:t>
            </w:r>
          </w:p>
        </w:tc>
        <w:tc>
          <w:tcPr/>
          <w:p>
            <w:pPr>
              <w:pStyle w:val="Compact"/>
              <w:jc w:val="left"/>
            </w:pPr>
            <w:r>
              <w:t xml:space="preserve">Chlorophyll breakdown, exposure of carotenoids/anthocyanins, cell wall degradation</w:t>
            </w:r>
          </w:p>
        </w:tc>
        <w:tc>
          <w:tcPr/>
          <w:p>
            <w:pPr>
              <w:pStyle w:val="Compact"/>
              <w:jc w:val="left"/>
            </w:pPr>
            <w:r>
              <w:t xml:space="preserve">Rising visible reflectance (yellowing), declining NIR plateau</w:t>
            </w:r>
          </w:p>
        </w:tc>
      </w:tr>
      <w:tr>
        <w:tc>
          <w:tcPr/>
          <w:p>
            <w:pPr>
              <w:pStyle w:val="Compact"/>
              <w:jc w:val="left"/>
            </w:pPr>
            <w:r>
              <w:t xml:space="preserve">Salinity stress</w:t>
            </w:r>
          </w:p>
        </w:tc>
        <w:tc>
          <w:tcPr/>
          <w:p>
            <w:pPr>
              <w:pStyle w:val="Compact"/>
              <w:jc w:val="left"/>
            </w:pPr>
            <w:r>
              <w:t xml:space="preserve">Visible, SWIR</w:t>
            </w:r>
          </w:p>
        </w:tc>
        <w:tc>
          <w:tcPr/>
          <w:p>
            <w:pPr>
              <w:pStyle w:val="Compact"/>
              <w:jc w:val="left"/>
            </w:pPr>
            <w:r>
              <w:t xml:space="preserve">Reduced pigment content, altered water relations, sometimes leaf surface salt crystallization</w:t>
            </w:r>
          </w:p>
        </w:tc>
        <w:tc>
          <w:tcPr/>
          <w:p>
            <w:pPr>
              <w:pStyle w:val="Compact"/>
              <w:jc w:val="left"/>
            </w:pPr>
            <w:r>
              <w:t xml:space="preserve">Increased overall brightness, altered water bands</w:t>
            </w:r>
          </w:p>
        </w:tc>
      </w:tr>
    </w:tbl>
    <w:p>
      <w:pPr>
        <w:pStyle w:val="BodyText"/>
      </w:pPr>
      <w:r>
        <w:t xml:space="preserve">The general, most-often-tested pattern is:</w:t>
      </w:r>
      <w:r>
        <w:t xml:space="preserve"> </w:t>
      </w:r>
      <w:r>
        <w:rPr>
          <w:bCs/>
          <w:b/>
        </w:rPr>
        <w:t xml:space="preserve">early or mild physiological stress first manifests in pigment-related bands (visible, red edge) and in leaf water content bands (SWIR) — often before visible wilting is apparent to the naked eye</w:t>
      </w:r>
      <w:r>
        <w:t xml:space="preserve"> </w:t>
      </w:r>
      <w:r>
        <w:t xml:space="preserve">— while advanced structural damage manifests as a drop in the NIR plateau. This is why multispectral/hyperspectral remote sensing is valued for detecting</w:t>
      </w:r>
      <w:r>
        <w:t xml:space="preserve"> </w:t>
      </w:r>
      <w:r>
        <w:t xml:space="preserve">“</w:t>
      </w:r>
      <w:r>
        <w:t xml:space="preserve">sub-visual</w:t>
      </w:r>
      <w:r>
        <w:t xml:space="preserve">”</w:t>
      </w:r>
      <w:r>
        <w:t xml:space="preserve"> </w:t>
      </w:r>
      <w:r>
        <w:t xml:space="preserve">or pre-symptomatic stress, enabling proactive intervention in precision agriculture.</w:t>
      </w:r>
    </w:p>
    <w:p>
      <w:pPr>
        <w:pStyle w:val="Heading3"/>
      </w:pPr>
      <w:r>
        <w:t xml:space="preserve">3.1.2 Three Controlling Factors of the Signature</w:t>
      </w:r>
    </w:p>
    <w:p>
      <w:pPr>
        <w:numPr>
          <w:ilvl w:val="0"/>
          <w:numId w:val="1012"/>
        </w:numPr>
      </w:pPr>
      <w:r>
        <w:rPr>
          <w:bCs/>
          <w:b/>
        </w:rPr>
        <w:t xml:space="preserve">Leaf pigments</w:t>
      </w:r>
      <w:r>
        <w:t xml:space="preserve"> </w:t>
      </w:r>
      <w:r>
        <w:t xml:space="preserve">(chlorophyll a/b, carotenoids, anthocyanins) — control visible-region absorption. Chlorophyll content correlates with nitrogen status and photosynthetic capacity, making the red/red-edge region the primary target for chlorophyll- and nitrogen-sensitive indices (e.g., Chlorophyll Index, Red Edge NDVI, MERIS Terrestrial Chlorophyll Index).</w:t>
      </w:r>
    </w:p>
    <w:p>
      <w:pPr>
        <w:numPr>
          <w:ilvl w:val="0"/>
          <w:numId w:val="1012"/>
        </w:numPr>
      </w:pPr>
      <w:r>
        <w:rPr>
          <w:bCs/>
          <w:b/>
        </w:rPr>
        <w:t xml:space="preserve">Internal leaf (cellular) structure</w:t>
      </w:r>
      <w:r>
        <w:t xml:space="preserve"> </w:t>
      </w:r>
      <w:r>
        <w:t xml:space="preserve">— mesophyll cell arrangement, intercellular air spaces, and the number of cell layers control NIR scattering. Structural collapse (from disease, frost, mechanical damage) sharply reduces NIR reflectance even if pigments are unaffected. This factor also drives cross-species differences in NIR reflectance (e.g., broadleaf vs. needle-leaf canopies).</w:t>
      </w:r>
    </w:p>
    <w:p>
      <w:pPr>
        <w:numPr>
          <w:ilvl w:val="0"/>
          <w:numId w:val="1012"/>
        </w:numPr>
      </w:pPr>
      <w:r>
        <w:rPr>
          <w:bCs/>
          <w:b/>
        </w:rPr>
        <w:t xml:space="preserve">Leaf/canopy water content</w:t>
      </w:r>
      <w:r>
        <w:t xml:space="preserve"> </w:t>
      </w:r>
      <w:r>
        <w:t xml:space="preserve">— controls SWIR absorption features. This is the earliest and most sensitive indicator for irrigation scheduling and drought monitoring because plants regulate water status actively (stomatal closure) well before visible wilting.</w:t>
      </w:r>
    </w:p>
    <w:p>
      <w:pPr>
        <w:pStyle w:val="FirstParagraph"/>
      </w:pPr>
      <w:r>
        <w:t xml:space="preserve">Beyond the leaf scale,</w:t>
      </w:r>
      <w:r>
        <w:t xml:space="preserve"> </w:t>
      </w:r>
      <w:r>
        <w:rPr>
          <w:bCs/>
          <w:b/>
        </w:rPr>
        <w:t xml:space="preserve">canopy-level factors</w:t>
      </w:r>
      <w:r>
        <w:t xml:space="preserve"> </w:t>
      </w:r>
      <w:r>
        <w:t xml:space="preserve">further modulate the observed signature: leaf area index (LAI), canopy architecture (erectophile vs. planophile leaf angle distributions), row orientation and spacing, ground cover fraction, and the exposed soil background — all of which mix with the pure leaf spectrum to produce the</w:t>
      </w:r>
      <w:r>
        <w:t xml:space="preserve"> </w:t>
      </w:r>
      <w:r>
        <w:t xml:space="preserve">“</w:t>
      </w:r>
      <w:r>
        <w:t xml:space="preserve">canopy spectral signature</w:t>
      </w:r>
      <w:r>
        <w:t xml:space="preserve">”</w:t>
      </w:r>
      <w:r>
        <w:t xml:space="preserve"> </w:t>
      </w:r>
      <w:r>
        <w:t xml:space="preserve">that a satellite sensor actually records.</w:t>
      </w:r>
    </w:p>
    <w:p>
      <w:pPr>
        <w:pStyle w:val="Heading2"/>
      </w:pPr>
      <w:r>
        <w:t xml:space="preserve">3.2 Soil Spectral Behavior and Its Influence on Canopy Reflectance</w:t>
      </w:r>
    </w:p>
    <w:p>
      <w:pPr>
        <w:pStyle w:val="FirstParagraph"/>
      </w:pPr>
      <w:r>
        <w:t xml:space="preserve">Because satellite sensors observe an area (pixel) rather than a single leaf, the recorded signal for any partially-vegetated agricultural field is a</w:t>
      </w:r>
      <w:r>
        <w:t xml:space="preserve"> </w:t>
      </w:r>
      <w:r>
        <w:rPr>
          <w:iCs/>
          <w:i/>
        </w:rPr>
        <w:t xml:space="preserve">mixture</w:t>
      </w:r>
      <w:r>
        <w:t xml:space="preserve"> </w:t>
      </w:r>
      <w:r>
        <w:t xml:space="preserve">of vegetation and background soil reflectance, weighted by fractional cover. This has two major implications tested frequently in agricultural remote sensing:</w:t>
      </w:r>
    </w:p>
    <w:p>
      <w:pPr>
        <w:numPr>
          <w:ilvl w:val="0"/>
          <w:numId w:val="1013"/>
        </w:numPr>
      </w:pPr>
      <w:r>
        <w:rPr>
          <w:bCs/>
          <w:b/>
        </w:rPr>
        <w:t xml:space="preserve">Early-season and sparse-canopy conditions are soil-dominated.</w:t>
      </w:r>
      <w:r>
        <w:t xml:space="preserve"> </w:t>
      </w:r>
      <w:r>
        <w:t xml:space="preserve">At crop emergence or low LAI, a large fraction of the pixel signal originates from bare or partially-covered soil, so vegetation indices computed at this stage are strongly biased by soil brightness, moisture, and color rather than by the crop itself. This is a well-documented source of error in early-season yield forecasting and crop-area estimation.</w:t>
      </w:r>
    </w:p>
    <w:p>
      <w:pPr>
        <w:numPr>
          <w:ilvl w:val="0"/>
          <w:numId w:val="1013"/>
        </w:numPr>
      </w:pPr>
      <w:r>
        <w:rPr>
          <w:bCs/>
          <w:b/>
        </w:rPr>
        <w:t xml:space="preserve">The</w:t>
      </w:r>
      <w:r>
        <w:rPr>
          <w:bCs/>
          <w:b/>
        </w:rPr>
        <w:t xml:space="preserve"> </w:t>
      </w:r>
      <w:r>
        <w:rPr>
          <w:bCs/>
          <w:b/>
        </w:rPr>
        <w:t xml:space="preserve">“</w:t>
      </w:r>
      <w:r>
        <w:rPr>
          <w:bCs/>
          <w:b/>
        </w:rPr>
        <w:t xml:space="preserve">soil line</w:t>
      </w:r>
      <w:r>
        <w:rPr>
          <w:bCs/>
          <w:b/>
        </w:rPr>
        <w:t xml:space="preserve">”</w:t>
      </w:r>
      <w:r>
        <w:rPr>
          <w:bCs/>
          <w:b/>
        </w:rPr>
        <w:t xml:space="preserve"> </w:t>
      </w:r>
      <w:r>
        <w:rPr>
          <w:bCs/>
          <w:b/>
        </w:rPr>
        <w:t xml:space="preserve">concept.</w:t>
      </w:r>
      <w:r>
        <w:t xml:space="preserve"> </w:t>
      </w:r>
      <w:r>
        <w:t xml:space="preserve">When soil reflectance is plotted in Red–NIR space across varying moisture and organic matter conditions, bare soils of similar composition fall approximately along a straight line — the</w:t>
      </w:r>
      <w:r>
        <w:t xml:space="preserve"> </w:t>
      </w:r>
      <w:r>
        <w:t xml:space="preserve">“</w:t>
      </w:r>
      <w:r>
        <w:t xml:space="preserve">soil line.</w:t>
      </w:r>
      <w:r>
        <w:t xml:space="preserve">”</w:t>
      </w:r>
      <w:r>
        <w:t xml:space="preserve"> </w:t>
      </w:r>
      <w:r>
        <w:t xml:space="preserve">Vegetation indices such as the</w:t>
      </w:r>
      <w:r>
        <w:t xml:space="preserve"> </w:t>
      </w:r>
      <w:r>
        <w:rPr>
          <w:bCs/>
          <w:b/>
        </w:rPr>
        <w:t xml:space="preserve">Soil-Adjusted Vegetation Index (SAVI)</w:t>
      </w:r>
      <w:r>
        <w:t xml:space="preserve">, introduced by Huete (1988), and its later refinements (Modified SAVI, Transformed SAVI, Optimized SAVI) incorporate a soil-brightness correction factor (L) precisely to minimize this soil-background</w:t>
      </w:r>
      <w:r>
        <w:t xml:space="preserve"> </w:t>
      </w:r>
      <w:r>
        <w:t xml:space="preserve">“</w:t>
      </w:r>
      <w:r>
        <w:t xml:space="preserve">noise</w:t>
      </w:r>
      <w:r>
        <w:t xml:space="preserve">”</w:t>
      </w:r>
      <w:r>
        <w:t xml:space="preserve"> </w:t>
      </w:r>
      <w:r>
        <w:t xml:space="preserve">so that the residual signal more purely reflects vegetation canopy properties. This is essential in row crops, semi-arid croplands, and fields with variable soil color (e.g., black cotton soils vs. sandy loams in Indian agro-climatic zones).</w:t>
      </w:r>
    </w:p>
    <w:p>
      <w:pPr>
        <w:pStyle w:val="FirstParagraph"/>
      </w:pPr>
      <w:r>
        <w:t xml:space="preserve">Soil spectral behavior is therefore not a nuisance to be ignored — it is itself informative (moisture, texture, organic carbon mapping) but must be explicitly modeled or corrected for when the objective is a pure crop-canopy biophysical parameter.</w:t>
      </w:r>
    </w:p>
    <w:p>
      <w:pPr>
        <w:pStyle w:val="Heading2"/>
      </w:pPr>
      <w:r>
        <w:t xml:space="preserve">3.3 The Physical Basis of Spectral Signatures</w:t>
      </w:r>
    </w:p>
    <w:p>
      <w:pPr>
        <w:pStyle w:val="FirstParagraph"/>
      </w:pPr>
      <w:r>
        <w:t xml:space="preserve">A spectral signature is not arbitrary. Each feature on a reflectance curve comes from a specific</w:t>
      </w:r>
      <w:r>
        <w:t xml:space="preserve"> </w:t>
      </w:r>
      <w:r>
        <w:rPr>
          <w:bCs/>
          <w:b/>
        </w:rPr>
        <w:t xml:space="preserve">physical process at the molecular, cellular or structural level</w:t>
      </w:r>
      <w:r>
        <w:t xml:space="preserve">:</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Process</w:t>
            </w:r>
          </w:p>
        </w:tc>
        <w:tc>
          <w:tcPr/>
          <w:p>
            <w:pPr>
              <w:pStyle w:val="Compact"/>
              <w:jc w:val="left"/>
            </w:pPr>
            <w:r>
              <w:t xml:space="preserve">Wavelength region</w:t>
            </w:r>
          </w:p>
        </w:tc>
        <w:tc>
          <w:tcPr/>
          <w:p>
            <w:pPr>
              <w:pStyle w:val="Compact"/>
              <w:jc w:val="left"/>
            </w:pPr>
            <w:r>
              <w:t xml:space="preserve">What causes it</w:t>
            </w:r>
          </w:p>
        </w:tc>
        <w:tc>
          <w:tcPr/>
          <w:p>
            <w:pPr>
              <w:pStyle w:val="Compact"/>
              <w:jc w:val="left"/>
            </w:pPr>
            <w:r>
              <w:t xml:space="preserve">Example</w:t>
            </w:r>
          </w:p>
        </w:tc>
      </w:tr>
      <w:tr>
        <w:tc>
          <w:tcPr/>
          <w:p>
            <w:pPr>
              <w:pStyle w:val="Compact"/>
              <w:jc w:val="left"/>
            </w:pPr>
            <w:r>
              <w:rPr>
                <w:bCs/>
                <w:b/>
              </w:rPr>
              <w:t xml:space="preserve">Electronic transitions</w:t>
            </w:r>
          </w:p>
        </w:tc>
        <w:tc>
          <w:tcPr/>
          <w:p>
            <w:pPr>
              <w:pStyle w:val="Compact"/>
              <w:jc w:val="left"/>
            </w:pPr>
            <w:r>
              <w:t xml:space="preserve">UV–VIS (0.3–1.0 µm)</w:t>
            </w:r>
          </w:p>
        </w:tc>
        <w:tc>
          <w:tcPr/>
          <w:p>
            <w:pPr>
              <w:pStyle w:val="Compact"/>
              <w:jc w:val="left"/>
            </w:pPr>
            <w:r>
              <w:t xml:space="preserve">Electrons in pigments and in transition-metal ions (Fe²⁺, Fe³⁺) jump energy levels and absorb photons</w:t>
            </w:r>
          </w:p>
        </w:tc>
        <w:tc>
          <w:tcPr/>
          <w:p>
            <w:pPr>
              <w:pStyle w:val="Compact"/>
              <w:jc w:val="left"/>
            </w:pPr>
            <w:r>
              <w:t xml:space="preserve">Chlorophyll absorption at 0.45 and 0.67 µm; iron-oxide features at 0.5 and 0.9 µm</w:t>
            </w:r>
          </w:p>
        </w:tc>
      </w:tr>
      <w:tr>
        <w:tc>
          <w:tcPr/>
          <w:p>
            <w:pPr>
              <w:pStyle w:val="Compact"/>
              <w:jc w:val="left"/>
            </w:pPr>
            <w:r>
              <w:rPr>
                <w:bCs/>
                <w:b/>
              </w:rPr>
              <w:t xml:space="preserve">Charge-transfer</w:t>
            </w:r>
          </w:p>
        </w:tc>
        <w:tc>
          <w:tcPr/>
          <w:p>
            <w:pPr>
              <w:pStyle w:val="Compact"/>
              <w:jc w:val="left"/>
            </w:pPr>
            <w:r>
              <w:t xml:space="preserve">VIS</w:t>
            </w:r>
          </w:p>
        </w:tc>
        <w:tc>
          <w:tcPr/>
          <w:p>
            <w:pPr>
              <w:pStyle w:val="Compact"/>
              <w:jc w:val="left"/>
            </w:pPr>
            <w:r>
              <w:t xml:space="preserve">Electron transfer between ions</w:t>
            </w:r>
          </w:p>
        </w:tc>
        <w:tc>
          <w:tcPr/>
          <w:p>
            <w:pPr>
              <w:pStyle w:val="Compact"/>
              <w:jc w:val="left"/>
            </w:pPr>
            <w:r>
              <w:t xml:space="preserve">Red colour of hematite-rich soils</w:t>
            </w:r>
          </w:p>
        </w:tc>
      </w:tr>
      <w:tr>
        <w:tc>
          <w:tcPr/>
          <w:p>
            <w:pPr>
              <w:pStyle w:val="Compact"/>
              <w:jc w:val="left"/>
            </w:pPr>
            <w:r>
              <w:rPr>
                <w:bCs/>
                <w:b/>
              </w:rPr>
              <w:t xml:space="preserve">Vibrational overtones and combinations</w:t>
            </w:r>
          </w:p>
        </w:tc>
        <w:tc>
          <w:tcPr/>
          <w:p>
            <w:pPr>
              <w:pStyle w:val="Compact"/>
              <w:jc w:val="left"/>
            </w:pPr>
            <w:r>
              <w:t xml:space="preserve">SWIR (1–2.5 µm)</w:t>
            </w:r>
          </w:p>
        </w:tc>
        <w:tc>
          <w:tcPr/>
          <w:p>
            <w:pPr>
              <w:pStyle w:val="Compact"/>
              <w:jc w:val="left"/>
            </w:pPr>
            <w:r>
              <w:t xml:space="preserve">Overtones of O–H, C–H, N–H, Al–OH, Mg–OH, CO₃ bond vibrations</w:t>
            </w:r>
          </w:p>
        </w:tc>
        <w:tc>
          <w:tcPr/>
          <w:p>
            <w:pPr>
              <w:pStyle w:val="Compact"/>
              <w:jc w:val="left"/>
            </w:pPr>
            <w:r>
              <w:t xml:space="preserve">Water at 1.4 and 1.9 µm; clays at 2.2 µm; carbonates at 2.33 µm; cellulose and lignin at 2.1 µm</w:t>
            </w:r>
          </w:p>
        </w:tc>
      </w:tr>
      <w:tr>
        <w:tc>
          <w:tcPr/>
          <w:p>
            <w:pPr>
              <w:pStyle w:val="Compact"/>
              <w:jc w:val="left"/>
            </w:pPr>
            <w:r>
              <w:rPr>
                <w:bCs/>
                <w:b/>
              </w:rPr>
              <w:t xml:space="preserve">Fundamental vibrations</w:t>
            </w:r>
          </w:p>
        </w:tc>
        <w:tc>
          <w:tcPr/>
          <w:p>
            <w:pPr>
              <w:pStyle w:val="Compact"/>
              <w:jc w:val="left"/>
            </w:pPr>
            <w:r>
              <w:t xml:space="preserve">TIR (3–14 µm)</w:t>
            </w:r>
          </w:p>
        </w:tc>
        <w:tc>
          <w:tcPr/>
          <w:p>
            <w:pPr>
              <w:pStyle w:val="Compact"/>
              <w:jc w:val="left"/>
            </w:pPr>
            <w:r>
              <w:t xml:space="preserve">Si–O stretching in silicates (reststrahlen bands)</w:t>
            </w:r>
          </w:p>
        </w:tc>
        <w:tc>
          <w:tcPr/>
          <w:p>
            <w:pPr>
              <w:pStyle w:val="Compact"/>
              <w:jc w:val="left"/>
            </w:pPr>
            <w:r>
              <w:t xml:space="preserve">Quartz emissivity dip at 8–9.5 µm</w:t>
            </w:r>
          </w:p>
        </w:tc>
      </w:tr>
      <w:tr>
        <w:tc>
          <w:tcPr/>
          <w:p>
            <w:pPr>
              <w:pStyle w:val="Compact"/>
              <w:jc w:val="left"/>
            </w:pPr>
            <w:r>
              <w:rPr>
                <w:bCs/>
                <w:b/>
              </w:rPr>
              <w:t xml:space="preserve">Rotational transitions</w:t>
            </w:r>
          </w:p>
        </w:tc>
        <w:tc>
          <w:tcPr/>
          <w:p>
            <w:pPr>
              <w:pStyle w:val="Compact"/>
              <w:jc w:val="left"/>
            </w:pPr>
            <w:r>
              <w:t xml:space="preserve">Microwave</w:t>
            </w:r>
          </w:p>
        </w:tc>
        <w:tc>
          <w:tcPr/>
          <w:p>
            <w:pPr>
              <w:pStyle w:val="Compact"/>
              <w:jc w:val="left"/>
            </w:pPr>
            <w:r>
              <w:t xml:space="preserve">Rotation of polar molecules (H₂O)</w:t>
            </w:r>
          </w:p>
        </w:tc>
        <w:tc>
          <w:tcPr/>
          <w:p>
            <w:pPr>
              <w:pStyle w:val="Compact"/>
              <w:jc w:val="left"/>
            </w:pPr>
            <w:r>
              <w:t xml:space="preserve">Water vapour line at 22.235 GHz; dielectric loss of water</w:t>
            </w:r>
          </w:p>
        </w:tc>
      </w:tr>
      <w:tr>
        <w:tc>
          <w:tcPr/>
          <w:p>
            <w:pPr>
              <w:pStyle w:val="Compact"/>
              <w:jc w:val="left"/>
            </w:pPr>
            <w:r>
              <w:rPr>
                <w:bCs/>
                <w:b/>
              </w:rPr>
              <w:t xml:space="preserve">Volume (multiple) scattering</w:t>
            </w:r>
          </w:p>
        </w:tc>
        <w:tc>
          <w:tcPr/>
          <w:p>
            <w:pPr>
              <w:pStyle w:val="Compact"/>
              <w:jc w:val="left"/>
            </w:pPr>
            <w:r>
              <w:t xml:space="preserve">NIR</w:t>
            </w:r>
          </w:p>
        </w:tc>
        <w:tc>
          <w:tcPr/>
          <w:p>
            <w:pPr>
              <w:pStyle w:val="Compact"/>
              <w:jc w:val="left"/>
            </w:pPr>
            <w:r>
              <w:t xml:space="preserve">Refractive-index contrast between cell walls and air spaces</w:t>
            </w:r>
          </w:p>
        </w:tc>
        <w:tc>
          <w:tcPr/>
          <w:p>
            <w:pPr>
              <w:pStyle w:val="Compact"/>
              <w:jc w:val="left"/>
            </w:pPr>
            <w:r>
              <w:t xml:space="preserve">High NIR plateau of leaves</w:t>
            </w:r>
          </w:p>
        </w:tc>
      </w:tr>
      <w:tr>
        <w:tc>
          <w:tcPr/>
          <w:p>
            <w:pPr>
              <w:pStyle w:val="Compact"/>
              <w:jc w:val="left"/>
            </w:pPr>
            <w:r>
              <w:rPr>
                <w:bCs/>
                <w:b/>
              </w:rPr>
              <w:t xml:space="preserve">Surface and geometric scattering</w:t>
            </w:r>
          </w:p>
        </w:tc>
        <w:tc>
          <w:tcPr/>
          <w:p>
            <w:pPr>
              <w:pStyle w:val="Compact"/>
              <w:jc w:val="left"/>
            </w:pPr>
            <w:r>
              <w:t xml:space="preserve">All</w:t>
            </w:r>
          </w:p>
        </w:tc>
        <w:tc>
          <w:tcPr/>
          <w:p>
            <w:pPr>
              <w:pStyle w:val="Compact"/>
              <w:jc w:val="left"/>
            </w:pPr>
            <w:r>
              <w:t xml:space="preserve">Roughness, shadowing, BRDF</w:t>
            </w:r>
          </w:p>
        </w:tc>
        <w:tc>
          <w:tcPr/>
          <w:p>
            <w:pPr>
              <w:pStyle w:val="Compact"/>
              <w:jc w:val="left"/>
            </w:pPr>
            <w:r>
              <w:t xml:space="preserve">Brightness differences between ploughed and smooth soil</w:t>
            </w:r>
          </w:p>
        </w:tc>
      </w:tr>
    </w:tbl>
    <w:p>
      <w:pPr>
        <w:pStyle w:val="KeyPoint"/>
      </w:pPr>
      <w:r>
        <w:rPr>
          <w:bCs/>
          <w:b/>
        </w:rPr>
        <w:t xml:space="preserve">Thumb rule.</w:t>
      </w:r>
      <w:r>
        <w:t xml:space="preserve"> </w:t>
      </w:r>
      <w:r>
        <w:t xml:space="preserve">The VIS region tells you about</w:t>
      </w:r>
      <w:r>
        <w:t xml:space="preserve"> </w:t>
      </w:r>
      <w:r>
        <w:rPr>
          <w:bCs/>
          <w:b/>
        </w:rPr>
        <w:t xml:space="preserve">pigments and colour</w:t>
      </w:r>
      <w:r>
        <w:t xml:space="preserve"> </w:t>
      </w:r>
      <w:r>
        <w:t xml:space="preserve">(electronic processes). The NIR tells you about</w:t>
      </w:r>
      <w:r>
        <w:t xml:space="preserve"> </w:t>
      </w:r>
      <w:r>
        <w:rPr>
          <w:bCs/>
          <w:b/>
        </w:rPr>
        <w:t xml:space="preserve">structure</w:t>
      </w:r>
      <w:r>
        <w:t xml:space="preserve"> </w:t>
      </w:r>
      <w:r>
        <w:t xml:space="preserve">(scattering). The SWIR tells you about</w:t>
      </w:r>
      <w:r>
        <w:t xml:space="preserve"> </w:t>
      </w:r>
      <w:r>
        <w:rPr>
          <w:bCs/>
          <w:b/>
        </w:rPr>
        <w:t xml:space="preserve">water and chemistry</w:t>
      </w:r>
      <w:r>
        <w:t xml:space="preserve"> </w:t>
      </w:r>
      <w:r>
        <w:t xml:space="preserve">(vibrational overtones). The TIR tells you about</w:t>
      </w:r>
      <w:r>
        <w:t xml:space="preserve"> </w:t>
      </w:r>
      <w:r>
        <w:rPr>
          <w:bCs/>
          <w:b/>
        </w:rPr>
        <w:t xml:space="preserve">temperature and mineralogy</w:t>
      </w:r>
      <w:r>
        <w:t xml:space="preserve"> </w:t>
      </w:r>
      <w:r>
        <w:t xml:space="preserve">(emission). Microwaves tell you about</w:t>
      </w:r>
      <w:r>
        <w:t xml:space="preserve"> </w:t>
      </w:r>
      <w:r>
        <w:rPr>
          <w:bCs/>
          <w:b/>
        </w:rPr>
        <w:t xml:space="preserve">moisture and geometry</w:t>
      </w:r>
      <w:r>
        <w:t xml:space="preserve"> </w:t>
      </w:r>
      <w:r>
        <w:t xml:space="preserve">(dielectric constant and roughness).</w:t>
      </w:r>
    </w:p>
    <w:p>
      <w:pPr>
        <w:pStyle w:val="Heading2"/>
      </w:pPr>
      <w:r>
        <w:t xml:space="preserve">3.4 Spectral Signatures of Other Natural Targets</w:t>
      </w:r>
    </w:p>
    <w:p>
      <w:pPr>
        <w:pStyle w:val="FirstParagraph"/>
      </w:pPr>
      <w:r>
        <w:t xml:space="preserve">The vegetation and soil curves were covered earlier in this chapter. The remaining important targets are below.</w:t>
      </w:r>
    </w:p>
    <w:p>
      <w:pPr>
        <w:pStyle w:val="Heading3"/>
      </w:pPr>
      <w:r>
        <w:t xml:space="preserve">3.4.1 Water</w:t>
      </w:r>
    </w:p>
    <w:p>
      <w:pPr>
        <w:pStyle w:val="Compact"/>
        <w:numPr>
          <w:ilvl w:val="0"/>
          <w:numId w:val="1014"/>
        </w:numPr>
      </w:pPr>
      <w:r>
        <w:rPr>
          <w:bCs/>
          <w:b/>
        </w:rPr>
        <w:t xml:space="preserve">Clear water</w:t>
      </w:r>
      <w:r>
        <w:t xml:space="preserve"> </w:t>
      </w:r>
      <w:r>
        <w:t xml:space="preserve">reflects a little in blue-green (maximum about 0.45–0.55 µm, 3–10%), and almost nothing beyond 0.75 µm because water strongly absorbs NIR and SWIR. It therefore appears</w:t>
      </w:r>
      <w:r>
        <w:t xml:space="preserve"> </w:t>
      </w:r>
      <w:r>
        <w:rPr>
          <w:bCs/>
          <w:b/>
        </w:rPr>
        <w:t xml:space="preserve">black in NIR and SWIR</w:t>
      </w:r>
      <w:r>
        <w:t xml:space="preserve">, which is the basis of NDWI/MNDWI water masks and flood mapping.</w:t>
      </w:r>
    </w:p>
    <w:p>
      <w:pPr>
        <w:pStyle w:val="Compact"/>
        <w:numPr>
          <w:ilvl w:val="0"/>
          <w:numId w:val="1014"/>
        </w:numPr>
      </w:pPr>
      <w:r>
        <w:rPr>
          <w:bCs/>
          <w:b/>
        </w:rPr>
        <w:t xml:space="preserve">Turbid water</w:t>
      </w:r>
      <w:r>
        <w:t xml:space="preserve"> </w:t>
      </w:r>
      <w:r>
        <w:t xml:space="preserve">(suspended sediment) has higher reflectance across VIS and into NIR, with the peak shifting towards red.</w:t>
      </w:r>
    </w:p>
    <w:p>
      <w:pPr>
        <w:pStyle w:val="Compact"/>
        <w:numPr>
          <w:ilvl w:val="0"/>
          <w:numId w:val="1014"/>
        </w:numPr>
      </w:pPr>
      <w:r>
        <w:rPr>
          <w:bCs/>
          <w:b/>
        </w:rPr>
        <w:t xml:space="preserve">Algal or chlorophyll-rich water</w:t>
      </w:r>
      <w:r>
        <w:t xml:space="preserve"> </w:t>
      </w:r>
      <w:r>
        <w:t xml:space="preserve">shows a green peak (0.55 µm), chlorophyll absorption at 0.44 and 0.67 µm, and a small fluorescence peak near 0.685 µm, which the OCM and Sentinel-3 OLCI ocean-colour bands use.</w:t>
      </w:r>
    </w:p>
    <w:p>
      <w:pPr>
        <w:pStyle w:val="Compact"/>
        <w:numPr>
          <w:ilvl w:val="0"/>
          <w:numId w:val="1014"/>
        </w:numPr>
      </w:pPr>
      <w:r>
        <w:rPr>
          <w:bCs/>
          <w:b/>
        </w:rPr>
        <w:t xml:space="preserve">Depth and bottom effects:</w:t>
      </w:r>
      <w:r>
        <w:t xml:space="preserve"> </w:t>
      </w:r>
      <w:r>
        <w:t xml:space="preserve">in shallow clear water, bottom reflectance adds to the signal (useful for bathymetry).</w:t>
      </w:r>
    </w:p>
    <w:p>
      <w:pPr>
        <w:pStyle w:val="Compact"/>
        <w:numPr>
          <w:ilvl w:val="0"/>
          <w:numId w:val="1014"/>
        </w:numPr>
      </w:pPr>
      <w:r>
        <w:rPr>
          <w:bCs/>
          <w:b/>
        </w:rPr>
        <w:t xml:space="preserve">Specular reflection</w:t>
      </w:r>
      <w:r>
        <w:t xml:space="preserve"> </w:t>
      </w:r>
      <w:r>
        <w:t xml:space="preserve">(sun glint) from calm water can saturate the visible bands.</w:t>
      </w:r>
    </w:p>
    <w:p>
      <w:pPr>
        <w:pStyle w:val="Heading3"/>
      </w:pPr>
      <w:r>
        <w:t xml:space="preserve">3.4.2 Snow, ice and clouds</w:t>
      </w:r>
    </w:p>
    <w:tbl>
      <w:tblPr>
        <w:tblStyle w:val="Table"/>
        <w:tblW w:type="pct" w:w="5000"/>
        <w:jc w:val="left"/>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Target</w:t>
            </w:r>
          </w:p>
        </w:tc>
        <w:tc>
          <w:tcPr/>
          <w:p>
            <w:pPr>
              <w:pStyle w:val="Compact"/>
              <w:jc w:val="left"/>
            </w:pPr>
            <w:r>
              <w:t xml:space="preserve">VIS</w:t>
            </w:r>
          </w:p>
        </w:tc>
        <w:tc>
          <w:tcPr/>
          <w:p>
            <w:pPr>
              <w:pStyle w:val="Compact"/>
              <w:jc w:val="left"/>
            </w:pPr>
            <w:r>
              <w:t xml:space="preserve">NIR</w:t>
            </w:r>
          </w:p>
        </w:tc>
        <w:tc>
          <w:tcPr/>
          <w:p>
            <w:pPr>
              <w:pStyle w:val="Compact"/>
              <w:jc w:val="left"/>
            </w:pPr>
            <w:r>
              <w:t xml:space="preserve">SWIR (1.6 µm)</w:t>
            </w:r>
          </w:p>
        </w:tc>
        <w:tc>
          <w:tcPr/>
          <w:p>
            <w:pPr>
              <w:pStyle w:val="Compact"/>
              <w:jc w:val="left"/>
            </w:pPr>
            <w:r>
              <w:t xml:space="preserve">TIR</w:t>
            </w:r>
          </w:p>
        </w:tc>
        <w:tc>
          <w:tcPr/>
          <w:p>
            <w:pPr>
              <w:pStyle w:val="Compact"/>
              <w:jc w:val="left"/>
            </w:pPr>
            <w:r>
              <w:t xml:space="preserve">Discriminator</w:t>
            </w:r>
          </w:p>
        </w:tc>
      </w:tr>
      <w:tr>
        <w:tc>
          <w:tcPr/>
          <w:p>
            <w:pPr>
              <w:pStyle w:val="Compact"/>
              <w:jc w:val="left"/>
            </w:pPr>
            <w:r>
              <w:t xml:space="preserve">Fresh snow</w:t>
            </w:r>
          </w:p>
        </w:tc>
        <w:tc>
          <w:tcPr/>
          <w:p>
            <w:pPr>
              <w:pStyle w:val="Compact"/>
              <w:jc w:val="left"/>
            </w:pPr>
            <w:r>
              <w:t xml:space="preserve">Very high (80–95%)</w:t>
            </w:r>
          </w:p>
        </w:tc>
        <w:tc>
          <w:tcPr/>
          <w:p>
            <w:pPr>
              <w:pStyle w:val="Compact"/>
              <w:jc w:val="left"/>
            </w:pPr>
            <w:r>
              <w:t xml:space="preserve">High</w:t>
            </w:r>
          </w:p>
        </w:tc>
        <w:tc>
          <w:tcPr/>
          <w:p>
            <w:pPr>
              <w:pStyle w:val="Compact"/>
              <w:jc w:val="left"/>
            </w:pPr>
            <w:r>
              <w:rPr>
                <w:bCs/>
                <w:b/>
              </w:rPr>
              <w:t xml:space="preserve">Very low</w:t>
            </w:r>
            <w:r>
              <w:t xml:space="preserve"> </w:t>
            </w:r>
            <w:r>
              <w:t xml:space="preserve">(ice absorbs)</w:t>
            </w:r>
          </w:p>
        </w:tc>
        <w:tc>
          <w:tcPr/>
          <w:p>
            <w:pPr>
              <w:pStyle w:val="Compact"/>
              <w:jc w:val="left"/>
            </w:pPr>
            <w:r>
              <w:t xml:space="preserve">Cold</w:t>
            </w:r>
          </w:p>
        </w:tc>
        <w:tc>
          <w:tcPr/>
          <w:p>
            <w:pPr>
              <w:pStyle w:val="Compact"/>
              <w:jc w:val="left"/>
            </w:pPr>
            <w:r>
              <w:rPr>
                <w:bCs/>
                <w:b/>
              </w:rPr>
              <w:t xml:space="preserve">NDSI</w:t>
            </w:r>
            <w:r>
              <w:t xml:space="preserve"> </w:t>
            </w:r>
            <w:r>
              <w:t xml:space="preserve">= (Green − SWIR)/(Green + SWIR) &gt; 0.4</w:t>
            </w:r>
          </w:p>
        </w:tc>
      </w:tr>
      <w:tr>
        <w:tc>
          <w:tcPr/>
          <w:p>
            <w:pPr>
              <w:pStyle w:val="Compact"/>
              <w:jc w:val="left"/>
            </w:pPr>
            <w:r>
              <w:t xml:space="preserve">Old / dirty snow</w:t>
            </w:r>
          </w:p>
        </w:tc>
        <w:tc>
          <w:tcPr/>
          <w:p>
            <w:pPr>
              <w:pStyle w:val="Compact"/>
              <w:jc w:val="left"/>
            </w:pPr>
            <w:r>
              <w:t xml:space="preserve">40–70%</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Cold</w:t>
            </w:r>
          </w:p>
        </w:tc>
        <w:tc>
          <w:tcPr/>
          <w:p>
            <w:pPr>
              <w:pStyle w:val="Compact"/>
              <w:jc w:val="left"/>
            </w:pPr>
            <w:r>
              <w:t xml:space="preserve">Decreasing VIS reflectance with age and grain growth</w:t>
            </w:r>
          </w:p>
        </w:tc>
      </w:tr>
      <w:tr>
        <w:tc>
          <w:tcPr/>
          <w:p>
            <w:pPr>
              <w:pStyle w:val="Compact"/>
              <w:jc w:val="left"/>
            </w:pPr>
            <w:r>
              <w:t xml:space="preserve">Water clouds</w:t>
            </w:r>
          </w:p>
        </w:tc>
        <w:tc>
          <w:tcPr/>
          <w:p>
            <w:pPr>
              <w:pStyle w:val="Compact"/>
              <w:jc w:val="left"/>
            </w:pPr>
            <w:r>
              <w:t xml:space="preserve">High</w:t>
            </w:r>
          </w:p>
        </w:tc>
        <w:tc>
          <w:tcPr/>
          <w:p>
            <w:pPr>
              <w:pStyle w:val="Compact"/>
              <w:jc w:val="left"/>
            </w:pPr>
            <w:r>
              <w:t xml:space="preserve">High</w:t>
            </w:r>
          </w:p>
        </w:tc>
        <w:tc>
          <w:tcPr/>
          <w:p>
            <w:pPr>
              <w:pStyle w:val="Compact"/>
              <w:jc w:val="left"/>
            </w:pPr>
            <w:r>
              <w:rPr>
                <w:bCs/>
                <w:b/>
              </w:rPr>
              <w:t xml:space="preserve">High</w:t>
            </w:r>
            <w:r>
              <w:t xml:space="preserve"> </w:t>
            </w:r>
            <w:r>
              <w:t xml:space="preserve">(small droplets scatter)</w:t>
            </w:r>
          </w:p>
        </w:tc>
        <w:tc>
          <w:tcPr/>
          <w:p>
            <w:pPr>
              <w:pStyle w:val="Compact"/>
              <w:jc w:val="left"/>
            </w:pPr>
            <w:r>
              <w:t xml:space="preserve">Warm to cold depending on height</w:t>
            </w:r>
          </w:p>
        </w:tc>
        <w:tc>
          <w:tcPr/>
          <w:p>
            <w:pPr>
              <w:pStyle w:val="Compact"/>
              <w:jc w:val="left"/>
            </w:pPr>
            <w:r>
              <w:t xml:space="preserve">Snow is dark in SWIR, cloud is bright</w:t>
            </w:r>
          </w:p>
        </w:tc>
      </w:tr>
      <w:tr>
        <w:tc>
          <w:tcPr/>
          <w:p>
            <w:pPr>
              <w:pStyle w:val="Compact"/>
              <w:jc w:val="left"/>
            </w:pPr>
            <w:r>
              <w:t xml:space="preserve">Ice clouds (cirrus)</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Lower</w:t>
            </w:r>
          </w:p>
        </w:tc>
        <w:tc>
          <w:tcPr/>
          <w:p>
            <w:pPr>
              <w:pStyle w:val="Compact"/>
              <w:jc w:val="left"/>
            </w:pPr>
            <w:r>
              <w:t xml:space="preserve">Very cold</w:t>
            </w:r>
          </w:p>
        </w:tc>
        <w:tc>
          <w:tcPr/>
          <w:p>
            <w:pPr>
              <w:pStyle w:val="Compact"/>
              <w:jc w:val="left"/>
            </w:pPr>
            <w:r>
              <w:t xml:space="preserve">1.38 µm cirrus band (Landsat-8 band 9, Sentinel-2 B10)</w:t>
            </w:r>
          </w:p>
        </w:tc>
      </w:tr>
    </w:tbl>
    <w:p>
      <w:pPr>
        <w:pStyle w:val="BodyText"/>
      </w:pPr>
      <w:r>
        <w:t xml:space="preserve">Typical</w:t>
      </w:r>
      <w:r>
        <w:t xml:space="preserve"> </w:t>
      </w:r>
      <w:r>
        <w:rPr>
          <w:bCs/>
          <w:b/>
        </w:rPr>
        <w:t xml:space="preserve">albedos</w:t>
      </w:r>
      <w:r>
        <w:t xml:space="preserve">: fresh snow 0.80–0.90, old snow 0.40–0.70, Cb tops 0.90, thick Cs 0.74, St 0.68, ocean 0.06–0.08, forests 0.10–0.18, crops 0.18–0.25, desert sand 0.27–0.40. Visible imagery uses albedo to separate clouds (bright) from land and sea, while infrared imagery uses cloud-top temperature. The two are combined in the bi-spectral method.</w:t>
      </w:r>
    </w:p>
    <w:p>
      <w:pPr>
        <w:pStyle w:val="Heading3"/>
      </w:pPr>
      <w:r>
        <w:t xml:space="preserve">3.4.3 Rocks and minerals</w:t>
      </w:r>
    </w:p>
    <w:p>
      <w:pPr>
        <w:pStyle w:val="Compact"/>
        <w:numPr>
          <w:ilvl w:val="0"/>
          <w:numId w:val="1015"/>
        </w:numPr>
      </w:pPr>
      <w:r>
        <w:rPr>
          <w:bCs/>
          <w:b/>
        </w:rPr>
        <w:t xml:space="preserve">Iron oxides</w:t>
      </w:r>
      <w:r>
        <w:t xml:space="preserve"> </w:t>
      </w:r>
      <w:r>
        <w:t xml:space="preserve">(hematite, goethite): absorption at 0.48–0.55 and about 0.9 µm, giving a red appearance.</w:t>
      </w:r>
    </w:p>
    <w:p>
      <w:pPr>
        <w:pStyle w:val="Compact"/>
        <w:numPr>
          <w:ilvl w:val="0"/>
          <w:numId w:val="1015"/>
        </w:numPr>
      </w:pPr>
      <w:r>
        <w:rPr>
          <w:bCs/>
          <w:b/>
        </w:rPr>
        <w:t xml:space="preserve">Clay minerals</w:t>
      </w:r>
      <w:r>
        <w:t xml:space="preserve"> </w:t>
      </w:r>
      <w:r>
        <w:t xml:space="preserve">(kaolinite, montmorillonite, illite): Al–OH absorption at</w:t>
      </w:r>
      <w:r>
        <w:t xml:space="preserve"> </w:t>
      </w:r>
      <w:r>
        <w:rPr>
          <w:bCs/>
          <w:b/>
        </w:rPr>
        <w:t xml:space="preserve">2.2 µm</w:t>
      </w:r>
      <w:r>
        <w:t xml:space="preserve">. Kaolinite has a doublet at 2.16/2.21 µm.</w:t>
      </w:r>
    </w:p>
    <w:p>
      <w:pPr>
        <w:pStyle w:val="Compact"/>
        <w:numPr>
          <w:ilvl w:val="0"/>
          <w:numId w:val="1015"/>
        </w:numPr>
      </w:pPr>
      <w:r>
        <w:rPr>
          <w:bCs/>
          <w:b/>
        </w:rPr>
        <w:t xml:space="preserve">Carbonates</w:t>
      </w:r>
      <w:r>
        <w:t xml:space="preserve"> </w:t>
      </w:r>
      <w:r>
        <w:t xml:space="preserve">(calcite, dolomite): CO₃ absorption at</w:t>
      </w:r>
      <w:r>
        <w:t xml:space="preserve"> </w:t>
      </w:r>
      <w:r>
        <w:rPr>
          <w:bCs/>
          <w:b/>
        </w:rPr>
        <w:t xml:space="preserve">2.33–2.35 µm</w:t>
      </w:r>
      <w:r>
        <w:t xml:space="preserve">.</w:t>
      </w:r>
    </w:p>
    <w:p>
      <w:pPr>
        <w:pStyle w:val="Compact"/>
        <w:numPr>
          <w:ilvl w:val="0"/>
          <w:numId w:val="1015"/>
        </w:numPr>
      </w:pPr>
      <w:r>
        <w:rPr>
          <w:bCs/>
          <w:b/>
        </w:rPr>
        <w:t xml:space="preserve">Mg–OH minerals</w:t>
      </w:r>
      <w:r>
        <w:t xml:space="preserve"> </w:t>
      </w:r>
      <w:r>
        <w:t xml:space="preserve">(chlorite, talc): about 2.3 µm.</w:t>
      </w:r>
    </w:p>
    <w:p>
      <w:pPr>
        <w:pStyle w:val="Compact"/>
        <w:numPr>
          <w:ilvl w:val="0"/>
          <w:numId w:val="1015"/>
        </w:numPr>
      </w:pPr>
      <w:r>
        <w:rPr>
          <w:bCs/>
          <w:b/>
        </w:rPr>
        <w:t xml:space="preserve">Silicates in TIR:</w:t>
      </w:r>
      <w:r>
        <w:t xml:space="preserve"> </w:t>
      </w:r>
      <w:r>
        <w:t xml:space="preserve">the reststrahlen emissivity minimum moves from about 8.5 µm (felsic, quartz-rich) to about 10.5 µm (mafic). ASTER’s five TIR bands exploit this.</w:t>
      </w:r>
    </w:p>
    <w:p>
      <w:pPr>
        <w:pStyle w:val="Heading3"/>
      </w:pPr>
      <w:r>
        <w:t xml:space="preserve">3.4.4 Built-up and other man-made surfaces</w:t>
      </w:r>
    </w:p>
    <w:p>
      <w:pPr>
        <w:pStyle w:val="FirstParagraph"/>
      </w:pPr>
      <w:r>
        <w:t xml:space="preserve">Concrete and roofs are relatively bright and flat across VIS–SWIR. Asphalt is dark. Built-up areas often have</w:t>
      </w:r>
      <w:r>
        <w:t xml:space="preserve"> </w:t>
      </w:r>
      <w:r>
        <w:rPr>
          <w:bCs/>
          <w:b/>
        </w:rPr>
        <w:t xml:space="preserve">higher SWIR than NIR</w:t>
      </w:r>
      <w:r>
        <w:t xml:space="preserve">, which the</w:t>
      </w:r>
      <w:r>
        <w:t xml:space="preserve"> </w:t>
      </w:r>
      <w:r>
        <w:rPr>
          <w:bCs/>
          <w:b/>
        </w:rPr>
        <w:t xml:space="preserve">NDBI</w:t>
      </w:r>
      <w:r>
        <w:t xml:space="preserve"> </w:t>
      </w:r>
      <w:r>
        <w:t xml:space="preserve">= (SWIR − NIR)/(SWIR + NIR) uses. They are warmer in TIR (urban heat island) and bright in SAR (double-bounce and corner reflectors).</w:t>
      </w:r>
    </w:p>
    <w:p>
      <w:pPr>
        <w:pStyle w:val="Heading3"/>
      </w:pPr>
      <w:r>
        <w:t xml:space="preserve">3.4.5 Burnt areas</w:t>
      </w:r>
    </w:p>
    <w:p>
      <w:pPr>
        <w:pStyle w:val="FirstParagraph"/>
      </w:pPr>
      <w:r>
        <w:t xml:space="preserve">Fire removes green vegetation, so NIR drops and SWIR rises (char, exposed soil, loss of water). This gives the</w:t>
      </w:r>
      <w:r>
        <w:t xml:space="preserve"> </w:t>
      </w:r>
      <w:r>
        <w:rPr>
          <w:bCs/>
          <w:b/>
        </w:rPr>
        <w:t xml:space="preserve">Normalized Burn Ratio</w:t>
      </w:r>
      <w:r>
        <w:t xml:space="preserve"> </w:t>
      </w:r>
      <w:r>
        <w:t xml:space="preserve">NBR = (NIR − SWIR₂)/(NIR + SWIR₂). The difference dNBR = NBR(pre) − NBR(post) measures</w:t>
      </w:r>
      <w:r>
        <w:t xml:space="preserve"> </w:t>
      </w:r>
      <w:r>
        <w:rPr>
          <w:bCs/>
          <w:b/>
        </w:rPr>
        <w:t xml:space="preserve">burn severity</w:t>
      </w:r>
      <w:r>
        <w:t xml:space="preserve">.</w:t>
      </w:r>
    </w:p>
    <w:p>
      <w:pPr>
        <w:pStyle w:val="Heading3"/>
      </w:pPr>
      <w:r>
        <w:t xml:space="preserve">3.4.6 Crops: differences between crop types</w:t>
      </w:r>
    </w:p>
    <w:p>
      <w:pPr>
        <w:pStyle w:val="FirstParagraph"/>
      </w:pPr>
      <w:r>
        <w:t xml:space="preserve">Crop types differ in canopy architecture (erectophile wheat and rice versus planophile cotton and soybean), leaf colour, phenology (sowing date, length of season) and background (flooded rice, bare soil between sugarcane rows). Because single-date signatures overlap, crop discrimination relies on</w:t>
      </w:r>
      <w:r>
        <w:t xml:space="preserve"> </w:t>
      </w:r>
      <w:r>
        <w:rPr>
          <w:bCs/>
          <w:b/>
        </w:rPr>
        <w:t xml:space="preserve">multi-date (temporal) signatures</w:t>
      </w:r>
      <w:r>
        <w:t xml:space="preserve">, that is, the shape of the NDVI or back-scatter</w:t>
      </w:r>
      <w:r>
        <w:t xml:space="preserve"> </w:t>
      </w:r>
      <w:r>
        <w:rPr>
          <w:bCs/>
          <w:b/>
        </w:rPr>
        <w:t xml:space="preserve">time profile</w:t>
      </w:r>
      <w:r>
        <w:t xml:space="preserve">. This is why FASAL uses multi-date AWiFS, LISS-III, Sentinel and SAR data.</w:t>
      </w:r>
    </w:p>
    <w:p>
      <w:pPr>
        <w:pStyle w:val="Heading2"/>
      </w:pPr>
      <w:r>
        <w:t xml:space="preserve">3.5 Factors that Cause Spectral Variability</w:t>
      </w:r>
    </w:p>
    <w:p>
      <w:pPr>
        <w:pStyle w:val="FirstParagraph"/>
      </w:pPr>
      <w:r>
        <w:t xml:space="preserve">The signature of the</w:t>
      </w:r>
      <w:r>
        <w:t xml:space="preserve"> </w:t>
      </w:r>
      <w:r>
        <w:rPr>
          <w:iCs/>
          <w:i/>
        </w:rPr>
        <w:t xml:space="preserve">same</w:t>
      </w:r>
      <w:r>
        <w:t xml:space="preserve"> </w:t>
      </w:r>
      <w:r>
        <w:t xml:space="preserve">class varies because of:</w:t>
      </w:r>
    </w:p>
    <w:p>
      <w:pPr>
        <w:pStyle w:val="Compact"/>
        <w:numPr>
          <w:ilvl w:val="0"/>
          <w:numId w:val="1016"/>
        </w:numPr>
      </w:pPr>
      <w:r>
        <w:rPr>
          <w:bCs/>
          <w:b/>
        </w:rPr>
        <w:t xml:space="preserve">Phenology and condition:</w:t>
      </w:r>
      <w:r>
        <w:t xml:space="preserve"> </w:t>
      </w:r>
      <w:r>
        <w:t xml:space="preserve">growth stage, stress, senescence, disease.</w:t>
      </w:r>
    </w:p>
    <w:p>
      <w:pPr>
        <w:pStyle w:val="Compact"/>
        <w:numPr>
          <w:ilvl w:val="0"/>
          <w:numId w:val="1016"/>
        </w:numPr>
      </w:pPr>
      <w:r>
        <w:rPr>
          <w:bCs/>
          <w:b/>
        </w:rPr>
        <w:t xml:space="preserve">Background:</w:t>
      </w:r>
      <w:r>
        <w:t xml:space="preserve"> </w:t>
      </w:r>
      <w:r>
        <w:t xml:space="preserve">soil colour and moisture under sparse canopy, standing water.</w:t>
      </w:r>
    </w:p>
    <w:p>
      <w:pPr>
        <w:pStyle w:val="Compact"/>
        <w:numPr>
          <w:ilvl w:val="0"/>
          <w:numId w:val="1016"/>
        </w:numPr>
      </w:pPr>
      <w:r>
        <w:rPr>
          <w:bCs/>
          <w:b/>
        </w:rPr>
        <w:t xml:space="preserve">Illumination and viewing geometry:</w:t>
      </w:r>
      <w:r>
        <w:t xml:space="preserve"> </w:t>
      </w:r>
      <w:r>
        <w:t xml:space="preserve">solar zenith and azimuth, view angle, topography (slope and aspect),</w:t>
      </w:r>
      <w:r>
        <w:t xml:space="preserve"> </w:t>
      </w:r>
      <w:r>
        <w:rPr>
          <w:bCs/>
          <w:b/>
        </w:rPr>
        <w:t xml:space="preserve">BRDF</w:t>
      </w:r>
      <w:r>
        <w:t xml:space="preserve"> </w:t>
      </w:r>
      <w:r>
        <w:t xml:space="preserve">effects, hot spot.</w:t>
      </w:r>
    </w:p>
    <w:p>
      <w:pPr>
        <w:pStyle w:val="Compact"/>
        <w:numPr>
          <w:ilvl w:val="0"/>
          <w:numId w:val="1016"/>
        </w:numPr>
      </w:pPr>
      <w:r>
        <w:rPr>
          <w:bCs/>
          <w:b/>
        </w:rPr>
        <w:t xml:space="preserve">Atmosphere:</w:t>
      </w:r>
      <w:r>
        <w:t xml:space="preserve"> </w:t>
      </w:r>
      <w:r>
        <w:t xml:space="preserve">haze, water vapour, thin cloud.</w:t>
      </w:r>
    </w:p>
    <w:p>
      <w:pPr>
        <w:pStyle w:val="Compact"/>
        <w:numPr>
          <w:ilvl w:val="0"/>
          <w:numId w:val="1016"/>
        </w:numPr>
      </w:pPr>
      <w:r>
        <w:rPr>
          <w:bCs/>
          <w:b/>
        </w:rPr>
        <w:t xml:space="preserve">Mixed pixels:</w:t>
      </w:r>
      <w:r>
        <w:t xml:space="preserve"> </w:t>
      </w:r>
      <w:r>
        <w:t xml:space="preserve">a pixel covering several classes yields a linear (or non-linear) mixture:</w:t>
      </w:r>
      <w:r>
        <w:t xml:space="preserve"> </w:t>
      </w:r>
      <m:oMath>
        <m:sSub>
          <m:e>
            <m:r>
              <m:t>ρ</m:t>
            </m:r>
          </m:e>
          <m:sub>
            <m:r>
              <m:t>p</m:t>
            </m:r>
            <m:r>
              <m:t>i</m:t>
            </m:r>
            <m:r>
              <m:t>x</m:t>
            </m:r>
            <m:r>
              <m:t>e</m:t>
            </m:r>
            <m:r>
              <m:t>l</m:t>
            </m:r>
          </m:sub>
        </m:sSub>
        <m:r>
          <m:rPr>
            <m:sty m:val="p"/>
          </m:rPr>
          <m:t>=</m:t>
        </m:r>
        <m:nary>
          <m:naryPr>
            <m:chr m:val="∑"/>
            <m:limLoc m:val="undOvr"/>
            <m:subHide m:val="off"/>
            <m:supHide m:val="on"/>
          </m:naryPr>
          <m:sub>
            <m:r>
              <m:t>i</m:t>
            </m:r>
          </m:sub>
          <m:sup>
            <m:r>
              <m:t>​</m:t>
            </m:r>
          </m:sup>
          <m:e>
            <m:sSub>
              <m:e>
                <m:r>
                  <m:t>f</m:t>
                </m:r>
              </m:e>
              <m:sub>
                <m:r>
                  <m:t>i</m:t>
                </m:r>
              </m:sub>
            </m:sSub>
          </m:e>
        </m:nary>
        <m:r>
          <m:t> </m:t>
        </m:r>
        <m:sSub>
          <m:e>
            <m:r>
              <m:t>ρ</m:t>
            </m:r>
          </m:e>
          <m:sub>
            <m:r>
              <m:t>i</m:t>
            </m:r>
          </m:sub>
        </m:sSub>
      </m:oMath>
      <w:r>
        <w:t xml:space="preserve"> </w:t>
      </w:r>
      <w:r>
        <w:t xml:space="preserve">with</w:t>
      </w:r>
      <w:r>
        <w:t xml:space="preserve"> </w:t>
      </w:r>
      <m:oMath>
        <m:r>
          <m:rPr>
            <m:sty m:val="p"/>
          </m:rPr>
          <m:t>∑</m:t>
        </m:r>
        <m:sSub>
          <m:e>
            <m:r>
              <m:t>f</m:t>
            </m:r>
          </m:e>
          <m:sub>
            <m:r>
              <m:t>i</m:t>
            </m:r>
          </m:sub>
        </m:sSub>
        <m:r>
          <m:rPr>
            <m:sty m:val="p"/>
          </m:rPr>
          <m:t>=</m:t>
        </m:r>
        <m:r>
          <m:t>1</m:t>
        </m:r>
      </m:oMath>
      <w:r>
        <w:t xml:space="preserve">. This is the basis of</w:t>
      </w:r>
      <w:r>
        <w:t xml:space="preserve"> </w:t>
      </w:r>
      <w:r>
        <w:rPr>
          <w:bCs/>
          <w:b/>
        </w:rPr>
        <w:t xml:space="preserve">linear spectral unmixing</w:t>
      </w:r>
      <w:r>
        <w:t xml:space="preserve">.</w:t>
      </w:r>
    </w:p>
    <w:p>
      <w:pPr>
        <w:pStyle w:val="Heading2"/>
      </w:pPr>
      <w:r>
        <w:t xml:space="preserve">3.6 Measuring and Separating Signatures</w:t>
      </w:r>
    </w:p>
    <w:p>
      <w:pPr>
        <w:pStyle w:val="FirstParagraph"/>
      </w:pPr>
      <w:r>
        <w:rPr>
          <w:bCs/>
          <w:b/>
        </w:rPr>
        <w:t xml:space="preserve">Spectral libraries</w:t>
      </w:r>
      <w:r>
        <w:t xml:space="preserve"> </w:t>
      </w:r>
      <w:r>
        <w:t xml:space="preserve">(USGS, JPL/ASTER, ECOSTRESS libraries, ISRO field spectra) are compiled with field spectroradiometers (for example ASD FieldSpec, 350–2500 nm) and calibrated against a Spectralon (≈100% Lambertian) white reference:</w:t>
      </w:r>
    </w:p>
    <w:p>
      <w:pPr>
        <w:pStyle w:val="BodyText"/>
      </w:pPr>
      <m:oMathPara>
        <m:oMathParaPr>
          <m:jc m:val="center"/>
        </m:oMathParaPr>
        <m:oMath>
          <m:sSub>
            <m:e>
              <m:r>
                <m:t>ρ</m:t>
              </m:r>
            </m:e>
            <m:sub>
              <m:r>
                <m:t>t</m:t>
              </m:r>
              <m:r>
                <m:t>a</m:t>
              </m:r>
              <m:r>
                <m:t>r</m:t>
              </m:r>
              <m:r>
                <m:t>g</m:t>
              </m:r>
              <m:r>
                <m:t>e</m:t>
              </m:r>
              <m:r>
                <m:t>t</m:t>
              </m:r>
            </m:sub>
          </m:sSub>
          <m:d>
            <m:dPr>
              <m:begChr m:val="("/>
              <m:endChr m:val=")"/>
              <m:sepChr m:val=""/>
              <m:grow/>
            </m:dPr>
            <m:e>
              <m:r>
                <m:t>λ</m:t>
              </m:r>
            </m:e>
          </m:d>
          <m:r>
            <m:rPr>
              <m:sty m:val="p"/>
            </m:rPr>
            <m:t>=</m:t>
          </m:r>
          <m:f>
            <m:fPr>
              <m:type m:val="bar"/>
            </m:fPr>
            <m:num>
              <m:r>
                <m:t>D</m:t>
              </m:r>
              <m:sSub>
                <m:e>
                  <m:r>
                    <m:t>N</m:t>
                  </m:r>
                </m:e>
                <m:sub>
                  <m:r>
                    <m:t>t</m:t>
                  </m:r>
                  <m:r>
                    <m:t>a</m:t>
                  </m:r>
                  <m:r>
                    <m:t>r</m:t>
                  </m:r>
                  <m:r>
                    <m:t>g</m:t>
                  </m:r>
                  <m:r>
                    <m:t>e</m:t>
                  </m:r>
                  <m:r>
                    <m:t>t</m:t>
                  </m:r>
                </m:sub>
              </m:sSub>
              <m:d>
                <m:dPr>
                  <m:begChr m:val="("/>
                  <m:endChr m:val=")"/>
                  <m:sepChr m:val=""/>
                  <m:grow/>
                </m:dPr>
                <m:e>
                  <m:r>
                    <m:t>λ</m:t>
                  </m:r>
                </m:e>
              </m:d>
            </m:num>
            <m:den>
              <m:r>
                <m:t>D</m:t>
              </m:r>
              <m:sSub>
                <m:e>
                  <m:r>
                    <m:t>N</m:t>
                  </m:r>
                </m:e>
                <m:sub>
                  <m:r>
                    <m:t>r</m:t>
                  </m:r>
                  <m:r>
                    <m:t>e</m:t>
                  </m:r>
                  <m:r>
                    <m:t>f</m:t>
                  </m:r>
                  <m:r>
                    <m:t>e</m:t>
                  </m:r>
                  <m:r>
                    <m:t>r</m:t>
                  </m:r>
                  <m:r>
                    <m:t>e</m:t>
                  </m:r>
                  <m:r>
                    <m:t>n</m:t>
                  </m:r>
                  <m:r>
                    <m:t>c</m:t>
                  </m:r>
                  <m:r>
                    <m:t>e</m:t>
                  </m:r>
                </m:sub>
              </m:sSub>
              <m:d>
                <m:dPr>
                  <m:begChr m:val="("/>
                  <m:endChr m:val=")"/>
                  <m:sepChr m:val=""/>
                  <m:grow/>
                </m:dPr>
                <m:e>
                  <m:r>
                    <m:t>λ</m:t>
                  </m:r>
                </m:e>
              </m:d>
            </m:den>
          </m:f>
          <m:r>
            <m:rPr>
              <m:sty m:val="p"/>
            </m:rPr>
            <m:t>×</m:t>
          </m:r>
          <m:sSub>
            <m:e>
              <m:r>
                <m:t>ρ</m:t>
              </m:r>
            </m:e>
            <m:sub>
              <m:r>
                <m:t>p</m:t>
              </m:r>
              <m:r>
                <m:t>a</m:t>
              </m:r>
              <m:r>
                <m:t>n</m:t>
              </m:r>
              <m:r>
                <m:t>e</m:t>
              </m:r>
              <m:r>
                <m:t>l</m:t>
              </m:r>
            </m:sub>
          </m:sSub>
          <m:d>
            <m:dPr>
              <m:begChr m:val="("/>
              <m:endChr m:val=")"/>
              <m:sepChr m:val=""/>
              <m:grow/>
            </m:dPr>
            <m:e>
              <m:r>
                <m:t>λ</m:t>
              </m:r>
            </m:e>
          </m:d>
        </m:oMath>
      </m:oMathPara>
    </w:p>
    <w:p>
      <w:pPr>
        <w:pStyle w:val="FirstParagraph"/>
      </w:pPr>
      <w:r>
        <w:rPr>
          <w:bCs/>
          <w:b/>
        </w:rPr>
        <w:t xml:space="preserve">Separability measures</w:t>
      </w:r>
      <w:r>
        <w:t xml:space="preserve"> </w:t>
      </w:r>
      <w:r>
        <w:t xml:space="preserve">used to choose the best bands for classification:</w:t>
      </w:r>
    </w:p>
    <w:p>
      <w:pPr>
        <w:pStyle w:val="Compact"/>
        <w:numPr>
          <w:ilvl w:val="0"/>
          <w:numId w:val="1017"/>
        </w:numPr>
      </w:pPr>
      <w:r>
        <w:rPr>
          <w:bCs/>
          <w:b/>
        </w:rPr>
        <w:t xml:space="preserve">Euclidean distance</w:t>
      </w:r>
      <w:r>
        <w:t xml:space="preserve"> </w:t>
      </w:r>
      <w:r>
        <w:t xml:space="preserve">between class means (ignores variance).</w:t>
      </w:r>
    </w:p>
    <w:p>
      <w:pPr>
        <w:pStyle w:val="Compact"/>
        <w:numPr>
          <w:ilvl w:val="0"/>
          <w:numId w:val="1017"/>
        </w:numPr>
      </w:pPr>
      <w:r>
        <w:rPr>
          <w:bCs/>
          <w:b/>
        </w:rPr>
        <w:t xml:space="preserve">Divergence</w:t>
      </w:r>
      <w:r>
        <w:t xml:space="preserve">, and</w:t>
      </w:r>
      <w:r>
        <w:t xml:space="preserve"> </w:t>
      </w:r>
      <w:r>
        <w:rPr>
          <w:bCs/>
          <w:b/>
        </w:rPr>
        <w:t xml:space="preserve">Transformed Divergence (TD)</w:t>
      </w:r>
      <w:r>
        <w:t xml:space="preserve">, scaled 0–2000. TD above 1900 means good separability.</w:t>
      </w:r>
    </w:p>
    <w:p>
      <w:pPr>
        <w:pStyle w:val="Compact"/>
        <w:numPr>
          <w:ilvl w:val="0"/>
          <w:numId w:val="1017"/>
        </w:numPr>
      </w:pPr>
      <w:r>
        <w:rPr>
          <w:bCs/>
          <w:b/>
        </w:rPr>
        <w:t xml:space="preserve">Jeffries–Matusita (JM) distance</w:t>
      </w:r>
      <w:r>
        <w:t xml:space="preserve">, which ranges 0–2 (or 0–1414). Above 1.9 is good.</w:t>
      </w:r>
    </w:p>
    <w:p>
      <w:pPr>
        <w:pStyle w:val="Compact"/>
        <w:numPr>
          <w:ilvl w:val="0"/>
          <w:numId w:val="1017"/>
        </w:numPr>
      </w:pPr>
      <w:r>
        <w:rPr>
          <w:bCs/>
          <w:b/>
        </w:rPr>
        <w:t xml:space="preserve">Bhattacharyya distance</w:t>
      </w:r>
      <w:r>
        <w:t xml:space="preserve">.</w:t>
      </w:r>
    </w:p>
    <w:p>
      <w:pPr>
        <w:pStyle w:val="FirstParagraph"/>
      </w:pPr>
      <w:r>
        <w:t xml:space="preserve">These use class means</w:t>
      </w:r>
      <w:r>
        <w:t xml:space="preserve"> </w:t>
      </w:r>
      <w:r>
        <w:rPr>
          <w:iCs/>
          <w:i/>
        </w:rPr>
        <w:t xml:space="preserve">and</w:t>
      </w:r>
      <w:r>
        <w:t xml:space="preserve"> </w:t>
      </w:r>
      <w:r>
        <w:t xml:space="preserve">covariances. They are computed from training statistics before classification.</w:t>
      </w:r>
    </w:p>
    <w:p>
      <w:pPr>
        <w:pStyle w:val="CaptionedFigure"/>
      </w:pPr>
      <w:r>
        <w:drawing>
          <wp:inline>
            <wp:extent cx="5334000" cy="3107055"/>
            <wp:effectExtent b="0" l="0" r="0" t="0"/>
            <wp:docPr descr="From a field spectrum to a classification band set" title="" id="27" name="Picture"/>
            <a:graphic>
              <a:graphicData uri="http://schemas.openxmlformats.org/drawingml/2006/picture">
                <pic:pic>
                  <pic:nvPicPr>
                    <pic:cNvPr descr="/tmp/claude-0/-home-user-sonu/ab07c29a-21cd-5a4a-9d2d-68ad72d07153/scratchpad/build/../flows/flow_003.png" id="28" name="Picture"/>
                    <pic:cNvPicPr>
                      <a:picLocks noChangeArrowheads="1" noChangeAspect="1"/>
                    </pic:cNvPicPr>
                  </pic:nvPicPr>
                  <pic:blipFill>
                    <a:blip r:embed="rId26"/>
                    <a:stretch>
                      <a:fillRect/>
                    </a:stretch>
                  </pic:blipFill>
                  <pic:spPr bwMode="auto">
                    <a:xfrm>
                      <a:off x="0" y="0"/>
                      <a:ext cx="5334000" cy="3107055"/>
                    </a:xfrm>
                    <a:prstGeom prst="rect">
                      <a:avLst/>
                    </a:prstGeom>
                    <a:noFill/>
                    <a:ln w="9525">
                      <a:noFill/>
                      <a:headEnd/>
                      <a:tailEnd/>
                    </a:ln>
                  </pic:spPr>
                </pic:pic>
              </a:graphicData>
            </a:graphic>
          </wp:inline>
        </w:drawing>
      </w:r>
    </w:p>
    <w:p>
      <w:pPr>
        <w:pStyle w:val="ImageCaption"/>
      </w:pPr>
      <w:r>
        <w:t xml:space="preserve">From a field spectrum to a classification band set</w:t>
      </w:r>
    </w:p>
    <w:p>
      <w:pPr>
        <w:pStyle w:val="Heading3"/>
      </w:pPr>
      <w:r>
        <w:t xml:space="preserve">3.6.1 Likely interview questions</w:t>
      </w:r>
    </w:p>
    <w:p>
      <w:pPr>
        <w:pStyle w:val="FirstParagraph"/>
      </w:pPr>
      <w:r>
        <w:rPr>
          <w:bCs/>
          <w:b/>
        </w:rPr>
        <w:t xml:space="preserve">Q. Why does snow look bright in visible bands but dark at 1.6 µm, and why does that matter?</w:t>
      </w:r>
      <w:r>
        <w:t xml:space="preserve"> </w:t>
      </w:r>
      <w:r>
        <w:t xml:space="preserve">Ice absorbs strongly in the SWIR, while water-droplet clouds scatter it. NDSI therefore separates snow from cloud.</w:t>
      </w:r>
    </w:p>
    <w:p>
      <w:pPr>
        <w:pStyle w:val="BodyText"/>
      </w:pPr>
      <w:r>
        <w:rPr>
          <w:bCs/>
          <w:b/>
        </w:rPr>
        <w:t xml:space="preserve">Q. What absorption features identify clay and carbonate minerals?</w:t>
      </w:r>
      <w:r>
        <w:t xml:space="preserve"> </w:t>
      </w:r>
      <w:r>
        <w:t xml:space="preserve">Al–OH at about 2.2 µm (clays) and CO₃ at about 2.33–2.35 µm (carbonates). Both are vibrational overtones in the SWIR.</w:t>
      </w:r>
    </w:p>
    <w:p>
      <w:pPr>
        <w:pStyle w:val="BodyText"/>
      </w:pPr>
      <w:r>
        <w:rPr>
          <w:bCs/>
          <w:b/>
        </w:rPr>
        <w:t xml:space="preserve">Q. What is a mixed pixel and how is it handled?</w:t>
      </w:r>
      <w:r>
        <w:t xml:space="preserve"> </w:t>
      </w:r>
      <w:r>
        <w:t xml:space="preserve">A pixel containing more than one cover type. It is handled with linear spectral unmixing (</w:t>
      </w:r>
      <m:oMath>
        <m:r>
          <m:t>ρ</m:t>
        </m:r>
        <m:r>
          <m:rPr>
            <m:sty m:val="p"/>
          </m:rPr>
          <m:t>=</m:t>
        </m:r>
        <m:r>
          <m:rPr>
            <m:sty m:val="p"/>
          </m:rPr>
          <m:t>∑</m:t>
        </m:r>
        <m:sSub>
          <m:e>
            <m:r>
              <m:t>f</m:t>
            </m:r>
          </m:e>
          <m:sub>
            <m:r>
              <m:t>i</m:t>
            </m:r>
          </m:sub>
        </m:sSub>
        <m:sSub>
          <m:e>
            <m:r>
              <m:t>ρ</m:t>
            </m:r>
          </m:e>
          <m:sub>
            <m:r>
              <m:t>i</m:t>
            </m:r>
          </m:sub>
        </m:sSub>
      </m:oMath>
      <w:r>
        <w:t xml:space="preserve">), finer-resolution data, or fuzzy or sub-pixel classifiers.</w:t>
      </w:r>
    </w:p>
    <w:p>
      <w:pPr>
        <w:pStyle w:val="BodyText"/>
      </w:pPr>
      <w:r>
        <w:rPr>
          <w:bCs/>
          <w:b/>
        </w:rPr>
        <w:t xml:space="preserve">Q. Why do we use temporal signatures for crop discrimination?</w:t>
      </w:r>
      <w:r>
        <w:t xml:space="preserve"> </w:t>
      </w:r>
      <w:r>
        <w:t xml:space="preserve">Single-date spectra of different crops overlap. Their phenological trajectories (sowing date, peak, senescence) differ, so the shape of the time profile separates them.</w:t>
      </w:r>
    </w:p>
    <w:p>
      <w:pPr>
        <w:pStyle w:val="BodyText"/>
      </w:pPr>
      <w:r>
        <w:rPr>
          <w:bCs/>
          <w:b/>
        </w:rPr>
        <w:t xml:space="preserve">Q. Which separability index would you use and what value means good separation?</w:t>
      </w:r>
      <w:r>
        <w:t xml:space="preserve"> </w:t>
      </w:r>
      <w:r>
        <w:t xml:space="preserve">Transformed Divergence (above 1900 out of 2000) or Jeffries–Matusita distance (above 1.9 out of 2).</w:t>
      </w:r>
    </w:p>
    <w:p>
      <w:pPr>
        <w:pStyle w:val="Heading1"/>
      </w:pPr>
      <w:r>
        <w:t xml:space="preserve">Chapter 4. Platforms, Orbits, Sensors and Resolutions</w:t>
      </w:r>
    </w:p>
    <w:p>
      <w:pPr>
        <w:pStyle w:val="Heading2"/>
      </w:pPr>
      <w:r>
        <w:t xml:space="preserve">4.1 Remote Sensing Platforms</w:t>
      </w:r>
    </w:p>
    <w:p>
      <w:pPr>
        <w:pStyle w:val="FirstParagraph"/>
      </w:pPr>
      <w:r>
        <w:t xml:space="preserve">Remote sensing platforms are broadly classed as ground-based, airborne, and spaceborne, and the choice among them for a given agricultural application is governed by a trade-off among spatial detail, coverage area, revisit frequency, cost, and operational complexity.</w:t>
      </w:r>
    </w:p>
    <w:p>
      <w:pPr>
        <w:pStyle w:val="Heading3"/>
      </w:pPr>
      <w:r>
        <w:t xml:space="preserve">4.1.1 Ground-based (Proximal) Sensing</w:t>
      </w:r>
    </w:p>
    <w:p>
      <w:pPr>
        <w:pStyle w:val="FirstParagraph"/>
      </w:pPr>
      <w:r>
        <w:t xml:space="preserve">Handheld or tripod/tractor-mounted radiometers, spectroradiometers, and canopy sensors (e.g., GreenSeeker, Crop Circle, SPAD chlorophyll meters) measure reflectance or transmittance at very close range (cm to a few meters). These are used for: - Ground-truth/validation of satellite and airborne products. - Real-time, on-the-go variable rate nitrogen application in precision agriculture (tractor-mounted optical sensors triggering fertilizer applicators). - Building spectral libraries for specific crop varieties and growth stages.</w:t>
      </w:r>
    </w:p>
    <w:p>
      <w:pPr>
        <w:pStyle w:val="BodyText"/>
      </w:pPr>
      <w:r>
        <w:t xml:space="preserve">Advantages: highest spectral and radiometric fidelity, insensitive to atmosphere, real-time. Limitations: extremely limited spatial coverage, labor-intensive, cannot capture field-scale spatial variability alone.</w:t>
      </w:r>
    </w:p>
    <w:p>
      <w:pPr>
        <w:pStyle w:val="Heading3"/>
      </w:pPr>
      <w:r>
        <w:t xml:space="preserve">4.1.2 Airborne / UAV (Drone) Platforms</w:t>
      </w:r>
    </w:p>
    <w:p>
      <w:pPr>
        <w:pStyle w:val="FirstParagraph"/>
      </w:pPr>
      <w:r>
        <w:t xml:space="preserve">Manned aircraft and, increasingly, Unmanned Aerial Vehicles (UAVs/drones) carry multispectral, hyperspectral, thermal, or LiDAR sensors at altitudes from a few meters to several kilometers.</w:t>
      </w:r>
    </w:p>
    <w:p>
      <w:pPr>
        <w:pStyle w:val="BodyText"/>
      </w:pPr>
      <w:r>
        <w:t xml:space="preserve">Advantages: very high spatial resolution (centimeter-level), flexible/on-demand acquisition (not constrained by fixed satellite overpass schedules), ability to fly below cloud cover, and increasingly low-cost with the proliferation of commercial UAV multispectral/thermal sensors (e.g., for individual farm or research-plot-level phenotyping, gap/stand-count detection, and irrigation-system diagnosis).</w:t>
      </w:r>
    </w:p>
    <w:p>
      <w:pPr>
        <w:pStyle w:val="BodyText"/>
      </w:pPr>
      <w:r>
        <w:t xml:space="preserve">Limitations: limited coverage per flight (typically tens to a few hundred hectares per mission for UAVs), regulatory/airspace restrictions, weather dependency, and the need for careful geometric mosaicking and radiometric calibration across flight lines.</w:t>
      </w:r>
    </w:p>
    <w:p>
      <w:pPr>
        <w:pStyle w:val="Heading3"/>
      </w:pPr>
      <w:r>
        <w:t xml:space="preserve">4.1.3 Spaceborne Platforms</w:t>
      </w:r>
    </w:p>
    <w:p>
      <w:pPr>
        <w:pStyle w:val="FirstParagraph"/>
      </w:pPr>
      <w:r>
        <w:t xml:space="preserve">Satellites in</w:t>
      </w:r>
      <w:r>
        <w:t xml:space="preserve"> </w:t>
      </w:r>
      <w:r>
        <w:rPr>
          <w:bCs/>
          <w:b/>
        </w:rPr>
        <w:t xml:space="preserve">sun-synchronous polar orbits</w:t>
      </w:r>
      <w:r>
        <w:t xml:space="preserve"> </w:t>
      </w:r>
      <w:r>
        <w:t xml:space="preserve">(most optical Earth observation satellites, e.g., Landsat, Sentinel-2, ResourceSat, giving consistent local overpass time and near-global coverage) or</w:t>
      </w:r>
      <w:r>
        <w:t xml:space="preserve"> </w:t>
      </w:r>
      <w:r>
        <w:rPr>
          <w:bCs/>
          <w:b/>
        </w:rPr>
        <w:t xml:space="preserve">geostationary orbits</w:t>
      </w:r>
      <w:r>
        <w:t xml:space="preserve"> </w:t>
      </w:r>
      <w:r>
        <w:t xml:space="preserve">(e.g., INSAT/Kalpana meteorological satellites, providing very frequent but coarse-resolution observations of a fixed disk) provide the backbone of operational, large-area agricultural monitoring — from state/national crop acreage estimation to global food security assessment (e.g., the GEOGLAM initiative).</w:t>
      </w:r>
    </w:p>
    <w:p>
      <w:pPr>
        <w:pStyle w:val="BodyText"/>
      </w:pPr>
      <w:r>
        <w:t xml:space="preserve">Advantages: large-area/synoptic and repetitive coverage, standardized and freely available data (especially from Landsat and Copernicus/Sentinel programs), long historical archives enabling multi-decadal change analysis. Limitations: fixed revisit cycles, cloud contamination (a major issue in optical monitoring during monsoon cropping seasons in India), coarser spatial resolution relative to UAV/airborne, and orbital/sensor degradation requiring calibration.</w:t>
      </w:r>
    </w:p>
    <w:p>
      <w:pPr>
        <w:pStyle w:val="Heading3"/>
      </w:pPr>
      <w:r>
        <w:t xml:space="preserve">4.1.4 Platform Comparison</w:t>
      </w:r>
    </w:p>
    <w:tbl>
      <w:tblPr>
        <w:tblStyle w:val="Table"/>
        <w:tblW w:type="pct" w:w="4956"/>
        <w:jc w:val="left"/>
        <w:tblLook w:firstRow="1" w:lastRow="0" w:firstColumn="0" w:lastColumn="0" w:noHBand="0" w:noVBand="0" w:val="0020"/>
      </w:tblPr>
      <w:tblGrid>
        <w:gridCol w:w="933"/>
        <w:gridCol w:w="1763"/>
        <w:gridCol w:w="2490"/>
        <w:gridCol w:w="2663"/>
      </w:tblGrid>
      <w:tr>
        <w:trPr>
          <w:tblHeader w:val="true"/>
        </w:trPr>
        <w:tc>
          <w:tcPr/>
          <w:p>
            <w:pPr>
              <w:pStyle w:val="Compact"/>
              <w:jc w:val="left"/>
            </w:pPr>
            <w:r>
              <w:t xml:space="preserve">Attribute</w:t>
            </w:r>
          </w:p>
        </w:tc>
        <w:tc>
          <w:tcPr/>
          <w:p>
            <w:pPr>
              <w:pStyle w:val="Compact"/>
              <w:jc w:val="left"/>
            </w:pPr>
            <w:r>
              <w:t xml:space="preserve">Ground-based</w:t>
            </w:r>
          </w:p>
        </w:tc>
        <w:tc>
          <w:tcPr/>
          <w:p>
            <w:pPr>
              <w:pStyle w:val="Compact"/>
              <w:jc w:val="left"/>
            </w:pPr>
            <w:r>
              <w:t xml:space="preserve">Airborne/UAV</w:t>
            </w:r>
          </w:p>
        </w:tc>
        <w:tc>
          <w:tcPr/>
          <w:p>
            <w:pPr>
              <w:pStyle w:val="Compact"/>
              <w:jc w:val="left"/>
            </w:pPr>
            <w:r>
              <w:t xml:space="preserve">Spaceborne</w:t>
            </w:r>
          </w:p>
        </w:tc>
      </w:tr>
      <w:tr>
        <w:tc>
          <w:tcPr/>
          <w:p>
            <w:pPr>
              <w:pStyle w:val="Compact"/>
              <w:jc w:val="left"/>
            </w:pPr>
            <w:r>
              <w:t xml:space="preserve">Spatial resolution</w:t>
            </w:r>
          </w:p>
        </w:tc>
        <w:tc>
          <w:tcPr/>
          <w:p>
            <w:pPr>
              <w:pStyle w:val="Compact"/>
              <w:jc w:val="left"/>
            </w:pPr>
            <w:r>
              <w:t xml:space="preserve">Point/plot scale (cm)</w:t>
            </w:r>
          </w:p>
        </w:tc>
        <w:tc>
          <w:tcPr/>
          <w:p>
            <w:pPr>
              <w:pStyle w:val="Compact"/>
              <w:jc w:val="left"/>
            </w:pPr>
            <w:r>
              <w:t xml:space="preserve">cm–m</w:t>
            </w:r>
          </w:p>
        </w:tc>
        <w:tc>
          <w:tcPr/>
          <w:p>
            <w:pPr>
              <w:pStyle w:val="Compact"/>
              <w:jc w:val="left"/>
            </w:pPr>
            <w:r>
              <w:t xml:space="preserve">m to km</w:t>
            </w:r>
          </w:p>
        </w:tc>
      </w:tr>
      <w:tr>
        <w:tc>
          <w:tcPr/>
          <w:p>
            <w:pPr>
              <w:pStyle w:val="Compact"/>
              <w:jc w:val="left"/>
            </w:pPr>
            <w:r>
              <w:t xml:space="preserve">Coverage area</w:t>
            </w:r>
          </w:p>
        </w:tc>
        <w:tc>
          <w:tcPr/>
          <w:p>
            <w:pPr>
              <w:pStyle w:val="Compact"/>
              <w:jc w:val="left"/>
            </w:pPr>
            <w:r>
              <w:t xml:space="preserve">m² to small plots</w:t>
            </w:r>
          </w:p>
        </w:tc>
        <w:tc>
          <w:tcPr/>
          <w:p>
            <w:pPr>
              <w:pStyle w:val="Compact"/>
              <w:jc w:val="left"/>
            </w:pPr>
            <w:r>
              <w:t xml:space="preserve">ha to few 100s ha per flight</w:t>
            </w:r>
          </w:p>
        </w:tc>
        <w:tc>
          <w:tcPr/>
          <w:p>
            <w:pPr>
              <w:pStyle w:val="Compact"/>
              <w:jc w:val="left"/>
            </w:pPr>
            <w:r>
              <w:t xml:space="preserve">Regional to global</w:t>
            </w:r>
          </w:p>
        </w:tc>
      </w:tr>
      <w:tr>
        <w:tc>
          <w:tcPr/>
          <w:p>
            <w:pPr>
              <w:pStyle w:val="Compact"/>
              <w:jc w:val="left"/>
            </w:pPr>
            <w:r>
              <w:t xml:space="preserve">Revisit/on-demand</w:t>
            </w:r>
          </w:p>
        </w:tc>
        <w:tc>
          <w:tcPr/>
          <w:p>
            <w:pPr>
              <w:pStyle w:val="Compact"/>
              <w:jc w:val="left"/>
            </w:pPr>
            <w:r>
              <w:t xml:space="preserve">Continuous/real-time</w:t>
            </w:r>
          </w:p>
        </w:tc>
        <w:tc>
          <w:tcPr/>
          <w:p>
            <w:pPr>
              <w:pStyle w:val="Compact"/>
              <w:jc w:val="left"/>
            </w:pPr>
            <w:r>
              <w:t xml:space="preserve">On-demand, weather-permitting</w:t>
            </w:r>
          </w:p>
        </w:tc>
        <w:tc>
          <w:tcPr/>
          <w:p>
            <w:pPr>
              <w:pStyle w:val="Compact"/>
              <w:jc w:val="left"/>
            </w:pPr>
            <w:r>
              <w:t xml:space="preserve">Fixed orbital cycle (days)</w:t>
            </w:r>
          </w:p>
        </w:tc>
      </w:tr>
      <w:tr>
        <w:tc>
          <w:tcPr/>
          <w:p>
            <w:pPr>
              <w:pStyle w:val="Compact"/>
              <w:jc w:val="left"/>
            </w:pPr>
            <w:r>
              <w:t xml:space="preserve">Cost per unit area</w:t>
            </w:r>
          </w:p>
        </w:tc>
        <w:tc>
          <w:tcPr/>
          <w:p>
            <w:pPr>
              <w:pStyle w:val="Compact"/>
              <w:jc w:val="left"/>
            </w:pPr>
            <w:r>
              <w:t xml:space="preserve">Low (small area) / high (labor)</w:t>
            </w:r>
          </w:p>
        </w:tc>
        <w:tc>
          <w:tcPr/>
          <w:p>
            <w:pPr>
              <w:pStyle w:val="Compact"/>
              <w:jc w:val="left"/>
            </w:pPr>
            <w:r>
              <w:t xml:space="preserve">Moderate</w:t>
            </w:r>
          </w:p>
        </w:tc>
        <w:tc>
          <w:tcPr/>
          <w:p>
            <w:pPr>
              <w:pStyle w:val="Compact"/>
              <w:jc w:val="left"/>
            </w:pPr>
            <w:r>
              <w:t xml:space="preserve">Very low (per km², esp. with free data)</w:t>
            </w:r>
          </w:p>
        </w:tc>
      </w:tr>
      <w:tr>
        <w:tc>
          <w:tcPr/>
          <w:p>
            <w:pPr>
              <w:pStyle w:val="Compact"/>
              <w:jc w:val="left"/>
            </w:pPr>
            <w:r>
              <w:t xml:space="preserve">Cloud sensitivity</w:t>
            </w:r>
          </w:p>
        </w:tc>
        <w:tc>
          <w:tcPr/>
          <w:p>
            <w:pPr>
              <w:pStyle w:val="Compact"/>
              <w:jc w:val="left"/>
            </w:pPr>
            <w:r>
              <w:t xml:space="preserve">None</w:t>
            </w:r>
          </w:p>
        </w:tc>
        <w:tc>
          <w:tcPr/>
          <w:p>
            <w:pPr>
              <w:pStyle w:val="Compact"/>
              <w:jc w:val="left"/>
            </w:pPr>
            <w:r>
              <w:t xml:space="preserve">Low (flies below cloud)</w:t>
            </w:r>
          </w:p>
        </w:tc>
        <w:tc>
          <w:tcPr/>
          <w:p>
            <w:pPr>
              <w:pStyle w:val="Compact"/>
              <w:jc w:val="left"/>
            </w:pPr>
            <w:r>
              <w:t xml:space="preserve">High (optical); none (SAR)</w:t>
            </w:r>
          </w:p>
        </w:tc>
      </w:tr>
      <w:tr>
        <w:tc>
          <w:tcPr/>
          <w:p>
            <w:pPr>
              <w:pStyle w:val="Compact"/>
              <w:jc w:val="left"/>
            </w:pPr>
            <w:r>
              <w:t xml:space="preserve">Typical agricultural use</w:t>
            </w:r>
          </w:p>
        </w:tc>
        <w:tc>
          <w:tcPr/>
          <w:p>
            <w:pPr>
              <w:pStyle w:val="Compact"/>
              <w:jc w:val="left"/>
            </w:pPr>
            <w:r>
              <w:t xml:space="preserve">Sensor calibration, VRT application, phenotyping</w:t>
            </w:r>
          </w:p>
        </w:tc>
        <w:tc>
          <w:tcPr/>
          <w:p>
            <w:pPr>
              <w:pStyle w:val="Compact"/>
              <w:jc w:val="left"/>
            </w:pPr>
            <w:r>
              <w:t xml:space="preserve">Precision agriculture, plot-level phenotyping, irrigation diagnostics</w:t>
            </w:r>
          </w:p>
        </w:tc>
        <w:tc>
          <w:tcPr/>
          <w:p>
            <w:pPr>
              <w:pStyle w:val="Compact"/>
              <w:jc w:val="left"/>
            </w:pPr>
            <w:r>
              <w:t xml:space="preserve">Crop area/yield estimation, drought monitoring, national/regional programs</w:t>
            </w:r>
          </w:p>
        </w:tc>
      </w:tr>
    </w:tbl>
    <w:p>
      <w:pPr>
        <w:pStyle w:val="Heading2"/>
      </w:pPr>
      <w:r>
        <w:t xml:space="preserve">4.2 Sensor Types and Agricultural Applications</w:t>
      </w:r>
    </w:p>
    <w:p>
      <w:pPr>
        <w:pStyle w:val="Heading3"/>
      </w:pPr>
      <w:r>
        <w:t xml:space="preserve">4.2.1 Optical Sensors — Multispectral</w:t>
      </w:r>
    </w:p>
    <w:p>
      <w:pPr>
        <w:pStyle w:val="FirstParagraph"/>
      </w:pPr>
      <w:r>
        <w:t xml:space="preserve">Multispectral sensors measure reflected radiation in a limited number (typically 4–12) of discrete, relatively broad spectral bands (e.g., Blue, Green, Red, NIR, SWIR). They are the workhorse of operational agriculture monitoring because they offer the best balance of cost, coverage, processing simplicity, and continuity of long time series. Examples: Landsat OLI, Sentinel-2 MSI, ResourceSat LISS-III/IV/AWiFS, MODIS. Applications: crop type classification, NDVI/EVI time-series for phenology and yield modelling, crop area estimation, irrigation mapping.</w:t>
      </w:r>
    </w:p>
    <w:p>
      <w:pPr>
        <w:pStyle w:val="Heading3"/>
      </w:pPr>
      <w:r>
        <w:t xml:space="preserve">4.2.2 Optical Sensors — Hyperspectral</w:t>
      </w:r>
    </w:p>
    <w:p>
      <w:pPr>
        <w:pStyle w:val="FirstParagraph"/>
      </w:pPr>
      <w:r>
        <w:t xml:space="preserve">Hyperspectral (imaging spectroscopy) sensors acquire hundreds of narrow (typically 5–10 nm), contiguous spectral bands, producing a near-continuous reflectance spectrum for every pixel. This enables detection of subtle, narrow-band absorption features tied to specific biochemical constituents — chlorophyll a/b ratio, specific pigments, nitrogen, lignin, cellulose, and even early-stage disease-specific spectral fingerprints — that are indistinguishable in broadband multispectral data. Examples: EO-1 Hyperion (historic), AVIRIS (airborne), PRISMA (ASI), EnMAP (DLR), and India’s upcoming/operational hyperspectral missions. Applications: precision nutrient management, plant disease/stress diagnostics, biochemical parameter retrieval (leaf chlorophyll, nitrogen, canopy water content), crop variety/cultivar discrimination. Trade-off: very high data volume, complex processing (dimensionality reduction, band selection), typically narrower swath and coarser spatial resolution than multispectral counterparts, and higher cost.</w:t>
      </w:r>
    </w:p>
    <w:p>
      <w:pPr>
        <w:pStyle w:val="Heading3"/>
      </w:pPr>
      <w:r>
        <w:t xml:space="preserve">4.2.3 Thermal Infrared Sensors</w:t>
      </w:r>
    </w:p>
    <w:p>
      <w:pPr>
        <w:pStyle w:val="FirstParagraph"/>
      </w:pPr>
      <w:r>
        <w:t xml:space="preserve">Thermal sensors measure emitted longwave radiation (8–14 µm atmospheric window) to derive Land Surface Temperature (LST) and, by extension, canopy temperature. Since canopy temperature responds directly to transpiration and thus to water stress, thermal imagery underpins the</w:t>
      </w:r>
      <w:r>
        <w:t xml:space="preserve"> </w:t>
      </w:r>
      <w:r>
        <w:rPr>
          <w:bCs/>
          <w:b/>
        </w:rPr>
        <w:t xml:space="preserve">Crop Water Stress Index (CWSI)</w:t>
      </w:r>
      <w:r>
        <w:t xml:space="preserve">, evapotranspiration mapping (e.g., using the SEBAL/METRIC surface energy balance algorithms), and irrigation scheduling. Examples: Landsat TIRS, MODIS LST product, and UAV-mounted thermal cameras (FLIR/thermal microbolometers) increasingly used for field-scale irrigation diagnostics. Limitation: thermal signal is affected by wind speed, humidity, and requires atmospheric correction/emissivity assumptions; coarse spatial resolution in most satellite thermal bands (e.g., Landsat TIRS resampled to 30 m from ~100 m native, MODIS LST at 1 km) can be a limiting factor for smallholder-field-scale applications.</w:t>
      </w:r>
    </w:p>
    <w:p>
      <w:pPr>
        <w:pStyle w:val="Heading3"/>
      </w:pPr>
      <w:r>
        <w:t xml:space="preserve">4.2.4 Microwave Sensors — Synthetic Aperture Radar (SAR, Active)</w:t>
      </w:r>
    </w:p>
    <w:p>
      <w:pPr>
        <w:pStyle w:val="FirstParagraph"/>
      </w:pPr>
      <w:r>
        <w:t xml:space="preserve">SAR sensors transmit their own microwave pulses and record the backscattered signal, making them</w:t>
      </w:r>
      <w:r>
        <w:t xml:space="preserve"> </w:t>
      </w:r>
      <w:r>
        <w:rPr>
          <w:bCs/>
          <w:b/>
        </w:rPr>
        <w:t xml:space="preserve">independent of solar illumination (day/night capable) and largely unaffected by cloud cover and light rain</w:t>
      </w:r>
      <w:r>
        <w:t xml:space="preserve"> </w:t>
      </w:r>
      <w:r>
        <w:t xml:space="preserve">— a critical advantage during the Indian kharif/monsoon cropping season when optical sensors are frequently cloud-obstructed. Key SAR parameters relevant to agriculture: -</w:t>
      </w:r>
      <w:r>
        <w:t xml:space="preserve"> </w:t>
      </w:r>
      <w:r>
        <w:rPr>
          <w:bCs/>
          <w:b/>
        </w:rPr>
        <w:t xml:space="preserve">Frequency/band</w:t>
      </w:r>
      <w:r>
        <w:t xml:space="preserve">: C-band (Sentinel-1, RISAT) balances canopy penetration and sensitivity to canopy structure; L-band (ALOS PALSAR, NISAR) penetrates deeper, better for biomass and soil-moisture-under-canopy; X-band (TerraSAR-X, RISAT) is more sensitive to surface roughness and upper-canopy structure. -</w:t>
      </w:r>
      <w:r>
        <w:t xml:space="preserve"> </w:t>
      </w:r>
      <w:r>
        <w:rPr>
          <w:bCs/>
          <w:b/>
        </w:rPr>
        <w:t xml:space="preserve">Polarization</w:t>
      </w:r>
      <w:r>
        <w:t xml:space="preserve">: VV (vertical transmit-vertical receive) is generally more sensitive to surface/soil scattering and is widely used for soil moisture retrieval; VH (cross-polarized) is more sensitive to volume scattering from vegetation canopy structure and is frequently used for crop growth-stage monitoring and biomass proxies; dual/quad-pol data enable derived indices such as the Radar Vegetation Index (RVI) for crop growth monitoring. - Applications: paddy/rice mapping and transplanting-date detection (rice is uniquely identifiable via its characteristic backscatter time-series due to standing water at transplanting followed by canopy closure), flood-damage assessment to standing crops, soil moisture retrieval, crop structure/growth-stage monitoring, and all-weather crop area estimation. India’s</w:t>
      </w:r>
      <w:r>
        <w:t xml:space="preserve"> </w:t>
      </w:r>
      <w:r>
        <w:rPr>
          <w:bCs/>
          <w:b/>
        </w:rPr>
        <w:t xml:space="preserve">RISAT</w:t>
      </w:r>
      <w:r>
        <w:t xml:space="preserve"> </w:t>
      </w:r>
      <w:r>
        <w:t xml:space="preserve">series (Radar Imaging Satellite) and ISRO’s flood/crop-damage monitoring programs rely heavily on SAR for exactly this cloud-independence.</w:t>
      </w:r>
    </w:p>
    <w:p>
      <w:pPr>
        <w:pStyle w:val="Heading3"/>
      </w:pPr>
      <w:r>
        <w:t xml:space="preserve">4.2.5 Microwave Sensors — Passive Radiometers</w:t>
      </w:r>
    </w:p>
    <w:p>
      <w:pPr>
        <w:pStyle w:val="FirstParagraph"/>
      </w:pPr>
      <w:r>
        <w:t xml:space="preserve">Passive microwave radiometers measure the naturally emitted microwave radiation (brightness temperature) from the surface, which is strongly modulated by the dielectric constant (i.e., moisture content) of the soil/canopy. They are the primary tool for large-scale soil moisture and freeze/thaw monitoring. Examples: SMAP (NASA, L-band radiometer + formerly radar), SMOS (ESA), AMSR2. Because of long wavelengths, spatial resolution is coarse (tens of km), so passive microwave products are used mainly for regional/continental soil-moisture and drought-monitoring applications rather than field-scale precision agriculture, and are often combined (</w:t>
      </w:r>
      <w:r>
        <w:t xml:space="preserve">“</w:t>
      </w:r>
      <w:r>
        <w:t xml:space="preserve">downscaled</w:t>
      </w:r>
      <w:r>
        <w:t xml:space="preserve">”</w:t>
      </w:r>
      <w:r>
        <w:t xml:space="preserve">) with finer-resolution optical/SAR data to reach usable resolutions for farm management.</w:t>
      </w:r>
    </w:p>
    <w:p>
      <w:pPr>
        <w:pStyle w:val="Heading3"/>
      </w:pPr>
      <w:r>
        <w:t xml:space="preserve">4.2.6 LiDAR (Light Detection and Ranging)</w:t>
      </w:r>
    </w:p>
    <w:p>
      <w:pPr>
        <w:pStyle w:val="FirstParagraph"/>
      </w:pPr>
      <w:r>
        <w:t xml:space="preserve">LiDAR is an active sensor that emits laser pulses (typically near-infrared, ~1064 nm) and measures the time-of-flight/return signal to derive precise three-dimensional structure. Unlike passive optical sensors that measure reflected sunlight intensity, LiDAR directly measures range/height, enabling: - Canopy height models and crop height mapping (correlated with biomass in many crops). - Digital Terrain Models (DTM) beneath crop canopy (multiple returns can partially penetrate canopy gaps) — valuable for micro-topography, drainage, and land-leveling assessment for irrigation design. - Biomass and structural parameter estimation, particularly valuable in orchards, vineyards, and forestry-agriculture interfaces (agroforestry). UAV-mounted and terrestrial LiDAR systems are increasingly used in precision agriculture for plant/row structure characterization, while spaceborne LiDAR (e.g., NASA’s GEDI on the ISS) primarily targets forest/vegetation structure at coarser sampling density, with emerging agricultural biomass applications.</w:t>
      </w:r>
    </w:p>
    <w:p>
      <w:pPr>
        <w:pStyle w:val="Heading3"/>
      </w:pPr>
      <w:r>
        <w:t xml:space="preserve">4.2.7 Sensor Type Summary Table</w:t>
      </w:r>
    </w:p>
    <w:tbl>
      <w:tblPr>
        <w:tblStyle w:val="Table"/>
        <w:tblW w:type="pct" w:w="4961"/>
        <w:jc w:val="left"/>
        <w:tblLook w:firstRow="1" w:lastRow="0" w:firstColumn="0" w:lastColumn="0" w:noHBand="0" w:noVBand="0" w:val="0020"/>
      </w:tblPr>
      <w:tblGrid>
        <w:gridCol w:w="966"/>
        <w:gridCol w:w="904"/>
        <w:gridCol w:w="1434"/>
        <w:gridCol w:w="2650"/>
        <w:gridCol w:w="1902"/>
      </w:tblGrid>
      <w:tr>
        <w:trPr>
          <w:tblHeader w:val="true"/>
        </w:trPr>
        <w:tc>
          <w:tcPr/>
          <w:p>
            <w:pPr>
              <w:pStyle w:val="Compact"/>
              <w:jc w:val="left"/>
            </w:pPr>
            <w:r>
              <w:t xml:space="preserve">Sensor Type</w:t>
            </w:r>
          </w:p>
        </w:tc>
        <w:tc>
          <w:tcPr/>
          <w:p>
            <w:pPr>
              <w:pStyle w:val="Compact"/>
              <w:jc w:val="left"/>
            </w:pPr>
            <w:r>
              <w:t xml:space="preserve">Energy Source</w:t>
            </w:r>
          </w:p>
        </w:tc>
        <w:tc>
          <w:tcPr/>
          <w:p>
            <w:pPr>
              <w:pStyle w:val="Compact"/>
              <w:jc w:val="left"/>
            </w:pPr>
            <w:r>
              <w:t xml:space="preserve">Key Measured Quantity</w:t>
            </w:r>
          </w:p>
        </w:tc>
        <w:tc>
          <w:tcPr/>
          <w:p>
            <w:pPr>
              <w:pStyle w:val="Compact"/>
              <w:jc w:val="left"/>
            </w:pPr>
            <w:r>
              <w:t xml:space="preserve">Primary Agricultural Use</w:t>
            </w:r>
          </w:p>
        </w:tc>
        <w:tc>
          <w:tcPr/>
          <w:p>
            <w:pPr>
              <w:pStyle w:val="Compact"/>
              <w:jc w:val="left"/>
            </w:pPr>
            <w:r>
              <w:t xml:space="preserve">Example Missions/Instruments</w:t>
            </w:r>
          </w:p>
        </w:tc>
      </w:tr>
      <w:tr>
        <w:tc>
          <w:tcPr/>
          <w:p>
            <w:pPr>
              <w:pStyle w:val="Compact"/>
              <w:jc w:val="left"/>
            </w:pPr>
            <w:r>
              <w:t xml:space="preserve">Multispectral optical</w:t>
            </w:r>
          </w:p>
        </w:tc>
        <w:tc>
          <w:tcPr/>
          <w:p>
            <w:pPr>
              <w:pStyle w:val="Compact"/>
              <w:jc w:val="left"/>
            </w:pPr>
            <w:r>
              <w:t xml:space="preserve">Passive (solar)</w:t>
            </w:r>
          </w:p>
        </w:tc>
        <w:tc>
          <w:tcPr/>
          <w:p>
            <w:pPr>
              <w:pStyle w:val="Compact"/>
              <w:jc w:val="left"/>
            </w:pPr>
            <w:r>
              <w:t xml:space="preserve">Surface reflectance (broad bands)</w:t>
            </w:r>
          </w:p>
        </w:tc>
        <w:tc>
          <w:tcPr/>
          <w:p>
            <w:pPr>
              <w:pStyle w:val="Compact"/>
              <w:jc w:val="left"/>
            </w:pPr>
            <w:r>
              <w:t xml:space="preserve">Crop type mapping, NDVI time series, yield modelling</w:t>
            </w:r>
          </w:p>
        </w:tc>
        <w:tc>
          <w:tcPr/>
          <w:p>
            <w:pPr>
              <w:pStyle w:val="Compact"/>
              <w:jc w:val="left"/>
            </w:pPr>
            <w:r>
              <w:t xml:space="preserve">Sentinel-2 MSI, Landsat OLI, ResourceSat LISS/AWiFS, MODIS</w:t>
            </w:r>
          </w:p>
        </w:tc>
      </w:tr>
      <w:tr>
        <w:tc>
          <w:tcPr/>
          <w:p>
            <w:pPr>
              <w:pStyle w:val="Compact"/>
              <w:jc w:val="left"/>
            </w:pPr>
            <w:r>
              <w:t xml:space="preserve">Hyperspectral optical</w:t>
            </w:r>
          </w:p>
        </w:tc>
        <w:tc>
          <w:tcPr/>
          <w:p>
            <w:pPr>
              <w:pStyle w:val="Compact"/>
              <w:jc w:val="left"/>
            </w:pPr>
            <w:r>
              <w:t xml:space="preserve">Passive (solar)</w:t>
            </w:r>
          </w:p>
        </w:tc>
        <w:tc>
          <w:tcPr/>
          <w:p>
            <w:pPr>
              <w:pStyle w:val="Compact"/>
              <w:jc w:val="left"/>
            </w:pPr>
            <w:r>
              <w:t xml:space="preserve">Continuous narrow-band reflectance spectrum</w:t>
            </w:r>
          </w:p>
        </w:tc>
        <w:tc>
          <w:tcPr/>
          <w:p>
            <w:pPr>
              <w:pStyle w:val="Compact"/>
              <w:jc w:val="left"/>
            </w:pPr>
            <w:r>
              <w:t xml:space="preserve">Biochemical/nutrient/disease diagnostics</w:t>
            </w:r>
          </w:p>
        </w:tc>
        <w:tc>
          <w:tcPr/>
          <w:p>
            <w:pPr>
              <w:pStyle w:val="Compact"/>
              <w:jc w:val="left"/>
            </w:pPr>
            <w:r>
              <w:t xml:space="preserve">Hyperion, AVIRIS, PRISMA, EnMAP</w:t>
            </w:r>
          </w:p>
        </w:tc>
      </w:tr>
      <w:tr>
        <w:tc>
          <w:tcPr/>
          <w:p>
            <w:pPr>
              <w:pStyle w:val="Compact"/>
              <w:jc w:val="left"/>
            </w:pPr>
            <w:r>
              <w:t xml:space="preserve">Thermal IR</w:t>
            </w:r>
          </w:p>
        </w:tc>
        <w:tc>
          <w:tcPr/>
          <w:p>
            <w:pPr>
              <w:pStyle w:val="Compact"/>
              <w:jc w:val="left"/>
            </w:pPr>
            <w:r>
              <w:t xml:space="preserve">Passive (emitted)</w:t>
            </w:r>
          </w:p>
        </w:tc>
        <w:tc>
          <w:tcPr/>
          <w:p>
            <w:pPr>
              <w:pStyle w:val="Compact"/>
              <w:jc w:val="left"/>
            </w:pPr>
            <w:r>
              <w:t xml:space="preserve">Land/canopy surface temperature</w:t>
            </w:r>
          </w:p>
        </w:tc>
        <w:tc>
          <w:tcPr/>
          <w:p>
            <w:pPr>
              <w:pStyle w:val="Compact"/>
              <w:jc w:val="left"/>
            </w:pPr>
            <w:r>
              <w:t xml:space="preserve">Water stress detection, ET mapping, irrigation scheduling</w:t>
            </w:r>
          </w:p>
        </w:tc>
        <w:tc>
          <w:tcPr/>
          <w:p>
            <w:pPr>
              <w:pStyle w:val="Compact"/>
              <w:jc w:val="left"/>
            </w:pPr>
            <w:r>
              <w:t xml:space="preserve">Landsat TIRS, MODIS LST, UAV thermal cameras</w:t>
            </w:r>
          </w:p>
        </w:tc>
      </w:tr>
      <w:tr>
        <w:tc>
          <w:tcPr/>
          <w:p>
            <w:pPr>
              <w:pStyle w:val="Compact"/>
              <w:jc w:val="left"/>
            </w:pPr>
            <w:r>
              <w:t xml:space="preserve">SAR (active microwave)</w:t>
            </w:r>
          </w:p>
        </w:tc>
        <w:tc>
          <w:tcPr/>
          <w:p>
            <w:pPr>
              <w:pStyle w:val="Compact"/>
              <w:jc w:val="left"/>
            </w:pPr>
            <w:r>
              <w:t xml:space="preserve">Active (self-illuminating)</w:t>
            </w:r>
          </w:p>
        </w:tc>
        <w:tc>
          <w:tcPr/>
          <w:p>
            <w:pPr>
              <w:pStyle w:val="Compact"/>
              <w:jc w:val="left"/>
            </w:pPr>
            <w:r>
              <w:t xml:space="preserve">Backscatter coefficient (σ°)</w:t>
            </w:r>
          </w:p>
        </w:tc>
        <w:tc>
          <w:tcPr/>
          <w:p>
            <w:pPr>
              <w:pStyle w:val="Compact"/>
              <w:jc w:val="left"/>
            </w:pPr>
            <w:r>
              <w:t xml:space="preserve">All-weather crop monitoring, paddy mapping, soil moisture, flood/damage assessment</w:t>
            </w:r>
          </w:p>
        </w:tc>
        <w:tc>
          <w:tcPr/>
          <w:p>
            <w:pPr>
              <w:pStyle w:val="Compact"/>
              <w:jc w:val="left"/>
            </w:pPr>
            <w:r>
              <w:t xml:space="preserve">Sentinel-1, RISAT, ALOS-PALSAR, NISAR (upcoming)</w:t>
            </w:r>
          </w:p>
        </w:tc>
      </w:tr>
      <w:tr>
        <w:tc>
          <w:tcPr/>
          <w:p>
            <w:pPr>
              <w:pStyle w:val="Compact"/>
              <w:jc w:val="left"/>
            </w:pPr>
            <w:r>
              <w:t xml:space="preserve">Passive microwave radiometer</w:t>
            </w:r>
          </w:p>
        </w:tc>
        <w:tc>
          <w:tcPr/>
          <w:p>
            <w:pPr>
              <w:pStyle w:val="Compact"/>
              <w:jc w:val="left"/>
            </w:pPr>
            <w:r>
              <w:t xml:space="preserve">Passive (emitted)</w:t>
            </w:r>
          </w:p>
        </w:tc>
        <w:tc>
          <w:tcPr/>
          <w:p>
            <w:pPr>
              <w:pStyle w:val="Compact"/>
              <w:jc w:val="left"/>
            </w:pPr>
            <w:r>
              <w:t xml:space="preserve">Brightness temperature</w:t>
            </w:r>
          </w:p>
        </w:tc>
        <w:tc>
          <w:tcPr/>
          <w:p>
            <w:pPr>
              <w:pStyle w:val="Compact"/>
              <w:jc w:val="left"/>
            </w:pPr>
            <w:r>
              <w:t xml:space="preserve">Regional soil moisture, drought monitoring</w:t>
            </w:r>
          </w:p>
        </w:tc>
        <w:tc>
          <w:tcPr/>
          <w:p>
            <w:pPr>
              <w:pStyle w:val="Compact"/>
              <w:jc w:val="left"/>
            </w:pPr>
            <w:r>
              <w:t xml:space="preserve">SMAP, SMOS, AMSR2</w:t>
            </w:r>
          </w:p>
        </w:tc>
      </w:tr>
      <w:tr>
        <w:tc>
          <w:tcPr/>
          <w:p>
            <w:pPr>
              <w:pStyle w:val="Compact"/>
              <w:jc w:val="left"/>
            </w:pPr>
            <w:r>
              <w:t xml:space="preserve">LiDAR</w:t>
            </w:r>
          </w:p>
        </w:tc>
        <w:tc>
          <w:tcPr/>
          <w:p>
            <w:pPr>
              <w:pStyle w:val="Compact"/>
              <w:jc w:val="left"/>
            </w:pPr>
            <w:r>
              <w:t xml:space="preserve">Active</w:t>
            </w:r>
          </w:p>
        </w:tc>
        <w:tc>
          <w:tcPr/>
          <w:p>
            <w:pPr>
              <w:pStyle w:val="Compact"/>
              <w:jc w:val="left"/>
            </w:pPr>
            <w:r>
              <w:t xml:space="preserve">Range/3D point cloud</w:t>
            </w:r>
          </w:p>
        </w:tc>
        <w:tc>
          <w:tcPr/>
          <w:p>
            <w:pPr>
              <w:pStyle w:val="Compact"/>
              <w:jc w:val="left"/>
            </w:pPr>
            <w:r>
              <w:t xml:space="preserve">Canopy height, biomass, terrain/drainage mapping</w:t>
            </w:r>
          </w:p>
        </w:tc>
        <w:tc>
          <w:tcPr/>
          <w:p>
            <w:pPr>
              <w:pStyle w:val="Compact"/>
              <w:jc w:val="left"/>
            </w:pPr>
            <w:r>
              <w:t xml:space="preserve">Airborne/UAV LiDAR, GEDI (spaceborne)</w:t>
            </w:r>
          </w:p>
        </w:tc>
      </w:tr>
    </w:tbl>
    <w:p>
      <w:pPr>
        <w:pStyle w:val="Heading2"/>
      </w:pPr>
      <w:r>
        <w:t xml:space="preserve">4.3 Resolution: Spatial, Spectral, Temporal, and Radiometric</w:t>
      </w:r>
    </w:p>
    <w:p>
      <w:pPr>
        <w:pStyle w:val="FirstParagraph"/>
      </w:pPr>
      <w:r>
        <w:t xml:space="preserve">Every sensor design is a compromise among four resolution dimensions, and understanding these trade-offs — and why different agricultural applications demand different combinations — is one of the most commonly tested conceptual areas in remote sensing interviews.</w:t>
      </w:r>
    </w:p>
    <w:p>
      <w:pPr>
        <w:pStyle w:val="Heading3"/>
      </w:pPr>
      <w:r>
        <w:t xml:space="preserve">4.3.1 The Four Resolutions Defined</w:t>
      </w:r>
    </w:p>
    <w:p>
      <w:pPr>
        <w:pStyle w:val="Compact"/>
        <w:numPr>
          <w:ilvl w:val="0"/>
          <w:numId w:val="1018"/>
        </w:numPr>
      </w:pPr>
      <w:r>
        <w:rPr>
          <w:bCs/>
          <w:b/>
        </w:rPr>
        <w:t xml:space="preserve">Spatial resolution</w:t>
      </w:r>
      <w:r>
        <w:t xml:space="preserve">: the ground area represented by one pixel (e.g., 10 m, 30 m, 56 m). Finer spatial resolution resolves smaller/individual fields and within-field variability but typically comes at the cost of narrower swath and/or reduced revisit frequency (a physical consequence of sensor design and downlink data-volume constraints).</w:t>
      </w:r>
    </w:p>
    <w:p>
      <w:pPr>
        <w:pStyle w:val="Compact"/>
        <w:numPr>
          <w:ilvl w:val="0"/>
          <w:numId w:val="1018"/>
        </w:numPr>
      </w:pPr>
      <w:r>
        <w:rPr>
          <w:bCs/>
          <w:b/>
        </w:rPr>
        <w:t xml:space="preserve">Spectral resolution</w:t>
      </w:r>
      <w:r>
        <w:t xml:space="preserve">: the number and narrowness of spectral bands sensed. Finer spectral resolution (hyperspectral) enables detection of subtle biochemical absorption features but increases data volume and processing complexity, and often necessitates trade-offs in spatial coverage or signal-to-noise ratio.</w:t>
      </w:r>
    </w:p>
    <w:p>
      <w:pPr>
        <w:pStyle w:val="Compact"/>
        <w:numPr>
          <w:ilvl w:val="0"/>
          <w:numId w:val="1018"/>
        </w:numPr>
      </w:pPr>
      <w:r>
        <w:rPr>
          <w:bCs/>
          <w:b/>
        </w:rPr>
        <w:t xml:space="preserve">Temporal resolution (revisit time)</w:t>
      </w:r>
      <w:r>
        <w:t xml:space="preserve">: how frequently the same location is re-imaged. High temporal resolution is essential for capturing crop phenology (the progression through growth stages), detecting time-critical events (flooding, pest outbreak, irrigation timing), and building cloud-free composite time series — but wide-swath sensors achieving frequent revisit generally sacrifice spatial detail.</w:t>
      </w:r>
    </w:p>
    <w:p>
      <w:pPr>
        <w:pStyle w:val="Compact"/>
        <w:numPr>
          <w:ilvl w:val="0"/>
          <w:numId w:val="1018"/>
        </w:numPr>
      </w:pPr>
      <w:r>
        <w:rPr>
          <w:bCs/>
          <w:b/>
        </w:rPr>
        <w:t xml:space="preserve">Radiometric resolution</w:t>
      </w:r>
      <w:r>
        <w:t xml:space="preserve">: the sensor’s ability to discriminate subtle differences in energy/signal intensity, expressed as bit-depth (e.g., 8-bit = 256 levels, 12-bit = 4096 levels). Higher radiometric resolution allows detection of subtle reflectance/backscatter differences (e.g., early, mild crop stress) that would be indistinguishable at coarser quantization, particularly important over relatively low-contrast agricultural targets.</w:t>
      </w:r>
    </w:p>
    <w:p>
      <w:pPr>
        <w:pStyle w:val="Heading3"/>
      </w:pPr>
      <w:r>
        <w:t xml:space="preserve">4.3.2 Why Different Sensors Exist: The Spatial–Temporal–Swath Trade-off</w:t>
      </w:r>
    </w:p>
    <w:p>
      <w:pPr>
        <w:pStyle w:val="FirstParagraph"/>
      </w:pPr>
      <w:r>
        <w:t xml:space="preserve">The fundamental engineering trade-off is that, for a fixed orbital altitude and sensor technology, a wider swath (needed for frequent revisit and large-area coverage) generally requires coarser spatial resolution (fewer, larger detector elements needed to cover the wide field of view at a given data rate), while finer spatial resolution requires a narrower swath and hence a longer revisit interval unless off-nadir/pointing capability is added (as with LISS-4’s steerable ±26° pointing enabling its improved 5-day revisit despite fine 5.8 m resolution).</w:t>
      </w:r>
    </w:p>
    <w:p>
      <w:pPr>
        <w:pStyle w:val="BodyText"/>
      </w:pPr>
      <w:r>
        <w:t xml:space="preserve">This is precisely why ISRO operates a</w:t>
      </w:r>
      <w:r>
        <w:t xml:space="preserve"> </w:t>
      </w:r>
      <w:r>
        <w:rPr>
          <w:bCs/>
          <w:b/>
        </w:rPr>
        <w:t xml:space="preserve">multi-resolution constellation</w:t>
      </w:r>
      <w:r>
        <w:t xml:space="preserve"> </w:t>
      </w:r>
      <w:r>
        <w:t xml:space="preserve">rather than a single sensor: AWiFS (56 m, 5-day revisit, 740 km swath) is used for large-area, frequent monitoring such as national crop acreage and condition assessment (e.g., under the FASAL programme); LISS-III (23.5 m, 24-day revisit) for regional cropland mapping and change detection; and LISS-4 (5.8 m, ~5-day revisit with steering) for field-level, high-detail applications such as individual farm boundary delineation and small-holder plot-level analysis — where India’s predominantly small and fragmented field sizes (often well under 1 hectare) make coarse-resolution sensors inadequate for accurate field-level statistics.</w:t>
      </w:r>
    </w:p>
    <w:p>
      <w:pPr>
        <w:pStyle w:val="Heading3"/>
      </w:pPr>
      <w:r>
        <w:t xml:space="preserve">4.3.3 Comparative Sensor Resolution Table</w:t>
      </w:r>
    </w:p>
    <w:tbl>
      <w:tblPr>
        <w:tblStyle w:val="Table"/>
        <w:tblW w:type="pct" w:w="4967"/>
        <w:jc w:val="left"/>
        <w:tblLook w:firstRow="1" w:lastRow="0" w:firstColumn="0" w:lastColumn="0" w:noHBand="0" w:noVBand="0" w:val="0020"/>
      </w:tblPr>
      <w:tblGrid>
        <w:gridCol w:w="781"/>
        <w:gridCol w:w="495"/>
        <w:gridCol w:w="1980"/>
        <w:gridCol w:w="364"/>
        <w:gridCol w:w="1016"/>
        <w:gridCol w:w="1094"/>
        <w:gridCol w:w="2136"/>
      </w:tblGrid>
      <w:tr>
        <w:trPr>
          <w:tblHeader w:val="true"/>
        </w:trPr>
        <w:tc>
          <w:tcPr/>
          <w:p>
            <w:pPr>
              <w:pStyle w:val="Compact"/>
              <w:jc w:val="left"/>
            </w:pPr>
            <w:r>
              <w:t xml:space="preserve">Sensor</w:t>
            </w:r>
          </w:p>
        </w:tc>
        <w:tc>
          <w:tcPr/>
          <w:p>
            <w:pPr>
              <w:pStyle w:val="Compact"/>
              <w:jc w:val="left"/>
            </w:pPr>
            <w:r>
              <w:t xml:space="preserve">Operating Agency</w:t>
            </w:r>
          </w:p>
        </w:tc>
        <w:tc>
          <w:tcPr/>
          <w:p>
            <w:pPr>
              <w:pStyle w:val="Compact"/>
              <w:jc w:val="left"/>
            </w:pPr>
            <w:r>
              <w:t xml:space="preserve">Spatial Resolution</w:t>
            </w:r>
          </w:p>
        </w:tc>
        <w:tc>
          <w:tcPr/>
          <w:p>
            <w:pPr>
              <w:pStyle w:val="Compact"/>
              <w:jc w:val="left"/>
            </w:pPr>
            <w:r>
              <w:t xml:space="preserve">Swath Width</w:t>
            </w:r>
          </w:p>
        </w:tc>
        <w:tc>
          <w:tcPr/>
          <w:p>
            <w:pPr>
              <w:pStyle w:val="Compact"/>
              <w:jc w:val="left"/>
            </w:pPr>
            <w:r>
              <w:t xml:space="preserve">Revisit Time</w:t>
            </w:r>
          </w:p>
        </w:tc>
        <w:tc>
          <w:tcPr/>
          <w:p>
            <w:pPr>
              <w:pStyle w:val="Compact"/>
              <w:jc w:val="left"/>
            </w:pPr>
            <w:r>
              <w:t xml:space="preserve">Spectral Bands (approx.)</w:t>
            </w:r>
          </w:p>
        </w:tc>
        <w:tc>
          <w:tcPr/>
          <w:p>
            <w:pPr>
              <w:pStyle w:val="Compact"/>
              <w:jc w:val="left"/>
            </w:pPr>
            <w:r>
              <w:t xml:space="preserve">Typical Agricultural Use</w:t>
            </w:r>
          </w:p>
        </w:tc>
      </w:tr>
      <w:tr>
        <w:tc>
          <w:tcPr/>
          <w:p>
            <w:pPr>
              <w:pStyle w:val="Compact"/>
              <w:jc w:val="left"/>
            </w:pPr>
            <w:r>
              <w:t xml:space="preserve">LISS-IV (ResourceSat-2/2A)</w:t>
            </w:r>
          </w:p>
        </w:tc>
        <w:tc>
          <w:tcPr/>
          <w:p>
            <w:pPr>
              <w:pStyle w:val="Compact"/>
              <w:jc w:val="left"/>
            </w:pPr>
            <w:r>
              <w:t xml:space="preserve">ISRO</w:t>
            </w:r>
          </w:p>
        </w:tc>
        <w:tc>
          <w:tcPr/>
          <w:p>
            <w:pPr>
              <w:pStyle w:val="Compact"/>
              <w:jc w:val="left"/>
            </w:pPr>
            <w:r>
              <w:t xml:space="preserve">5.8 m</w:t>
            </w:r>
          </w:p>
        </w:tc>
        <w:tc>
          <w:tcPr/>
          <w:p>
            <w:pPr>
              <w:pStyle w:val="Compact"/>
              <w:jc w:val="left"/>
            </w:pPr>
            <w:r>
              <w:t xml:space="preserve">70 km</w:t>
            </w:r>
          </w:p>
        </w:tc>
        <w:tc>
          <w:tcPr/>
          <w:p>
            <w:pPr>
              <w:pStyle w:val="Compact"/>
              <w:jc w:val="left"/>
            </w:pPr>
            <w:r>
              <w:t xml:space="preserve">~5 days (steerable)</w:t>
            </w:r>
          </w:p>
        </w:tc>
        <w:tc>
          <w:tcPr/>
          <w:p>
            <w:pPr>
              <w:pStyle w:val="Compact"/>
              <w:jc w:val="left"/>
            </w:pPr>
            <w:r>
              <w:t xml:space="preserve">3 (G, R, NIR)</w:t>
            </w:r>
          </w:p>
        </w:tc>
        <w:tc>
          <w:tcPr/>
          <w:p>
            <w:pPr>
              <w:pStyle w:val="Compact"/>
              <w:jc w:val="left"/>
            </w:pPr>
            <w:r>
              <w:t xml:space="preserve">Field-level crop mapping, small-holder plot delineation</w:t>
            </w:r>
          </w:p>
        </w:tc>
      </w:tr>
      <w:tr>
        <w:tc>
          <w:tcPr/>
          <w:p>
            <w:pPr>
              <w:pStyle w:val="Compact"/>
              <w:jc w:val="left"/>
            </w:pPr>
            <w:r>
              <w:t xml:space="preserve">LISS-III (ResourceSat-2/2A)</w:t>
            </w:r>
          </w:p>
        </w:tc>
        <w:tc>
          <w:tcPr/>
          <w:p>
            <w:pPr>
              <w:pStyle w:val="Compact"/>
              <w:jc w:val="left"/>
            </w:pPr>
            <w:r>
              <w:t xml:space="preserve">ISRO</w:t>
            </w:r>
          </w:p>
        </w:tc>
        <w:tc>
          <w:tcPr/>
          <w:p>
            <w:pPr>
              <w:pStyle w:val="Compact"/>
              <w:jc w:val="left"/>
            </w:pPr>
            <w:r>
              <w:t xml:space="preserve">23.5 m</w:t>
            </w:r>
          </w:p>
        </w:tc>
        <w:tc>
          <w:tcPr/>
          <w:p>
            <w:pPr>
              <w:pStyle w:val="Compact"/>
              <w:jc w:val="left"/>
            </w:pPr>
            <w:r>
              <w:t xml:space="preserve">141 km</w:t>
            </w:r>
          </w:p>
        </w:tc>
        <w:tc>
          <w:tcPr/>
          <w:p>
            <w:pPr>
              <w:pStyle w:val="Compact"/>
              <w:jc w:val="left"/>
            </w:pPr>
            <w:r>
              <w:t xml:space="preserve">24 days</w:t>
            </w:r>
          </w:p>
        </w:tc>
        <w:tc>
          <w:tcPr/>
          <w:p>
            <w:pPr>
              <w:pStyle w:val="Compact"/>
              <w:jc w:val="left"/>
            </w:pPr>
            <w:r>
              <w:t xml:space="preserve">4 (G, R, NIR, SWIR)</w:t>
            </w:r>
          </w:p>
        </w:tc>
        <w:tc>
          <w:tcPr/>
          <w:p>
            <w:pPr>
              <w:pStyle w:val="Compact"/>
              <w:jc w:val="left"/>
            </w:pPr>
            <w:r>
              <w:t xml:space="preserve">Regional cropland/land-use mapping, seasonal monitoring</w:t>
            </w:r>
          </w:p>
        </w:tc>
      </w:tr>
      <w:tr>
        <w:tc>
          <w:tcPr/>
          <w:p>
            <w:pPr>
              <w:pStyle w:val="Compact"/>
              <w:jc w:val="left"/>
            </w:pPr>
            <w:r>
              <w:t xml:space="preserve">AWiFS (ResourceSat-2/2A)</w:t>
            </w:r>
          </w:p>
        </w:tc>
        <w:tc>
          <w:tcPr/>
          <w:p>
            <w:pPr>
              <w:pStyle w:val="Compact"/>
              <w:jc w:val="left"/>
            </w:pPr>
            <w:r>
              <w:t xml:space="preserve">ISRO</w:t>
            </w:r>
          </w:p>
        </w:tc>
        <w:tc>
          <w:tcPr/>
          <w:p>
            <w:pPr>
              <w:pStyle w:val="Compact"/>
              <w:jc w:val="left"/>
            </w:pPr>
            <w:r>
              <w:t xml:space="preserve">56 m (nadir)</w:t>
            </w:r>
          </w:p>
        </w:tc>
        <w:tc>
          <w:tcPr/>
          <w:p>
            <w:pPr>
              <w:pStyle w:val="Compact"/>
              <w:jc w:val="left"/>
            </w:pPr>
            <w:r>
              <w:t xml:space="preserve">740 km</w:t>
            </w:r>
          </w:p>
        </w:tc>
        <w:tc>
          <w:tcPr/>
          <w:p>
            <w:pPr>
              <w:pStyle w:val="Compact"/>
              <w:jc w:val="left"/>
            </w:pPr>
            <w:r>
              <w:t xml:space="preserve">5 days</w:t>
            </w:r>
          </w:p>
        </w:tc>
        <w:tc>
          <w:tcPr/>
          <w:p>
            <w:pPr>
              <w:pStyle w:val="Compact"/>
              <w:jc w:val="left"/>
            </w:pPr>
            <w:r>
              <w:t xml:space="preserve">4 (G, R, NIR, SWIR)</w:t>
            </w:r>
          </w:p>
        </w:tc>
        <w:tc>
          <w:tcPr/>
          <w:p>
            <w:pPr>
              <w:pStyle w:val="Compact"/>
              <w:jc w:val="left"/>
            </w:pPr>
            <w:r>
              <w:t xml:space="preserve">National/state crop acreage &amp; condition (FASAL), large-area monitoring</w:t>
            </w:r>
          </w:p>
        </w:tc>
      </w:tr>
      <w:tr>
        <w:tc>
          <w:tcPr/>
          <w:p>
            <w:pPr>
              <w:pStyle w:val="Compact"/>
              <w:jc w:val="left"/>
            </w:pPr>
            <w:r>
              <w:t xml:space="preserve">Sentinel-2 MSI</w:t>
            </w:r>
          </w:p>
        </w:tc>
        <w:tc>
          <w:tcPr/>
          <w:p>
            <w:pPr>
              <w:pStyle w:val="Compact"/>
              <w:jc w:val="left"/>
            </w:pPr>
            <w:r>
              <w:t xml:space="preserve">ESA/Copernicus</w:t>
            </w:r>
          </w:p>
        </w:tc>
        <w:tc>
          <w:tcPr/>
          <w:p>
            <w:pPr>
              <w:pStyle w:val="Compact"/>
              <w:jc w:val="left"/>
            </w:pPr>
            <w:r>
              <w:t xml:space="preserve">10 m (VIS/NIR core bands), 20 m (red-edge/SWIR), 60 m (atmospheric bands)</w:t>
            </w:r>
          </w:p>
        </w:tc>
        <w:tc>
          <w:tcPr/>
          <w:p>
            <w:pPr>
              <w:pStyle w:val="Compact"/>
              <w:jc w:val="left"/>
            </w:pPr>
            <w:r>
              <w:t xml:space="preserve">290 km</w:t>
            </w:r>
          </w:p>
        </w:tc>
        <w:tc>
          <w:tcPr/>
          <w:p>
            <w:pPr>
              <w:pStyle w:val="Compact"/>
              <w:jc w:val="left"/>
            </w:pPr>
            <w:r>
              <w:t xml:space="preserve">~5 days (2-satellite constellation)</w:t>
            </w:r>
          </w:p>
        </w:tc>
        <w:tc>
          <w:tcPr/>
          <w:p>
            <w:pPr>
              <w:pStyle w:val="Compact"/>
              <w:jc w:val="left"/>
            </w:pPr>
            <w:r>
              <w:t xml:space="preserve">13 bands incl. 3 red-edge bands</w:t>
            </w:r>
          </w:p>
        </w:tc>
        <w:tc>
          <w:tcPr/>
          <w:p>
            <w:pPr>
              <w:pStyle w:val="Compact"/>
              <w:jc w:val="left"/>
            </w:pPr>
            <w:r>
              <w:t xml:space="preserve">Field-level crop monitoring, phenology, nitrogen/chlorophyll status</w:t>
            </w:r>
          </w:p>
        </w:tc>
      </w:tr>
      <w:tr>
        <w:tc>
          <w:tcPr/>
          <w:p>
            <w:pPr>
              <w:pStyle w:val="Compact"/>
              <w:jc w:val="left"/>
            </w:pPr>
            <w:r>
              <w:t xml:space="preserve">Landsat 8/9 OLI</w:t>
            </w:r>
          </w:p>
        </w:tc>
        <w:tc>
          <w:tcPr/>
          <w:p>
            <w:pPr>
              <w:pStyle w:val="Compact"/>
              <w:jc w:val="left"/>
            </w:pPr>
            <w:r>
              <w:t xml:space="preserve">USGS/NASA</w:t>
            </w:r>
          </w:p>
        </w:tc>
        <w:tc>
          <w:tcPr/>
          <w:p>
            <w:pPr>
              <w:pStyle w:val="Compact"/>
              <w:jc w:val="left"/>
            </w:pPr>
            <w:r>
              <w:t xml:space="preserve">30 m (15 m panchromatic)</w:t>
            </w:r>
          </w:p>
        </w:tc>
        <w:tc>
          <w:tcPr/>
          <w:p>
            <w:pPr>
              <w:pStyle w:val="Compact"/>
              <w:jc w:val="left"/>
            </w:pPr>
            <w:r>
              <w:t xml:space="preserve">185 km</w:t>
            </w:r>
          </w:p>
        </w:tc>
        <w:tc>
          <w:tcPr/>
          <w:p>
            <w:pPr>
              <w:pStyle w:val="Compact"/>
              <w:jc w:val="left"/>
            </w:pPr>
            <w:r>
              <w:t xml:space="preserve">16 days (8 days combined)</w:t>
            </w:r>
          </w:p>
        </w:tc>
        <w:tc>
          <w:tcPr/>
          <w:p>
            <w:pPr>
              <w:pStyle w:val="Compact"/>
              <w:jc w:val="left"/>
            </w:pPr>
            <w:r>
              <w:t xml:space="preserve">9 (incl. coastal aerosol, SWIR, cirrus)</w:t>
            </w:r>
          </w:p>
        </w:tc>
        <w:tc>
          <w:tcPr/>
          <w:p>
            <w:pPr>
              <w:pStyle w:val="Compact"/>
              <w:jc w:val="left"/>
            </w:pPr>
            <w:r>
              <w:t xml:space="preserve">Long-term change detection, historical time series</w:t>
            </w:r>
          </w:p>
        </w:tc>
      </w:tr>
      <w:tr>
        <w:tc>
          <w:tcPr/>
          <w:p>
            <w:pPr>
              <w:pStyle w:val="Compact"/>
              <w:jc w:val="left"/>
            </w:pPr>
            <w:r>
              <w:t xml:space="preserve">MODIS (Terra/Aqua)</w:t>
            </w:r>
          </w:p>
        </w:tc>
        <w:tc>
          <w:tcPr/>
          <w:p>
            <w:pPr>
              <w:pStyle w:val="Compact"/>
              <w:jc w:val="left"/>
            </w:pPr>
            <w:r>
              <w:t xml:space="preserve">NASA</w:t>
            </w:r>
          </w:p>
        </w:tc>
        <w:tc>
          <w:tcPr/>
          <w:p>
            <w:pPr>
              <w:pStyle w:val="Compact"/>
              <w:jc w:val="left"/>
            </w:pPr>
            <w:r>
              <w:t xml:space="preserve">250 m (bands 1–2), 500 m (bands 3–7), 1 km (thermal/other)</w:t>
            </w:r>
          </w:p>
        </w:tc>
        <w:tc>
          <w:tcPr/>
          <w:p>
            <w:pPr>
              <w:pStyle w:val="Compact"/>
              <w:jc w:val="left"/>
            </w:pPr>
            <w:r>
              <w:t xml:space="preserve">~2330 km</w:t>
            </w:r>
          </w:p>
        </w:tc>
        <w:tc>
          <w:tcPr/>
          <w:p>
            <w:pPr>
              <w:pStyle w:val="Compact"/>
              <w:jc w:val="left"/>
            </w:pPr>
            <w:r>
              <w:t xml:space="preserve">Daily (near-daily global coverage)</w:t>
            </w:r>
          </w:p>
        </w:tc>
        <w:tc>
          <w:tcPr/>
          <w:p>
            <w:pPr>
              <w:pStyle w:val="Compact"/>
              <w:jc w:val="left"/>
            </w:pPr>
            <w:r>
              <w:t xml:space="preserve">36 bands</w:t>
            </w:r>
          </w:p>
        </w:tc>
        <w:tc>
          <w:tcPr/>
          <w:p>
            <w:pPr>
              <w:pStyle w:val="Compact"/>
              <w:jc w:val="left"/>
            </w:pPr>
            <w:r>
              <w:t xml:space="preserve">Global/continental vegetation monitoring, drought and phenology indices (MOD13)</w:t>
            </w:r>
          </w:p>
        </w:tc>
      </w:tr>
      <w:tr>
        <w:tc>
          <w:tcPr/>
          <w:p>
            <w:pPr>
              <w:pStyle w:val="Compact"/>
              <w:jc w:val="left"/>
            </w:pPr>
            <w:r>
              <w:t xml:space="preserve">Sentinel-1 SAR (C-band)</w:t>
            </w:r>
          </w:p>
        </w:tc>
        <w:tc>
          <w:tcPr/>
          <w:p>
            <w:pPr>
              <w:pStyle w:val="Compact"/>
              <w:jc w:val="left"/>
            </w:pPr>
            <w:r>
              <w:t xml:space="preserve">ESA/Copernicus</w:t>
            </w:r>
          </w:p>
        </w:tc>
        <w:tc>
          <w:tcPr/>
          <w:p>
            <w:pPr>
              <w:pStyle w:val="Compact"/>
              <w:jc w:val="left"/>
            </w:pPr>
            <w:r>
              <w:t xml:space="preserve">5–20 m (mode dependent)</w:t>
            </w:r>
          </w:p>
        </w:tc>
        <w:tc>
          <w:tcPr/>
          <w:p>
            <w:pPr>
              <w:pStyle w:val="Compact"/>
              <w:jc w:val="left"/>
            </w:pPr>
            <w:r>
              <w:t xml:space="preserve">250–400 km</w:t>
            </w:r>
          </w:p>
        </w:tc>
        <w:tc>
          <w:tcPr/>
          <w:p>
            <w:pPr>
              <w:pStyle w:val="Compact"/>
              <w:jc w:val="left"/>
            </w:pPr>
            <w:r>
              <w:t xml:space="preserve">6–12 days</w:t>
            </w:r>
          </w:p>
        </w:tc>
        <w:tc>
          <w:tcPr/>
          <w:p>
            <w:pPr>
              <w:pStyle w:val="Compact"/>
              <w:jc w:val="left"/>
            </w:pPr>
            <w:r>
              <w:t xml:space="preserve">Microwave, VV/VH</w:t>
            </w:r>
          </w:p>
        </w:tc>
        <w:tc>
          <w:tcPr/>
          <w:p>
            <w:pPr>
              <w:pStyle w:val="Compact"/>
              <w:jc w:val="left"/>
            </w:pPr>
            <w:r>
              <w:t xml:space="preserve">All-weather crop monitoring, paddy mapping, soil moisture</w:t>
            </w:r>
          </w:p>
        </w:tc>
      </w:tr>
    </w:tbl>
    <w:p>
      <w:pPr>
        <w:pStyle w:val="Heading3"/>
      </w:pPr>
      <w:r>
        <w:t xml:space="preserve">4.3.4 Practical Implication for Yield Modelling</w:t>
      </w:r>
    </w:p>
    <w:p>
      <w:pPr>
        <w:pStyle w:val="FirstParagraph"/>
      </w:pPr>
      <w:r>
        <w:t xml:space="preserve">Operational crop yield forecasting systems typically</w:t>
      </w:r>
      <w:r>
        <w:t xml:space="preserve"> </w:t>
      </w:r>
      <w:r>
        <w:rPr>
          <w:bCs/>
          <w:b/>
        </w:rPr>
        <w:t xml:space="preserve">fuse multiple resolutions</w:t>
      </w:r>
      <w:r>
        <w:t xml:space="preserve">: coarse, high-frequency sensors (MODIS, AWiFS) provide dense phenological time series needed to accurately capture crop growth-stage transitions (critical because yield models are highly sensitive to correctly timing peak-vegetative and reproductive stages), while finer-resolution sensors (LISS-IV, Sentinel-2) provide the spatial detail needed to correctly attribute pixels to specific crop types and to avoid mixed-pixel contamination in fragmented landscapes. This multi-sensor, multi-resolution synergy — rather than reliance on any single</w:t>
      </w:r>
      <w:r>
        <w:t xml:space="preserve"> </w:t>
      </w:r>
      <w:r>
        <w:t xml:space="preserve">“</w:t>
      </w:r>
      <w:r>
        <w:t xml:space="preserve">best</w:t>
      </w:r>
      <w:r>
        <w:t xml:space="preserve">”</w:t>
      </w:r>
      <w:r>
        <w:t xml:space="preserve"> </w:t>
      </w:r>
      <w:r>
        <w:t xml:space="preserve">sensor — is standard practice in operational programs such as ISRO’s FASAL (Forecasting Agricultural output using Space, Agro-meteorology and Land based observations).</w:t>
      </w:r>
    </w:p>
    <w:p>
      <w:pPr>
        <w:pStyle w:val="Heading2"/>
      </w:pPr>
      <w:r>
        <w:t xml:space="preserve">4.4 Orbit Types</w:t>
      </w:r>
    </w:p>
    <w:p>
      <w:pPr>
        <w:pStyle w:val="FirstParagraph"/>
      </w:pPr>
      <w:r>
        <w:rPr>
          <w:bCs/>
          <w:b/>
        </w:rPr>
        <w:t xml:space="preserve">Sun-synchronous (near-polar) orbit</w:t>
      </w:r>
      <w:r>
        <w:t xml:space="preserve"> </w:t>
      </w:r>
      <w:r>
        <w:t xml:space="preserve">— a near-polar, retrograde orbit (inclination typically 98–99°) at altitude typically 700–850 km, precisely chosen so that the orbital plane precesses (due to Earth’s oblateness-induced gravitational perturbation) at exactly the same rate as the Earth orbits the Sun, keeping the</w:t>
      </w:r>
      <w:r>
        <w:t xml:space="preserve"> </w:t>
      </w:r>
      <w:r>
        <w:rPr>
          <w:bCs/>
          <w:b/>
        </w:rPr>
        <w:t xml:space="preserve">local solar time of equatorial crossing constant</w:t>
      </w:r>
      <w:r>
        <w:t xml:space="preserve"> </w:t>
      </w:r>
      <w:r>
        <w:t xml:space="preserve">for every orbit (e.g., a consistent ~10:30 AM descending-node crossing) — ensuring consistent illumination geometry across repeat passes, essential for time-series analysis (comparable shadow/illumination conditions date-to-date) and used by essentially all the optical/SAR Earth-observation satellites in the relevant chapter (ResourceSat, Cartosat, RISAT/EOS-04, NISAR, PROBA-V, Oceansat-2).</w:t>
      </w:r>
    </w:p>
    <w:p>
      <w:pPr>
        <w:pStyle w:val="BodyText"/>
      </w:pPr>
      <w:r>
        <w:rPr>
          <w:bCs/>
          <w:b/>
        </w:rPr>
        <w:t xml:space="preserve">Geostationary orbit</w:t>
      </w:r>
      <w:r>
        <w:t xml:space="preserve"> </w:t>
      </w:r>
      <w:r>
        <w:t xml:space="preserve">— a circular equatorial orbit at 35,786 km altitude, where the orbital period exactly equals Earth’s rotational period (23h 56m sidereal day), making the satellite appear stationary relative to a fixed point on Earth — used by INSAT-3D/3DR specifically because continuous, fixed-viewing-geometry observation of the same hemisphere is essential for tracking rapidly evolving weather systems (cyclones, convection) at sub-hourly frequency, a temporal-frequency advantage no polar orbiter can match, traded off against much coarser spatial resolution (since a fixed, very high-altitude vantage point cannot achieve fine ground resolution with a reasonably sized instrument aperture).</w:t>
      </w:r>
    </w:p>
    <w:p>
      <w:pPr>
        <w:pStyle w:val="BodyText"/>
      </w:pPr>
      <w:r>
        <w:rPr>
          <w:bCs/>
          <w:b/>
        </w:rPr>
        <w:t xml:space="preserve">Low-inclination (non-sun-synchronous) orbit</w:t>
      </w:r>
      <w:r>
        <w:t xml:space="preserve"> </w:t>
      </w:r>
      <w:r>
        <w:t xml:space="preserve">— Megha-Tropiques’ deliberately low (20°) inclination is a special case chosen specifically to maximise revisit frequency over the tropics (where sun-synchronous polar orbiters, which spend proportionally less time over low latitudes per orbit, provide comparatively sparse coverage) — illustrating that orbit choice is itself a mission-design decision driven by the specific latitude band of primary scientific interest.</w:t>
      </w:r>
    </w:p>
    <w:p>
      <w:pPr>
        <w:pStyle w:val="BodyText"/>
      </w:pPr>
      <w:r>
        <w:rPr>
          <w:bCs/>
          <w:b/>
        </w:rPr>
        <w:t xml:space="preserve">Orbital period (Kepler’s Third Law, simplified circular-orbit form):</w:t>
      </w:r>
      <w:r>
        <w:t xml:space="preserve"> </w:t>
      </w:r>
      <w:r>
        <w:t xml:space="preserve">T = 2π√(a³/GM), where a is orbital semi-major axis (≈ altitude + Earth radius for a circular orbit), G is the gravitational constant and M is Earth’s mass — explains why higher-altitude satellites (geostationary, 35,786 km) have much longer periods (24 h) than low-Earth-orbit satellites (700–850 km, ~90–100 minute periods, giving ResourceSat/Cartosat-class satellites roughly 14 orbits per day).</w:t>
      </w:r>
    </w:p>
    <w:p>
      <w:pPr>
        <w:pStyle w:val="Heading2"/>
      </w:pPr>
      <w:r>
        <w:t xml:space="preserve">4.5 Sensor Architectures</w:t>
      </w:r>
    </w:p>
    <w:p>
      <w:pPr>
        <w:numPr>
          <w:ilvl w:val="0"/>
          <w:numId w:val="1019"/>
        </w:numPr>
      </w:pPr>
      <w:r>
        <w:t xml:space="preserve">Imager: A multi-spectral radiometer (visible, SWIR, MIR, WV, TIR channels) that scans the Earth disc/swath to provide two-dimensional radiance maps; the primary workhorse for cloud, SST, LST, OLR, fire and aerosol products. INSAT-3D/3DR/3DS carry a 6-channel Imager.</w:t>
      </w:r>
    </w:p>
    <w:p>
      <w:pPr>
        <w:numPr>
          <w:ilvl w:val="0"/>
          <w:numId w:val="1019"/>
        </w:numPr>
      </w:pPr>
      <w:r>
        <w:t xml:space="preserve">Sounder: A higher spectral-resolution instrument with many narrow channels straddling CO₂/H₂O absorption bands, used to retrieve vertical profiles of temperature and humidity via the weighting-function principle described above (19-channel Sounder on INSAT-3D/3DR/3DS).</w:t>
      </w:r>
    </w:p>
    <w:p>
      <w:pPr>
        <w:numPr>
          <w:ilvl w:val="0"/>
          <w:numId w:val="1019"/>
        </w:numPr>
      </w:pPr>
      <w:r>
        <w:t xml:space="preserve">Scatterometer: An active microwave radar that measures the normalised radar backscatter cross-section (σ⁰) of the sea surface, which varies systematically with surface wind speed and direction owing to Bragg resonance with capillary–gravity waves; inversion via a Geophysical Model Function yields ocean-surface vector winds (e.g. OSCAT on Oceansat-2/3, SCATSAT-1).</w:t>
      </w:r>
    </w:p>
    <w:p>
      <w:pPr>
        <w:numPr>
          <w:ilvl w:val="0"/>
          <w:numId w:val="1019"/>
        </w:numPr>
      </w:pPr>
      <w:r>
        <w:t xml:space="preserve">Passive Microwave Radiometer: Measures naturally emitted microwave brightness temperature, sensitive to liquid water, water vapour and, at low frequencies, soil dielectric properties — used for rainfall, cloud liquid water and soil-moisture retrieval (MADRAS and SAPHIR on Megha-Tropiques).</w:t>
      </w:r>
    </w:p>
    <w:p>
      <w:pPr>
        <w:numPr>
          <w:ilvl w:val="0"/>
          <w:numId w:val="1019"/>
        </w:numPr>
      </w:pPr>
      <w:r>
        <w:t xml:space="preserve">Synthetic Aperture Radar (SAR): An active, side-looking microwave imager providing high-resolution, all-weather, day/night imagery sensitive to surface roughness and dielectric constant, used for flood mapping and crop/soil-moisture monitoring (RISAT series).</w:t>
      </w:r>
    </w:p>
    <w:p>
      <w:pPr>
        <w:pStyle w:val="Heading2"/>
      </w:pPr>
      <w:r>
        <w:t xml:space="preserve">4.6 Sensor Classification</w:t>
      </w:r>
    </w:p>
    <w:p>
      <w:pPr>
        <w:pStyle w:val="FirstParagraph"/>
      </w:pPr>
      <w:r>
        <w:t xml:space="preserve">A</w:t>
      </w:r>
      <w:r>
        <w:t xml:space="preserve"> </w:t>
      </w:r>
      <w:r>
        <w:rPr>
          <w:bCs/>
          <w:b/>
        </w:rPr>
        <w:t xml:space="preserve">sensor</w:t>
      </w:r>
      <w:r>
        <w:t xml:space="preserve"> </w:t>
      </w:r>
      <w:r>
        <w:t xml:space="preserve">is a device that collects EMR, converts it into a signal (usually an electrical current that is then digitised), and presents it in a form from which information about the target can be extracted.</w:t>
      </w:r>
    </w:p>
    <w:p>
      <w:pPr>
        <w:pStyle w:val="CaptionedFigure"/>
      </w:pPr>
      <w:r>
        <w:drawing>
          <wp:inline>
            <wp:extent cx="5334000" cy="2146935"/>
            <wp:effectExtent b="0" l="0" r="0" t="0"/>
            <wp:docPr descr="Classification of remote sensing sensors" title="" id="30" name="Picture"/>
            <a:graphic>
              <a:graphicData uri="http://schemas.openxmlformats.org/drawingml/2006/picture">
                <pic:pic>
                  <pic:nvPicPr>
                    <pic:cNvPr descr="/tmp/claude-0/-home-user-sonu/ab07c29a-21cd-5a4a-9d2d-68ad72d07153/scratchpad/build/../flows/flow_004.png" id="31" name="Picture"/>
                    <pic:cNvPicPr>
                      <a:picLocks noChangeArrowheads="1" noChangeAspect="1"/>
                    </pic:cNvPicPr>
                  </pic:nvPicPr>
                  <pic:blipFill>
                    <a:blip r:embed="rId29"/>
                    <a:stretch>
                      <a:fillRect/>
                    </a:stretch>
                  </pic:blipFill>
                  <pic:spPr bwMode="auto">
                    <a:xfrm>
                      <a:off x="0" y="0"/>
                      <a:ext cx="5334000" cy="2146935"/>
                    </a:xfrm>
                    <a:prstGeom prst="rect">
                      <a:avLst/>
                    </a:prstGeom>
                    <a:noFill/>
                    <a:ln w="9525">
                      <a:noFill/>
                      <a:headEnd/>
                      <a:tailEnd/>
                    </a:ln>
                  </pic:spPr>
                </pic:pic>
              </a:graphicData>
            </a:graphic>
          </wp:inline>
        </w:drawing>
      </w:r>
    </w:p>
    <w:p>
      <w:pPr>
        <w:pStyle w:val="ImageCaption"/>
      </w:pPr>
      <w:r>
        <w:t xml:space="preserve">Classification of remote sensing sensors</w:t>
      </w:r>
    </w:p>
    <w:p>
      <w:pPr>
        <w:pStyle w:val="BodyText"/>
      </w:pPr>
      <w:r>
        <w:t xml:space="preserve">From an operational point of view, sensors provide three kinds of information:</w:t>
      </w:r>
    </w:p>
    <w:p>
      <w:pPr>
        <w:pStyle w:val="Compact"/>
        <w:numPr>
          <w:ilvl w:val="0"/>
          <w:numId w:val="1020"/>
        </w:numPr>
      </w:pPr>
      <w:r>
        <w:rPr>
          <w:bCs/>
          <w:b/>
        </w:rPr>
        <w:t xml:space="preserve">Spatial information</w:t>
      </w:r>
      <w:r>
        <w:t xml:space="preserve"> </w:t>
      </w:r>
      <w:r>
        <w:t xml:space="preserve">(imagers): the extent and pattern of clouds, vegetation, SST.</w:t>
      </w:r>
    </w:p>
    <w:p>
      <w:pPr>
        <w:pStyle w:val="Compact"/>
        <w:numPr>
          <w:ilvl w:val="0"/>
          <w:numId w:val="1020"/>
        </w:numPr>
      </w:pPr>
      <w:r>
        <w:rPr>
          <w:bCs/>
          <w:b/>
        </w:rPr>
        <w:t xml:space="preserve">Spectral information</w:t>
      </w:r>
      <w:r>
        <w:t xml:space="preserve"> </w:t>
      </w:r>
      <w:r>
        <w:t xml:space="preserve">(sounders, spectrometers): vertical profiles of temperature and humidity, atmospheric composition, and mineralogy.</w:t>
      </w:r>
    </w:p>
    <w:p>
      <w:pPr>
        <w:pStyle w:val="Compact"/>
        <w:numPr>
          <w:ilvl w:val="0"/>
          <w:numId w:val="1020"/>
        </w:numPr>
      </w:pPr>
      <w:r>
        <w:rPr>
          <w:bCs/>
          <w:b/>
        </w:rPr>
        <w:t xml:space="preserve">Intensity information</w:t>
      </w:r>
      <w:r>
        <w:t xml:space="preserve"> </w:t>
      </w:r>
      <w:r>
        <w:t xml:space="preserve">(radar, scatterometer, polarimeters): dielectric properties and roughness, converted to soil moisture, ocean surface wind speed and direction, sea-surface roughness.</w:t>
      </w:r>
    </w:p>
    <w:p>
      <w:pPr>
        <w:pStyle w:val="Heading2"/>
      </w:pPr>
      <w:r>
        <w:t xml:space="preserve">4.7 How Optical Imaging Sensors Work</w:t>
      </w:r>
    </w:p>
    <w:p>
      <w:pPr>
        <w:pStyle w:val="Heading3"/>
      </w:pPr>
      <w:r>
        <w:t xml:space="preserve">4.7.1 Detection: the photoelectric principle</w:t>
      </w:r>
    </w:p>
    <w:p>
      <w:pPr>
        <w:pStyle w:val="FirstParagraph"/>
      </w:pPr>
      <w:r>
        <w:t xml:space="preserve">Most detectors are photon detectors. When photons with enough energy strike a light-sensitive material, they release electrons (the</w:t>
      </w:r>
      <w:r>
        <w:t xml:space="preserve"> </w:t>
      </w:r>
      <w:r>
        <w:rPr>
          <w:bCs/>
          <w:b/>
        </w:rPr>
        <w:t xml:space="preserve">photoelectric effect</w:t>
      </w:r>
      <w:r>
        <w:t xml:space="preserve">, for which Einstein won the Nobel Prize). The</w:t>
      </w:r>
      <w:r>
        <w:t xml:space="preserve"> </w:t>
      </w:r>
      <w:r>
        <w:rPr>
          <w:bCs/>
          <w:b/>
        </w:rPr>
        <w:t xml:space="preserve">electric current produced is proportional to the photon flux</w:t>
      </w:r>
      <w:r>
        <w:t xml:space="preserve">, so the signal measures intensity. Each detector material responds only between a threshold wavelength and a cut-off wavelength:</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Detector</w:t>
            </w:r>
          </w:p>
        </w:tc>
        <w:tc>
          <w:tcPr/>
          <w:p>
            <w:pPr>
              <w:pStyle w:val="Compact"/>
              <w:jc w:val="left"/>
            </w:pPr>
            <w:r>
              <w:t xml:space="preserve">Range</w:t>
            </w:r>
          </w:p>
        </w:tc>
        <w:tc>
          <w:tcPr/>
          <w:p>
            <w:pPr>
              <w:pStyle w:val="Compact"/>
              <w:jc w:val="left"/>
            </w:pPr>
            <w:r>
              <w:t xml:space="preserve">Use</w:t>
            </w:r>
          </w:p>
        </w:tc>
      </w:tr>
      <w:tr>
        <w:tc>
          <w:tcPr/>
          <w:p>
            <w:pPr>
              <w:pStyle w:val="Compact"/>
              <w:jc w:val="left"/>
            </w:pPr>
            <w:r>
              <w:t xml:space="preserve">Silicon (Si) CCD/CMOS</w:t>
            </w:r>
          </w:p>
        </w:tc>
        <w:tc>
          <w:tcPr/>
          <w:p>
            <w:pPr>
              <w:pStyle w:val="Compact"/>
              <w:jc w:val="left"/>
            </w:pPr>
            <w:r>
              <w:t xml:space="preserve">0.4–1.1 µm</w:t>
            </w:r>
          </w:p>
        </w:tc>
        <w:tc>
          <w:tcPr/>
          <w:p>
            <w:pPr>
              <w:pStyle w:val="Compact"/>
              <w:jc w:val="left"/>
            </w:pPr>
            <w:r>
              <w:t xml:space="preserve">VIS–NIR (LISS, AWiFS, Cartosat)</w:t>
            </w:r>
          </w:p>
        </w:tc>
      </w:tr>
      <w:tr>
        <w:tc>
          <w:tcPr/>
          <w:p>
            <w:pPr>
              <w:pStyle w:val="Compact"/>
              <w:jc w:val="left"/>
            </w:pPr>
            <w:r>
              <w:t xml:space="preserve">InGaAs</w:t>
            </w:r>
          </w:p>
        </w:tc>
        <w:tc>
          <w:tcPr/>
          <w:p>
            <w:pPr>
              <w:pStyle w:val="Compact"/>
              <w:jc w:val="left"/>
            </w:pPr>
            <w:r>
              <w:t xml:space="preserve">0.9–1.7 µm</w:t>
            </w:r>
          </w:p>
        </w:tc>
        <w:tc>
          <w:tcPr/>
          <w:p>
            <w:pPr>
              <w:pStyle w:val="Compact"/>
              <w:jc w:val="left"/>
            </w:pPr>
            <w:r>
              <w:t xml:space="preserve">SWIR band of LISS-III and AWiFS</w:t>
            </w:r>
          </w:p>
        </w:tc>
      </w:tr>
      <w:tr>
        <w:tc>
          <w:tcPr/>
          <w:p>
            <w:pPr>
              <w:pStyle w:val="Compact"/>
              <w:jc w:val="left"/>
            </w:pPr>
            <w:r>
              <w:t xml:space="preserve">Lead sulphide/selenide (PbS, PbSe)</w:t>
            </w:r>
          </w:p>
        </w:tc>
        <w:tc>
          <w:tcPr/>
          <w:p>
            <w:pPr>
              <w:pStyle w:val="Compact"/>
              <w:jc w:val="left"/>
            </w:pPr>
            <w:r>
              <w:t xml:space="preserve">1–5 µm</w:t>
            </w:r>
          </w:p>
        </w:tc>
        <w:tc>
          <w:tcPr/>
          <w:p>
            <w:pPr>
              <w:pStyle w:val="Compact"/>
              <w:jc w:val="left"/>
            </w:pPr>
            <w:r>
              <w:t xml:space="preserve">SWIR–MWIR</w:t>
            </w:r>
          </w:p>
        </w:tc>
      </w:tr>
      <w:tr>
        <w:tc>
          <w:tcPr/>
          <w:p>
            <w:pPr>
              <w:pStyle w:val="Compact"/>
              <w:jc w:val="left"/>
            </w:pPr>
            <w:r>
              <w:t xml:space="preserve">Indium antimonide (InSb)</w:t>
            </w:r>
          </w:p>
        </w:tc>
        <w:tc>
          <w:tcPr/>
          <w:p>
            <w:pPr>
              <w:pStyle w:val="Compact"/>
              <w:jc w:val="left"/>
            </w:pPr>
            <w:r>
              <w:t xml:space="preserve">3–5.5 µm</w:t>
            </w:r>
          </w:p>
        </w:tc>
        <w:tc>
          <w:tcPr/>
          <w:p>
            <w:pPr>
              <w:pStyle w:val="Compact"/>
              <w:jc w:val="left"/>
            </w:pPr>
            <w:r>
              <w:t xml:space="preserve">MWIR (fire)</w:t>
            </w:r>
          </w:p>
        </w:tc>
      </w:tr>
      <w:tr>
        <w:tc>
          <w:tcPr/>
          <w:p>
            <w:pPr>
              <w:pStyle w:val="Compact"/>
              <w:jc w:val="left"/>
            </w:pPr>
            <w:r>
              <w:t xml:space="preserve">Mercury cadmium telluride (HgCdTe, MCT)</w:t>
            </w:r>
          </w:p>
        </w:tc>
        <w:tc>
          <w:tcPr/>
          <w:p>
            <w:pPr>
              <w:pStyle w:val="Compact"/>
              <w:jc w:val="left"/>
            </w:pPr>
            <w:r>
              <w:t xml:space="preserve">3–14 µm</w:t>
            </w:r>
          </w:p>
        </w:tc>
        <w:tc>
          <w:tcPr/>
          <w:p>
            <w:pPr>
              <w:pStyle w:val="Compact"/>
              <w:jc w:val="left"/>
            </w:pPr>
            <w:r>
              <w:t xml:space="preserve">TIR (needs cooling to about 77 K)</w:t>
            </w:r>
          </w:p>
        </w:tc>
      </w:tr>
      <w:tr>
        <w:tc>
          <w:tcPr/>
          <w:p>
            <w:pPr>
              <w:pStyle w:val="Compact"/>
              <w:jc w:val="left"/>
            </w:pPr>
            <w:r>
              <w:t xml:space="preserve">Microbolometer (uncooled)</w:t>
            </w:r>
          </w:p>
        </w:tc>
        <w:tc>
          <w:tcPr/>
          <w:p>
            <w:pPr>
              <w:pStyle w:val="Compact"/>
              <w:jc w:val="left"/>
            </w:pPr>
            <w:r>
              <w:t xml:space="preserve">8–14 µm</w:t>
            </w:r>
          </w:p>
        </w:tc>
        <w:tc>
          <w:tcPr/>
          <w:p>
            <w:pPr>
              <w:pStyle w:val="Compact"/>
              <w:jc w:val="left"/>
            </w:pPr>
            <w:r>
              <w:t xml:space="preserve">UAV thermal cameras, low-cost TIR</w:t>
            </w:r>
          </w:p>
        </w:tc>
      </w:tr>
    </w:tbl>
    <w:p>
      <w:pPr>
        <w:pStyle w:val="BodyText"/>
      </w:pPr>
      <w:r>
        <w:rPr>
          <w:bCs/>
          <w:b/>
        </w:rPr>
        <w:t xml:space="preserve">Thermal detectors are cooled</w:t>
      </w:r>
      <w:r>
        <w:t xml:space="preserve"> </w:t>
      </w:r>
      <w:r>
        <w:t xml:space="preserve">(Stirling coolers, liquid nitrogen, radiative coolers) so that their own thermal emission does not swamp the signal. Thermal scanners also view</w:t>
      </w:r>
      <w:r>
        <w:t xml:space="preserve"> </w:t>
      </w:r>
      <w:r>
        <w:rPr>
          <w:bCs/>
          <w:b/>
        </w:rPr>
        <w:t xml:space="preserve">internal blackbody references</w:t>
      </w:r>
      <w:r>
        <w:t xml:space="preserve"> </w:t>
      </w:r>
      <w:r>
        <w:t xml:space="preserve">at known temperatures for absolute calibration. Temperature resolution (NEΔT) reaches about 0.1 K.</w:t>
      </w:r>
    </w:p>
    <w:p>
      <w:pPr>
        <w:pStyle w:val="Heading3"/>
      </w:pPr>
      <w:r>
        <w:t xml:space="preserve">4.7.2 Scanning mechanisms</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Mechanism</w:t>
            </w:r>
          </w:p>
        </w:tc>
        <w:tc>
          <w:tcPr/>
          <w:p>
            <w:pPr>
              <w:pStyle w:val="Compact"/>
              <w:jc w:val="left"/>
            </w:pPr>
            <w:r>
              <w:t xml:space="preserve">How it builds an image</w:t>
            </w:r>
          </w:p>
        </w:tc>
        <w:tc>
          <w:tcPr/>
          <w:p>
            <w:pPr>
              <w:pStyle w:val="Compact"/>
              <w:jc w:val="left"/>
            </w:pPr>
            <w:r>
              <w:t xml:space="preserve">Pros</w:t>
            </w:r>
          </w:p>
        </w:tc>
        <w:tc>
          <w:tcPr/>
          <w:p>
            <w:pPr>
              <w:pStyle w:val="Compact"/>
              <w:jc w:val="left"/>
            </w:pPr>
            <w:r>
              <w:t xml:space="preserve">Cons</w:t>
            </w:r>
          </w:p>
        </w:tc>
        <w:tc>
          <w:tcPr/>
          <w:p>
            <w:pPr>
              <w:pStyle w:val="Compact"/>
              <w:jc w:val="left"/>
            </w:pPr>
            <w:r>
              <w:t xml:space="preserve">Examples</w:t>
            </w:r>
          </w:p>
        </w:tc>
      </w:tr>
      <w:tr>
        <w:tc>
          <w:tcPr/>
          <w:p>
            <w:pPr>
              <w:pStyle w:val="Compact"/>
              <w:jc w:val="left"/>
            </w:pPr>
            <w:r>
              <w:rPr>
                <w:bCs/>
                <w:b/>
              </w:rPr>
              <w:t xml:space="preserve">Framing camera</w:t>
            </w:r>
          </w:p>
        </w:tc>
        <w:tc>
          <w:tcPr/>
          <w:p>
            <w:pPr>
              <w:pStyle w:val="Compact"/>
              <w:jc w:val="left"/>
            </w:pPr>
            <w:r>
              <w:t xml:space="preserve">Whole scene captured at once on film or a 2-D array</w:t>
            </w:r>
          </w:p>
        </w:tc>
        <w:tc>
          <w:tcPr/>
          <w:p>
            <w:pPr>
              <w:pStyle w:val="Compact"/>
              <w:jc w:val="left"/>
            </w:pPr>
            <w:r>
              <w:t xml:space="preserve">Geometric fidelity, stereo</w:t>
            </w:r>
          </w:p>
        </w:tc>
        <w:tc>
          <w:tcPr/>
          <w:p>
            <w:pPr>
              <w:pStyle w:val="Compact"/>
              <w:jc w:val="left"/>
            </w:pPr>
            <w:r>
              <w:t xml:space="preserve">Limited spectral range (film)</w:t>
            </w:r>
          </w:p>
        </w:tc>
        <w:tc>
          <w:tcPr/>
          <w:p>
            <w:pPr>
              <w:pStyle w:val="Compact"/>
              <w:jc w:val="left"/>
            </w:pPr>
            <w:r>
              <w:t xml:space="preserve">Aerial cameras, UAV RGB cameras</w:t>
            </w:r>
          </w:p>
        </w:tc>
      </w:tr>
      <w:tr>
        <w:tc>
          <w:tcPr/>
          <w:p>
            <w:pPr>
              <w:pStyle w:val="Compact"/>
              <w:jc w:val="left"/>
            </w:pPr>
            <w:r>
              <w:rPr>
                <w:bCs/>
                <w:b/>
              </w:rPr>
              <w:t xml:space="preserve">Whiskbroom (across-track)</w:t>
            </w:r>
          </w:p>
        </w:tc>
        <w:tc>
          <w:tcPr/>
          <w:p>
            <w:pPr>
              <w:pStyle w:val="Compact"/>
              <w:jc w:val="left"/>
            </w:pPr>
            <w:r>
              <w:t xml:space="preserve">A rotating or oscillating mirror sweeps a narrow IFOV from side to side; forward motion of the platform adds lines</w:t>
            </w:r>
          </w:p>
        </w:tc>
        <w:tc>
          <w:tcPr/>
          <w:p>
            <w:pPr>
              <w:pStyle w:val="Compact"/>
              <w:jc w:val="left"/>
            </w:pPr>
            <w:r>
              <w:t xml:space="preserve">One detector per band, so easy calibration; wide FOV</w:t>
            </w:r>
          </w:p>
        </w:tc>
        <w:tc>
          <w:tcPr/>
          <w:p>
            <w:pPr>
              <w:pStyle w:val="Compact"/>
              <w:jc w:val="left"/>
            </w:pPr>
            <w:r>
              <w:t xml:space="preserve">Moving parts; short dwell time per pixel, so lower SNR; panoramic distortion</w:t>
            </w:r>
          </w:p>
        </w:tc>
        <w:tc>
          <w:tcPr/>
          <w:p>
            <w:pPr>
              <w:pStyle w:val="Compact"/>
              <w:jc w:val="left"/>
            </w:pPr>
            <w:r>
              <w:t xml:space="preserve">Landsat MSS/TM/ETM+, NOAA AVHRR, MODIS</w:t>
            </w:r>
          </w:p>
        </w:tc>
      </w:tr>
      <w:tr>
        <w:tc>
          <w:tcPr/>
          <w:p>
            <w:pPr>
              <w:pStyle w:val="Compact"/>
              <w:jc w:val="left"/>
            </w:pPr>
            <w:r>
              <w:rPr>
                <w:bCs/>
                <w:b/>
              </w:rPr>
              <w:t xml:space="preserve">Pushbroom (along-track)</w:t>
            </w:r>
          </w:p>
        </w:tc>
        <w:tc>
          <w:tcPr/>
          <w:p>
            <w:pPr>
              <w:pStyle w:val="Compact"/>
              <w:jc w:val="left"/>
            </w:pPr>
            <w:r>
              <w:t xml:space="preserve">A linear array of thousands of CCDs, one per cross-track pixel, is</w:t>
            </w:r>
            <w:r>
              <w:t xml:space="preserve"> </w:t>
            </w:r>
            <w:r>
              <w:t xml:space="preserve">“</w:t>
            </w:r>
            <w:r>
              <w:t xml:space="preserve">pushed</w:t>
            </w:r>
            <w:r>
              <w:t xml:space="preserve">”</w:t>
            </w:r>
            <w:r>
              <w:t xml:space="preserve"> </w:t>
            </w:r>
            <w:r>
              <w:t xml:space="preserve">along the track</w:t>
            </w:r>
          </w:p>
        </w:tc>
        <w:tc>
          <w:tcPr/>
          <w:p>
            <w:pPr>
              <w:pStyle w:val="Compact"/>
              <w:jc w:val="left"/>
            </w:pPr>
            <w:r>
              <w:t xml:space="preserve">No moving parts; long dwell time, so high SNR and better radiometric resolution</w:t>
            </w:r>
          </w:p>
        </w:tc>
        <w:tc>
          <w:tcPr/>
          <w:p>
            <w:pPr>
              <w:pStyle w:val="Compact"/>
              <w:jc w:val="left"/>
            </w:pPr>
            <w:r>
              <w:t xml:space="preserve">Detector-to-detector calibration (striping); many detectors</w:t>
            </w:r>
          </w:p>
        </w:tc>
        <w:tc>
          <w:tcPr/>
          <w:p>
            <w:pPr>
              <w:pStyle w:val="Compact"/>
              <w:jc w:val="left"/>
            </w:pPr>
            <w:r>
              <w:rPr>
                <w:bCs/>
                <w:b/>
              </w:rPr>
              <w:t xml:space="preserve">IRS LISS-III/IV, AWiFS</w:t>
            </w:r>
            <w:r>
              <w:t xml:space="preserve">, SPOT HRV, Sentinel-2 MSI, Landsat-8 OLI</w:t>
            </w:r>
          </w:p>
        </w:tc>
      </w:tr>
      <w:tr>
        <w:tc>
          <w:tcPr/>
          <w:p>
            <w:pPr>
              <w:pStyle w:val="Compact"/>
              <w:jc w:val="left"/>
            </w:pPr>
            <w:r>
              <w:rPr>
                <w:bCs/>
                <w:b/>
              </w:rPr>
              <w:t xml:space="preserve">Step-stare / area array</w:t>
            </w:r>
          </w:p>
        </w:tc>
        <w:tc>
          <w:tcPr/>
          <w:p>
            <w:pPr>
              <w:pStyle w:val="Compact"/>
              <w:jc w:val="left"/>
            </w:pPr>
            <w:r>
              <w:t xml:space="preserve">2-D array stares at a ground area</w:t>
            </w:r>
          </w:p>
        </w:tc>
        <w:tc>
          <w:tcPr/>
          <w:p>
            <w:pPr>
              <w:pStyle w:val="Compact"/>
              <w:jc w:val="left"/>
            </w:pPr>
            <w:r>
              <w:t xml:space="preserve">Long integration</w:t>
            </w:r>
          </w:p>
        </w:tc>
        <w:tc>
          <w:tcPr/>
          <w:p>
            <w:pPr>
              <w:pStyle w:val="Compact"/>
              <w:jc w:val="left"/>
            </w:pPr>
            <w:r>
              <w:t xml:space="preserve">Complex</w:t>
            </w:r>
          </w:p>
        </w:tc>
        <w:tc>
          <w:tcPr/>
          <w:p>
            <w:pPr>
              <w:pStyle w:val="Compact"/>
              <w:jc w:val="left"/>
            </w:pPr>
            <w:r>
              <w:t xml:space="preserve">Geostationary imagers (some), hyperspectral (with dispersive element)</w:t>
            </w:r>
          </w:p>
        </w:tc>
      </w:tr>
    </w:tbl>
    <w:p>
      <w:pPr>
        <w:pStyle w:val="BodyText"/>
      </w:pPr>
      <w:r>
        <w:rPr>
          <w:bCs/>
          <w:b/>
        </w:rPr>
        <w:t xml:space="preserve">Imaging spectrometers (hyperspectral)</w:t>
      </w:r>
      <w:r>
        <w:t xml:space="preserve"> </w:t>
      </w:r>
      <w:r>
        <w:t xml:space="preserve">add a dispersing element (prism or grating) so that one dimension of a 2-D array records space and the other records wavelength. They record contiguous narrow bands (5–10 nm), as in HySIS, AVIRIS-NG, PRISMA and EnMAP.</w:t>
      </w:r>
    </w:p>
    <w:p>
      <w:pPr>
        <w:pStyle w:val="Heading3"/>
      </w:pPr>
      <w:r>
        <w:t xml:space="preserve">4.7.3 Key geometric relationships</w:t>
      </w:r>
    </w:p>
    <w:p>
      <w:pPr>
        <w:pStyle w:val="Compact"/>
        <w:numPr>
          <w:ilvl w:val="0"/>
          <w:numId w:val="1021"/>
        </w:numPr>
      </w:pPr>
      <w:r>
        <w:rPr>
          <w:bCs/>
          <w:b/>
        </w:rPr>
        <w:t xml:space="preserve">Instantaneous field of view (IFOV)</w:t>
      </w:r>
      <w:r>
        <w:t xml:space="preserve"> </w:t>
      </w:r>
      <m:oMath>
        <m:r>
          <m:t>β</m:t>
        </m:r>
      </m:oMath>
      <w:r>
        <w:t xml:space="preserve"> </w:t>
      </w:r>
      <w:r>
        <w:t xml:space="preserve">(radians) is the angular cone of one detector.</w:t>
      </w:r>
    </w:p>
    <w:p>
      <w:pPr>
        <w:pStyle w:val="Compact"/>
        <w:numPr>
          <w:ilvl w:val="0"/>
          <w:numId w:val="1021"/>
        </w:numPr>
      </w:pPr>
      <w:r>
        <w:rPr>
          <w:bCs/>
          <w:b/>
        </w:rPr>
        <w:t xml:space="preserve">Ground sample distance (GSD)</w:t>
      </w:r>
      <w:r>
        <w:t xml:space="preserve"> </w:t>
      </w:r>
      <w:r>
        <w:t xml:space="preserve">at nadir is</w:t>
      </w:r>
    </w:p>
    <w:p>
      <w:pPr>
        <w:pStyle w:val="FirstParagraph"/>
      </w:pPr>
      <m:oMathPara>
        <m:oMathParaPr>
          <m:jc m:val="center"/>
        </m:oMathParaPr>
        <m:oMath>
          <m:r>
            <m:t>D</m:t>
          </m:r>
          <m:r>
            <m:rPr>
              <m:sty m:val="p"/>
            </m:rPr>
            <m:t>=</m:t>
          </m:r>
          <m:r>
            <m:t>H</m:t>
          </m:r>
          <m:r>
            <m:t> </m:t>
          </m:r>
          <m:r>
            <m:t>β</m:t>
          </m:r>
        </m:oMath>
      </m:oMathPara>
    </w:p>
    <w:p>
      <w:pPr>
        <w:pStyle w:val="FirstParagraph"/>
      </w:pPr>
      <w:r>
        <w:t xml:space="preserve">where</w:t>
      </w:r>
      <w:r>
        <w:t xml:space="preserve"> </w:t>
      </w:r>
      <m:oMath>
        <m:r>
          <m:t>H</m:t>
        </m:r>
      </m:oMath>
      <w:r>
        <w:t xml:space="preserve"> </w:t>
      </w:r>
      <w:r>
        <w:t xml:space="preserve">is platform altitude. For example,</w:t>
      </w:r>
      <w:r>
        <w:t xml:space="preserve"> </w:t>
      </w:r>
      <m:oMath>
        <m:r>
          <m:t>H</m:t>
        </m:r>
      </m:oMath>
      <w:r>
        <w:t xml:space="preserve"> </w:t>
      </w:r>
      <w:r>
        <w:t xml:space="preserve">= 817 km and</w:t>
      </w:r>
      <w:r>
        <w:t xml:space="preserve"> </w:t>
      </w:r>
      <m:oMath>
        <m:r>
          <m:t>β</m:t>
        </m:r>
      </m:oMath>
      <w:r>
        <w:t xml:space="preserve"> </w:t>
      </w:r>
      <w:r>
        <w:t xml:space="preserve">= 7.1 µrad give</w:t>
      </w:r>
      <w:r>
        <w:t xml:space="preserve"> </w:t>
      </w:r>
      <m:oMath>
        <m:r>
          <m:t>D</m:t>
        </m:r>
      </m:oMath>
      <w:r>
        <w:t xml:space="preserve"> </w:t>
      </w:r>
      <w:r>
        <w:t xml:space="preserve">≈ 5.8 m (LISS-IV).</w:t>
      </w:r>
    </w:p>
    <w:p>
      <w:pPr>
        <w:pStyle w:val="Compact"/>
        <w:numPr>
          <w:ilvl w:val="0"/>
          <w:numId w:val="1022"/>
        </w:numPr>
      </w:pPr>
      <w:r>
        <w:rPr>
          <w:bCs/>
          <w:b/>
        </w:rPr>
        <w:t xml:space="preserve">Swath width</w:t>
      </w:r>
      <w:r>
        <w:t xml:space="preserve"> </w:t>
      </w:r>
      <w:r>
        <w:t xml:space="preserve">for a total field of view</w:t>
      </w:r>
      <w:r>
        <w:t xml:space="preserve"> </w:t>
      </w:r>
      <m:oMath>
        <m:sSub>
          <m:e>
            <m:r>
              <m:t>θ</m:t>
            </m:r>
          </m:e>
          <m:sub>
            <m:r>
              <m:t>F</m:t>
            </m:r>
            <m:r>
              <m:t>O</m:t>
            </m:r>
            <m:r>
              <m:t>V</m:t>
            </m:r>
          </m:sub>
        </m:sSub>
      </m:oMath>
      <w:r>
        <w:t xml:space="preserve"> </w:t>
      </w:r>
      <w:r>
        <w:t xml:space="preserve">is</w:t>
      </w:r>
    </w:p>
    <w:p>
      <w:pPr>
        <w:pStyle w:val="FirstParagraph"/>
      </w:pPr>
      <m:oMathPara>
        <m:oMathParaPr>
          <m:jc m:val="center"/>
        </m:oMathParaPr>
        <m:oMath>
          <m:r>
            <m:t>W</m:t>
          </m:r>
          <m:r>
            <m:rPr>
              <m:sty m:val="p"/>
            </m:rPr>
            <m:t>=</m:t>
          </m:r>
          <m:r>
            <m:t>2</m:t>
          </m:r>
          <m:r>
            <m:t>H</m:t>
          </m:r>
          <m:r>
            <m:rPr>
              <m:sty m:val="p"/>
            </m:rPr>
            <m:t>tan</m:t>
          </m:r>
          <m:r>
            <m:t>​</m:t>
          </m:r>
          <m:d>
            <m:dPr>
              <m:begChr m:val="("/>
              <m:endChr m:val=")"/>
              <m:sepChr m:val=""/>
              <m:grow/>
            </m:dPr>
            <m:e>
              <m:f>
                <m:fPr>
                  <m:type m:val="bar"/>
                </m:fPr>
                <m:num>
                  <m:sSub>
                    <m:e>
                      <m:r>
                        <m:t>θ</m:t>
                      </m:r>
                    </m:e>
                    <m:sub>
                      <m:r>
                        <m:t>F</m:t>
                      </m:r>
                      <m:r>
                        <m:t>O</m:t>
                      </m:r>
                      <m:r>
                        <m:t>V</m:t>
                      </m:r>
                    </m:sub>
                  </m:sSub>
                </m:num>
                <m:den>
                  <m:r>
                    <m:t>2</m:t>
                  </m:r>
                </m:den>
              </m:f>
            </m:e>
          </m:d>
        </m:oMath>
      </m:oMathPara>
    </w:p>
    <w:p>
      <w:pPr>
        <w:pStyle w:val="Compact"/>
        <w:numPr>
          <w:ilvl w:val="0"/>
          <w:numId w:val="1023"/>
        </w:numPr>
      </w:pPr>
      <w:r>
        <w:rPr>
          <w:bCs/>
          <w:b/>
        </w:rPr>
        <w:t xml:space="preserve">Off-nadir pixel growth</w:t>
      </w:r>
      <w:r>
        <w:t xml:space="preserve"> </w:t>
      </w:r>
      <w:r>
        <w:t xml:space="preserve">(whiskbroom): along-track size grows as</w:t>
      </w:r>
      <w:r>
        <w:t xml:space="preserve"> </w:t>
      </w:r>
      <m:oMath>
        <m:r>
          <m:t>D</m:t>
        </m:r>
        <m:r>
          <m:rPr>
            <m:sty m:val="p"/>
          </m:rPr>
          <m:t>/</m:t>
        </m:r>
        <m:r>
          <m:rPr>
            <m:sty m:val="p"/>
          </m:rPr>
          <m:t>cos</m:t>
        </m:r>
        <m:r>
          <m:t>θ</m:t>
        </m:r>
      </m:oMath>
      <w:r>
        <w:t xml:space="preserve"> </w:t>
      </w:r>
      <w:r>
        <w:t xml:space="preserve">and across-track as</w:t>
      </w:r>
      <w:r>
        <w:t xml:space="preserve"> </w:t>
      </w:r>
      <m:oMath>
        <m:r>
          <m:t>D</m:t>
        </m:r>
        <m:r>
          <m:rPr>
            <m:sty m:val="p"/>
          </m:rPr>
          <m:t>/</m:t>
        </m:r>
        <m:sSup>
          <m:e>
            <m:r>
              <m:rPr>
                <m:sty m:val="p"/>
              </m:rPr>
              <m:t>cos</m:t>
            </m:r>
          </m:e>
          <m:sup>
            <m:r>
              <m:t>2</m:t>
            </m:r>
          </m:sup>
        </m:sSup>
        <m:r>
          <m:t>θ</m:t>
        </m:r>
      </m:oMath>
      <w:r>
        <w:t xml:space="preserve">. MODIS 1 km pixels grow to about 2 × 5 km at the swath edge (the</w:t>
      </w:r>
      <w:r>
        <w:t xml:space="preserve"> </w:t>
      </w:r>
      <w:r>
        <w:t xml:space="preserve">“</w:t>
      </w:r>
      <w:r>
        <w:t xml:space="preserve">bow-tie</w:t>
      </w:r>
      <w:r>
        <w:t xml:space="preserve">”</w:t>
      </w:r>
      <w:r>
        <w:t xml:space="preserve"> </w:t>
      </w:r>
      <w:r>
        <w:t xml:space="preserve">effect).</w:t>
      </w:r>
    </w:p>
    <w:p>
      <w:pPr>
        <w:pStyle w:val="Heading3"/>
      </w:pPr>
      <w:r>
        <w:t xml:space="preserve">4.7.4 Radiometric performance terms</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Quantisation</w:t>
            </w:r>
            <w:r>
              <w:t xml:space="preserve"> </w:t>
            </w:r>
            <w:r>
              <w:t xml:space="preserve">(bits)</w:t>
            </w:r>
          </w:p>
        </w:tc>
        <w:tc>
          <w:tcPr/>
          <w:p>
            <w:pPr>
              <w:pStyle w:val="Compact"/>
              <w:jc w:val="left"/>
            </w:pPr>
            <w:r>
              <w:t xml:space="preserve">Number of grey levels,</w:t>
            </w:r>
            <w:r>
              <w:t xml:space="preserve"> </w:t>
            </w:r>
            <m:oMath>
              <m:sSup>
                <m:e>
                  <m:r>
                    <m:t>2</m:t>
                  </m:r>
                </m:e>
                <m:sup>
                  <m:r>
                    <m:t>n</m:t>
                  </m:r>
                </m:sup>
              </m:sSup>
            </m:oMath>
            <w:r>
              <w:t xml:space="preserve">: 7-bit gives 128, 10-bit gives 1024, 12-bit gives 4096</w:t>
            </w:r>
          </w:p>
        </w:tc>
      </w:tr>
      <w:tr>
        <w:tc>
          <w:tcPr/>
          <w:p>
            <w:pPr>
              <w:pStyle w:val="Compact"/>
              <w:jc w:val="left"/>
            </w:pPr>
            <w:r>
              <w:rPr>
                <w:bCs/>
                <w:b/>
              </w:rPr>
              <w:t xml:space="preserve">Saturation radiance</w:t>
            </w:r>
          </w:p>
        </w:tc>
        <w:tc>
          <w:tcPr/>
          <w:p>
            <w:pPr>
              <w:pStyle w:val="Compact"/>
              <w:jc w:val="left"/>
            </w:pPr>
            <w:r>
              <w:t xml:space="preserve">Maximum radiance before the detector saturates; a low setting gives sensitivity to dark targets but saturates bright ones</w:t>
            </w:r>
          </w:p>
        </w:tc>
      </w:tr>
      <w:tr>
        <w:tc>
          <w:tcPr/>
          <w:p>
            <w:pPr>
              <w:pStyle w:val="Compact"/>
              <w:jc w:val="left"/>
            </w:pPr>
            <w:r>
              <w:rPr>
                <w:bCs/>
                <w:b/>
              </w:rPr>
              <w:t xml:space="preserve">SNR</w:t>
            </w:r>
          </w:p>
        </w:tc>
        <w:tc>
          <w:tcPr/>
          <w:p>
            <w:pPr>
              <w:pStyle w:val="Compact"/>
              <w:jc w:val="left"/>
            </w:pPr>
            <w:r>
              <w:t xml:space="preserve">Signal-to-noise ratio; improved by larger IFOV, wider bands and longer dwell time</w:t>
            </w:r>
          </w:p>
        </w:tc>
      </w:tr>
      <w:tr>
        <w:tc>
          <w:tcPr/>
          <w:p>
            <w:pPr>
              <w:pStyle w:val="Compact"/>
              <w:jc w:val="left"/>
            </w:pPr>
            <w:r>
              <w:rPr>
                <w:bCs/>
                <w:b/>
              </w:rPr>
              <w:t xml:space="preserve">NEΔρ / NEΔT</w:t>
            </w:r>
          </w:p>
        </w:tc>
        <w:tc>
          <w:tcPr/>
          <w:p>
            <w:pPr>
              <w:pStyle w:val="Compact"/>
              <w:jc w:val="left"/>
            </w:pPr>
            <w:r>
              <w:t xml:space="preserve">Noise-equivalent reflectance or temperature difference, the smallest detectable change</w:t>
            </w:r>
          </w:p>
        </w:tc>
      </w:tr>
      <w:tr>
        <w:tc>
          <w:tcPr/>
          <w:p>
            <w:pPr>
              <w:pStyle w:val="Compact"/>
              <w:jc w:val="left"/>
            </w:pPr>
            <w:r>
              <w:rPr>
                <w:bCs/>
                <w:b/>
              </w:rPr>
              <w:t xml:space="preserve">MTF</w:t>
            </w:r>
          </w:p>
        </w:tc>
        <w:tc>
          <w:tcPr/>
          <w:p>
            <w:pPr>
              <w:pStyle w:val="Compact"/>
              <w:jc w:val="left"/>
            </w:pPr>
            <w:r>
              <w:t xml:space="preserve">Modulation transfer function, the contrast-transfer ability (sharpness) at a given spatial frequency</w:t>
            </w:r>
          </w:p>
        </w:tc>
      </w:tr>
    </w:tbl>
    <w:p>
      <w:pPr>
        <w:pStyle w:val="ExamTip"/>
      </w:pPr>
      <w:r>
        <w:rPr>
          <w:bCs/>
          <w:b/>
        </w:rPr>
        <w:t xml:space="preserve">Radiometric resolution trick.</w:t>
      </w:r>
      <w:r>
        <w:t xml:space="preserve"> </w:t>
      </w:r>
      <w:r>
        <w:t xml:space="preserve">A sensor saturating at 100% reflectance with 8 bits resolves about 0.4% reflectance per level. One saturating at 20% reflectance with 7 bits resolves about 0.16% per level. So it is</w:t>
      </w:r>
      <w:r>
        <w:t xml:space="preserve"> </w:t>
      </w:r>
      <w:r>
        <w:rPr>
          <w:iCs/>
          <w:i/>
        </w:rPr>
        <w:t xml:space="preserve">more</w:t>
      </w:r>
      <w:r>
        <w:t xml:space="preserve"> </w:t>
      </w:r>
      <w:r>
        <w:t xml:space="preserve">sensitive for dark targets such as water and vegetation in the visible, even though it has fewer bits.</w:t>
      </w:r>
    </w:p>
    <w:p>
      <w:pPr>
        <w:pStyle w:val="Heading2"/>
      </w:pPr>
      <w:r>
        <w:t xml:space="preserve">4.8 Microwave and Radar Sensors</w:t>
      </w:r>
    </w:p>
    <w:p>
      <w:pPr>
        <w:pStyle w:val="Heading3"/>
      </w:pPr>
      <w:r>
        <w:t xml:space="preserve">4.8.1 Radar bands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Band</w:t>
            </w:r>
          </w:p>
        </w:tc>
        <w:tc>
          <w:tcPr/>
          <w:p>
            <w:pPr>
              <w:pStyle w:val="Compact"/>
              <w:jc w:val="left"/>
            </w:pPr>
            <w:r>
              <w:t xml:space="preserve">Frequency (GHz)</w:t>
            </w:r>
          </w:p>
        </w:tc>
        <w:tc>
          <w:tcPr/>
          <w:p>
            <w:pPr>
              <w:pStyle w:val="Compact"/>
              <w:jc w:val="left"/>
            </w:pPr>
            <w:r>
              <w:t xml:space="preserve">Wavelength (cm)</w:t>
            </w:r>
          </w:p>
        </w:tc>
        <w:tc>
          <w:tcPr/>
          <w:p>
            <w:pPr>
              <w:pStyle w:val="Compact"/>
              <w:jc w:val="left"/>
            </w:pPr>
            <w:r>
              <w:t xml:space="preserve">Missions / use</w:t>
            </w:r>
          </w:p>
        </w:tc>
      </w:tr>
      <w:tr>
        <w:tc>
          <w:tcPr/>
          <w:p>
            <w:pPr>
              <w:pStyle w:val="Compact"/>
              <w:jc w:val="left"/>
            </w:pPr>
            <w:r>
              <w:t xml:space="preserve">Ka</w:t>
            </w:r>
          </w:p>
        </w:tc>
        <w:tc>
          <w:tcPr/>
          <w:p>
            <w:pPr>
              <w:pStyle w:val="Compact"/>
              <w:jc w:val="left"/>
            </w:pPr>
            <w:r>
              <w:t xml:space="preserve">26.5–40</w:t>
            </w:r>
          </w:p>
        </w:tc>
        <w:tc>
          <w:tcPr/>
          <w:p>
            <w:pPr>
              <w:pStyle w:val="Compact"/>
              <w:jc w:val="left"/>
            </w:pPr>
            <w:r>
              <w:t xml:space="preserve">0.75–1.1</w:t>
            </w:r>
          </w:p>
        </w:tc>
        <w:tc>
          <w:tcPr/>
          <w:p>
            <w:pPr>
              <w:pStyle w:val="Compact"/>
              <w:jc w:val="left"/>
            </w:pPr>
            <w:r>
              <w:t xml:space="preserve">Altimetry (SARAL AltiKa)</w:t>
            </w:r>
          </w:p>
        </w:tc>
      </w:tr>
      <w:tr>
        <w:tc>
          <w:tcPr/>
          <w:p>
            <w:pPr>
              <w:pStyle w:val="Compact"/>
              <w:jc w:val="left"/>
            </w:pPr>
            <w:r>
              <w:t xml:space="preserve">Ku</w:t>
            </w:r>
          </w:p>
        </w:tc>
        <w:tc>
          <w:tcPr/>
          <w:p>
            <w:pPr>
              <w:pStyle w:val="Compact"/>
              <w:jc w:val="left"/>
            </w:pPr>
            <w:r>
              <w:t xml:space="preserve">12–18</w:t>
            </w:r>
          </w:p>
        </w:tc>
        <w:tc>
          <w:tcPr/>
          <w:p>
            <w:pPr>
              <w:pStyle w:val="Compact"/>
              <w:jc w:val="left"/>
            </w:pPr>
            <w:r>
              <w:t xml:space="preserve">1.7–2.5</w:t>
            </w:r>
          </w:p>
        </w:tc>
        <w:tc>
          <w:tcPr/>
          <w:p>
            <w:pPr>
              <w:pStyle w:val="Compact"/>
              <w:jc w:val="left"/>
            </w:pPr>
            <w:r>
              <w:t xml:space="preserve">Scatterometers (SCATSAT-1, OSCAT), TRMM PR (13.8 GHz)</w:t>
            </w:r>
          </w:p>
        </w:tc>
      </w:tr>
      <w:tr>
        <w:tc>
          <w:tcPr/>
          <w:p>
            <w:pPr>
              <w:pStyle w:val="Compact"/>
              <w:jc w:val="left"/>
            </w:pPr>
            <w:r>
              <w:t xml:space="preserve">X</w:t>
            </w:r>
          </w:p>
        </w:tc>
        <w:tc>
          <w:tcPr/>
          <w:p>
            <w:pPr>
              <w:pStyle w:val="Compact"/>
              <w:jc w:val="left"/>
            </w:pPr>
            <w:r>
              <w:t xml:space="preserve">8–12</w:t>
            </w:r>
          </w:p>
        </w:tc>
        <w:tc>
          <w:tcPr/>
          <w:p>
            <w:pPr>
              <w:pStyle w:val="Compact"/>
              <w:jc w:val="left"/>
            </w:pPr>
            <w:r>
              <w:t xml:space="preserve">2.5–3.75</w:t>
            </w:r>
          </w:p>
        </w:tc>
        <w:tc>
          <w:tcPr/>
          <w:p>
            <w:pPr>
              <w:pStyle w:val="Compact"/>
              <w:jc w:val="left"/>
            </w:pPr>
            <w:r>
              <w:t xml:space="preserve">TerraSAR-X, RISAT-2; canopy top, urban</w:t>
            </w:r>
          </w:p>
        </w:tc>
      </w:tr>
      <w:tr>
        <w:tc>
          <w:tcPr/>
          <w:p>
            <w:pPr>
              <w:pStyle w:val="Compact"/>
              <w:jc w:val="left"/>
            </w:pPr>
            <w:r>
              <w:rPr>
                <w:bCs/>
                <w:b/>
              </w:rPr>
              <w:t xml:space="preserve">C</w:t>
            </w:r>
          </w:p>
        </w:tc>
        <w:tc>
          <w:tcPr/>
          <w:p>
            <w:pPr>
              <w:pStyle w:val="Compact"/>
              <w:jc w:val="left"/>
            </w:pPr>
            <w:r>
              <w:t xml:space="preserve">4–8</w:t>
            </w:r>
          </w:p>
        </w:tc>
        <w:tc>
          <w:tcPr/>
          <w:p>
            <w:pPr>
              <w:pStyle w:val="Compact"/>
              <w:jc w:val="left"/>
            </w:pPr>
            <w:r>
              <w:t xml:space="preserve">3.75–7.5</w:t>
            </w:r>
          </w:p>
        </w:tc>
        <w:tc>
          <w:tcPr/>
          <w:p>
            <w:pPr>
              <w:pStyle w:val="Compact"/>
              <w:jc w:val="left"/>
            </w:pPr>
            <w:r>
              <w:rPr>
                <w:bCs/>
                <w:b/>
              </w:rPr>
              <w:t xml:space="preserve">RISAT-1, EOS-04 (5.35 GHz), Sentinel-1, Radarsat</w:t>
            </w:r>
            <w:r>
              <w:t xml:space="preserve">; crops, floods</w:t>
            </w:r>
          </w:p>
        </w:tc>
      </w:tr>
      <w:tr>
        <w:tc>
          <w:tcPr/>
          <w:p>
            <w:pPr>
              <w:pStyle w:val="Compact"/>
              <w:jc w:val="left"/>
            </w:pPr>
            <w:r>
              <w:rPr>
                <w:bCs/>
                <w:b/>
              </w:rPr>
              <w:t xml:space="preserve">S</w:t>
            </w:r>
          </w:p>
        </w:tc>
        <w:tc>
          <w:tcPr/>
          <w:p>
            <w:pPr>
              <w:pStyle w:val="Compact"/>
              <w:jc w:val="left"/>
            </w:pPr>
            <w:r>
              <w:t xml:space="preserve">2–4</w:t>
            </w:r>
          </w:p>
        </w:tc>
        <w:tc>
          <w:tcPr/>
          <w:p>
            <w:pPr>
              <w:pStyle w:val="Compact"/>
              <w:jc w:val="left"/>
            </w:pPr>
            <w:r>
              <w:t xml:space="preserve">7.5–15</w:t>
            </w:r>
          </w:p>
        </w:tc>
        <w:tc>
          <w:tcPr/>
          <w:p>
            <w:pPr>
              <w:pStyle w:val="Compact"/>
              <w:jc w:val="left"/>
            </w:pPr>
            <w:r>
              <w:rPr>
                <w:bCs/>
                <w:b/>
              </w:rPr>
              <w:t xml:space="preserve">NISAR S-band (ISRO)</w:t>
            </w:r>
          </w:p>
        </w:tc>
      </w:tr>
      <w:tr>
        <w:tc>
          <w:tcPr/>
          <w:p>
            <w:pPr>
              <w:pStyle w:val="Compact"/>
              <w:jc w:val="left"/>
            </w:pPr>
            <w:r>
              <w:rPr>
                <w:bCs/>
                <w:b/>
              </w:rPr>
              <w:t xml:space="preserve">L</w:t>
            </w:r>
          </w:p>
        </w:tc>
        <w:tc>
          <w:tcPr/>
          <w:p>
            <w:pPr>
              <w:pStyle w:val="Compact"/>
              <w:jc w:val="left"/>
            </w:pPr>
            <w:r>
              <w:t xml:space="preserve">1–2</w:t>
            </w:r>
          </w:p>
        </w:tc>
        <w:tc>
          <w:tcPr/>
          <w:p>
            <w:pPr>
              <w:pStyle w:val="Compact"/>
              <w:jc w:val="left"/>
            </w:pPr>
            <w:r>
              <w:t xml:space="preserve">15–30</w:t>
            </w:r>
          </w:p>
        </w:tc>
        <w:tc>
          <w:tcPr/>
          <w:p>
            <w:pPr>
              <w:pStyle w:val="Compact"/>
              <w:jc w:val="left"/>
            </w:pPr>
            <w:r>
              <w:rPr>
                <w:bCs/>
                <w:b/>
              </w:rPr>
              <w:t xml:space="preserve">NISAR L-band (NASA)</w:t>
            </w:r>
            <w:r>
              <w:t xml:space="preserve">, ALOS-PALSAR; forest biomass, soil moisture under canopy</w:t>
            </w:r>
          </w:p>
        </w:tc>
      </w:tr>
      <w:tr>
        <w:tc>
          <w:tcPr/>
          <w:p>
            <w:pPr>
              <w:pStyle w:val="Compact"/>
              <w:jc w:val="left"/>
            </w:pPr>
            <w:r>
              <w:t xml:space="preserve">P</w:t>
            </w:r>
          </w:p>
        </w:tc>
        <w:tc>
          <w:tcPr/>
          <w:p>
            <w:pPr>
              <w:pStyle w:val="Compact"/>
              <w:jc w:val="left"/>
            </w:pPr>
            <w:r>
              <w:t xml:space="preserve">0.3–1</w:t>
            </w:r>
          </w:p>
        </w:tc>
        <w:tc>
          <w:tcPr/>
          <w:p>
            <w:pPr>
              <w:pStyle w:val="Compact"/>
              <w:jc w:val="left"/>
            </w:pPr>
            <w:r>
              <w:t xml:space="preserve">30–100</w:t>
            </w:r>
          </w:p>
        </w:tc>
        <w:tc>
          <w:tcPr/>
          <w:p>
            <w:pPr>
              <w:pStyle w:val="Compact"/>
              <w:jc w:val="left"/>
            </w:pPr>
            <w:r>
              <w:t xml:space="preserve">ESA BIOMASS; high biomass</w:t>
            </w:r>
          </w:p>
        </w:tc>
      </w:tr>
    </w:tbl>
    <w:p>
      <w:pPr>
        <w:pStyle w:val="BodyText"/>
      </w:pPr>
      <w:r>
        <w:t xml:space="preserve">Longer wavelengths penetrate deeper into canopies and dry soils, and a given surface looks smoother to them.</w:t>
      </w:r>
    </w:p>
    <w:p>
      <w:pPr>
        <w:pStyle w:val="Heading3"/>
      </w:pPr>
      <w:r>
        <w:t xml:space="preserve">4.8.2 Real aperture radar (SLAR) and synthetic aperture radar (SAR)</w:t>
      </w:r>
    </w:p>
    <w:p>
      <w:pPr>
        <w:pStyle w:val="FirstParagraph"/>
      </w:pPr>
      <w:r>
        <w:t xml:space="preserve">A side-looking radar transmits short pulses obliquely and records the strength and time delay of the echoes.</w:t>
      </w:r>
    </w:p>
    <w:p>
      <w:pPr>
        <w:pStyle w:val="BodyText"/>
      </w:pPr>
      <w:r>
        <w:rPr>
          <w:bCs/>
          <w:b/>
        </w:rPr>
        <w:t xml:space="preserve">Range (across-track) resolution</w:t>
      </w:r>
      <w:r>
        <w:t xml:space="preserve"> </w:t>
      </w:r>
      <w:r>
        <w:t xml:space="preserve">depends on pulse length</w:t>
      </w:r>
      <w:r>
        <w:t xml:space="preserve"> </w:t>
      </w:r>
      <m:oMath>
        <m:r>
          <m:t>τ</m:t>
        </m:r>
      </m:oMath>
      <w:r>
        <w:t xml:space="preserve">, not on distance:</w:t>
      </w:r>
    </w:p>
    <w:p>
      <w:pPr>
        <w:pStyle w:val="BodyText"/>
      </w:pPr>
      <m:oMathPara>
        <m:oMathParaPr>
          <m:jc m:val="center"/>
        </m:oMathParaPr>
        <m:oMath>
          <m:sSub>
            <m:e>
              <m:r>
                <m:t>R</m:t>
              </m:r>
            </m:e>
            <m:sub>
              <m:r>
                <m:t>s</m:t>
              </m:r>
              <m:r>
                <m:t>l</m:t>
              </m:r>
              <m:r>
                <m:t>a</m:t>
              </m:r>
              <m:r>
                <m:t>n</m:t>
              </m:r>
              <m:r>
                <m:t>t</m:t>
              </m:r>
            </m:sub>
          </m:sSub>
          <m:r>
            <m:rPr>
              <m:sty m:val="p"/>
            </m:rPr>
            <m:t>=</m:t>
          </m:r>
          <m:f>
            <m:fPr>
              <m:type m:val="bar"/>
            </m:fPr>
            <m:num>
              <m:r>
                <m:t>c</m:t>
              </m:r>
              <m:r>
                <m:t> </m:t>
              </m:r>
              <m:r>
                <m:t>τ</m:t>
              </m:r>
            </m:num>
            <m:den>
              <m:r>
                <m:t>2</m:t>
              </m:r>
            </m:den>
          </m:f>
          <m:r>
            <m:rPr>
              <m:sty m:val="p"/>
            </m:rPr>
            <m:t>,</m:t>
          </m:r>
          <m:r>
            <m:t>  </m:t>
          </m:r>
          <m:sSub>
            <m:e>
              <m:r>
                <m:t>R</m:t>
              </m:r>
            </m:e>
            <m:sub>
              <m:r>
                <m:t>g</m:t>
              </m:r>
              <m:r>
                <m:t>r</m:t>
              </m:r>
              <m:r>
                <m:t>o</m:t>
              </m:r>
              <m:r>
                <m:t>u</m:t>
              </m:r>
              <m:r>
                <m:t>n</m:t>
              </m:r>
              <m:r>
                <m:t>d</m:t>
              </m:r>
            </m:sub>
          </m:sSub>
          <m:r>
            <m:rPr>
              <m:sty m:val="p"/>
            </m:rPr>
            <m:t>=</m:t>
          </m:r>
          <m:f>
            <m:fPr>
              <m:type m:val="bar"/>
            </m:fPr>
            <m:num>
              <m:r>
                <m:t>c</m:t>
              </m:r>
              <m:r>
                <m:t> </m:t>
              </m:r>
              <m:r>
                <m:t>τ</m:t>
              </m:r>
            </m:num>
            <m:den>
              <m:r>
                <m:t>2</m:t>
              </m:r>
              <m:r>
                <m:rPr>
                  <m:sty m:val="p"/>
                </m:rPr>
                <m:t>sin</m:t>
              </m:r>
              <m:sSub>
                <m:e>
                  <m:r>
                    <m:t>θ</m:t>
                  </m:r>
                </m:e>
                <m:sub>
                  <m:r>
                    <m:t>i</m:t>
                  </m:r>
                </m:sub>
              </m:sSub>
            </m:den>
          </m:f>
        </m:oMath>
      </m:oMathPara>
    </w:p>
    <w:p>
      <w:pPr>
        <w:pStyle w:val="FirstParagraph"/>
      </w:pPr>
      <w:r>
        <w:t xml:space="preserve">(The factor of 2 accounts for the two-way trip;</w:t>
      </w:r>
      <w:r>
        <w:t xml:space="preserve"> </w:t>
      </w:r>
      <m:oMath>
        <m:sSub>
          <m:e>
            <m:r>
              <m:t>θ</m:t>
            </m:r>
          </m:e>
          <m:sub>
            <m:r>
              <m:t>i</m:t>
            </m:r>
          </m:sub>
        </m:sSub>
      </m:oMath>
      <w:r>
        <w:t xml:space="preserve"> </w:t>
      </w:r>
      <w:r>
        <w:t xml:space="preserve">is the incidence angle.) Pulse compression (a chirp of bandwidth</w:t>
      </w:r>
      <w:r>
        <w:t xml:space="preserve"> </w:t>
      </w:r>
      <m:oMath>
        <m:r>
          <m:t>B</m:t>
        </m:r>
      </m:oMath>
      <w:r>
        <w:t xml:space="preserve">) gives</w:t>
      </w:r>
      <w:r>
        <w:t xml:space="preserve"> </w:t>
      </w:r>
      <m:oMath>
        <m:sSub>
          <m:e>
            <m:r>
              <m:t>R</m:t>
            </m:r>
          </m:e>
          <m:sub>
            <m:r>
              <m:t>s</m:t>
            </m:r>
            <m:r>
              <m:t>l</m:t>
            </m:r>
            <m:r>
              <m:t>a</m:t>
            </m:r>
            <m:r>
              <m:t>n</m:t>
            </m:r>
            <m:r>
              <m:t>t</m:t>
            </m:r>
          </m:sub>
        </m:sSub>
        <m:r>
          <m:rPr>
            <m:sty m:val="p"/>
          </m:rPr>
          <m:t>=</m:t>
        </m:r>
        <m:r>
          <m:t>c</m:t>
        </m:r>
        <m:r>
          <m:rPr>
            <m:sty m:val="p"/>
          </m:rPr>
          <m:t>/</m:t>
        </m:r>
        <m:r>
          <m:t>2</m:t>
        </m:r>
        <m:r>
          <m:t>B</m:t>
        </m:r>
      </m:oMath>
      <w:r>
        <w:t xml:space="preserve">.</w:t>
      </w:r>
    </w:p>
    <w:p>
      <w:pPr>
        <w:pStyle w:val="BodyText"/>
      </w:pPr>
      <w:r>
        <w:rPr>
          <w:bCs/>
          <w:b/>
        </w:rPr>
        <w:t xml:space="preserve">Azimuth (along-track) resolution</w:t>
      </w:r>
      <w:r>
        <w:t xml:space="preserve"> </w:t>
      </w:r>
      <w:r>
        <w:t xml:space="preserve">of a</w:t>
      </w:r>
      <w:r>
        <w:t xml:space="preserve"> </w:t>
      </w:r>
      <w:r>
        <w:rPr>
          <w:iCs/>
          <w:i/>
        </w:rPr>
        <w:t xml:space="preserve">real-aperture</w:t>
      </w:r>
      <w:r>
        <w:t xml:space="preserve"> </w:t>
      </w:r>
      <w:r>
        <w:t xml:space="preserve">radar worsens with range:</w:t>
      </w:r>
    </w:p>
    <w:p>
      <w:pPr>
        <w:pStyle w:val="BodyText"/>
      </w:pPr>
      <m:oMathPara>
        <m:oMathParaPr>
          <m:jc m:val="center"/>
        </m:oMathParaPr>
        <m:oMath>
          <m:sSub>
            <m:e>
              <m:r>
                <m:t>R</m:t>
              </m:r>
            </m:e>
            <m:sub>
              <m:r>
                <m:t>a</m:t>
              </m:r>
              <m:r>
                <m:t>z</m:t>
              </m:r>
            </m:sub>
          </m:sSub>
          <m:r>
            <m:rPr>
              <m:sty m:val="p"/>
            </m:rPr>
            <m:t>=</m:t>
          </m:r>
          <m:f>
            <m:fPr>
              <m:type m:val="bar"/>
            </m:fPr>
            <m:num>
              <m:r>
                <m:t>λ</m:t>
              </m:r>
              <m:r>
                <m:t> </m:t>
              </m:r>
              <m:r>
                <m:t>R</m:t>
              </m:r>
            </m:num>
            <m:den>
              <m:r>
                <m:t>L</m:t>
              </m:r>
            </m:den>
          </m:f>
        </m:oMath>
      </m:oMathPara>
    </w:p>
    <w:p>
      <w:pPr>
        <w:pStyle w:val="FirstParagraph"/>
      </w:pPr>
      <w:r>
        <w:t xml:space="preserve">(</w:t>
      </w:r>
      <m:oMath>
        <m:r>
          <m:t>R</m:t>
        </m:r>
      </m:oMath>
      <w:r>
        <w:t xml:space="preserve"> </w:t>
      </w:r>
      <w:r>
        <w:t xml:space="preserve">is slant range and</w:t>
      </w:r>
      <w:r>
        <w:t xml:space="preserve"> </w:t>
      </w:r>
      <m:oMath>
        <m:r>
          <m:t>L</m:t>
        </m:r>
      </m:oMath>
      <w:r>
        <w:t xml:space="preserve"> </w:t>
      </w:r>
      <w:r>
        <w:t xml:space="preserve">is antenna length.) For C-band from 800 km with a 10 m antenna,</w:t>
      </w:r>
      <w:r>
        <w:t xml:space="preserve"> </w:t>
      </w:r>
      <m:oMath>
        <m:sSub>
          <m:e>
            <m:r>
              <m:t>R</m:t>
            </m:r>
          </m:e>
          <m:sub>
            <m:r>
              <m:t>a</m:t>
            </m:r>
            <m:r>
              <m:t>z</m:t>
            </m:r>
          </m:sub>
        </m:sSub>
      </m:oMath>
      <w:r>
        <w:t xml:space="preserve"> </w:t>
      </w:r>
      <w:r>
        <w:t xml:space="preserve">≈ 4.5 km, which is useless for mapping.</w:t>
      </w:r>
    </w:p>
    <w:p>
      <w:pPr>
        <w:pStyle w:val="BodyText"/>
      </w:pPr>
      <w:r>
        <w:rPr>
          <w:bCs/>
          <w:b/>
        </w:rPr>
        <w:t xml:space="preserve">SAR</w:t>
      </w:r>
      <w:r>
        <w:t xml:space="preserve"> </w:t>
      </w:r>
      <w:r>
        <w:t xml:space="preserve">solves this by recording the Doppler phase history of each target as the platform moves. This synthesises a very long antenna. The theoretical azimuth resolution becomes</w:t>
      </w:r>
    </w:p>
    <w:p>
      <w:pPr>
        <w:pStyle w:val="BodyText"/>
      </w:pPr>
      <m:oMathPara>
        <m:oMathParaPr>
          <m:jc m:val="center"/>
        </m:oMathParaPr>
        <m:oMath>
          <m:sSubSup>
            <m:e>
              <m:r>
                <m:t>R</m:t>
              </m:r>
            </m:e>
            <m:sub>
              <m:r>
                <m:t>a</m:t>
              </m:r>
              <m:r>
                <m:t>z</m:t>
              </m:r>
            </m:sub>
            <m:sup>
              <m:r>
                <m:t>S</m:t>
              </m:r>
              <m:r>
                <m:t>A</m:t>
              </m:r>
              <m:r>
                <m:t>R</m:t>
              </m:r>
            </m:sup>
          </m:sSubSup>
          <m:r>
            <m:rPr>
              <m:sty m:val="p"/>
            </m:rPr>
            <m:t>=</m:t>
          </m:r>
          <m:f>
            <m:fPr>
              <m:type m:val="bar"/>
            </m:fPr>
            <m:num>
              <m:r>
                <m:t>L</m:t>
              </m:r>
            </m:num>
            <m:den>
              <m:r>
                <m:t>2</m:t>
              </m:r>
            </m:den>
          </m:f>
        </m:oMath>
      </m:oMathPara>
    </w:p>
    <w:p>
      <w:pPr>
        <w:pStyle w:val="FirstParagraph"/>
      </w:pPr>
      <w:r>
        <w:t xml:space="preserve">independent of range and wavelength. Hence spaceborne SAR achieves metre-scale resolution.</w:t>
      </w:r>
    </w:p>
    <w:p>
      <w:pPr>
        <w:pStyle w:val="Heading3"/>
      </w:pPr>
      <w:r>
        <w:t xml:space="preserve">4.8.3 The radar equation and back-scatter</w:t>
      </w:r>
    </w:p>
    <w:p>
      <w:pPr>
        <w:pStyle w:val="FirstParagraph"/>
      </w:pPr>
      <m:oMathPara>
        <m:oMathParaPr>
          <m:jc m:val="center"/>
        </m:oMathParaPr>
        <m:oMath>
          <m:sSub>
            <m:e>
              <m:r>
                <m:t>P</m:t>
              </m:r>
            </m:e>
            <m:sub>
              <m:r>
                <m:t>r</m:t>
              </m:r>
            </m:sub>
          </m:sSub>
          <m:r>
            <m:rPr>
              <m:sty m:val="p"/>
            </m:rPr>
            <m:t>=</m:t>
          </m:r>
          <m:f>
            <m:fPr>
              <m:type m:val="bar"/>
            </m:fPr>
            <m:num>
              <m:sSub>
                <m:e>
                  <m:r>
                    <m:t>P</m:t>
                  </m:r>
                </m:e>
                <m:sub>
                  <m:r>
                    <m:t>t</m:t>
                  </m:r>
                </m:sub>
              </m:sSub>
              <m:r>
                <m:t> </m:t>
              </m:r>
              <m:sSup>
                <m:e>
                  <m:r>
                    <m:t>G</m:t>
                  </m:r>
                </m:e>
                <m:sup>
                  <m:r>
                    <m:t>2</m:t>
                  </m:r>
                </m:sup>
              </m:sSup>
              <m:r>
                <m:t> </m:t>
              </m:r>
              <m:sSup>
                <m:e>
                  <m:r>
                    <m:t>λ</m:t>
                  </m:r>
                </m:e>
                <m:sup>
                  <m:r>
                    <m:t>2</m:t>
                  </m:r>
                </m:sup>
              </m:sSup>
              <m:r>
                <m:t> </m:t>
              </m:r>
              <m:r>
                <m:t>σ</m:t>
              </m:r>
            </m:num>
            <m:den>
              <m:sSup>
                <m:e>
                  <m:d>
                    <m:dPr>
                      <m:begChr m:val="("/>
                      <m:endChr m:val=")"/>
                      <m:sepChr m:val=""/>
                      <m:grow/>
                    </m:dPr>
                    <m:e>
                      <m:r>
                        <m:t>4</m:t>
                      </m:r>
                      <m:r>
                        <m:t>π</m:t>
                      </m:r>
                    </m:e>
                  </m:d>
                </m:e>
                <m:sup>
                  <m:r>
                    <m:t>3</m:t>
                  </m:r>
                </m:sup>
              </m:sSup>
              <m:r>
                <m:t> </m:t>
              </m:r>
              <m:sSup>
                <m:e>
                  <m:r>
                    <m:t>R</m:t>
                  </m:r>
                </m:e>
                <m:sup>
                  <m:r>
                    <m:t>4</m:t>
                  </m:r>
                </m:sup>
              </m:sSup>
            </m:den>
          </m:f>
        </m:oMath>
      </m:oMathPara>
    </w:p>
    <w:p>
      <w:pPr>
        <w:pStyle w:val="FirstParagraph"/>
      </w:pPr>
      <w:r>
        <w:t xml:space="preserve">The measured quantity is the</w:t>
      </w:r>
      <w:r>
        <w:t xml:space="preserve"> </w:t>
      </w:r>
      <w:r>
        <w:rPr>
          <w:bCs/>
          <w:b/>
        </w:rPr>
        <w:t xml:space="preserve">back-scattering coefficient</w:t>
      </w:r>
      <w:r>
        <w:t xml:space="preserve"> </w:t>
      </w:r>
      <m:oMath>
        <m:sSup>
          <m:e>
            <m:r>
              <m:t>σ</m:t>
            </m:r>
          </m:e>
          <m:sup>
            <m:r>
              <m:rPr>
                <m:sty m:val="p"/>
              </m:rPr>
              <m:t>∘</m:t>
            </m:r>
          </m:sup>
        </m:sSup>
      </m:oMath>
      <w:r>
        <w:t xml:space="preserve"> </w:t>
      </w:r>
      <w:r>
        <w:t xml:space="preserve">(cross-section per unit area), usually in decibels:</w:t>
      </w:r>
      <w:r>
        <w:t xml:space="preserve"> </w:t>
      </w:r>
      <m:oMath>
        <m:sSubSup>
          <m:e>
            <m:r>
              <m:t>σ</m:t>
            </m:r>
          </m:e>
          <m:sub>
            <m:r>
              <m:t>d</m:t>
            </m:r>
            <m:r>
              <m:t>B</m:t>
            </m:r>
          </m:sub>
          <m:sup>
            <m:r>
              <m:rPr>
                <m:sty m:val="p"/>
              </m:rPr>
              <m:t>∘</m:t>
            </m:r>
          </m:sup>
        </m:sSubSup>
        <m:r>
          <m:rPr>
            <m:sty m:val="p"/>
          </m:rPr>
          <m:t>=</m:t>
        </m:r>
        <m:r>
          <m:t>10</m:t>
        </m:r>
        <m:sSub>
          <m:e>
            <m:r>
              <m:rPr>
                <m:sty m:val="p"/>
              </m:rPr>
              <m:t>log</m:t>
            </m:r>
          </m:e>
          <m:sub>
            <m:r>
              <m:t>10</m:t>
            </m:r>
          </m:sub>
        </m:sSub>
        <m:sSup>
          <m:e>
            <m:r>
              <m:t>σ</m:t>
            </m:r>
          </m:e>
          <m:sup>
            <m:r>
              <m:rPr>
                <m:sty m:val="p"/>
              </m:rPr>
              <m:t>∘</m:t>
            </m:r>
          </m:sup>
        </m:sSup>
      </m:oMath>
      <w:r>
        <w:t xml:space="preserve">. It depends on:</w:t>
      </w:r>
    </w:p>
    <w:p>
      <w:pPr>
        <w:pStyle w:val="Compact"/>
        <w:numPr>
          <w:ilvl w:val="0"/>
          <w:numId w:val="1024"/>
        </w:numPr>
      </w:pPr>
      <w:r>
        <w:rPr>
          <w:bCs/>
          <w:b/>
        </w:rPr>
        <w:t xml:space="preserve">Sensor parameters:</w:t>
      </w:r>
      <w:r>
        <w:t xml:space="preserve"> </w:t>
      </w:r>
      <w:r>
        <w:t xml:space="preserve">wavelength, polarisation (HH, HV, VH, VV), incidence angle, look direction.</w:t>
      </w:r>
    </w:p>
    <w:p>
      <w:pPr>
        <w:pStyle w:val="Compact"/>
        <w:numPr>
          <w:ilvl w:val="0"/>
          <w:numId w:val="1024"/>
        </w:numPr>
      </w:pPr>
      <w:r>
        <w:rPr>
          <w:bCs/>
          <w:b/>
        </w:rPr>
        <w:t xml:space="preserve">Target parameters:</w:t>
      </w:r>
      <w:r>
        <w:t xml:space="preserve"> </w:t>
      </w:r>
      <w:r>
        <w:t xml:space="preserve">dielectric constant (moisture), surface roughness, geometry and orientation, vegetation structure.</w:t>
      </w:r>
    </w:p>
    <w:p>
      <w:pPr>
        <w:pStyle w:val="Heading3"/>
      </w:pPr>
      <w:r>
        <w:t xml:space="preserve">4.8.4 SAR geometric and radiometric effects</w:t>
      </w:r>
    </w:p>
    <w:p>
      <w:pPr>
        <w:pStyle w:val="Compact"/>
        <w:numPr>
          <w:ilvl w:val="0"/>
          <w:numId w:val="1025"/>
        </w:numPr>
      </w:pPr>
      <w:r>
        <w:rPr>
          <w:bCs/>
          <w:b/>
        </w:rPr>
        <w:t xml:space="preserve">Foreshortening:</w:t>
      </w:r>
      <w:r>
        <w:t xml:space="preserve"> </w:t>
      </w:r>
      <w:r>
        <w:t xml:space="preserve">slopes facing the radar look compressed.</w:t>
      </w:r>
    </w:p>
    <w:p>
      <w:pPr>
        <w:pStyle w:val="Compact"/>
        <w:numPr>
          <w:ilvl w:val="0"/>
          <w:numId w:val="1025"/>
        </w:numPr>
      </w:pPr>
      <w:r>
        <w:rPr>
          <w:bCs/>
          <w:b/>
        </w:rPr>
        <w:t xml:space="preserve">Layover:</w:t>
      </w:r>
      <w:r>
        <w:t xml:space="preserve"> </w:t>
      </w:r>
      <w:r>
        <w:t xml:space="preserve">the top of a steep slope or building is imaged before its base, because it is nearer in slant range.</w:t>
      </w:r>
    </w:p>
    <w:p>
      <w:pPr>
        <w:pStyle w:val="Compact"/>
        <w:numPr>
          <w:ilvl w:val="0"/>
          <w:numId w:val="1025"/>
        </w:numPr>
      </w:pPr>
      <w:r>
        <w:rPr>
          <w:bCs/>
          <w:b/>
        </w:rPr>
        <w:t xml:space="preserve">Radar shadow:</w:t>
      </w:r>
      <w:r>
        <w:t xml:space="preserve"> </w:t>
      </w:r>
      <w:r>
        <w:t xml:space="preserve">slopes facing away from the radar receive no illumination.</w:t>
      </w:r>
    </w:p>
    <w:p>
      <w:pPr>
        <w:pStyle w:val="Compact"/>
        <w:numPr>
          <w:ilvl w:val="0"/>
          <w:numId w:val="1025"/>
        </w:numPr>
      </w:pPr>
      <w:r>
        <w:rPr>
          <w:bCs/>
          <w:b/>
        </w:rPr>
        <w:t xml:space="preserve">Speckle:</w:t>
      </w:r>
      <w:r>
        <w:t xml:space="preserve"> </w:t>
      </w:r>
      <w:r>
        <w:t xml:space="preserve">granular</w:t>
      </w:r>
      <w:r>
        <w:t xml:space="preserve"> </w:t>
      </w:r>
      <w:r>
        <w:t xml:space="preserve">“</w:t>
      </w:r>
      <w:r>
        <w:t xml:space="preserve">salt-and-pepper</w:t>
      </w:r>
      <w:r>
        <w:t xml:space="preserve">”</w:t>
      </w:r>
      <w:r>
        <w:t xml:space="preserve"> </w:t>
      </w:r>
      <w:r>
        <w:t xml:space="preserve">noise from coherent interference of many scatterers in a resolution cell. It is reduced by</w:t>
      </w:r>
      <w:r>
        <w:t xml:space="preserve"> </w:t>
      </w:r>
      <w:r>
        <w:rPr>
          <w:bCs/>
          <w:b/>
        </w:rPr>
        <w:t xml:space="preserve">multi-looking</w:t>
      </w:r>
      <w:r>
        <w:t xml:space="preserve"> </w:t>
      </w:r>
      <w:r>
        <w:t xml:space="preserve">(at the cost of resolution) or by adaptive filters (Lee, Frost, Gamma-MAP, refined Lee).</w:t>
      </w:r>
    </w:p>
    <w:p>
      <w:pPr>
        <w:pStyle w:val="Compact"/>
        <w:numPr>
          <w:ilvl w:val="0"/>
          <w:numId w:val="1025"/>
        </w:numPr>
      </w:pPr>
      <w:r>
        <w:rPr>
          <w:bCs/>
          <w:b/>
        </w:rPr>
        <w:t xml:space="preserve">Radiometric terrain correction (RTC)</w:t>
      </w:r>
      <w:r>
        <w:t xml:space="preserve"> </w:t>
      </w:r>
      <w:r>
        <w:t xml:space="preserve">normalises back-scatter for local incidence angle.</w:t>
      </w:r>
    </w:p>
    <w:p>
      <w:pPr>
        <w:pStyle w:val="Heading3"/>
      </w:pPr>
      <w:r>
        <w:t xml:space="preserve">4.8.5 Interferometry (InSAR) in brief</w:t>
      </w:r>
    </w:p>
    <w:p>
      <w:pPr>
        <w:pStyle w:val="FirstParagraph"/>
      </w:pPr>
      <w:r>
        <w:t xml:space="preserve">Two SAR acquisitions from slightly different positions (or times) give a</w:t>
      </w:r>
      <w:r>
        <w:t xml:space="preserve"> </w:t>
      </w:r>
      <w:r>
        <w:rPr>
          <w:bCs/>
          <w:b/>
        </w:rPr>
        <w:t xml:space="preserve">phase difference</w:t>
      </w:r>
      <w:r>
        <w:t xml:space="preserve"> </w:t>
      </w:r>
      <w:r>
        <w:t xml:space="preserve">(interferogram). It contains topography (giving a DEM, as in SRTM and TanDEM-X) and surface displacement:</w:t>
      </w:r>
    </w:p>
    <w:p>
      <w:pPr>
        <w:pStyle w:val="BodyText"/>
      </w:pPr>
      <m:oMathPara>
        <m:oMathParaPr>
          <m:jc m:val="center"/>
        </m:oMathParaPr>
        <m:oMath>
          <m:r>
            <m:t>Δ</m:t>
          </m:r>
          <m:r>
            <m:t>ϕ</m:t>
          </m:r>
          <m:r>
            <m:rPr>
              <m:sty m:val="p"/>
            </m:rPr>
            <m:t>=</m:t>
          </m:r>
          <m:f>
            <m:fPr>
              <m:type m:val="bar"/>
            </m:fPr>
            <m:num>
              <m:r>
                <m:t>4</m:t>
              </m:r>
              <m:r>
                <m:t>π</m:t>
              </m:r>
            </m:num>
            <m:den>
              <m:r>
                <m:t>λ</m:t>
              </m:r>
            </m:den>
          </m:f>
          <m:r>
            <m:t> </m:t>
          </m:r>
          <m:r>
            <m:t>Δ</m:t>
          </m:r>
          <m:r>
            <m:t>R</m:t>
          </m:r>
        </m:oMath>
      </m:oMathPara>
    </w:p>
    <w:p>
      <w:pPr>
        <w:pStyle w:val="FirstParagraph"/>
      </w:pPr>
      <w:r>
        <w:t xml:space="preserve">so one fringe (</w:t>
      </w:r>
      <m:oMath>
        <m:r>
          <m:t>2</m:t>
        </m:r>
        <m:r>
          <m:t>π</m:t>
        </m:r>
      </m:oMath>
      <w:r>
        <w:t xml:space="preserve">) corresponds to</w:t>
      </w:r>
      <w:r>
        <w:t xml:space="preserve"> </w:t>
      </w:r>
      <m:oMath>
        <m:r>
          <m:t>λ</m:t>
        </m:r>
        <m:r>
          <m:rPr>
            <m:sty m:val="p"/>
          </m:rPr>
          <m:t>/</m:t>
        </m:r>
        <m:r>
          <m:t>2</m:t>
        </m:r>
      </m:oMath>
      <w:r>
        <w:t xml:space="preserve"> </w:t>
      </w:r>
      <w:r>
        <w:t xml:space="preserve">of line-of-sight displacement (about 2.8 cm at C-band).</w:t>
      </w:r>
      <w:r>
        <w:t xml:space="preserve"> </w:t>
      </w:r>
      <w:r>
        <w:rPr>
          <w:bCs/>
          <w:b/>
        </w:rPr>
        <w:t xml:space="preserve">Coherence</w:t>
      </w:r>
      <w:r>
        <w:t xml:space="preserve"> </w:t>
      </w:r>
      <w:r>
        <w:t xml:space="preserve">(0–1) measures similarity between the two acquisitions. Its loss indicates change (vegetation growth, flooding, construction).</w:t>
      </w:r>
    </w:p>
    <w:p>
      <w:pPr>
        <w:pStyle w:val="Heading3"/>
      </w:pPr>
      <w:r>
        <w:t xml:space="preserve">4.8.6 Passive microwave radiometers, scatterometers and altimeters</w:t>
      </w:r>
    </w:p>
    <w:p>
      <w:pPr>
        <w:pStyle w:val="Compact"/>
        <w:numPr>
          <w:ilvl w:val="0"/>
          <w:numId w:val="1026"/>
        </w:numPr>
      </w:pPr>
      <w:r>
        <w:rPr>
          <w:bCs/>
          <w:b/>
        </w:rPr>
        <w:t xml:space="preserve">Radiometers</w:t>
      </w:r>
      <w:r>
        <w:t xml:space="preserve"> </w:t>
      </w:r>
      <w:r>
        <w:t xml:space="preserve">measure brightness temperature</w:t>
      </w:r>
      <w:r>
        <w:t xml:space="preserve"> </w:t>
      </w:r>
      <m:oMath>
        <m:sSub>
          <m:e>
            <m:r>
              <m:t>T</m:t>
            </m:r>
          </m:e>
          <m:sub>
            <m:r>
              <m:t>B</m:t>
            </m:r>
          </m:sub>
        </m:sSub>
        <m:r>
          <m:rPr>
            <m:sty m:val="p"/>
          </m:rPr>
          <m:t>=</m:t>
        </m:r>
        <m:r>
          <m:t>e</m:t>
        </m:r>
        <m:r>
          <m:t> </m:t>
        </m:r>
        <m:r>
          <m:t>T</m:t>
        </m:r>
      </m:oMath>
      <w:r>
        <w:t xml:space="preserve"> </w:t>
      </w:r>
      <w:r>
        <w:t xml:space="preserve">(Rayleigh–Jeans). Frequencies: 1.4 GHz (SMOS, SMAP) for soil moisture, 6.6–10.7 GHz for SST and soil moisture (AMSR, MSMR), 19 and 37 GHz for rain and snow, 22 GHz for water vapour, 85–89 GHz for ice scattering in deep convection. Resolution is coarse (tens of km) because</w:t>
      </w:r>
      <w:r>
        <w:t xml:space="preserve"> </w:t>
      </w:r>
      <m:oMath>
        <m:r>
          <m:t>θ</m:t>
        </m:r>
        <m:r>
          <m:rPr>
            <m:sty m:val="p"/>
          </m:rPr>
          <m:t>≈</m:t>
        </m:r>
        <m:r>
          <m:t>λ</m:t>
        </m:r>
        <m:r>
          <m:rPr>
            <m:sty m:val="p"/>
          </m:rPr>
          <m:t>/</m:t>
        </m:r>
        <m:r>
          <m:t>D</m:t>
        </m:r>
      </m:oMath>
      <w:r>
        <w:t xml:space="preserve">.</w:t>
      </w:r>
    </w:p>
    <w:p>
      <w:pPr>
        <w:pStyle w:val="Compact"/>
        <w:numPr>
          <w:ilvl w:val="0"/>
          <w:numId w:val="1026"/>
        </w:numPr>
      </w:pPr>
      <w:r>
        <w:rPr>
          <w:bCs/>
          <w:b/>
        </w:rPr>
        <w:t xml:space="preserve">Scatterometers</w:t>
      </w:r>
      <w:r>
        <w:t xml:space="preserve"> </w:t>
      </w:r>
      <w:r>
        <w:t xml:space="preserve">are calibrated radars measuring</w:t>
      </w:r>
      <w:r>
        <w:t xml:space="preserve"> </w:t>
      </w:r>
      <m:oMath>
        <m:sSup>
          <m:e>
            <m:r>
              <m:t>σ</m:t>
            </m:r>
          </m:e>
          <m:sup>
            <m:r>
              <m:rPr>
                <m:sty m:val="p"/>
              </m:rPr>
              <m:t>∘</m:t>
            </m:r>
          </m:sup>
        </m:sSup>
      </m:oMath>
      <w:r>
        <w:t xml:space="preserve"> </w:t>
      </w:r>
      <w:r>
        <w:t xml:space="preserve">from several azimuth looks. They retrieve ocean surface wind speed and direction (wind stress causes capillary waves) and serve as land vegetation and soil-moisture proxies (SCATSAT-1, Ku-band, 13.515 GHz).</w:t>
      </w:r>
    </w:p>
    <w:p>
      <w:pPr>
        <w:pStyle w:val="Compact"/>
        <w:numPr>
          <w:ilvl w:val="0"/>
          <w:numId w:val="1026"/>
        </w:numPr>
      </w:pPr>
      <w:r>
        <w:rPr>
          <w:bCs/>
          <w:b/>
        </w:rPr>
        <w:t xml:space="preserve">Altimeters</w:t>
      </w:r>
      <w:r>
        <w:t xml:space="preserve"> </w:t>
      </w:r>
      <w:r>
        <w:t xml:space="preserve">measure the two-way travel time of a nadir pulse to give sea-surface or water-level height (SARAL AltiKa, Ka-band) to a few cm.</w:t>
      </w:r>
    </w:p>
    <w:p>
      <w:pPr>
        <w:pStyle w:val="Heading2"/>
      </w:pPr>
      <w:r>
        <w:t xml:space="preserve">4.9 LiDAR</w:t>
      </w:r>
    </w:p>
    <w:p>
      <w:pPr>
        <w:pStyle w:val="FirstParagraph"/>
      </w:pPr>
      <w:r>
        <w:rPr>
          <w:bCs/>
          <w:b/>
        </w:rPr>
        <w:t xml:space="preserve">Light Detection And Ranging</w:t>
      </w:r>
      <w:r>
        <w:t xml:space="preserve"> </w:t>
      </w:r>
      <w:r>
        <w:t xml:space="preserve">emits laser pulses (1064 nm for vegetation and topography, 532 nm green for bathymetry) and measures return time:</w:t>
      </w:r>
    </w:p>
    <w:p>
      <w:pPr>
        <w:pStyle w:val="BodyText"/>
      </w:pPr>
      <m:oMathPara>
        <m:oMathParaPr>
          <m:jc m:val="center"/>
        </m:oMathParaPr>
        <m:oMath>
          <m:r>
            <m:t>R</m:t>
          </m:r>
          <m:r>
            <m:rPr>
              <m:sty m:val="p"/>
            </m:rPr>
            <m:t>=</m:t>
          </m:r>
          <m:f>
            <m:fPr>
              <m:type m:val="bar"/>
            </m:fPr>
            <m:num>
              <m:r>
                <m:t>c</m:t>
              </m:r>
              <m:r>
                <m:t> </m:t>
              </m:r>
              <m:r>
                <m:t>t</m:t>
              </m:r>
            </m:num>
            <m:den>
              <m:r>
                <m:t>2</m:t>
              </m:r>
            </m:den>
          </m:f>
        </m:oMath>
      </m:oMathPara>
    </w:p>
    <w:p>
      <w:pPr>
        <w:pStyle w:val="Compact"/>
        <w:numPr>
          <w:ilvl w:val="0"/>
          <w:numId w:val="1027"/>
        </w:numPr>
      </w:pPr>
      <w:r>
        <w:rPr>
          <w:bCs/>
          <w:b/>
        </w:rPr>
        <w:t xml:space="preserve">Discrete-return</w:t>
      </w:r>
      <w:r>
        <w:t xml:space="preserve"> </w:t>
      </w:r>
      <w:r>
        <w:t xml:space="preserve">LiDAR records first and last returns, giving a canopy surface model (DSM) and terrain model (DTM).</w:t>
      </w:r>
      <w:r>
        <w:t xml:space="preserve"> </w:t>
      </w:r>
      <w:r>
        <w:rPr>
          <w:bCs/>
          <w:b/>
        </w:rPr>
        <w:t xml:space="preserve">Canopy height model</w:t>
      </w:r>
      <w:r>
        <w:t xml:space="preserve"> </w:t>
      </w:r>
      <w:r>
        <w:t xml:space="preserve">CHM = DSM − DTM.</w:t>
      </w:r>
    </w:p>
    <w:p>
      <w:pPr>
        <w:pStyle w:val="Compact"/>
        <w:numPr>
          <w:ilvl w:val="0"/>
          <w:numId w:val="1027"/>
        </w:numPr>
      </w:pPr>
      <w:r>
        <w:rPr>
          <w:bCs/>
          <w:b/>
        </w:rPr>
        <w:t xml:space="preserve">Full-waveform</w:t>
      </w:r>
      <w:r>
        <w:t xml:space="preserve"> </w:t>
      </w:r>
      <w:r>
        <w:t xml:space="preserve">LiDAR records the whole return profile (GEDI on the ISS, 25 m footprints, relative-height metrics RH50, RH98).</w:t>
      </w:r>
    </w:p>
    <w:p>
      <w:pPr>
        <w:pStyle w:val="Compact"/>
        <w:numPr>
          <w:ilvl w:val="0"/>
          <w:numId w:val="1027"/>
        </w:numPr>
      </w:pPr>
      <w:r>
        <w:rPr>
          <w:bCs/>
          <w:b/>
        </w:rPr>
        <w:t xml:space="preserve">Photon-counting</w:t>
      </w:r>
      <w:r>
        <w:t xml:space="preserve"> </w:t>
      </w:r>
      <w:r>
        <w:t xml:space="preserve">LiDAR (ICESat-2 ATLAS) uses single-photon detection.</w:t>
      </w:r>
    </w:p>
    <w:p>
      <w:pPr>
        <w:pStyle w:val="Heading2"/>
      </w:pPr>
      <w:r>
        <w:t xml:space="preserve">4.10 Orbits: Key Equations</w:t>
      </w:r>
    </w:p>
    <w:p>
      <w:pPr>
        <w:pStyle w:val="FirstParagraph"/>
      </w:pPr>
      <w:r>
        <w:t xml:space="preserve">The</w:t>
      </w:r>
      <w:r>
        <w:t xml:space="preserve"> </w:t>
      </w:r>
      <w:r>
        <w:rPr>
          <w:bCs/>
          <w:b/>
        </w:rPr>
        <w:t xml:space="preserve">orbital period</w:t>
      </w:r>
      <w:r>
        <w:t xml:space="preserve"> </w:t>
      </w:r>
      <w:r>
        <w:t xml:space="preserve">follows Kepler’s third law:</w:t>
      </w:r>
    </w:p>
    <w:p>
      <w:pPr>
        <w:pStyle w:val="BodyText"/>
      </w:pPr>
      <m:oMathPara>
        <m:oMathParaPr>
          <m:jc m:val="center"/>
        </m:oMathParaPr>
        <m:oMath>
          <m:r>
            <m:t>T</m:t>
          </m:r>
          <m:r>
            <m:rPr>
              <m:sty m:val="p"/>
            </m:rPr>
            <m:t>=</m:t>
          </m:r>
          <m:r>
            <m:t>2</m:t>
          </m:r>
          <m:r>
            <m:t>π</m:t>
          </m:r>
          <m:rad>
            <m:radPr>
              <m:degHide m:val="on"/>
            </m:radPr>
            <m:deg/>
            <m:e>
              <m:f>
                <m:fPr>
                  <m:type m:val="bar"/>
                </m:fPr>
                <m:num>
                  <m:sSup>
                    <m:e>
                      <m:r>
                        <m:t>a</m:t>
                      </m:r>
                    </m:e>
                    <m:sup>
                      <m:r>
                        <m:t>3</m:t>
                      </m:r>
                    </m:sup>
                  </m:sSup>
                </m:num>
                <m:den>
                  <m:r>
                    <m:t>G</m:t>
                  </m:r>
                  <m:r>
                    <m:t>M</m:t>
                  </m:r>
                </m:den>
              </m:f>
            </m:e>
          </m:rad>
          <m:r>
            <m:rPr>
              <m:sty m:val="p"/>
            </m:rPr>
            <m:t>,</m:t>
          </m:r>
          <m:r>
            <m:t>  </m:t>
          </m:r>
          <m:r>
            <m:t>G</m:t>
          </m:r>
          <m:r>
            <m:t>M</m:t>
          </m:r>
          <m:r>
            <m:rPr>
              <m:sty m:val="p"/>
            </m:rPr>
            <m:t>=</m:t>
          </m:r>
          <m:r>
            <m:t>3.986</m:t>
          </m:r>
          <m:r>
            <m:rPr>
              <m:sty m:val="p"/>
            </m:rPr>
            <m:t>×</m:t>
          </m:r>
          <m:sSup>
            <m:e>
              <m:r>
                <m:t>10</m:t>
              </m:r>
            </m:e>
            <m:sup>
              <m:r>
                <m:t>14</m:t>
              </m:r>
            </m:sup>
          </m:sSup>
          <m:r>
            <m:t> </m:t>
          </m:r>
          <m:sSup>
            <m:e>
              <m:r>
                <m:rPr>
                  <m:nor/>
                  <m:sty m:val="p"/>
                </m:rPr>
                <m:t>m</m:t>
              </m:r>
            </m:e>
            <m:sup>
              <m:r>
                <m:t>3</m:t>
              </m:r>
            </m:sup>
          </m:sSup>
          <m:sSup>
            <m:e>
              <m:r>
                <m:rPr>
                  <m:nor/>
                  <m:sty m:val="p"/>
                </m:rPr>
                <m:t>s</m:t>
              </m:r>
            </m:e>
            <m:sup>
              <m:r>
                <m:rPr>
                  <m:sty m:val="p"/>
                </m:rPr>
                <m:t>−</m:t>
              </m:r>
              <m:r>
                <m:t>2</m:t>
              </m:r>
            </m:sup>
          </m:sSup>
        </m:oMath>
      </m:oMathPara>
    </w:p>
    <w:p>
      <w:pPr>
        <w:pStyle w:val="Compact"/>
        <w:numPr>
          <w:ilvl w:val="0"/>
          <w:numId w:val="1028"/>
        </w:numPr>
      </w:pPr>
      <w:r>
        <w:rPr>
          <w:bCs/>
          <w:b/>
        </w:rPr>
        <w:t xml:space="preserve">Geostationary orbit:</w:t>
      </w:r>
      <w:r>
        <w:t xml:space="preserve"> </w:t>
      </w:r>
      <m:oMath>
        <m:r>
          <m:t>T</m:t>
        </m:r>
      </m:oMath>
      <w:r>
        <w:t xml:space="preserve"> </w:t>
      </w:r>
      <w:r>
        <w:t xml:space="preserve">= 23 h 56 min (one sidereal day), equatorial, prograde,</w:t>
      </w:r>
      <w:r>
        <w:t xml:space="preserve"> </w:t>
      </w:r>
      <m:oMath>
        <m:r>
          <m:t>a</m:t>
        </m:r>
      </m:oMath>
      <w:r>
        <w:t xml:space="preserve"> </w:t>
      </w:r>
      <w:r>
        <w:t xml:space="preserve">≈ 42,164 km, so</w:t>
      </w:r>
      <w:r>
        <w:t xml:space="preserve"> </w:t>
      </w:r>
      <w:r>
        <w:rPr>
          <w:bCs/>
          <w:b/>
        </w:rPr>
        <w:t xml:space="preserve">altitude ≈ 35,786 km</w:t>
      </w:r>
      <w:r>
        <w:t xml:space="preserve">. It views about one-third of the globe (useful data roughly 70°N–70°S). Imaging every 15–30 min supports nowcasting, cyclones and diurnal LST. Examples: INSAT-3D/3DR/3DS, Meteosat, GOES, Himawari.</w:t>
      </w:r>
    </w:p>
    <w:p>
      <w:pPr>
        <w:pStyle w:val="Compact"/>
        <w:numPr>
          <w:ilvl w:val="0"/>
          <w:numId w:val="1028"/>
        </w:numPr>
      </w:pPr>
      <w:r>
        <w:rPr>
          <w:bCs/>
          <w:b/>
        </w:rPr>
        <w:t xml:space="preserve">Sun-synchronous polar orbit:</w:t>
      </w:r>
      <w:r>
        <w:t xml:space="preserve"> </w:t>
      </w:r>
      <w:r>
        <w:t xml:space="preserve">altitude 600–900 km, inclination about 98–99° (retrograde), period about 100 min, 14–15 orbits per day. The orbital plane precesses about 0.986° per day eastward, matching the Earth’s revolution around the Sun, so the satellite crosses each latitude at the same</w:t>
      </w:r>
      <w:r>
        <w:t xml:space="preserve"> </w:t>
      </w:r>
      <w:r>
        <w:rPr>
          <w:bCs/>
          <w:b/>
        </w:rPr>
        <w:t xml:space="preserve">local solar time</w:t>
      </w:r>
      <w:r>
        <w:t xml:space="preserve"> </w:t>
      </w:r>
      <w:r>
        <w:t xml:space="preserve">(for example 10:30 descending node for Resourcesat). This gives consistent illumination. Examples: Landsat, IRS, Sentinel-2, NOAA.</w:t>
      </w:r>
    </w:p>
    <w:p>
      <w:pPr>
        <w:pStyle w:val="Compact"/>
        <w:numPr>
          <w:ilvl w:val="0"/>
          <w:numId w:val="1028"/>
        </w:numPr>
      </w:pPr>
      <w:r>
        <w:rPr>
          <w:bCs/>
          <w:b/>
        </w:rPr>
        <w:t xml:space="preserve">Repeat cycle</w:t>
      </w:r>
      <w:r>
        <w:t xml:space="preserve"> </w:t>
      </w:r>
      <w:r>
        <w:t xml:space="preserve">(exact same ground track, e.g. 24 days for Resourcesat LISS-III) differs from</w:t>
      </w:r>
      <w:r>
        <w:t xml:space="preserve"> </w:t>
      </w:r>
      <w:r>
        <w:rPr>
          <w:bCs/>
          <w:b/>
        </w:rPr>
        <w:t xml:space="preserve">revisit</w:t>
      </w:r>
      <w:r>
        <w:t xml:space="preserve"> </w:t>
      </w:r>
      <w:r>
        <w:t xml:space="preserve">(the area can be imaged again, possibly off-nadir: 5 days with AWiFS’s wide swath or LISS-IV’s steering).</w:t>
      </w:r>
    </w:p>
    <w:p>
      <w:pPr>
        <w:pStyle w:val="Compact"/>
        <w:numPr>
          <w:ilvl w:val="0"/>
          <w:numId w:val="1028"/>
        </w:numPr>
      </w:pPr>
      <w:r>
        <w:rPr>
          <w:bCs/>
          <w:b/>
        </w:rPr>
        <w:t xml:space="preserve">Low-inclination orbits</w:t>
      </w:r>
      <w:r>
        <w:t xml:space="preserve"> </w:t>
      </w:r>
      <w:r>
        <w:t xml:space="preserve">(TRMM 35°, Megha-Tropiques 20°) give frequent sampling of the tropics at varying local times. This is ideal for studying the diurnal cycle of rainfall.</w:t>
      </w:r>
    </w:p>
    <w:p>
      <w:pPr>
        <w:pStyle w:val="Heading3"/>
      </w:pPr>
      <w:r>
        <w:t xml:space="preserve">4.10.1 Likely interview questions</w:t>
      </w:r>
    </w:p>
    <w:p>
      <w:pPr>
        <w:pStyle w:val="FirstParagraph"/>
      </w:pPr>
      <w:r>
        <w:rPr>
          <w:bCs/>
          <w:b/>
        </w:rPr>
        <w:t xml:space="preserve">Q. Compare whiskbroom and pushbroom scanners.</w:t>
      </w:r>
      <w:r>
        <w:t xml:space="preserve"> </w:t>
      </w:r>
      <w:r>
        <w:t xml:space="preserve">A whiskbroom uses a moving mirror and a few detectors per band, so dwell time is short and there are moving parts. A pushbroom uses a linear CCD array with no moving parts and has longer dwell time and higher SNR, but needs detector-to-detector normalisation (striping). IRS LISS sensors are pushbroom.</w:t>
      </w:r>
    </w:p>
    <w:p>
      <w:pPr>
        <w:pStyle w:val="BodyText"/>
      </w:pPr>
      <w:r>
        <w:rPr>
          <w:bCs/>
          <w:b/>
        </w:rPr>
        <w:t xml:space="preserve">Q. Why does SAR achieve fine azimuth resolution from space?</w:t>
      </w:r>
      <w:r>
        <w:t xml:space="preserve"> </w:t>
      </w:r>
      <w:r>
        <w:t xml:space="preserve">It synthesises a long antenna by processing the Doppler history of each target, giving azimuth resolution of about</w:t>
      </w:r>
      <w:r>
        <w:t xml:space="preserve"> </w:t>
      </w:r>
      <m:oMath>
        <m:r>
          <m:t>L</m:t>
        </m:r>
        <m:r>
          <m:rPr>
            <m:sty m:val="p"/>
          </m:rPr>
          <m:t>/</m:t>
        </m:r>
        <m:r>
          <m:t>2</m:t>
        </m:r>
      </m:oMath>
      <w:r>
        <w:t xml:space="preserve">, independent of range.</w:t>
      </w:r>
    </w:p>
    <w:p>
      <w:pPr>
        <w:pStyle w:val="BodyText"/>
      </w:pPr>
      <w:r>
        <w:rPr>
          <w:bCs/>
          <w:b/>
        </w:rPr>
        <w:t xml:space="preserve">Q. What is speckle and how is it reduced?</w:t>
      </w:r>
      <w:r>
        <w:t xml:space="preserve"> </w:t>
      </w:r>
      <w:r>
        <w:t xml:space="preserve">Coherent interference noise in SAR images, reduced by multi-looking or adaptive filters (Lee, Frost, Gamma-MAP).</w:t>
      </w:r>
    </w:p>
    <w:p>
      <w:pPr>
        <w:pStyle w:val="BodyText"/>
      </w:pPr>
      <w:r>
        <w:rPr>
          <w:bCs/>
          <w:b/>
        </w:rPr>
        <w:t xml:space="preserve">Q. At what altitude is a geostationary satellite and why?</w:t>
      </w:r>
      <w:r>
        <w:t xml:space="preserve"> </w:t>
      </w:r>
      <w:r>
        <w:t xml:space="preserve">About 35,786 km, where the orbital period equals one sidereal day.</w:t>
      </w:r>
    </w:p>
    <w:p>
      <w:pPr>
        <w:pStyle w:val="BodyText"/>
      </w:pPr>
      <w:r>
        <w:rPr>
          <w:bCs/>
          <w:b/>
        </w:rPr>
        <w:t xml:space="preserve">Q. Why are thermal detectors cooled?</w:t>
      </w:r>
      <w:r>
        <w:t xml:space="preserve"> </w:t>
      </w:r>
      <w:r>
        <w:t xml:space="preserve">To suppress their own thermal emission and dark current, which would otherwise swamp the weak emitted signal.</w:t>
      </w:r>
    </w:p>
    <w:p>
      <w:pPr>
        <w:pStyle w:val="Heading1"/>
      </w:pPr>
      <w:r>
        <w:t xml:space="preserve">Chapter 5. Data Levels, Pre-processing, Map Projections and DEMs</w:t>
      </w:r>
    </w:p>
    <w:p>
      <w:pPr>
        <w:pStyle w:val="Heading2"/>
      </w:pPr>
      <w:r>
        <w:t xml:space="preserve">5.1 From Digital Number to Physical Quantities</w:t>
      </w:r>
    </w:p>
    <w:p>
      <w:pPr>
        <w:pStyle w:val="FirstParagraph"/>
      </w:pPr>
      <w:r>
        <w:t xml:space="preserve">Satellite images arrive as</w:t>
      </w:r>
      <w:r>
        <w:t xml:space="preserve"> </w:t>
      </w:r>
      <w:r>
        <w:rPr>
          <w:bCs/>
          <w:b/>
        </w:rPr>
        <w:t xml:space="preserve">digital numbers (DN)</w:t>
      </w:r>
      <w:r>
        <w:t xml:space="preserve">. These are integers proportional to at-sensor radiance, scaled to the sensor’s bit depth. Quantitative work (indices, time series, models) needs physical units.</w:t>
      </w:r>
    </w:p>
    <w:p>
      <w:pPr>
        <w:pStyle w:val="Heading3"/>
      </w:pPr>
      <w:r>
        <w:t xml:space="preserve">5.1.1 Step 1: DN to at-sensor radiance (radiometric calibration)</w:t>
      </w:r>
    </w:p>
    <w:p>
      <w:pPr>
        <w:pStyle w:val="FirstParagraph"/>
      </w:pPr>
      <m:oMathPara>
        <m:oMathParaPr>
          <m:jc m:val="center"/>
        </m:oMathParaPr>
        <m:oMath>
          <m:sSub>
            <m:e>
              <m:r>
                <m:t>L</m:t>
              </m:r>
            </m:e>
            <m:sub>
              <m:r>
                <m:t>λ</m:t>
              </m:r>
            </m:sub>
          </m:sSub>
          <m:r>
            <m:rPr>
              <m:sty m:val="p"/>
            </m:rPr>
            <m:t>=</m:t>
          </m:r>
          <m:r>
            <m:t>G</m:t>
          </m:r>
          <m:r>
            <m:rPr>
              <m:sty m:val="p"/>
            </m:rPr>
            <m:t>⋅</m:t>
          </m:r>
          <m:r>
            <m:t>D</m:t>
          </m:r>
          <m:r>
            <m:t>N</m:t>
          </m:r>
          <m:r>
            <m:rPr>
              <m:sty m:val="p"/>
            </m:rPr>
            <m:t>+</m:t>
          </m:r>
          <m:r>
            <m:t>B</m:t>
          </m:r>
        </m:oMath>
      </m:oMathPara>
    </w:p>
    <w:p>
      <w:pPr>
        <w:pStyle w:val="FirstParagraph"/>
      </w:pPr>
      <w:r>
        <w:t xml:space="preserve">where</w:t>
      </w:r>
      <w:r>
        <w:t xml:space="preserve"> </w:t>
      </w:r>
      <m:oMath>
        <m:r>
          <m:t>G</m:t>
        </m:r>
      </m:oMath>
      <w:r>
        <w:t xml:space="preserve"> </w:t>
      </w:r>
      <w:r>
        <w:t xml:space="preserve">is the gain and</w:t>
      </w:r>
      <w:r>
        <w:t xml:space="preserve"> </w:t>
      </w:r>
      <m:oMath>
        <m:r>
          <m:t>B</m:t>
        </m:r>
      </m:oMath>
      <w:r>
        <w:t xml:space="preserve"> </w:t>
      </w:r>
      <w:r>
        <w:t xml:space="preserve">the bias (offset), both from the metadata. An equivalent form uses the saturation radiances:</w:t>
      </w:r>
    </w:p>
    <w:p>
      <w:pPr>
        <w:pStyle w:val="BodyText"/>
      </w:pPr>
      <m:oMathPara>
        <m:oMathParaPr>
          <m:jc m:val="center"/>
        </m:oMathParaPr>
        <m:oMath>
          <m:sSub>
            <m:e>
              <m:r>
                <m:t>L</m:t>
              </m:r>
            </m:e>
            <m:sub>
              <m:r>
                <m:t>λ</m:t>
              </m:r>
            </m:sub>
          </m:sSub>
          <m:r>
            <m:rPr>
              <m:sty m:val="p"/>
            </m:rPr>
            <m:t>=</m:t>
          </m:r>
          <m:sSub>
            <m:e>
              <m:r>
                <m:t>L</m:t>
              </m:r>
            </m:e>
            <m:sub>
              <m:r>
                <m:t>m</m:t>
              </m:r>
              <m:r>
                <m:t>i</m:t>
              </m:r>
              <m:r>
                <m:t>n</m:t>
              </m:r>
            </m:sub>
          </m:sSub>
          <m:r>
            <m:rPr>
              <m:sty m:val="p"/>
            </m:rPr>
            <m:t>+</m:t>
          </m:r>
          <m:f>
            <m:fPr>
              <m:type m:val="bar"/>
            </m:fPr>
            <m:num>
              <m:sSub>
                <m:e>
                  <m:r>
                    <m:t>L</m:t>
                  </m:r>
                </m:e>
                <m:sub>
                  <m:r>
                    <m:t>m</m:t>
                  </m:r>
                  <m:r>
                    <m:t>a</m:t>
                  </m:r>
                  <m:r>
                    <m:t>x</m:t>
                  </m:r>
                </m:sub>
              </m:sSub>
              <m:r>
                <m:rPr>
                  <m:sty m:val="p"/>
                </m:rPr>
                <m:t>−</m:t>
              </m:r>
              <m:sSub>
                <m:e>
                  <m:r>
                    <m:t>L</m:t>
                  </m:r>
                </m:e>
                <m:sub>
                  <m:r>
                    <m:t>m</m:t>
                  </m:r>
                  <m:r>
                    <m:t>i</m:t>
                  </m:r>
                  <m:r>
                    <m:t>n</m:t>
                  </m:r>
                </m:sub>
              </m:sSub>
            </m:num>
            <m:den>
              <m:r>
                <m:t>D</m:t>
              </m:r>
              <m:sSub>
                <m:e>
                  <m:r>
                    <m:t>N</m:t>
                  </m:r>
                </m:e>
                <m:sub>
                  <m:r>
                    <m:t>m</m:t>
                  </m:r>
                  <m:r>
                    <m:t>a</m:t>
                  </m:r>
                  <m:r>
                    <m:t>x</m:t>
                  </m:r>
                </m:sub>
              </m:sSub>
            </m:den>
          </m:f>
          <m:r>
            <m:t> </m:t>
          </m:r>
          <m:r>
            <m:t>D</m:t>
          </m:r>
          <m:r>
            <m:t>N</m:t>
          </m:r>
        </m:oMath>
      </m:oMathPara>
    </w:p>
    <w:p>
      <w:pPr>
        <w:pStyle w:val="Heading3"/>
      </w:pPr>
      <w:r>
        <w:t xml:space="preserve">5.1.2 Step 2: radiance to top-of-atmosphere (TOA) reflectance</w:t>
      </w:r>
    </w:p>
    <w:p>
      <w:pPr>
        <w:pStyle w:val="FirstParagraph"/>
      </w:pPr>
      <m:oMathPara>
        <m:oMathParaPr>
          <m:jc m:val="center"/>
        </m:oMathParaPr>
        <m:oMath>
          <m:sSub>
            <m:e>
              <m:r>
                <m:t>ρ</m:t>
              </m:r>
            </m:e>
            <m:sub>
              <m:r>
                <m:t>T</m:t>
              </m:r>
              <m:r>
                <m:t>O</m:t>
              </m:r>
              <m:r>
                <m:t>A</m:t>
              </m:r>
            </m:sub>
          </m:sSub>
          <m:r>
            <m:rPr>
              <m:sty m:val="p"/>
            </m:rPr>
            <m:t>=</m:t>
          </m:r>
          <m:f>
            <m:fPr>
              <m:type m:val="bar"/>
            </m:fPr>
            <m:num>
              <m:r>
                <m:t>π</m:t>
              </m:r>
              <m:r>
                <m:t> </m:t>
              </m:r>
              <m:sSub>
                <m:e>
                  <m:r>
                    <m:t>L</m:t>
                  </m:r>
                </m:e>
                <m:sub>
                  <m:r>
                    <m:t>λ</m:t>
                  </m:r>
                </m:sub>
              </m:sSub>
              <m:r>
                <m:t> </m:t>
              </m:r>
              <m:sSup>
                <m:e>
                  <m:r>
                    <m:t>d</m:t>
                  </m:r>
                </m:e>
                <m:sup>
                  <m:r>
                    <m:t>2</m:t>
                  </m:r>
                </m:sup>
              </m:sSup>
            </m:num>
            <m:den>
              <m:sSub>
                <m:e>
                  <m:r>
                    <m:t>E</m:t>
                  </m:r>
                </m:e>
                <m:sub>
                  <m:r>
                    <m:t>s</m:t>
                  </m:r>
                  <m:r>
                    <m:t>u</m:t>
                  </m:r>
                  <m:r>
                    <m:t>n</m:t>
                  </m:r>
                  <m:r>
                    <m:rPr>
                      <m:sty m:val="p"/>
                    </m:rPr>
                    <m:t>,</m:t>
                  </m:r>
                  <m:r>
                    <m:t>λ</m:t>
                  </m:r>
                </m:sub>
              </m:sSub>
              <m:r>
                <m:t> </m:t>
              </m:r>
              <m:r>
                <m:rPr>
                  <m:sty m:val="p"/>
                </m:rPr>
                <m:t>cos</m:t>
              </m:r>
              <m:sSub>
                <m:e>
                  <m:r>
                    <m:t>θ</m:t>
                  </m:r>
                </m:e>
                <m:sub>
                  <m:r>
                    <m:t>s</m:t>
                  </m:r>
                </m:sub>
              </m:sSub>
            </m:den>
          </m:f>
        </m:oMath>
      </m:oMathPara>
    </w:p>
    <w:p>
      <w:pPr>
        <w:pStyle w:val="Compact"/>
        <w:numPr>
          <w:ilvl w:val="0"/>
          <w:numId w:val="1029"/>
        </w:numPr>
      </w:pPr>
      <m:oMath>
        <m:sSub>
          <m:e>
            <m:r>
              <m:t>E</m:t>
            </m:r>
          </m:e>
          <m:sub>
            <m:r>
              <m:t>s</m:t>
            </m:r>
            <m:r>
              <m:t>u</m:t>
            </m:r>
            <m:r>
              <m:t>n</m:t>
            </m:r>
            <m:r>
              <m:rPr>
                <m:sty m:val="p"/>
              </m:rPr>
              <m:t>,</m:t>
            </m:r>
            <m:r>
              <m:t>λ</m:t>
            </m:r>
          </m:sub>
        </m:sSub>
      </m:oMath>
      <w:r>
        <w:t xml:space="preserve"> </w:t>
      </w:r>
      <w:r>
        <w:t xml:space="preserve">is the mean exo-atmospheric solar irradiance in the band (W m⁻² µm⁻¹).</w:t>
      </w:r>
    </w:p>
    <w:p>
      <w:pPr>
        <w:pStyle w:val="Compact"/>
        <w:numPr>
          <w:ilvl w:val="0"/>
          <w:numId w:val="1029"/>
        </w:numPr>
      </w:pPr>
      <m:oMath>
        <m:r>
          <m:t>d</m:t>
        </m:r>
      </m:oMath>
      <w:r>
        <w:t xml:space="preserve"> </w:t>
      </w:r>
      <w:r>
        <w:t xml:space="preserve">is the Earth–Sun distance in astronomical units (0.983 in January, 1.017 in July).</w:t>
      </w:r>
    </w:p>
    <w:p>
      <w:pPr>
        <w:pStyle w:val="Compact"/>
        <w:numPr>
          <w:ilvl w:val="0"/>
          <w:numId w:val="1029"/>
        </w:numPr>
      </w:pPr>
      <m:oMath>
        <m:sSub>
          <m:e>
            <m:r>
              <m:t>θ</m:t>
            </m:r>
          </m:e>
          <m:sub>
            <m:r>
              <m:t>s</m:t>
            </m:r>
          </m:sub>
        </m:sSub>
      </m:oMath>
      <w:r>
        <w:t xml:space="preserve"> </w:t>
      </w:r>
      <w:r>
        <w:t xml:space="preserve">is the solar zenith angle (</w:t>
      </w:r>
      <m:oMath>
        <m:r>
          <m:rPr>
            <m:sty m:val="p"/>
          </m:rPr>
          <m:t>=</m:t>
        </m:r>
        <m:sSup>
          <m:e>
            <m:r>
              <m:t>90</m:t>
            </m:r>
          </m:e>
          <m:sup>
            <m:r>
              <m:rPr>
                <m:sty m:val="p"/>
              </m:rPr>
              <m:t>∘</m:t>
            </m:r>
          </m:sup>
        </m:sSup>
        <m:r>
          <m:rPr>
            <m:sty m:val="p"/>
          </m:rPr>
          <m:t>−</m:t>
        </m:r>
      </m:oMath>
      <w:r>
        <w:t xml:space="preserve"> </w:t>
      </w:r>
      <w:r>
        <w:t xml:space="preserve">sun elevation).</w:t>
      </w:r>
    </w:p>
    <w:p>
      <w:pPr>
        <w:pStyle w:val="FirstParagraph"/>
      </w:pPr>
      <w:r>
        <w:t xml:space="preserve">Converting to reflectance removes differences in illumination between dates and seasons. This is essential for multi-date analysis.</w:t>
      </w:r>
    </w:p>
    <w:p>
      <w:pPr>
        <w:pStyle w:val="Heading3"/>
      </w:pPr>
      <w:r>
        <w:t xml:space="preserve">5.1.3 Step 3: TOA to surface reflectance (atmospheric correction)</w:t>
      </w:r>
    </w:p>
    <w:p>
      <w:pPr>
        <w:pStyle w:val="FirstParagraph"/>
      </w:pPr>
      <w:r>
        <w:t xml:space="preserve">Methods range from image-based Dark Object Subtraction (DOS) to radiative-transfer codes (6S, MODTRAN, FLAASH, Sen2Cor), as described earlier. The basic radiative-transfer decomposition is</w:t>
      </w:r>
    </w:p>
    <w:p>
      <w:pPr>
        <w:pStyle w:val="BodyText"/>
      </w:pPr>
      <m:oMathPara>
        <m:oMathParaPr>
          <m:jc m:val="center"/>
        </m:oMathParaPr>
        <m:oMath>
          <m:sSub>
            <m:e>
              <m:r>
                <m:t>L</m:t>
              </m:r>
            </m:e>
            <m:sub>
              <m:r>
                <m:t>T</m:t>
              </m:r>
              <m:r>
                <m:t>O</m:t>
              </m:r>
              <m:r>
                <m:t>A</m:t>
              </m:r>
            </m:sub>
          </m:sSub>
          <m:r>
            <m:rPr>
              <m:sty m:val="p"/>
            </m:rPr>
            <m:t>=</m:t>
          </m:r>
          <m:sSub>
            <m:e>
              <m:r>
                <m:t>L</m:t>
              </m:r>
            </m:e>
            <m:sub>
              <m:r>
                <m:t>p</m:t>
              </m:r>
              <m:r>
                <m:t>a</m:t>
              </m:r>
              <m:r>
                <m:t>t</m:t>
              </m:r>
              <m:r>
                <m:t>h</m:t>
              </m:r>
            </m:sub>
          </m:sSub>
          <m:r>
            <m:rPr>
              <m:sty m:val="p"/>
            </m:rPr>
            <m:t>+</m:t>
          </m:r>
          <m:f>
            <m:fPr>
              <m:type m:val="bar"/>
            </m:fPr>
            <m:num>
              <m:r>
                <m:t>ρ</m:t>
              </m:r>
              <m:r>
                <m:t> </m:t>
              </m:r>
              <m:r>
                <m:t>E</m:t>
              </m:r>
              <m:r>
                <m:t> </m:t>
              </m:r>
              <m:sSub>
                <m:e>
                  <m:r>
                    <m:t>T</m:t>
                  </m:r>
                </m:e>
                <m:sub>
                  <m:r>
                    <m:rPr>
                      <m:sty m:val="p"/>
                    </m:rPr>
                    <m:t>↑</m:t>
                  </m:r>
                </m:sub>
              </m:sSub>
            </m:num>
            <m:den>
              <m:r>
                <m:t>π</m:t>
              </m:r>
            </m:den>
          </m:f>
        </m:oMath>
      </m:oMathPara>
    </w:p>
    <w:p>
      <w:pPr>
        <w:pStyle w:val="FirstParagraph"/>
      </w:pPr>
      <w:r>
        <w:t xml:space="preserve">The sensor sees path radiance plus surface-reflected radiance attenuated by upward transmittance.</w:t>
      </w:r>
    </w:p>
    <w:p>
      <w:pPr>
        <w:pStyle w:val="Heading3"/>
      </w:pPr>
      <w:r>
        <w:t xml:space="preserve">5.1.4 Thermal bands: radiance to brightness temperature</w:t>
      </w:r>
    </w:p>
    <w:p>
      <w:pPr>
        <w:pStyle w:val="FirstParagraph"/>
      </w:pPr>
      <m:oMathPara>
        <m:oMathParaPr>
          <m:jc m:val="center"/>
        </m:oMathParaPr>
        <m:oMath>
          <m:sSub>
            <m:e>
              <m:r>
                <m:t>T</m:t>
              </m:r>
            </m:e>
            <m:sub>
              <m:r>
                <m:t>B</m:t>
              </m:r>
            </m:sub>
          </m:sSub>
          <m:r>
            <m:rPr>
              <m:sty m:val="p"/>
            </m:rPr>
            <m:t>=</m:t>
          </m:r>
          <m:f>
            <m:fPr>
              <m:type m:val="bar"/>
            </m:fPr>
            <m:num>
              <m:sSub>
                <m:e>
                  <m:r>
                    <m:t>K</m:t>
                  </m:r>
                </m:e>
                <m:sub>
                  <m:r>
                    <m:t>2</m:t>
                  </m:r>
                </m:sub>
              </m:sSub>
            </m:num>
            <m:den>
              <m:r>
                <m:rPr>
                  <m:sty m:val="p"/>
                </m:rPr>
                <m:t>ln</m:t>
              </m:r>
              <m:r>
                <m:t>​</m:t>
              </m:r>
              <m:d>
                <m:dPr>
                  <m:begChr m:val="("/>
                  <m:endChr m:val=")"/>
                  <m:sepChr m:val=""/>
                  <m:grow/>
                </m:dPr>
                <m:e>
                  <m:f>
                    <m:fPr>
                      <m:type m:val="bar"/>
                    </m:fPr>
                    <m:num>
                      <m:sSub>
                        <m:e>
                          <m:r>
                            <m:t>K</m:t>
                          </m:r>
                        </m:e>
                        <m:sub>
                          <m:r>
                            <m:t>1</m:t>
                          </m:r>
                        </m:sub>
                      </m:sSub>
                    </m:num>
                    <m:den>
                      <m:sSub>
                        <m:e>
                          <m:r>
                            <m:t>L</m:t>
                          </m:r>
                        </m:e>
                        <m:sub>
                          <m:r>
                            <m:t>λ</m:t>
                          </m:r>
                        </m:sub>
                      </m:sSub>
                    </m:den>
                  </m:f>
                  <m:r>
                    <m:rPr>
                      <m:sty m:val="p"/>
                    </m:rPr>
                    <m:t>+</m:t>
                  </m:r>
                  <m:r>
                    <m:t>1</m:t>
                  </m:r>
                </m:e>
              </m:d>
            </m:den>
          </m:f>
        </m:oMath>
      </m:oMathPara>
    </w:p>
    <w:p>
      <w:pPr>
        <w:pStyle w:val="FirstParagraph"/>
      </w:pPr>
      <w:r>
        <w:t xml:space="preserve">For Landsat-8 TIRS band 10,</w:t>
      </w:r>
      <w:r>
        <w:t xml:space="preserve"> </w:t>
      </w:r>
      <m:oMath>
        <m:sSub>
          <m:e>
            <m:r>
              <m:t>K</m:t>
            </m:r>
          </m:e>
          <m:sub>
            <m:r>
              <m:t>1</m:t>
            </m:r>
          </m:sub>
        </m:sSub>
      </m:oMath>
      <w:r>
        <w:t xml:space="preserve"> </w:t>
      </w:r>
      <w:r>
        <w:t xml:space="preserve">= 774.89 W m⁻² sr⁻¹ µm⁻¹ and</w:t>
      </w:r>
      <w:r>
        <w:t xml:space="preserve"> </w:t>
      </w:r>
      <m:oMath>
        <m:sSub>
          <m:e>
            <m:r>
              <m:t>K</m:t>
            </m:r>
          </m:e>
          <m:sub>
            <m:r>
              <m:t>2</m:t>
            </m:r>
          </m:sub>
        </m:sSub>
      </m:oMath>
      <w:r>
        <w:t xml:space="preserve"> </w:t>
      </w:r>
      <w:r>
        <w:t xml:space="preserve">= 1321.08 K. This is Planck’s law inverted with band-specific constants. LST then requires an emissivity correction (split-window or single-channel algorithms).</w:t>
      </w:r>
    </w:p>
    <w:p>
      <w:pPr>
        <w:pStyle w:val="KeyPoint"/>
      </w:pPr>
      <w:r>
        <w:rPr>
          <w:bCs/>
          <w:b/>
        </w:rPr>
        <w:t xml:space="preserve">Processing ladder:</w:t>
      </w:r>
      <w:r>
        <w:t xml:space="preserve"> </w:t>
      </w:r>
      <w:r>
        <w:t xml:space="preserve">DN → radiance (calibration) → TOA reflectance (sun angle and distance) → surface reflectance (atmosphere) → indices and biophysical variables. For thermal data: DN → radiance → brightness temperature → LST (emissivity and atmosphere).</w:t>
      </w:r>
    </w:p>
    <w:p>
      <w:pPr>
        <w:pStyle w:val="Heading2"/>
      </w:pPr>
      <w:r>
        <w:t xml:space="preserve">5.2 Radiometric Errors and Their Correction</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Error</w:t>
            </w:r>
          </w:p>
        </w:tc>
        <w:tc>
          <w:tcPr/>
          <w:p>
            <w:pPr>
              <w:pStyle w:val="Compact"/>
              <w:jc w:val="left"/>
            </w:pPr>
            <w:r>
              <w:t xml:space="preserve">Cause</w:t>
            </w:r>
          </w:p>
        </w:tc>
        <w:tc>
          <w:tcPr/>
          <w:p>
            <w:pPr>
              <w:pStyle w:val="Compact"/>
              <w:jc w:val="left"/>
            </w:pPr>
            <w:r>
              <w:t xml:space="preserve">Appearance</w:t>
            </w:r>
          </w:p>
        </w:tc>
        <w:tc>
          <w:tcPr/>
          <w:p>
            <w:pPr>
              <w:pStyle w:val="Compact"/>
              <w:jc w:val="left"/>
            </w:pPr>
            <w:r>
              <w:t xml:space="preserve">Correction</w:t>
            </w:r>
          </w:p>
        </w:tc>
      </w:tr>
      <w:tr>
        <w:tc>
          <w:tcPr/>
          <w:p>
            <w:pPr>
              <w:pStyle w:val="Compact"/>
              <w:jc w:val="left"/>
            </w:pPr>
            <w:r>
              <w:rPr>
                <w:bCs/>
                <w:b/>
              </w:rPr>
              <w:t xml:space="preserve">Striping (banding)</w:t>
            </w:r>
          </w:p>
        </w:tc>
        <w:tc>
          <w:tcPr/>
          <w:p>
            <w:pPr>
              <w:pStyle w:val="Compact"/>
              <w:jc w:val="left"/>
            </w:pPr>
            <w:r>
              <w:t xml:space="preserve">Unequal detector gains in pushbroom arrays or across whiskbroom scans</w:t>
            </w:r>
          </w:p>
        </w:tc>
        <w:tc>
          <w:tcPr/>
          <w:p>
            <w:pPr>
              <w:pStyle w:val="Compact"/>
              <w:jc w:val="left"/>
            </w:pPr>
            <w:r>
              <w:t xml:space="preserve">Regular light/dark lines</w:t>
            </w:r>
          </w:p>
        </w:tc>
        <w:tc>
          <w:tcPr/>
          <w:p>
            <w:pPr>
              <w:pStyle w:val="Compact"/>
              <w:jc w:val="left"/>
            </w:pPr>
            <w:r>
              <w:t xml:space="preserve">Histogram matching between detectors; moment matching; Fourier notch filter</w:t>
            </w:r>
          </w:p>
        </w:tc>
      </w:tr>
      <w:tr>
        <w:tc>
          <w:tcPr/>
          <w:p>
            <w:pPr>
              <w:pStyle w:val="Compact"/>
              <w:jc w:val="left"/>
            </w:pPr>
            <w:r>
              <w:rPr>
                <w:bCs/>
                <w:b/>
              </w:rPr>
              <w:t xml:space="preserve">Line dropout</w:t>
            </w:r>
          </w:p>
        </w:tc>
        <w:tc>
          <w:tcPr/>
          <w:p>
            <w:pPr>
              <w:pStyle w:val="Compact"/>
              <w:jc w:val="left"/>
            </w:pPr>
            <w:r>
              <w:t xml:space="preserve">A detector fails for a scan line</w:t>
            </w:r>
          </w:p>
        </w:tc>
        <w:tc>
          <w:tcPr/>
          <w:p>
            <w:pPr>
              <w:pStyle w:val="Compact"/>
              <w:jc w:val="left"/>
            </w:pPr>
            <w:r>
              <w:t xml:space="preserve">Black line</w:t>
            </w:r>
          </w:p>
        </w:tc>
        <w:tc>
          <w:tcPr/>
          <w:p>
            <w:pPr>
              <w:pStyle w:val="Compact"/>
              <w:jc w:val="left"/>
            </w:pPr>
            <w:r>
              <w:t xml:space="preserve">Replace with the average of lines above and below</w:t>
            </w:r>
          </w:p>
        </w:tc>
      </w:tr>
      <w:tr>
        <w:tc>
          <w:tcPr/>
          <w:p>
            <w:pPr>
              <w:pStyle w:val="Compact"/>
              <w:jc w:val="left"/>
            </w:pPr>
            <w:r>
              <w:rPr>
                <w:bCs/>
                <w:b/>
              </w:rPr>
              <w:t xml:space="preserve">Random (shot) noise</w:t>
            </w:r>
          </w:p>
        </w:tc>
        <w:tc>
          <w:tcPr/>
          <w:p>
            <w:pPr>
              <w:pStyle w:val="Compact"/>
              <w:jc w:val="left"/>
            </w:pPr>
            <w:r>
              <w:t xml:space="preserve">Electronics, transmission</w:t>
            </w:r>
          </w:p>
        </w:tc>
        <w:tc>
          <w:tcPr/>
          <w:p>
            <w:pPr>
              <w:pStyle w:val="Compact"/>
              <w:jc w:val="left"/>
            </w:pPr>
            <w:r>
              <w:t xml:space="preserve">Salt-and-pepper speckle</w:t>
            </w:r>
          </w:p>
        </w:tc>
        <w:tc>
          <w:tcPr/>
          <w:p>
            <w:pPr>
              <w:pStyle w:val="Compact"/>
              <w:jc w:val="left"/>
            </w:pPr>
            <w:r>
              <w:t xml:space="preserve">Median filter</w:t>
            </w:r>
          </w:p>
        </w:tc>
      </w:tr>
      <w:tr>
        <w:tc>
          <w:tcPr/>
          <w:p>
            <w:pPr>
              <w:pStyle w:val="Compact"/>
              <w:jc w:val="left"/>
            </w:pPr>
            <w:r>
              <w:rPr>
                <w:bCs/>
                <w:b/>
              </w:rPr>
              <w:t xml:space="preserve">Sun angle / seasonal illumination</w:t>
            </w:r>
          </w:p>
        </w:tc>
        <w:tc>
          <w:tcPr/>
          <w:p>
            <w:pPr>
              <w:pStyle w:val="Compact"/>
              <w:jc w:val="left"/>
            </w:pPr>
            <w:r>
              <w:t xml:space="preserve">Different solar elevations</w:t>
            </w:r>
          </w:p>
        </w:tc>
        <w:tc>
          <w:tcPr/>
          <w:p>
            <w:pPr>
              <w:pStyle w:val="Compact"/>
              <w:jc w:val="left"/>
            </w:pPr>
            <w:r>
              <w:t xml:space="preserve">Brightness differences between dates</w:t>
            </w:r>
          </w:p>
        </w:tc>
        <w:tc>
          <w:tcPr/>
          <w:p>
            <w:pPr>
              <w:pStyle w:val="Compact"/>
              <w:jc w:val="left"/>
            </w:pPr>
            <w:r>
              <w:t xml:space="preserve">Divide by</w:t>
            </w:r>
            <w:r>
              <w:t xml:space="preserve"> </w:t>
            </w:r>
            <m:oMath>
              <m:r>
                <m:rPr>
                  <m:sty m:val="p"/>
                </m:rPr>
                <m:t>cos</m:t>
              </m:r>
              <m:sSub>
                <m:e>
                  <m:r>
                    <m:t>θ</m:t>
                  </m:r>
                </m:e>
                <m:sub>
                  <m:r>
                    <m:t>s</m:t>
                  </m:r>
                </m:sub>
              </m:sSub>
            </m:oMath>
            <w:r>
              <w:t xml:space="preserve">; convert to reflectance</w:t>
            </w:r>
          </w:p>
        </w:tc>
      </w:tr>
      <w:tr>
        <w:tc>
          <w:tcPr/>
          <w:p>
            <w:pPr>
              <w:pStyle w:val="Compact"/>
              <w:jc w:val="left"/>
            </w:pPr>
            <w:r>
              <w:rPr>
                <w:bCs/>
                <w:b/>
              </w:rPr>
              <w:t xml:space="preserve">Topographic illumination</w:t>
            </w:r>
          </w:p>
        </w:tc>
        <w:tc>
          <w:tcPr/>
          <w:p>
            <w:pPr>
              <w:pStyle w:val="Compact"/>
              <w:jc w:val="left"/>
            </w:pPr>
            <w:r>
              <w:t xml:space="preserve">Slope and aspect</w:t>
            </w:r>
          </w:p>
        </w:tc>
        <w:tc>
          <w:tcPr/>
          <w:p>
            <w:pPr>
              <w:pStyle w:val="Compact"/>
              <w:jc w:val="left"/>
            </w:pPr>
            <w:r>
              <w:t xml:space="preserve">Sunlit slopes bright, shaded slopes dark</w:t>
            </w:r>
          </w:p>
        </w:tc>
        <w:tc>
          <w:tcPr/>
          <w:p>
            <w:pPr>
              <w:pStyle w:val="Compact"/>
              <w:jc w:val="left"/>
            </w:pPr>
            <w:r>
              <w:t xml:space="preserve">Cosine, C-correction or Minnaert correction using a DEM; band ratios</w:t>
            </w:r>
          </w:p>
        </w:tc>
      </w:tr>
      <w:tr>
        <w:tc>
          <w:tcPr/>
          <w:p>
            <w:pPr>
              <w:pStyle w:val="Compact"/>
              <w:jc w:val="left"/>
            </w:pPr>
            <w:r>
              <w:rPr>
                <w:bCs/>
                <w:b/>
              </w:rPr>
              <w:t xml:space="preserve">Atmospheric haze</w:t>
            </w:r>
          </w:p>
        </w:tc>
        <w:tc>
          <w:tcPr/>
          <w:p>
            <w:pPr>
              <w:pStyle w:val="Compact"/>
              <w:jc w:val="left"/>
            </w:pPr>
            <w:r>
              <w:t xml:space="preserve">Scattering</w:t>
            </w:r>
          </w:p>
        </w:tc>
        <w:tc>
          <w:tcPr/>
          <w:p>
            <w:pPr>
              <w:pStyle w:val="Compact"/>
              <w:jc w:val="left"/>
            </w:pPr>
            <w:r>
              <w:t xml:space="preserve">Low contrast, high blue DN</w:t>
            </w:r>
          </w:p>
        </w:tc>
        <w:tc>
          <w:tcPr/>
          <w:p>
            <w:pPr>
              <w:pStyle w:val="Compact"/>
              <w:jc w:val="left"/>
            </w:pPr>
            <w:r>
              <w:t xml:space="preserve">DOS or RT models</w:t>
            </w:r>
          </w:p>
        </w:tc>
      </w:tr>
      <w:tr>
        <w:tc>
          <w:tcPr/>
          <w:p>
            <w:pPr>
              <w:pStyle w:val="Compact"/>
              <w:jc w:val="left"/>
            </w:pPr>
            <w:r>
              <w:rPr>
                <w:bCs/>
                <w:b/>
              </w:rPr>
              <w:t xml:space="preserve">Sensor degradation</w:t>
            </w:r>
          </w:p>
        </w:tc>
        <w:tc>
          <w:tcPr/>
          <w:p>
            <w:pPr>
              <w:pStyle w:val="Compact"/>
              <w:jc w:val="left"/>
            </w:pPr>
            <w:r>
              <w:t xml:space="preserve">Ageing optics and detectors</w:t>
            </w:r>
          </w:p>
        </w:tc>
        <w:tc>
          <w:tcPr/>
          <w:p>
            <w:pPr>
              <w:pStyle w:val="Compact"/>
              <w:jc w:val="left"/>
            </w:pPr>
            <w:r>
              <w:t xml:space="preserve">Drift over years</w:t>
            </w:r>
          </w:p>
        </w:tc>
        <w:tc>
          <w:tcPr/>
          <w:p>
            <w:pPr>
              <w:pStyle w:val="Compact"/>
              <w:jc w:val="left"/>
            </w:pPr>
            <w:r>
              <w:t xml:space="preserve">On-board lamps, solar diffusers, vicarious calibration over desert sites</w:t>
            </w:r>
          </w:p>
        </w:tc>
      </w:tr>
    </w:tbl>
    <w:p>
      <w:pPr>
        <w:pStyle w:val="BodyText"/>
      </w:pPr>
      <w:r>
        <w:rPr>
          <w:bCs/>
          <w:b/>
        </w:rPr>
        <w:t xml:space="preserve">Topographic correction.</w:t>
      </w:r>
      <w:r>
        <w:t xml:space="preserve"> </w:t>
      </w:r>
      <w:r>
        <w:t xml:space="preserve">The local illumination angle</w:t>
      </w:r>
      <w:r>
        <w:t xml:space="preserve"> </w:t>
      </w:r>
      <m:oMath>
        <m:r>
          <m:t>i</m:t>
        </m:r>
      </m:oMath>
      <w:r>
        <w:t xml:space="preserve"> </w:t>
      </w:r>
      <w:r>
        <w:t xml:space="preserve">comes from</w:t>
      </w:r>
    </w:p>
    <w:p>
      <w:pPr>
        <w:pStyle w:val="BodyText"/>
      </w:pPr>
      <m:oMathPara>
        <m:oMathParaPr>
          <m:jc m:val="center"/>
        </m:oMathParaPr>
        <m:oMath>
          <m:r>
            <m:rPr>
              <m:sty m:val="p"/>
            </m:rPr>
            <m:t>cos</m:t>
          </m:r>
          <m:r>
            <m:t>i</m:t>
          </m:r>
          <m:r>
            <m:rPr>
              <m:sty m:val="p"/>
            </m:rPr>
            <m:t>=</m:t>
          </m:r>
          <m:r>
            <m:rPr>
              <m:sty m:val="p"/>
            </m:rPr>
            <m:t>cos</m:t>
          </m:r>
          <m:sSub>
            <m:e>
              <m:r>
                <m:t>θ</m:t>
              </m:r>
            </m:e>
            <m:sub>
              <m:r>
                <m:t>s</m:t>
              </m:r>
            </m:sub>
          </m:sSub>
          <m:r>
            <m:rPr>
              <m:sty m:val="p"/>
            </m:rPr>
            <m:t>cos</m:t>
          </m:r>
          <m:r>
            <m:t>s</m:t>
          </m:r>
          <m:r>
            <m:rPr>
              <m:sty m:val="p"/>
            </m:rPr>
            <m:t>+</m:t>
          </m:r>
          <m:r>
            <m:rPr>
              <m:sty m:val="p"/>
            </m:rPr>
            <m:t>sin</m:t>
          </m:r>
          <m:sSub>
            <m:e>
              <m:r>
                <m:t>θ</m:t>
              </m:r>
            </m:e>
            <m:sub>
              <m:r>
                <m:t>s</m:t>
              </m:r>
            </m:sub>
          </m:sSub>
          <m:r>
            <m:rPr>
              <m:sty m:val="p"/>
            </m:rPr>
            <m:t>sin</m:t>
          </m:r>
          <m:r>
            <m:t>s</m:t>
          </m:r>
          <m:r>
            <m:rPr>
              <m:sty m:val="p"/>
            </m:rPr>
            <m:t>cos</m:t>
          </m:r>
          <m:d>
            <m:dPr>
              <m:begChr m:val="("/>
              <m:endChr m:val=")"/>
              <m:sepChr m:val=""/>
              <m:grow/>
            </m:dPr>
            <m:e>
              <m:sSub>
                <m:e>
                  <m:r>
                    <m:t>ϕ</m:t>
                  </m:r>
                </m:e>
                <m:sub>
                  <m:r>
                    <m:t>s</m:t>
                  </m:r>
                </m:sub>
              </m:sSub>
              <m:r>
                <m:rPr>
                  <m:sty m:val="p"/>
                </m:rPr>
                <m:t>−</m:t>
              </m:r>
              <m:sSub>
                <m:e>
                  <m:r>
                    <m:t>ϕ</m:t>
                  </m:r>
                </m:e>
                <m:sub>
                  <m:r>
                    <m:t>a</m:t>
                  </m:r>
                </m:sub>
              </m:sSub>
            </m:e>
          </m:d>
        </m:oMath>
      </m:oMathPara>
    </w:p>
    <w:p>
      <w:pPr>
        <w:pStyle w:val="FirstParagraph"/>
      </w:pPr>
      <w:r>
        <w:t xml:space="preserve">(</w:t>
      </w:r>
      <m:oMath>
        <m:r>
          <m:t>s</m:t>
        </m:r>
      </m:oMath>
      <w:r>
        <w:t xml:space="preserve"> </w:t>
      </w:r>
      <w:r>
        <w:t xml:space="preserve">is slope,</w:t>
      </w:r>
      <w:r>
        <w:t xml:space="preserve"> </w:t>
      </w:r>
      <m:oMath>
        <m:sSub>
          <m:e>
            <m:r>
              <m:t>ϕ</m:t>
            </m:r>
          </m:e>
          <m:sub>
            <m:r>
              <m:t>a</m:t>
            </m:r>
          </m:sub>
        </m:sSub>
      </m:oMath>
      <w:r>
        <w:t xml:space="preserve"> </w:t>
      </w:r>
      <w:r>
        <w:t xml:space="preserve">aspect,</w:t>
      </w:r>
      <w:r>
        <w:t xml:space="preserve"> </w:t>
      </w:r>
      <m:oMath>
        <m:sSub>
          <m:e>
            <m:r>
              <m:t>ϕ</m:t>
            </m:r>
          </m:e>
          <m:sub>
            <m:r>
              <m:t>s</m:t>
            </m:r>
          </m:sub>
        </m:sSub>
      </m:oMath>
      <w:r>
        <w:t xml:space="preserve"> </w:t>
      </w:r>
      <w:r>
        <w:t xml:space="preserve">solar azimuth). The simple</w:t>
      </w:r>
      <w:r>
        <w:t xml:space="preserve"> </w:t>
      </w:r>
      <w:r>
        <w:rPr>
          <w:bCs/>
          <w:b/>
        </w:rPr>
        <w:t xml:space="preserve">cosine correction</w:t>
      </w:r>
      <w:r>
        <w:t xml:space="preserve"> </w:t>
      </w:r>
      <w:r>
        <w:t xml:space="preserve">is</w:t>
      </w:r>
      <w:r>
        <w:t xml:space="preserve"> </w:t>
      </w:r>
      <m:oMath>
        <m:sSub>
          <m:e>
            <m:r>
              <m:t>ρ</m:t>
            </m:r>
          </m:e>
          <m:sub>
            <m:r>
              <m:t>H</m:t>
            </m:r>
          </m:sub>
        </m:sSub>
        <m:r>
          <m:rPr>
            <m:sty m:val="p"/>
          </m:rPr>
          <m:t>=</m:t>
        </m:r>
        <m:sSub>
          <m:e>
            <m:r>
              <m:t>ρ</m:t>
            </m:r>
          </m:e>
          <m:sub>
            <m:r>
              <m:t>T</m:t>
            </m:r>
          </m:sub>
        </m:sSub>
        <m:r>
          <m:t> </m:t>
        </m:r>
        <m:f>
          <m:fPr>
            <m:type m:val="bar"/>
          </m:fPr>
          <m:num>
            <m:r>
              <m:rPr>
                <m:sty m:val="p"/>
              </m:rPr>
              <m:t>cos</m:t>
            </m:r>
            <m:sSub>
              <m:e>
                <m:r>
                  <m:t>θ</m:t>
                </m:r>
              </m:e>
              <m:sub>
                <m:r>
                  <m:t>s</m:t>
                </m:r>
              </m:sub>
            </m:sSub>
          </m:num>
          <m:den>
            <m:r>
              <m:rPr>
                <m:sty m:val="p"/>
              </m:rPr>
              <m:t>cos</m:t>
            </m:r>
            <m:r>
              <m:t>i</m:t>
            </m:r>
          </m:den>
        </m:f>
      </m:oMath>
      <w:r>
        <w:t xml:space="preserve">. It over-corrects on dark slopes, so the C-correction adds an empirical constant</w:t>
      </w:r>
      <w:r>
        <w:t xml:space="preserve"> </w:t>
      </w:r>
      <m:oMath>
        <m:r>
          <m:t>c</m:t>
        </m:r>
      </m:oMath>
      <w:r>
        <w:t xml:space="preserve">:</w:t>
      </w:r>
      <w:r>
        <w:t xml:space="preserve"> </w:t>
      </w:r>
      <m:oMath>
        <m:sSub>
          <m:e>
            <m:r>
              <m:t>ρ</m:t>
            </m:r>
          </m:e>
          <m:sub>
            <m:r>
              <m:t>H</m:t>
            </m:r>
          </m:sub>
        </m:sSub>
        <m:r>
          <m:rPr>
            <m:sty m:val="p"/>
          </m:rPr>
          <m:t>=</m:t>
        </m:r>
        <m:sSub>
          <m:e>
            <m:r>
              <m:t>ρ</m:t>
            </m:r>
          </m:e>
          <m:sub>
            <m:r>
              <m:t>T</m:t>
            </m:r>
          </m:sub>
        </m:sSub>
        <m:r>
          <m:t> </m:t>
        </m:r>
        <m:f>
          <m:fPr>
            <m:type m:val="bar"/>
          </m:fPr>
          <m:num>
            <m:r>
              <m:rPr>
                <m:sty m:val="p"/>
              </m:rPr>
              <m:t>cos</m:t>
            </m:r>
            <m:sSub>
              <m:e>
                <m:r>
                  <m:t>θ</m:t>
                </m:r>
              </m:e>
              <m:sub>
                <m:r>
                  <m:t>s</m:t>
                </m:r>
              </m:sub>
            </m:sSub>
            <m:r>
              <m:rPr>
                <m:sty m:val="p"/>
              </m:rPr>
              <m:t>+</m:t>
            </m:r>
            <m:r>
              <m:t>c</m:t>
            </m:r>
          </m:num>
          <m:den>
            <m:r>
              <m:rPr>
                <m:sty m:val="p"/>
              </m:rPr>
              <m:t>cos</m:t>
            </m:r>
            <m:r>
              <m:t>i</m:t>
            </m:r>
            <m:r>
              <m:rPr>
                <m:sty m:val="p"/>
              </m:rPr>
              <m:t>+</m:t>
            </m:r>
            <m:r>
              <m:t>c</m:t>
            </m:r>
          </m:den>
        </m:f>
      </m:oMath>
      <w:r>
        <w:t xml:space="preserve">.</w:t>
      </w:r>
    </w:p>
    <w:p>
      <w:pPr>
        <w:pStyle w:val="Heading2"/>
      </w:pPr>
      <w:r>
        <w:t xml:space="preserve">5.3 Geometric Distortions and Their Correction</w:t>
      </w:r>
    </w:p>
    <w:p>
      <w:pPr>
        <w:pStyle w:val="Heading3"/>
      </w:pPr>
      <w:r>
        <w:t xml:space="preserve">5.3.1 Sources of geometric distortion</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Systematic (predictable; corrected at ground station)</w:t>
            </w:r>
          </w:p>
        </w:tc>
        <w:tc>
          <w:tcPr/>
          <w:p>
            <w:pPr>
              <w:pStyle w:val="Compact"/>
              <w:jc w:val="left"/>
            </w:pPr>
            <w:r>
              <w:t xml:space="preserve">Non-systematic (random; needs GCPs)</w:t>
            </w:r>
          </w:p>
        </w:tc>
      </w:tr>
      <w:tr>
        <w:tc>
          <w:tcPr/>
          <w:p>
            <w:pPr>
              <w:pStyle w:val="Compact"/>
              <w:jc w:val="left"/>
            </w:pPr>
            <w:r>
              <w:t xml:space="preserve">Earth rotation during imaging, giving</w:t>
            </w:r>
            <w:r>
              <w:t xml:space="preserve"> </w:t>
            </w:r>
            <w:r>
              <w:rPr>
                <w:bCs/>
                <w:b/>
              </w:rPr>
              <w:t xml:space="preserve">skew</w:t>
            </w:r>
          </w:p>
        </w:tc>
        <w:tc>
          <w:tcPr/>
          <w:p>
            <w:pPr>
              <w:pStyle w:val="Compact"/>
              <w:jc w:val="left"/>
            </w:pPr>
            <w:r>
              <w:t xml:space="preserve">Platform</w:t>
            </w:r>
            <w:r>
              <w:t xml:space="preserve"> </w:t>
            </w:r>
            <w:r>
              <w:rPr>
                <w:bCs/>
                <w:b/>
              </w:rPr>
              <w:t xml:space="preserve">attitude</w:t>
            </w:r>
            <w:r>
              <w:t xml:space="preserve"> </w:t>
            </w:r>
            <w:r>
              <w:t xml:space="preserve">changes: roll, pitch, yaw</w:t>
            </w:r>
          </w:p>
        </w:tc>
      </w:tr>
      <w:tr>
        <w:tc>
          <w:tcPr/>
          <w:p>
            <w:pPr>
              <w:pStyle w:val="Compact"/>
              <w:jc w:val="left"/>
            </w:pPr>
            <w:r>
              <w:t xml:space="preserve">Panoramic distortion (whiskbroom scan angle)</w:t>
            </w:r>
          </w:p>
        </w:tc>
        <w:tc>
          <w:tcPr/>
          <w:p>
            <w:pPr>
              <w:pStyle w:val="Compact"/>
              <w:jc w:val="left"/>
            </w:pPr>
            <w:r>
              <w:rPr>
                <w:bCs/>
                <w:b/>
              </w:rPr>
              <w:t xml:space="preserve">Altitude</w:t>
            </w:r>
            <w:r>
              <w:t xml:space="preserve"> </w:t>
            </w:r>
            <w:r>
              <w:t xml:space="preserve">variations</w:t>
            </w:r>
          </w:p>
        </w:tc>
      </w:tr>
      <w:tr>
        <w:tc>
          <w:tcPr/>
          <w:p>
            <w:pPr>
              <w:pStyle w:val="Compact"/>
              <w:jc w:val="left"/>
            </w:pPr>
            <w:r>
              <w:t xml:space="preserve">Earth curvature</w:t>
            </w:r>
          </w:p>
        </w:tc>
        <w:tc>
          <w:tcPr/>
          <w:p>
            <w:pPr>
              <w:pStyle w:val="Compact"/>
              <w:jc w:val="left"/>
            </w:pPr>
            <w:r>
              <w:rPr>
                <w:bCs/>
                <w:b/>
              </w:rPr>
              <w:t xml:space="preserve">Relief displacement</w:t>
            </w:r>
            <w:r>
              <w:t xml:space="preserve"> </w:t>
            </w:r>
            <w:r>
              <w:t xml:space="preserve">(terrain height)</w:t>
            </w:r>
          </w:p>
        </w:tc>
      </w:tr>
      <w:tr>
        <w:tc>
          <w:tcPr/>
          <w:p>
            <w:pPr>
              <w:pStyle w:val="Compact"/>
              <w:jc w:val="left"/>
            </w:pPr>
            <w:r>
              <w:t xml:space="preserve">Scan-mirror velocity non-linearity</w:t>
            </w:r>
          </w:p>
        </w:tc>
        <w:tc>
          <w:tcPr/>
          <w:p>
            <w:pPr>
              <w:pStyle w:val="Compact"/>
              <w:jc w:val="left"/>
            </w:pPr>
            <w:r>
              <w:t xml:space="preserve">Ephemeris errors</w:t>
            </w:r>
          </w:p>
        </w:tc>
      </w:tr>
    </w:tbl>
    <w:p>
      <w:pPr>
        <w:pStyle w:val="BodyText"/>
      </w:pPr>
      <w:r>
        <w:rPr>
          <w:bCs/>
          <w:b/>
        </w:rPr>
        <w:t xml:space="preserve">Relief displacement</w:t>
      </w:r>
      <w:r>
        <w:t xml:space="preserve"> </w:t>
      </w:r>
      <w:r>
        <w:t xml:space="preserve">in a vertical image is</w:t>
      </w:r>
    </w:p>
    <w:p>
      <w:pPr>
        <w:pStyle w:val="BodyText"/>
      </w:pPr>
      <m:oMathPara>
        <m:oMathParaPr>
          <m:jc m:val="center"/>
        </m:oMathParaPr>
        <m:oMath>
          <m:r>
            <m:t>d</m:t>
          </m:r>
          <m:r>
            <m:rPr>
              <m:sty m:val="p"/>
            </m:rPr>
            <m:t>=</m:t>
          </m:r>
          <m:f>
            <m:fPr>
              <m:type m:val="bar"/>
            </m:fPr>
            <m:num>
              <m:r>
                <m:t>r</m:t>
              </m:r>
              <m:r>
                <m:t> </m:t>
              </m:r>
              <m:r>
                <m:t>h</m:t>
              </m:r>
            </m:num>
            <m:den>
              <m:r>
                <m:t>H</m:t>
              </m:r>
            </m:den>
          </m:f>
        </m:oMath>
      </m:oMathPara>
    </w:p>
    <w:p>
      <w:pPr>
        <w:pStyle w:val="FirstParagraph"/>
      </w:pPr>
      <w:r>
        <w:t xml:space="preserve">where</w:t>
      </w:r>
      <w:r>
        <w:t xml:space="preserve"> </w:t>
      </w:r>
      <m:oMath>
        <m:r>
          <m:t>d</m:t>
        </m:r>
      </m:oMath>
      <w:r>
        <w:t xml:space="preserve"> </w:t>
      </w:r>
      <w:r>
        <w:t xml:space="preserve">is displacement on the image,</w:t>
      </w:r>
      <w:r>
        <w:t xml:space="preserve"> </w:t>
      </w:r>
      <m:oMath>
        <m:r>
          <m:t>r</m:t>
        </m:r>
      </m:oMath>
      <w:r>
        <w:t xml:space="preserve"> </w:t>
      </w:r>
      <w:r>
        <w:t xml:space="preserve">is radial distance from the nadir (principal) point,</w:t>
      </w:r>
      <w:r>
        <w:t xml:space="preserve"> </w:t>
      </w:r>
      <m:oMath>
        <m:r>
          <m:t>h</m:t>
        </m:r>
      </m:oMath>
      <w:r>
        <w:t xml:space="preserve"> </w:t>
      </w:r>
      <w:r>
        <w:t xml:space="preserve">is the object’s height and</w:t>
      </w:r>
      <w:r>
        <w:t xml:space="preserve"> </w:t>
      </w:r>
      <m:oMath>
        <m:r>
          <m:t>H</m:t>
        </m:r>
      </m:oMath>
      <w:r>
        <w:t xml:space="preserve"> </w:t>
      </w:r>
      <w:r>
        <w:t xml:space="preserve">is flying height. Tall objects lean away from the image centre. Orthorectification removes this using a DEM.</w:t>
      </w:r>
    </w:p>
    <w:p>
      <w:pPr>
        <w:pStyle w:val="Heading3"/>
      </w:pPr>
      <w:r>
        <w:t xml:space="preserve">5.3.2 Terminology</w:t>
      </w:r>
    </w:p>
    <w:p>
      <w:pPr>
        <w:pStyle w:val="Compact"/>
        <w:numPr>
          <w:ilvl w:val="0"/>
          <w:numId w:val="1030"/>
        </w:numPr>
      </w:pPr>
      <w:r>
        <w:rPr>
          <w:bCs/>
          <w:b/>
        </w:rPr>
        <w:t xml:space="preserve">Georeferencing:</w:t>
      </w:r>
      <w:r>
        <w:t xml:space="preserve"> </w:t>
      </w:r>
      <w:r>
        <w:t xml:space="preserve">assigning map coordinates to an image (for example updating the corner coordinates of a scanned map). No geometric correction of distortion.</w:t>
      </w:r>
    </w:p>
    <w:p>
      <w:pPr>
        <w:pStyle w:val="Compact"/>
        <w:numPr>
          <w:ilvl w:val="0"/>
          <w:numId w:val="1030"/>
        </w:numPr>
      </w:pPr>
      <w:r>
        <w:rPr>
          <w:bCs/>
          <w:b/>
        </w:rPr>
        <w:t xml:space="preserve">Registration:</w:t>
      </w:r>
      <w:r>
        <w:t xml:space="preserve"> </w:t>
      </w:r>
      <w:r>
        <w:t xml:space="preserve">aligning one image to another image (image-to-image).</w:t>
      </w:r>
    </w:p>
    <w:p>
      <w:pPr>
        <w:pStyle w:val="Compact"/>
        <w:numPr>
          <w:ilvl w:val="0"/>
          <w:numId w:val="1030"/>
        </w:numPr>
      </w:pPr>
      <w:r>
        <w:rPr>
          <w:bCs/>
          <w:b/>
        </w:rPr>
        <w:t xml:space="preserve">Rectification:</w:t>
      </w:r>
      <w:r>
        <w:t xml:space="preserve"> </w:t>
      </w:r>
      <w:r>
        <w:t xml:space="preserve">transforming an image to a map projection so it is planimetric (image-to-map).</w:t>
      </w:r>
    </w:p>
    <w:p>
      <w:pPr>
        <w:pStyle w:val="Compact"/>
        <w:numPr>
          <w:ilvl w:val="0"/>
          <w:numId w:val="1030"/>
        </w:numPr>
      </w:pPr>
      <w:r>
        <w:rPr>
          <w:bCs/>
          <w:b/>
        </w:rPr>
        <w:t xml:space="preserve">Orthorectification:</w:t>
      </w:r>
      <w:r>
        <w:t xml:space="preserve"> </w:t>
      </w:r>
      <w:r>
        <w:t xml:space="preserve">rectification plus correction of relief displacement with a DEM, so every pixel is viewed as if from directly above.</w:t>
      </w:r>
    </w:p>
    <w:p>
      <w:pPr>
        <w:pStyle w:val="Heading3"/>
      </w:pPr>
      <w:r>
        <w:t xml:space="preserve">5.3.3 The rectification procedure</w:t>
      </w:r>
    </w:p>
    <w:p>
      <w:pPr>
        <w:pStyle w:val="CaptionedFigure"/>
      </w:pPr>
      <w:r>
        <w:drawing>
          <wp:inline>
            <wp:extent cx="5334000" cy="3227070"/>
            <wp:effectExtent b="0" l="0" r="0" t="0"/>
            <wp:docPr descr="Geometric rectification workflow" title="" id="33" name="Picture"/>
            <a:graphic>
              <a:graphicData uri="http://schemas.openxmlformats.org/drawingml/2006/picture">
                <pic:pic>
                  <pic:nvPicPr>
                    <pic:cNvPr descr="/tmp/claude-0/-home-user-sonu/ab07c29a-21cd-5a4a-9d2d-68ad72d07153/scratchpad/build/../flows/flow_005.png" id="34" name="Picture"/>
                    <pic:cNvPicPr>
                      <a:picLocks noChangeArrowheads="1" noChangeAspect="1"/>
                    </pic:cNvPicPr>
                  </pic:nvPicPr>
                  <pic:blipFill>
                    <a:blip r:embed="rId32"/>
                    <a:stretch>
                      <a:fillRect/>
                    </a:stretch>
                  </pic:blipFill>
                  <pic:spPr bwMode="auto">
                    <a:xfrm>
                      <a:off x="0" y="0"/>
                      <a:ext cx="5334000" cy="3227070"/>
                    </a:xfrm>
                    <a:prstGeom prst="rect">
                      <a:avLst/>
                    </a:prstGeom>
                    <a:noFill/>
                    <a:ln w="9525">
                      <a:noFill/>
                      <a:headEnd/>
                      <a:tailEnd/>
                    </a:ln>
                  </pic:spPr>
                </pic:pic>
              </a:graphicData>
            </a:graphic>
          </wp:inline>
        </w:drawing>
      </w:r>
    </w:p>
    <w:p>
      <w:pPr>
        <w:pStyle w:val="ImageCaption"/>
      </w:pPr>
      <w:r>
        <w:t xml:space="preserve">Geometric rectification workflow</w:t>
      </w:r>
    </w:p>
    <w:p>
      <w:pPr>
        <w:pStyle w:val="BodyText"/>
      </w:pPr>
      <w:r>
        <w:rPr>
          <w:bCs/>
          <w:b/>
        </w:rPr>
        <w:t xml:space="preserve">Polynomial transformation</w:t>
      </w:r>
      <w:r>
        <w:t xml:space="preserve"> </w:t>
      </w:r>
      <w:r>
        <w:t xml:space="preserve">(first order, i.e. affine, six coefficients):</w:t>
      </w:r>
    </w:p>
    <w:p>
      <w:pPr>
        <w:pStyle w:val="BodyText"/>
      </w:pPr>
      <m:oMathPara>
        <m:oMathParaPr>
          <m:jc m:val="center"/>
        </m:oMathParaPr>
        <m:oMath>
          <m:r>
            <m:t>x</m:t>
          </m:r>
          <m:r>
            <m:rPr>
              <m:sty m:val="p"/>
            </m:rPr>
            <m:t>′</m:t>
          </m:r>
          <m:r>
            <m:rPr>
              <m:sty m:val="p"/>
            </m:rPr>
            <m:t>=</m:t>
          </m:r>
          <m:sSub>
            <m:e>
              <m:r>
                <m:t>a</m:t>
              </m:r>
            </m:e>
            <m:sub>
              <m:r>
                <m:t>0</m:t>
              </m:r>
            </m:sub>
          </m:sSub>
          <m:r>
            <m:rPr>
              <m:sty m:val="p"/>
            </m:rPr>
            <m:t>+</m:t>
          </m:r>
          <m:sSub>
            <m:e>
              <m:r>
                <m:t>a</m:t>
              </m:r>
            </m:e>
            <m:sub>
              <m:r>
                <m:t>1</m:t>
              </m:r>
            </m:sub>
          </m:sSub>
          <m:r>
            <m:t>x</m:t>
          </m:r>
          <m:r>
            <m:rPr>
              <m:sty m:val="p"/>
            </m:rPr>
            <m:t>+</m:t>
          </m:r>
          <m:sSub>
            <m:e>
              <m:r>
                <m:t>a</m:t>
              </m:r>
            </m:e>
            <m:sub>
              <m:r>
                <m:t>2</m:t>
              </m:r>
            </m:sub>
          </m:sSub>
          <m:r>
            <m:t>y</m:t>
          </m:r>
          <m:r>
            <m:rPr>
              <m:sty m:val="p"/>
            </m:rPr>
            <m:t>,</m:t>
          </m:r>
          <m:r>
            <m:t>  </m:t>
          </m:r>
          <m:r>
            <m:t>y</m:t>
          </m:r>
          <m:r>
            <m:rPr>
              <m:sty m:val="p"/>
            </m:rPr>
            <m:t>′</m:t>
          </m:r>
          <m:r>
            <m:rPr>
              <m:sty m:val="p"/>
            </m:rPr>
            <m:t>=</m:t>
          </m:r>
          <m:sSub>
            <m:e>
              <m:r>
                <m:t>b</m:t>
              </m:r>
            </m:e>
            <m:sub>
              <m:r>
                <m:t>0</m:t>
              </m:r>
            </m:sub>
          </m:sSub>
          <m:r>
            <m:rPr>
              <m:sty m:val="p"/>
            </m:rPr>
            <m:t>+</m:t>
          </m:r>
          <m:sSub>
            <m:e>
              <m:r>
                <m:t>b</m:t>
              </m:r>
            </m:e>
            <m:sub>
              <m:r>
                <m:t>1</m:t>
              </m:r>
            </m:sub>
          </m:sSub>
          <m:r>
            <m:t>x</m:t>
          </m:r>
          <m:r>
            <m:rPr>
              <m:sty m:val="p"/>
            </m:rPr>
            <m:t>+</m:t>
          </m:r>
          <m:sSub>
            <m:e>
              <m:r>
                <m:t>b</m:t>
              </m:r>
            </m:e>
            <m:sub>
              <m:r>
                <m:t>2</m:t>
              </m:r>
            </m:sub>
          </m:sSub>
          <m:r>
            <m:t>y</m:t>
          </m:r>
        </m:oMath>
      </m:oMathPara>
    </w:p>
    <w:p>
      <w:pPr>
        <w:pStyle w:val="FirstParagraph"/>
      </w:pPr>
      <w:r>
        <w:t xml:space="preserve">The first order handles translation, scale, rotation and skew. Higher orders add curvature (second order: 12 coefficients). The minimum number of GCPs for order</w:t>
      </w:r>
      <w:r>
        <w:t xml:space="preserve"> </w:t>
      </w:r>
      <m:oMath>
        <m:r>
          <m:t>t</m:t>
        </m:r>
      </m:oMath>
      <w:r>
        <w:t xml:space="preserve"> </w:t>
      </w:r>
      <w:r>
        <w:t xml:space="preserve">is</w:t>
      </w:r>
    </w:p>
    <w:p>
      <w:pPr>
        <w:pStyle w:val="BodyText"/>
      </w:pPr>
      <m:oMathPara>
        <m:oMathParaPr>
          <m:jc m:val="center"/>
        </m:oMathParaPr>
        <m:oMath>
          <m:sSub>
            <m:e>
              <m:r>
                <m:t>N</m:t>
              </m:r>
            </m:e>
            <m:sub>
              <m:r>
                <m:t>m</m:t>
              </m:r>
              <m:r>
                <m:t>i</m:t>
              </m:r>
              <m:r>
                <m:t>n</m:t>
              </m:r>
            </m:sub>
          </m:sSub>
          <m:r>
            <m:rPr>
              <m:sty m:val="p"/>
            </m:rPr>
            <m:t>=</m:t>
          </m:r>
          <m:f>
            <m:fPr>
              <m:type m:val="bar"/>
            </m:fPr>
            <m:num>
              <m:d>
                <m:dPr>
                  <m:begChr m:val="("/>
                  <m:endChr m:val=")"/>
                  <m:sepChr m:val=""/>
                  <m:grow/>
                </m:dPr>
                <m:e>
                  <m:r>
                    <m:t>t</m:t>
                  </m:r>
                  <m:r>
                    <m:rPr>
                      <m:sty m:val="p"/>
                    </m:rPr>
                    <m:t>+</m:t>
                  </m:r>
                  <m:r>
                    <m:t>1</m:t>
                  </m:r>
                </m:e>
              </m:d>
              <m:d>
                <m:dPr>
                  <m:begChr m:val="("/>
                  <m:endChr m:val=")"/>
                  <m:sepChr m:val=""/>
                  <m:grow/>
                </m:dPr>
                <m:e>
                  <m:r>
                    <m:t>t</m:t>
                  </m:r>
                  <m:r>
                    <m:rPr>
                      <m:sty m:val="p"/>
                    </m:rPr>
                    <m:t>+</m:t>
                  </m:r>
                  <m:r>
                    <m:t>2</m:t>
                  </m:r>
                </m:e>
              </m:d>
            </m:num>
            <m:den>
              <m:r>
                <m:t>2</m:t>
              </m:r>
            </m:den>
          </m:f>
        </m:oMath>
      </m:oMathPara>
    </w:p>
    <w:p>
      <w:pPr>
        <w:pStyle w:val="FirstParagraph"/>
      </w:pPr>
      <w:r>
        <w:t xml:space="preserve">(3 for first order, 6 for second, 10 for third). In practice, use many more and spread them over the whole image.</w:t>
      </w:r>
    </w:p>
    <w:p>
      <w:pPr>
        <w:pStyle w:val="BodyText"/>
      </w:pPr>
      <w:r>
        <w:rPr>
          <w:bCs/>
          <w:b/>
        </w:rPr>
        <w:t xml:space="preserve">Root mean square error</w:t>
      </w:r>
      <w:r>
        <w:t xml:space="preserve"> </w:t>
      </w:r>
      <w:r>
        <w:t xml:space="preserve">of a GCP, and the total:</w:t>
      </w:r>
    </w:p>
    <w:p>
      <w:pPr>
        <w:pStyle w:val="BodyText"/>
      </w:pPr>
      <m:oMathPara>
        <m:oMathParaPr>
          <m:jc m:val="center"/>
        </m:oMathParaPr>
        <m:oMath>
          <m:r>
            <m:t>R</m:t>
          </m:r>
          <m:r>
            <m:t>M</m:t>
          </m:r>
          <m:r>
            <m:t>S</m:t>
          </m:r>
          <m:sSub>
            <m:e>
              <m:r>
                <m:t>E</m:t>
              </m:r>
            </m:e>
            <m:sub>
              <m:r>
                <m:t>i</m:t>
              </m:r>
            </m:sub>
          </m:sSub>
          <m:r>
            <m:rPr>
              <m:sty m:val="p"/>
            </m:rPr>
            <m:t>=</m:t>
          </m:r>
          <m:rad>
            <m:radPr>
              <m:degHide m:val="on"/>
            </m:radPr>
            <m:deg/>
            <m:e>
              <m:sSup>
                <m:e>
                  <m:d>
                    <m:dPr>
                      <m:begChr m:val="("/>
                      <m:endChr m:val=")"/>
                      <m:sepChr m:val=""/>
                      <m:grow/>
                    </m:dPr>
                    <m:e>
                      <m:sSub>
                        <m:e>
                          <m:r>
                            <m:t>x</m:t>
                          </m:r>
                        </m:e>
                        <m:sub>
                          <m:r>
                            <m:t>i</m:t>
                          </m:r>
                        </m:sub>
                      </m:sSub>
                      <m:r>
                        <m:rPr>
                          <m:sty m:val="p"/>
                        </m:rPr>
                        <m:t>′</m:t>
                      </m:r>
                      <m:r>
                        <m:rPr>
                          <m:sty m:val="p"/>
                        </m:rPr>
                        <m:t>−</m:t>
                      </m:r>
                      <m:sSub>
                        <m:e>
                          <m:r>
                            <m:t>x</m:t>
                          </m:r>
                        </m:e>
                        <m:sub>
                          <m:r>
                            <m:t>i</m:t>
                          </m:r>
                          <m:r>
                            <m:rPr>
                              <m:sty m:val="p"/>
                            </m:rPr>
                            <m:t>,</m:t>
                          </m:r>
                          <m:r>
                            <m:t>o</m:t>
                          </m:r>
                          <m:r>
                            <m:t>r</m:t>
                          </m:r>
                          <m:r>
                            <m:t>i</m:t>
                          </m:r>
                          <m:r>
                            <m:t>g</m:t>
                          </m:r>
                        </m:sub>
                      </m:sSub>
                    </m:e>
                  </m:d>
                </m:e>
                <m:sup>
                  <m:r>
                    <m:t>2</m:t>
                  </m:r>
                </m:sup>
              </m:sSup>
              <m:r>
                <m:rPr>
                  <m:sty m:val="p"/>
                </m:rPr>
                <m:t>+</m:t>
              </m:r>
              <m:sSup>
                <m:e>
                  <m:d>
                    <m:dPr>
                      <m:begChr m:val="("/>
                      <m:endChr m:val=")"/>
                      <m:sepChr m:val=""/>
                      <m:grow/>
                    </m:dPr>
                    <m:e>
                      <m:sSub>
                        <m:e>
                          <m:r>
                            <m:t>y</m:t>
                          </m:r>
                        </m:e>
                        <m:sub>
                          <m:r>
                            <m:t>i</m:t>
                          </m:r>
                        </m:sub>
                      </m:sSub>
                      <m:r>
                        <m:rPr>
                          <m:sty m:val="p"/>
                        </m:rPr>
                        <m:t>′</m:t>
                      </m:r>
                      <m:r>
                        <m:rPr>
                          <m:sty m:val="p"/>
                        </m:rPr>
                        <m:t>−</m:t>
                      </m:r>
                      <m:sSub>
                        <m:e>
                          <m:r>
                            <m:t>y</m:t>
                          </m:r>
                        </m:e>
                        <m:sub>
                          <m:r>
                            <m:t>i</m:t>
                          </m:r>
                          <m:r>
                            <m:rPr>
                              <m:sty m:val="p"/>
                            </m:rPr>
                            <m:t>,</m:t>
                          </m:r>
                          <m:r>
                            <m:t>o</m:t>
                          </m:r>
                          <m:r>
                            <m:t>r</m:t>
                          </m:r>
                          <m:r>
                            <m:t>i</m:t>
                          </m:r>
                          <m:r>
                            <m:t>g</m:t>
                          </m:r>
                        </m:sub>
                      </m:sSub>
                    </m:e>
                  </m:d>
                </m:e>
                <m:sup>
                  <m:r>
                    <m:t>2</m:t>
                  </m:r>
                </m:sup>
              </m:sSup>
            </m:e>
          </m:rad>
          <m:r>
            <m:rPr>
              <m:sty m:val="p"/>
            </m:rPr>
            <m:t>,</m:t>
          </m:r>
          <m:r>
            <m:t>  </m:t>
          </m:r>
          <m:r>
            <m:t>R</m:t>
          </m:r>
          <m:r>
            <m:t>M</m:t>
          </m:r>
          <m:r>
            <m:t>S</m:t>
          </m:r>
          <m:sSub>
            <m:e>
              <m:r>
                <m:t>E</m:t>
              </m:r>
            </m:e>
            <m:sub>
              <m:r>
                <m:t>t</m:t>
              </m:r>
              <m:r>
                <m:t>o</m:t>
              </m:r>
              <m:r>
                <m:t>t</m:t>
              </m:r>
              <m:r>
                <m:t>a</m:t>
              </m:r>
              <m:r>
                <m:t>l</m:t>
              </m:r>
            </m:sub>
          </m:sSub>
          <m:r>
            <m:rPr>
              <m:sty m:val="p"/>
            </m:rPr>
            <m:t>=</m:t>
          </m:r>
          <m:rad>
            <m:radPr>
              <m:degHide m:val="on"/>
            </m:radPr>
            <m:deg/>
            <m:e>
              <m:f>
                <m:fPr>
                  <m:type m:val="bar"/>
                </m:fPr>
                <m:num>
                  <m:r>
                    <m:t>1</m:t>
                  </m:r>
                </m:num>
                <m:den>
                  <m:r>
                    <m:t>n</m:t>
                  </m:r>
                </m:den>
              </m:f>
              <m:r>
                <m:rPr>
                  <m:sty m:val="p"/>
                </m:rPr>
                <m:t>∑</m:t>
              </m:r>
              <m:r>
                <m:t>R</m:t>
              </m:r>
              <m:r>
                <m:t>M</m:t>
              </m:r>
              <m:r>
                <m:t>S</m:t>
              </m:r>
              <m:sSubSup>
                <m:e>
                  <m:r>
                    <m:t>E</m:t>
                  </m:r>
                </m:e>
                <m:sub>
                  <m:r>
                    <m:t>i</m:t>
                  </m:r>
                </m:sub>
                <m:sup>
                  <m:r>
                    <m:t>2</m:t>
                  </m:r>
                </m:sup>
              </m:sSubSup>
            </m:e>
          </m:rad>
        </m:oMath>
      </m:oMathPara>
    </w:p>
    <w:p>
      <w:pPr>
        <w:pStyle w:val="Heading3"/>
      </w:pPr>
      <w:r>
        <w:t xml:space="preserve">5.3.4 Resampling methods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Uses</w:t>
            </w:r>
          </w:p>
        </w:tc>
        <w:tc>
          <w:tcPr/>
          <w:p>
            <w:pPr>
              <w:pStyle w:val="Compact"/>
              <w:jc w:val="left"/>
            </w:pPr>
            <w:r>
              <w:t xml:space="preserve">Pros</w:t>
            </w:r>
          </w:p>
        </w:tc>
        <w:tc>
          <w:tcPr/>
          <w:p>
            <w:pPr>
              <w:pStyle w:val="Compact"/>
              <w:jc w:val="left"/>
            </w:pPr>
            <w:r>
              <w:t xml:space="preserve">Cons</w:t>
            </w:r>
          </w:p>
        </w:tc>
      </w:tr>
      <w:tr>
        <w:tc>
          <w:tcPr/>
          <w:p>
            <w:pPr>
              <w:pStyle w:val="Compact"/>
              <w:jc w:val="left"/>
            </w:pPr>
            <w:r>
              <w:rPr>
                <w:bCs/>
                <w:b/>
              </w:rPr>
              <w:t xml:space="preserve">Nearest neighbour</w:t>
            </w:r>
          </w:p>
        </w:tc>
        <w:tc>
          <w:tcPr/>
          <w:p>
            <w:pPr>
              <w:pStyle w:val="Compact"/>
              <w:jc w:val="left"/>
            </w:pPr>
            <w:r>
              <w:t xml:space="preserve">1 closest input pixel</w:t>
            </w:r>
          </w:p>
        </w:tc>
        <w:tc>
          <w:tcPr/>
          <w:p>
            <w:pPr>
              <w:pStyle w:val="Compact"/>
              <w:jc w:val="left"/>
            </w:pPr>
            <w:r>
              <w:t xml:space="preserve">Keeps original DN values, so best before classification; fast</w:t>
            </w:r>
          </w:p>
        </w:tc>
        <w:tc>
          <w:tcPr/>
          <w:p>
            <w:pPr>
              <w:pStyle w:val="Compact"/>
              <w:jc w:val="left"/>
            </w:pPr>
            <w:r>
              <w:t xml:space="preserve">Blocky, stair-stepped edges; up to 0.5-pixel shift</w:t>
            </w:r>
          </w:p>
        </w:tc>
      </w:tr>
      <w:tr>
        <w:tc>
          <w:tcPr/>
          <w:p>
            <w:pPr>
              <w:pStyle w:val="Compact"/>
              <w:jc w:val="left"/>
            </w:pPr>
            <w:r>
              <w:rPr>
                <w:bCs/>
                <w:b/>
              </w:rPr>
              <w:t xml:space="preserve">Bilinear interpolation</w:t>
            </w:r>
          </w:p>
        </w:tc>
        <w:tc>
          <w:tcPr/>
          <w:p>
            <w:pPr>
              <w:pStyle w:val="Compact"/>
              <w:jc w:val="left"/>
            </w:pPr>
            <w:r>
              <w:t xml:space="preserve">Weighted average of the 4 nearest pixels</w:t>
            </w:r>
          </w:p>
        </w:tc>
        <w:tc>
          <w:tcPr/>
          <w:p>
            <w:pPr>
              <w:pStyle w:val="Compact"/>
              <w:jc w:val="left"/>
            </w:pPr>
            <w:r>
              <w:t xml:space="preserve">Smoother appearance</w:t>
            </w:r>
          </w:p>
        </w:tc>
        <w:tc>
          <w:tcPr/>
          <w:p>
            <w:pPr>
              <w:pStyle w:val="Compact"/>
              <w:jc w:val="left"/>
            </w:pPr>
            <w:r>
              <w:t xml:space="preserve">Alters DN values; smooths edges</w:t>
            </w:r>
          </w:p>
        </w:tc>
      </w:tr>
      <w:tr>
        <w:tc>
          <w:tcPr/>
          <w:p>
            <w:pPr>
              <w:pStyle w:val="Compact"/>
              <w:jc w:val="left"/>
            </w:pPr>
            <w:r>
              <w:rPr>
                <w:bCs/>
                <w:b/>
              </w:rPr>
              <w:t xml:space="preserve">Cubic convolution</w:t>
            </w:r>
          </w:p>
        </w:tc>
        <w:tc>
          <w:tcPr/>
          <w:p>
            <w:pPr>
              <w:pStyle w:val="Compact"/>
              <w:jc w:val="left"/>
            </w:pPr>
            <w:r>
              <w:t xml:space="preserve">16 nearest pixels (4 × 4)</w:t>
            </w:r>
          </w:p>
        </w:tc>
        <w:tc>
          <w:tcPr/>
          <w:p>
            <w:pPr>
              <w:pStyle w:val="Compact"/>
              <w:jc w:val="left"/>
            </w:pPr>
            <w:r>
              <w:t xml:space="preserve">Sharpest and most natural look</w:t>
            </w:r>
          </w:p>
        </w:tc>
        <w:tc>
          <w:tcPr/>
          <w:p>
            <w:pPr>
              <w:pStyle w:val="Compact"/>
              <w:jc w:val="left"/>
            </w:pPr>
            <w:r>
              <w:t xml:space="preserve">Alters DN values most; slowest</w:t>
            </w:r>
          </w:p>
        </w:tc>
      </w:tr>
    </w:tbl>
    <w:p>
      <w:pPr>
        <w:pStyle w:val="ExamTip"/>
      </w:pPr>
      <w:r>
        <w:rPr>
          <w:bCs/>
          <w:b/>
        </w:rPr>
        <w:t xml:space="preserve">Interview favourite:</w:t>
      </w:r>
      <w:r>
        <w:t xml:space="preserve"> </w:t>
      </w:r>
      <w:r>
        <w:t xml:space="preserve">“</w:t>
      </w:r>
      <w:r>
        <w:t xml:space="preserve">Which resampling method would you use before classification, and why?</w:t>
      </w:r>
      <w:r>
        <w:t xml:space="preserve">”</w:t>
      </w:r>
      <w:r>
        <w:t xml:space="preserve"> </w:t>
      </w:r>
      <w:r>
        <w:t xml:space="preserve">Nearest neighbour, because it does not create new DN values that do not exist in the original data, so class signatures stay intact.</w:t>
      </w:r>
    </w:p>
    <w:p>
      <w:pPr>
        <w:pStyle w:val="Heading3"/>
      </w:pPr>
      <w:r>
        <w:t xml:space="preserve">5.3.5 Rational Function Model (RFM / RPC)</w:t>
      </w:r>
    </w:p>
    <w:p>
      <w:pPr>
        <w:pStyle w:val="FirstParagraph"/>
      </w:pPr>
      <w:r>
        <w:t xml:space="preserve">High-resolution satellites (Cartosat, WorldView) supply</w:t>
      </w:r>
      <w:r>
        <w:t xml:space="preserve"> </w:t>
      </w:r>
      <w:r>
        <w:rPr>
          <w:bCs/>
          <w:b/>
        </w:rPr>
        <w:t xml:space="preserve">rational polynomial coefficients (RPCs)</w:t>
      </w:r>
      <w:r>
        <w:t xml:space="preserve">. Image coordinates are expressed as ratios of third-order polynomials in latitude, longitude and height. Combined with a DEM and a few GCPs (bias correction), this gives orthorectification without the sensor’s physical model.</w:t>
      </w:r>
    </w:p>
    <w:p>
      <w:pPr>
        <w:pStyle w:val="Heading2"/>
      </w:pPr>
      <w:r>
        <w:t xml:space="preserve">5.4 Mosaicking and Image Registration for Time Series</w:t>
      </w:r>
    </w:p>
    <w:p>
      <w:pPr>
        <w:pStyle w:val="Compact"/>
        <w:numPr>
          <w:ilvl w:val="0"/>
          <w:numId w:val="1031"/>
        </w:numPr>
      </w:pPr>
      <w:r>
        <w:rPr>
          <w:bCs/>
          <w:b/>
        </w:rPr>
        <w:t xml:space="preserve">Mosaicking:</w:t>
      </w:r>
      <w:r>
        <w:t xml:space="preserve"> </w:t>
      </w:r>
      <w:r>
        <w:t xml:space="preserve">joining adjacent scenes after radiometric balancing (histogram matching in overlap zones) and seam-line selection.</w:t>
      </w:r>
    </w:p>
    <w:p>
      <w:pPr>
        <w:pStyle w:val="Compact"/>
        <w:numPr>
          <w:ilvl w:val="0"/>
          <w:numId w:val="1031"/>
        </w:numPr>
      </w:pPr>
      <w:r>
        <w:rPr>
          <w:bCs/>
          <w:b/>
        </w:rPr>
        <w:t xml:space="preserve">Co-registration accuracy</w:t>
      </w:r>
      <w:r>
        <w:t xml:space="preserve"> </w:t>
      </w:r>
      <w:r>
        <w:t xml:space="preserve">for multi-date change detection should be better than about 0.2–0.5 pixel. Misregistration creates false change at field edges.</w:t>
      </w:r>
    </w:p>
    <w:p>
      <w:pPr>
        <w:pStyle w:val="Compact"/>
        <w:numPr>
          <w:ilvl w:val="0"/>
          <w:numId w:val="1031"/>
        </w:numPr>
      </w:pPr>
      <w:r>
        <w:rPr>
          <w:bCs/>
          <w:b/>
        </w:rPr>
        <w:t xml:space="preserve">Analysis-ready data (ARD)</w:t>
      </w:r>
      <w:r>
        <w:t xml:space="preserve"> </w:t>
      </w:r>
      <w:r>
        <w:t xml:space="preserve">products deliver data already calibrated, atmospherically corrected, co-registered and gridded (for example Landsat Collection-2 Level-2, Sentinel-2 L2A, ISRO’s ARD on Bhoonidhi/VEDAS).</w:t>
      </w:r>
    </w:p>
    <w:p>
      <w:pPr>
        <w:pStyle w:val="Heading3"/>
      </w:pPr>
      <w:r>
        <w:t xml:space="preserve">5.4.1 Likely interview questions</w:t>
      </w:r>
    </w:p>
    <w:p>
      <w:pPr>
        <w:pStyle w:val="FirstParagraph"/>
      </w:pPr>
      <w:r>
        <w:rPr>
          <w:bCs/>
          <w:b/>
        </w:rPr>
        <w:t xml:space="preserve">Q. Write the TOA reflectance equation and explain each term.</w:t>
      </w:r>
      <w:r>
        <w:t xml:space="preserve"> </w:t>
      </w:r>
      <m:oMath>
        <m:r>
          <m:t>ρ</m:t>
        </m:r>
        <m:r>
          <m:rPr>
            <m:sty m:val="p"/>
          </m:rPr>
          <m:t>=</m:t>
        </m:r>
        <m:r>
          <m:t>π</m:t>
        </m:r>
        <m:r>
          <m:t>L</m:t>
        </m:r>
        <m:sSup>
          <m:e>
            <m:r>
              <m:t>d</m:t>
            </m:r>
          </m:e>
          <m:sup>
            <m:r>
              <m:t>2</m:t>
            </m:r>
          </m:sup>
        </m:sSup>
        <m:r>
          <m:rPr>
            <m:sty m:val="p"/>
          </m:rPr>
          <m:t>/</m:t>
        </m:r>
        <m:d>
          <m:dPr>
            <m:begChr m:val="("/>
            <m:endChr m:val=")"/>
            <m:sepChr m:val=""/>
            <m:grow/>
          </m:dPr>
          <m:e>
            <m:sSub>
              <m:e>
                <m:r>
                  <m:t>E</m:t>
                </m:r>
              </m:e>
              <m:sub>
                <m:r>
                  <m:t>s</m:t>
                </m:r>
                <m:r>
                  <m:t>u</m:t>
                </m:r>
                <m:r>
                  <m:t>n</m:t>
                </m:r>
              </m:sub>
            </m:sSub>
            <m:r>
              <m:rPr>
                <m:sty m:val="p"/>
              </m:rPr>
              <m:t>cos</m:t>
            </m:r>
            <m:sSub>
              <m:e>
                <m:r>
                  <m:t>θ</m:t>
                </m:r>
              </m:e>
              <m:sub>
                <m:r>
                  <m:t>s</m:t>
                </m:r>
              </m:sub>
            </m:sSub>
          </m:e>
        </m:d>
      </m:oMath>
      <w:r>
        <w:t xml:space="preserve">: at-sensor radiance, Earth–Sun distance, exo-atmospheric solar irradiance and solar zenith angle.</w:t>
      </w:r>
    </w:p>
    <w:p>
      <w:pPr>
        <w:pStyle w:val="BodyText"/>
      </w:pPr>
      <w:r>
        <w:rPr>
          <w:bCs/>
          <w:b/>
        </w:rPr>
        <w:t xml:space="preserve">Q. How many GCPs are needed for a second-order polynomial?</w:t>
      </w:r>
      <w:r>
        <w:t xml:space="preserve"> </w:t>
      </w:r>
      <w:r>
        <w:t xml:space="preserve">At least 6 (</w:t>
      </w:r>
      <m:oMath>
        <m:d>
          <m:dPr>
            <m:begChr m:val="("/>
            <m:endChr m:val=")"/>
            <m:sepChr m:val=""/>
            <m:grow/>
          </m:dPr>
          <m:e>
            <m:r>
              <m:t>t</m:t>
            </m:r>
            <m:r>
              <m:rPr>
                <m:sty m:val="p"/>
              </m:rPr>
              <m:t>+</m:t>
            </m:r>
            <m:r>
              <m:t>1</m:t>
            </m:r>
          </m:e>
        </m:d>
        <m:d>
          <m:dPr>
            <m:begChr m:val="("/>
            <m:endChr m:val=")"/>
            <m:sepChr m:val=""/>
            <m:grow/>
          </m:dPr>
          <m:e>
            <m:r>
              <m:t>t</m:t>
            </m:r>
            <m:r>
              <m:rPr>
                <m:sty m:val="p"/>
              </m:rPr>
              <m:t>+</m:t>
            </m:r>
            <m:r>
              <m:t>2</m:t>
            </m:r>
          </m:e>
        </m:d>
        <m:r>
          <m:rPr>
            <m:sty m:val="p"/>
          </m:rPr>
          <m:t>/</m:t>
        </m:r>
        <m:r>
          <m:t>2</m:t>
        </m:r>
      </m:oMath>
      <w:r>
        <w:t xml:space="preserve">), but in practice 15–20 or more, spread over the image.</w:t>
      </w:r>
    </w:p>
    <w:p>
      <w:pPr>
        <w:pStyle w:val="BodyText"/>
      </w:pPr>
      <w:r>
        <w:rPr>
          <w:bCs/>
          <w:b/>
        </w:rPr>
        <w:t xml:space="preserve">Q. What is the difference between rectification and orthorectification?</w:t>
      </w:r>
      <w:r>
        <w:t xml:space="preserve"> </w:t>
      </w:r>
      <w:r>
        <w:t xml:space="preserve">Orthorectification additionally removes relief displacement using a DEM.</w:t>
      </w:r>
    </w:p>
    <w:p>
      <w:pPr>
        <w:pStyle w:val="BodyText"/>
      </w:pPr>
      <w:r>
        <w:rPr>
          <w:bCs/>
          <w:b/>
        </w:rPr>
        <w:t xml:space="preserve">Q. What causes striping and how do you remove it?</w:t>
      </w:r>
      <w:r>
        <w:t xml:space="preserve"> </w:t>
      </w:r>
      <w:r>
        <w:t xml:space="preserve">Unequal detector responses. Remove it with histogram or moment matching across detectors, or with Fourier filtering.</w:t>
      </w:r>
    </w:p>
    <w:p>
      <w:pPr>
        <w:pStyle w:val="Heading2"/>
      </w:pPr>
      <w:r>
        <w:t xml:space="preserve">5.5 Satellite Data Processing Levels (L0–L4)</w:t>
      </w:r>
    </w:p>
    <w:p>
      <w:pPr>
        <w:pStyle w:val="FirstParagraph"/>
      </w:pPr>
      <w:r>
        <w:t xml:space="preserve">Understanding data-processing-level nomenclature is fundamental, since ISRO/NRSC’s Bhoonidhi/Bhuvan data-distribution policy, product ordering, and most algorithm papers refer to inputs/outputs by level.</w:t>
      </w:r>
    </w:p>
    <w:tbl>
      <w:tblPr>
        <w:tblStyle w:val="Table"/>
        <w:tblW w:type="pct" w:w="4986"/>
        <w:jc w:val="left"/>
        <w:tblLook w:firstRow="1" w:lastRow="0" w:firstColumn="0" w:lastColumn="0" w:noHBand="0" w:noVBand="0" w:val="0020"/>
      </w:tblPr>
      <w:tblGrid>
        <w:gridCol w:w="292"/>
        <w:gridCol w:w="5486"/>
        <w:gridCol w:w="2118"/>
      </w:tblGrid>
      <w:tr>
        <w:trPr>
          <w:tblHeader w:val="true"/>
        </w:trPr>
        <w:tc>
          <w:tcPr/>
          <w:p>
            <w:pPr>
              <w:pStyle w:val="Compact"/>
              <w:jc w:val="left"/>
            </w:pPr>
            <w:r>
              <w:t xml:space="preserve">Level</w:t>
            </w:r>
          </w:p>
        </w:tc>
        <w:tc>
          <w:tcPr/>
          <w:p>
            <w:pPr>
              <w:pStyle w:val="Compact"/>
              <w:jc w:val="left"/>
            </w:pPr>
            <w:r>
              <w:t xml:space="preserve">Description</w:t>
            </w:r>
          </w:p>
        </w:tc>
        <w:tc>
          <w:tcPr/>
          <w:p>
            <w:pPr>
              <w:pStyle w:val="Compact"/>
              <w:jc w:val="left"/>
            </w:pPr>
            <w:r>
              <w:t xml:space="preserve">Typical content / example</w:t>
            </w:r>
          </w:p>
        </w:tc>
      </w:tr>
      <w:tr>
        <w:tc>
          <w:tcPr/>
          <w:p>
            <w:pPr>
              <w:pStyle w:val="Compact"/>
              <w:jc w:val="left"/>
            </w:pPr>
            <w:r>
              <w:rPr>
                <w:bCs/>
                <w:b/>
              </w:rPr>
              <w:t xml:space="preserve">Level 0 (L0)</w:t>
            </w:r>
          </w:p>
        </w:tc>
        <w:tc>
          <w:tcPr/>
          <w:p>
            <w:pPr>
              <w:pStyle w:val="Compact"/>
              <w:jc w:val="left"/>
            </w:pPr>
            <w:r>
              <w:t xml:space="preserve">Raw, unprocessed instrument/payload data at full instrument resolution, reconstructed from the telemetry downlink, with communications artefacts (packet headers, duplicate/out-of-sequence data) removed but</w:t>
            </w:r>
            <w:r>
              <w:t xml:space="preserve"> </w:t>
            </w:r>
            <w:r>
              <w:rPr>
                <w:bCs/>
                <w:b/>
              </w:rPr>
              <w:t xml:space="preserve">no radiometric or geometric correction applied</w:t>
            </w:r>
            <w:r>
              <w:t xml:space="preserve">.</w:t>
            </w:r>
          </w:p>
        </w:tc>
        <w:tc>
          <w:tcPr/>
          <w:p>
            <w:pPr>
              <w:pStyle w:val="Compact"/>
              <w:jc w:val="left"/>
            </w:pPr>
            <w:r>
              <w:t xml:space="preserve">Raw digital counts as received at the ground station; not normally distributed to end users.</w:t>
            </w:r>
          </w:p>
        </w:tc>
      </w:tr>
      <w:tr>
        <w:tc>
          <w:tcPr/>
          <w:p>
            <w:pPr>
              <w:pStyle w:val="Compact"/>
              <w:jc w:val="left"/>
            </w:pPr>
            <w:r>
              <w:rPr>
                <w:bCs/>
                <w:b/>
              </w:rPr>
              <w:t xml:space="preserve">Level 1A (L1A)</w:t>
            </w:r>
          </w:p>
        </w:tc>
        <w:tc>
          <w:tcPr/>
          <w:p>
            <w:pPr>
              <w:pStyle w:val="Compact"/>
              <w:jc w:val="left"/>
            </w:pPr>
            <w:r>
              <w:t xml:space="preserve">Reconstructed, unprocessed instrument data at full resolution, time-referenced, and annotated with radiometric and geometric calibration coefficients</w:t>
            </w:r>
            <w:r>
              <w:t xml:space="preserve"> </w:t>
            </w:r>
            <w:r>
              <w:rPr>
                <w:bCs/>
                <w:b/>
              </w:rPr>
              <w:t xml:space="preserve">appended but not applied</w:t>
            </w:r>
            <w:r>
              <w:t xml:space="preserve"> </w:t>
            </w:r>
            <w:r>
              <w:t xml:space="preserve">(i.e., correction information is attached as metadata, allowing the correction to be applied reversibly later).</w:t>
            </w:r>
          </w:p>
        </w:tc>
        <w:tc>
          <w:tcPr/>
          <w:p>
            <w:pPr>
              <w:pStyle w:val="Compact"/>
              <w:jc w:val="left"/>
            </w:pPr>
            <w:r>
              <w:t xml:space="preserve">Raw counts + calibration/ephemeris/attitude metadata.</w:t>
            </w:r>
          </w:p>
        </w:tc>
      </w:tr>
      <w:tr>
        <w:tc>
          <w:tcPr/>
          <w:p>
            <w:pPr>
              <w:pStyle w:val="Compact"/>
              <w:jc w:val="left"/>
            </w:pPr>
            <w:r>
              <w:rPr>
                <w:bCs/>
                <w:b/>
              </w:rPr>
              <w:t xml:space="preserve">Level 1B (L1B)</w:t>
            </w:r>
          </w:p>
        </w:tc>
        <w:tc>
          <w:tcPr/>
          <w:p>
            <w:pPr>
              <w:pStyle w:val="Compact"/>
              <w:jc w:val="left"/>
            </w:pPr>
            <w:r>
              <w:t xml:space="preserve">L1A data to which sensor radiometric calibration has been</w:t>
            </w:r>
            <w:r>
              <w:t xml:space="preserve"> </w:t>
            </w:r>
            <w:r>
              <w:rPr>
                <w:bCs/>
                <w:b/>
              </w:rPr>
              <w:t xml:space="preserve">applied</w:t>
            </w:r>
            <w:r>
              <w:t xml:space="preserve">, converting raw digital numbers (DN) to physical units — at-sensor (top-of-atmosphere) spectral radiance (W m⁻² sr⁻¹ µm⁻¹) or, for microwave sensors, calibrated backscatter/brightness temperature — but geometric correction (systematic sensor-model correction only, not necessarily map-projected/ortho-rectified) is applied only to the extent of removing known systematic distortion, not tied to ground control.</w:t>
            </w:r>
          </w:p>
        </w:tc>
        <w:tc>
          <w:tcPr/>
          <w:p>
            <w:pPr>
              <w:pStyle w:val="Compact"/>
              <w:jc w:val="left"/>
            </w:pPr>
            <w:r>
              <w:t xml:space="preserve">Radiometrically corrected, sensor-geometry radiance product; the standard product level distributed for many research applications requiring radiometric fidelity (e.g., LISS-III/IV L1).</w:t>
            </w:r>
          </w:p>
        </w:tc>
      </w:tr>
      <w:tr>
        <w:tc>
          <w:tcPr/>
          <w:p>
            <w:pPr>
              <w:pStyle w:val="Compact"/>
              <w:jc w:val="left"/>
            </w:pPr>
            <w:r>
              <w:rPr>
                <w:bCs/>
                <w:b/>
              </w:rPr>
              <w:t xml:space="preserve">Level 1C / Level 1T</w:t>
            </w:r>
          </w:p>
        </w:tc>
        <w:tc>
          <w:tcPr/>
          <w:p>
            <w:pPr>
              <w:pStyle w:val="Compact"/>
              <w:jc w:val="left"/>
            </w:pPr>
            <w:r>
              <w:t xml:space="preserve">L1B with additional terrain/geometric correction using a Digital Elevation Model (DEM), sometimes including ground-control-point registration, without full atmospheric correction to surface reflectance.</w:t>
            </w:r>
          </w:p>
        </w:tc>
        <w:tc>
          <w:tcPr/>
          <w:p>
            <w:pPr>
              <w:pStyle w:val="Compact"/>
              <w:jc w:val="left"/>
            </w:pPr>
            <w:r>
              <w:t xml:space="preserve">Ortho-rectified radiance product.</w:t>
            </w:r>
          </w:p>
        </w:tc>
      </w:tr>
      <w:tr>
        <w:tc>
          <w:tcPr/>
          <w:p>
            <w:pPr>
              <w:pStyle w:val="Compact"/>
              <w:jc w:val="left"/>
            </w:pPr>
            <w:r>
              <w:rPr>
                <w:bCs/>
                <w:b/>
              </w:rPr>
              <w:t xml:space="preserve">Level 2 (L2)</w:t>
            </w:r>
          </w:p>
        </w:tc>
        <w:tc>
          <w:tcPr/>
          <w:p>
            <w:pPr>
              <w:pStyle w:val="Compact"/>
              <w:jc w:val="left"/>
            </w:pPr>
            <w:r>
              <w:t xml:space="preserve">Derived</w:t>
            </w:r>
            <w:r>
              <w:t xml:space="preserve"> </w:t>
            </w:r>
            <w:r>
              <w:rPr>
                <w:bCs/>
                <w:b/>
              </w:rPr>
              <w:t xml:space="preserve">geophysical variables</w:t>
            </w:r>
            <w:r>
              <w:t xml:space="preserve"> </w:t>
            </w:r>
            <w:r>
              <w:t xml:space="preserve">at the same resolution and location as the L1 source data — the data have been converted from radiance to a physically meaningful surface or atmospheric parameter via a retrieval algorithm, and typically atmospherically corrected to surface reflectance/temperature.</w:t>
            </w:r>
          </w:p>
        </w:tc>
        <w:tc>
          <w:tcPr/>
          <w:p>
            <w:pPr>
              <w:pStyle w:val="Compact"/>
              <w:jc w:val="left"/>
            </w:pPr>
            <w:r>
              <w:t xml:space="preserve">Surface reflectance, land-surface temperature, NDVI (some conventions place NDVI at L2/L3 boundary), Aerosol Optical Depth, soil moisture, ocean chlorophyll, sea-surface temperature.</w:t>
            </w:r>
          </w:p>
        </w:tc>
      </w:tr>
      <w:tr>
        <w:tc>
          <w:tcPr/>
          <w:p>
            <w:pPr>
              <w:pStyle w:val="Compact"/>
              <w:jc w:val="left"/>
            </w:pPr>
            <w:r>
              <w:rPr>
                <w:bCs/>
                <w:b/>
              </w:rPr>
              <w:t xml:space="preserve">Level 3 (L3)</w:t>
            </w:r>
          </w:p>
        </w:tc>
        <w:tc>
          <w:tcPr/>
          <w:p>
            <w:pPr>
              <w:pStyle w:val="Compact"/>
              <w:jc w:val="left"/>
            </w:pPr>
            <w:r>
              <w:t xml:space="preserve">L2 geophysical variables that have been</w:t>
            </w:r>
            <w:r>
              <w:t xml:space="preserve"> </w:t>
            </w:r>
            <w:r>
              <w:rPr>
                <w:bCs/>
                <w:b/>
              </w:rPr>
              <w:t xml:space="preserve">spatially and/or temporally re-sampled/composited</w:t>
            </w:r>
            <w:r>
              <w:t xml:space="preserve"> </w:t>
            </w:r>
            <w:r>
              <w:t xml:space="preserve">onto a uniform space-time grid (e.g., daily/8-day/monthly composites, regular lat-long grid), often at coarser resolution than the native L1/L2 data, to improve coverage (cloud-gap-filling via compositing) and ease of use.</w:t>
            </w:r>
          </w:p>
        </w:tc>
        <w:tc>
          <w:tcPr/>
          <w:p>
            <w:pPr>
              <w:pStyle w:val="Compact"/>
              <w:jc w:val="left"/>
            </w:pPr>
            <w:r>
              <w:t xml:space="preserve">MODIS 16-day NDVI composite; monthly gridded rainfall; NRSC’s national-scale multi-date mosaics.</w:t>
            </w:r>
          </w:p>
        </w:tc>
      </w:tr>
      <w:tr>
        <w:tc>
          <w:tcPr/>
          <w:p>
            <w:pPr>
              <w:pStyle w:val="Compact"/>
              <w:jc w:val="left"/>
            </w:pPr>
            <w:r>
              <w:rPr>
                <w:bCs/>
                <w:b/>
              </w:rPr>
              <w:t xml:space="preserve">Level 4 (L4)</w:t>
            </w:r>
          </w:p>
        </w:tc>
        <w:tc>
          <w:tcPr/>
          <w:p>
            <w:pPr>
              <w:pStyle w:val="Compact"/>
              <w:jc w:val="left"/>
            </w:pPr>
            <w:r>
              <w:rPr>
                <w:bCs/>
                <w:b/>
              </w:rPr>
              <w:t xml:space="preserve">Model output or products derived by combining L1–L3 satellite data with ancillary non-satellite data/model assimilation</w:t>
            </w:r>
            <w:r>
              <w:t xml:space="preserve"> </w:t>
            </w:r>
            <w:r>
              <w:t xml:space="preserve">— the data are no longer a direct/simple retrieval from a single sensor but a synthesised, often assimilated or modelled, product.</w:t>
            </w:r>
          </w:p>
        </w:tc>
        <w:tc>
          <w:tcPr/>
          <w:p>
            <w:pPr>
              <w:pStyle w:val="Compact"/>
              <w:jc w:val="left"/>
            </w:pPr>
            <w:r>
              <w:t xml:space="preserve">Gridded evapotranspiration/soil-moisture products assimilating multiple sensors and land-surface models; crop yield forecasts; carbon-flux gridded products.</w:t>
            </w:r>
          </w:p>
        </w:tc>
      </w:tr>
    </w:tbl>
    <w:p>
      <w:pPr>
        <w:pStyle w:val="BodyText"/>
      </w:pPr>
      <w:r>
        <w:rPr>
          <w:iCs/>
          <w:i/>
        </w:rPr>
        <w:t xml:space="preserve">Note: NASA/international convention (used by MODIS, Landsat, VIIRS) and ISRO’s own product naming (e.g., IRS/ResourceSat</w:t>
      </w:r>
      <w:r>
        <w:rPr>
          <w:iCs/>
          <w:i/>
        </w:rPr>
        <w:t xml:space="preserve"> </w:t>
      </w:r>
      <w:r>
        <w:rPr>
          <w:iCs/>
          <w:i/>
        </w:rPr>
        <w:t xml:space="preserve">“</w:t>
      </w:r>
      <w:r>
        <w:rPr>
          <w:iCs/>
          <w:i/>
        </w:rPr>
        <w:t xml:space="preserve">Standard Product levels</w:t>
      </w:r>
      <w:r>
        <w:rPr>
          <w:iCs/>
          <w:i/>
        </w:rPr>
        <w:t xml:space="preserve">”</w:t>
      </w:r>
      <w:r>
        <w:rPr>
          <w:iCs/>
          <w:i/>
        </w:rPr>
        <w:t xml:space="preserve"> </w:t>
      </w:r>
      <w:r>
        <w:rPr>
          <w:iCs/>
          <w:i/>
        </w:rPr>
        <w:t xml:space="preserve">1, 1R, 1G, 1Gst, ortho) differ somewhat in detail, but the underlying logical hierarchy — raw digital counts → calibrated radiance → geophysical retrieval → gridded/composited → modelled/assimilated — is consistent across agencies and is the conceptually correct answer framework for an interview question on this topic.</w:t>
      </w:r>
    </w:p>
    <w:p>
      <w:pPr>
        <w:pStyle w:val="Heading2"/>
      </w:pPr>
      <w:r>
        <w:t xml:space="preserve">5.6 The Radiative Transfer Equation</w:t>
      </w:r>
    </w:p>
    <w:p>
      <w:pPr>
        <w:pStyle w:val="FirstParagraph"/>
      </w:pPr>
      <w:r>
        <w:t xml:space="preserve">Every quantitative retrieval from a meteorological satellite ultimately inverts a form of the radiative transfer equation (RTE), which describes how radiance reaching the sensor is built up from emission and absorption along the atmospheric path. For a non-scattering thermal-infrared channel viewed at zenith angle θ, the RTE in monochromatic form is:</w:t>
      </w:r>
    </w:p>
    <w:p>
      <w:pPr>
        <w:pStyle w:val="BodyText"/>
      </w:pPr>
      <w:r>
        <w:rPr>
          <w:iCs/>
          <w:i/>
        </w:rPr>
        <w:t xml:space="preserve">I(λ) = ε(λ)·B(λ,Ts)·τ(λ,0) + ∫₀^∞ B(λ,T(z))·[∂τ(λ,z)/∂z] dz + (1 − ε(λ))·τ(λ,0)·I(λ)↓</w:t>
      </w:r>
      <w:r>
        <w:t xml:space="preserve"> </w:t>
      </w:r>
      <w:r>
        <w:t xml:space="preserve">(2.1)</w:t>
      </w:r>
    </w:p>
    <w:p>
      <w:pPr>
        <w:pStyle w:val="BodyText"/>
      </w:pPr>
      <w:r>
        <w:rPr>
          <w:iCs/>
          <w:i/>
        </w:rPr>
        <w:t xml:space="preserve">where ε(λ) is surface emissivity, B(λ,T) is the Planck function, Ts is skin temperature, τ(λ,z) is the transmittance of the atmosphere from level z to the top of atmosphere, and I(λ)↓ is downwelling sky radiance reflected by the surface.</w:t>
      </w:r>
    </w:p>
    <w:p>
      <w:pPr>
        <w:pStyle w:val="BodyText"/>
      </w:pPr>
      <w:r>
        <w:t xml:space="preserve">The three right-hand terms represent, respectively: (i) surface-emitted radiance attenuated by the intervening atmosphere, (ii) radiance emitted by the atmosphere itself along the path (the weighting function ∂τ/∂z peaks at the altitude that contributes most to the observed radiance — the physical basis of atmospheric sounding), and (iii) reflected downwelling atmospheric radiance. The Planck function relates temperature to spectral radiance and is central to every infrared retrieval:</w:t>
      </w:r>
    </w:p>
    <w:p>
      <w:pPr>
        <w:pStyle w:val="BodyText"/>
      </w:pPr>
      <w:r>
        <w:rPr>
          <w:iCs/>
          <w:i/>
        </w:rPr>
        <w:t xml:space="preserve">B(λ,T) = (2hc²/λ⁵) · 1 / [ exp(hc/λkT) − 1 ]</w:t>
      </w:r>
      <w:r>
        <w:t xml:space="preserve"> </w:t>
      </w:r>
      <w:r>
        <w:t xml:space="preserve">(2.2)</w:t>
      </w:r>
    </w:p>
    <w:p>
      <w:pPr>
        <w:pStyle w:val="BodyText"/>
      </w:pPr>
      <w:r>
        <w:rPr>
          <w:iCs/>
          <w:i/>
        </w:rPr>
        <w:t xml:space="preserve">where h is Planck's constant, c the speed of light, k Boltzmann's constant, λ the wavelength and T the absolute temperature. Inverting B(λ,T) for T at the observed radiance gives the channel</w:t>
      </w:r>
      <w:r>
        <w:rPr>
          <w:iCs/>
          <w:i/>
        </w:rPr>
        <w:t xml:space="preserve"> </w:t>
      </w:r>
      <w:r>
        <w:rPr>
          <w:iCs/>
          <w:i/>
        </w:rPr>
        <w:t xml:space="preserve">“</w:t>
      </w:r>
      <w:r>
        <w:rPr>
          <w:iCs/>
          <w:i/>
        </w:rPr>
        <w:t xml:space="preserve">brightness temperature</w:t>
      </w:r>
      <w:r>
        <w:rPr>
          <w:iCs/>
          <w:i/>
        </w:rPr>
        <w:t xml:space="preserve">”</w:t>
      </w:r>
      <w:r>
        <w:rPr>
          <w:iCs/>
          <w:i/>
        </w:rPr>
        <w:t xml:space="preserve">, Tb, the fundamental quantity reported by infrared and microwave imagers.</w:t>
      </w:r>
    </w:p>
    <w:p>
      <w:pPr>
        <w:pStyle w:val="BodyText"/>
      </w:pPr>
      <w:r>
        <w:t xml:space="preserve">Nearly all operational retrieval algorithms discussed in the relevant chapter — split-window SST/LST, sounding, rainfall brightness-temperature thresholding — are practical, computationally efficient approximations or statistical regressions built around this physical core, calibrated against radiative transfer model simulations (e.g. RTTOV, CRTM) and validated with in-situ or radiosonde truth.</w:t>
      </w:r>
    </w:p>
    <w:p>
      <w:pPr>
        <w:pStyle w:val="Heading2"/>
      </w:pPr>
      <w:r>
        <w:t xml:space="preserve">5.7 Atmospheric Correction</w:t>
      </w:r>
    </w:p>
    <w:p>
      <w:pPr>
        <w:pStyle w:val="Heading3"/>
      </w:pPr>
      <w:r>
        <w:t xml:space="preserve">5.7.1 Why It Is Needed</w:t>
      </w:r>
    </w:p>
    <w:p>
      <w:pPr>
        <w:pStyle w:val="FirstParagraph"/>
      </w:pPr>
      <w:r>
        <w:t xml:space="preserve">Radiation recorded at a satellite sensor is not pure surface reflectance — it has passed twice through the atmosphere (downward from sun to surface, upward from surface to sensor) and has been modified by</w:t>
      </w:r>
      <w:r>
        <w:t xml:space="preserve"> </w:t>
      </w:r>
      <w:r>
        <w:rPr>
          <w:bCs/>
          <w:b/>
        </w:rPr>
        <w:t xml:space="preserve">scattering</w:t>
      </w:r>
      <w:r>
        <w:t xml:space="preserve"> </w:t>
      </w:r>
      <w:r>
        <w:t xml:space="preserve">(Rayleigh scattering by air molecules, Mie scattering by aerosols) and</w:t>
      </w:r>
      <w:r>
        <w:t xml:space="preserve"> </w:t>
      </w:r>
      <w:r>
        <w:rPr>
          <w:bCs/>
          <w:b/>
        </w:rPr>
        <w:t xml:space="preserve">absorption</w:t>
      </w:r>
      <w:r>
        <w:t xml:space="preserve"> </w:t>
      </w:r>
      <w:r>
        <w:t xml:space="preserve">(by water vapor, ozone, CO₂, and other gases). The at-sensor signal, called</w:t>
      </w:r>
      <w:r>
        <w:t xml:space="preserve"> </w:t>
      </w:r>
      <w:r>
        <w:rPr>
          <w:bCs/>
          <w:b/>
        </w:rPr>
        <w:t xml:space="preserve">Top-of-Atmosphere (TOA) radiance/reflectance</w:t>
      </w:r>
      <w:r>
        <w:t xml:space="preserve">, therefore contains a mixture of true surface signal plus atmospheric</w:t>
      </w:r>
      <w:r>
        <w:t xml:space="preserve"> </w:t>
      </w:r>
      <w:r>
        <w:t xml:space="preserve">“</w:t>
      </w:r>
      <w:r>
        <w:t xml:space="preserve">path radiance</w:t>
      </w:r>
      <w:r>
        <w:t xml:space="preserve">”</w:t>
      </w:r>
      <w:r>
        <w:t xml:space="preserve"> </w:t>
      </w:r>
      <w:r>
        <w:t xml:space="preserve">(haze), and is attenuated relative to the true surface signal. For quantitative agricultural applications — computing vegetation indices that are compared across dates, locations, or sensors, or that are used as direct inputs to biophysical/yield models — this atmospheric contamination must be removed to recover</w:t>
      </w:r>
      <w:r>
        <w:t xml:space="preserve"> </w:t>
      </w:r>
      <w:r>
        <w:rPr>
          <w:bCs/>
          <w:b/>
        </w:rPr>
        <w:t xml:space="preserve">Surface (or Bottom-of-Atmosphere) reflectance</w:t>
      </w:r>
      <w:r>
        <w:t xml:space="preserve">, which is a physically meaningful, comparable, and atmosphere-independent quantity.</w:t>
      </w:r>
    </w:p>
    <w:p>
      <w:pPr>
        <w:pStyle w:val="BodyText"/>
      </w:pPr>
      <w:r>
        <w:t xml:space="preserve">The need is especially acute for multi-temporal crop monitoring: atmospheric conditions (aerosol loading, humidity) vary from one satellite pass to the next, so uncorrected TOA time series can show spurious</w:t>
      </w:r>
      <w:r>
        <w:t xml:space="preserve"> </w:t>
      </w:r>
      <w:r>
        <w:t xml:space="preserve">“</w:t>
      </w:r>
      <w:r>
        <w:t xml:space="preserve">changes</w:t>
      </w:r>
      <w:r>
        <w:t xml:space="preserve">”</w:t>
      </w:r>
      <w:r>
        <w:t xml:space="preserve"> </w:t>
      </w:r>
      <w:r>
        <w:t xml:space="preserve">in vegetation index values that are actually just atmospheric artifacts rather than real crop growth or stress signals.</w:t>
      </w:r>
    </w:p>
    <w:p>
      <w:pPr>
        <w:pStyle w:val="Heading3"/>
      </w:pPr>
      <w:r>
        <w:t xml:space="preserve">5.7.2 Common Approaches</w:t>
      </w:r>
    </w:p>
    <w:p>
      <w:pPr>
        <w:pStyle w:val="Compact"/>
        <w:numPr>
          <w:ilvl w:val="0"/>
          <w:numId w:val="1032"/>
        </w:numPr>
      </w:pPr>
      <w:r>
        <w:rPr>
          <w:bCs/>
          <w:b/>
        </w:rPr>
        <w:t xml:space="preserve">Dark Object Subtraction (DOS)</w:t>
      </w:r>
      <w:r>
        <w:t xml:space="preserve">: A simple, image-based empirical method that assumes some pixels in the scene (e.g., deep water bodies, dense shadow) should have near-zero reflectance at certain wavelengths; any residual DN/radiance value at those</w:t>
      </w:r>
      <w:r>
        <w:t xml:space="preserve"> </w:t>
      </w:r>
      <w:r>
        <w:t xml:space="preserve">“</w:t>
      </w:r>
      <w:r>
        <w:t xml:space="preserve">dark</w:t>
      </w:r>
      <w:r>
        <w:t xml:space="preserve">”</w:t>
      </w:r>
      <w:r>
        <w:t xml:space="preserve"> </w:t>
      </w:r>
      <w:r>
        <w:t xml:space="preserve">pixels is attributed to atmospheric path radiance/haze and is subtracted uniformly from the whole image. It requires no ancillary atmospheric data, making it fast and widely usable, but it is a coarse approximation that assumes spatially uniform atmospheric haze and does not rigorously account for gaseous absorption or full radiative transfer physics.</w:t>
      </w:r>
    </w:p>
    <w:p>
      <w:pPr>
        <w:pStyle w:val="Compact"/>
        <w:numPr>
          <w:ilvl w:val="0"/>
          <w:numId w:val="1032"/>
        </w:numPr>
      </w:pPr>
      <w:r>
        <w:rPr>
          <w:bCs/>
          <w:b/>
        </w:rPr>
        <w:t xml:space="preserve">6S (Second Simulation of the Satellite Signal in the Solar Spectrum)</w:t>
      </w:r>
      <w:r>
        <w:t xml:space="preserve">: A rigorous physically-based radiative transfer model that simulates the full path of radiation through the atmosphere given inputs such as aerosol optical depth/type, water vapor content, ozone concentration, sun-sensor geometry, and surface elevation, then inverts the simulation to derive surface reflectance from TOA measurements. It underlies many operational atmospheric correction algorithms (including components of Landsat and MODIS surface reflectance product chains) and offers high physical accuracy when good ancillary atmospheric inputs are available.</w:t>
      </w:r>
    </w:p>
    <w:p>
      <w:pPr>
        <w:pStyle w:val="Compact"/>
        <w:numPr>
          <w:ilvl w:val="0"/>
          <w:numId w:val="1032"/>
        </w:numPr>
      </w:pPr>
      <w:r>
        <w:rPr>
          <w:bCs/>
          <w:b/>
        </w:rPr>
        <w:t xml:space="preserve">FLAASH (Fast Line-of-sight Atmospheric Analysis of Spectral Hypercubes)</w:t>
      </w:r>
      <w:r>
        <w:t xml:space="preserve">: A MODTRAN-based radiative transfer atmospheric correction tool widely used (e.g., in ENVI software) especially for hyperspectral data, which derives water vapor and aerosol information directly from the image itself (e.g., using absorption features near 0.94 and 1.14 µm) combined with radiative transfer modeling, producing high-fidelity surface reflectance, particularly valued when narrow-band spectral fidelity (as needed for hyperspectral biochemical retrieval) is critical.</w:t>
      </w:r>
    </w:p>
    <w:p>
      <w:pPr>
        <w:pStyle w:val="Heading3"/>
      </w:pPr>
      <w:r>
        <w:t xml:space="preserve">5.7.3 TOA vs. Surface Reflectance: Practical Note</w:t>
      </w:r>
    </w:p>
    <w:p>
      <w:pPr>
        <w:pStyle w:val="FirstParagraph"/>
      </w:pPr>
      <w:r>
        <w:t xml:space="preserve">Many modern data providers now deliver</w:t>
      </w:r>
      <w:r>
        <w:t xml:space="preserve"> </w:t>
      </w:r>
      <w:r>
        <w:rPr>
          <w:bCs/>
          <w:b/>
        </w:rPr>
        <w:t xml:space="preserve">Analysis-Ready Data (ARD)</w:t>
      </w:r>
      <w:r>
        <w:t xml:space="preserve"> </w:t>
      </w:r>
      <w:r>
        <w:t xml:space="preserve">with atmospheric correction pre-applied — e.g., Sentinel-2 Level-2A (Sen2Cor-processed surface reflectance), Landsat Collection 2 Level-2 surface reflectance products, and MODIS surface reflectance products (MOD09) — reducing the burden on end users. However, understanding the underlying principle remains essential because: (a) TOA reflectance/radiance is still the appropriate input for some applications (e.g., certain calibration/validation tasks or specific radiative transfer inversions), (b) atmospheric correction quality varies by sensor and algorithm and can introduce residual errors, particularly under high aerosol loading (a relevant concern in Indo-Gangetic plain agricultural regions with seasonal haze, stubble-burning smoke, and dust), and (c) correction choice affects consistency when combining data from multiple sensors in a fused multi-temporal analysis.</w:t>
      </w:r>
    </w:p>
    <w:p>
      <w:pPr>
        <w:pStyle w:val="Heading2"/>
      </w:pPr>
      <w:r>
        <w:t xml:space="preserve">5.8 Geometric Correction and Orthorectification</w:t>
      </w:r>
    </w:p>
    <w:p>
      <w:pPr>
        <w:pStyle w:val="Heading3"/>
      </w:pPr>
      <w:r>
        <w:t xml:space="preserve">5.8.1 Why It Matters for Agricultural Mapping</w:t>
      </w:r>
    </w:p>
    <w:p>
      <w:pPr>
        <w:pStyle w:val="FirstParagraph"/>
      </w:pPr>
      <w:r>
        <w:t xml:space="preserve">Raw satellite/airborne imagery contains geometric distortions arising from sensor viewing geometry (off-nadir view angle, scan geometry), platform attitude and altitude variations, Earth curvature and rotation, and — critically for terrain with relief —</w:t>
      </w:r>
      <w:r>
        <w:t xml:space="preserve"> </w:t>
      </w:r>
      <w:r>
        <w:rPr>
          <w:bCs/>
          <w:b/>
        </w:rPr>
        <w:t xml:space="preserve">relief displacement</w:t>
      </w:r>
      <w:r>
        <w:t xml:space="preserve">, where elevated features appear spatially displaced relative to their true map position depending on their height and the sensor’s view angle.</w:t>
      </w:r>
      <w:r>
        <w:t xml:space="preserve"> </w:t>
      </w:r>
      <w:r>
        <w:rPr>
          <w:bCs/>
          <w:b/>
        </w:rPr>
        <w:t xml:space="preserve">Geometric correction</w:t>
      </w:r>
      <w:r>
        <w:t xml:space="preserve"> </w:t>
      </w:r>
      <w:r>
        <w:t xml:space="preserve">(georeferencing/geocoding) aligns image pixels to a known map coordinate system, while</w:t>
      </w:r>
      <w:r>
        <w:t xml:space="preserve"> </w:t>
      </w:r>
      <w:r>
        <w:rPr>
          <w:bCs/>
          <w:b/>
        </w:rPr>
        <w:t xml:space="preserve">orthorectification</w:t>
      </w:r>
      <w:r>
        <w:t xml:space="preserve"> </w:t>
      </w:r>
      <w:r>
        <w:t xml:space="preserve">goes a step further, using a Digital Elevation Model (DEM) to remove relief-induced displacement, producing an image with uniform, map-accurate scale throughout (an</w:t>
      </w:r>
      <w:r>
        <w:t xml:space="preserve"> </w:t>
      </w:r>
      <w:r>
        <w:t xml:space="preserve">“</w:t>
      </w:r>
      <w:r>
        <w:t xml:space="preserve">orthoimage</w:t>
      </w:r>
      <w:r>
        <w:t xml:space="preserve">”</w:t>
      </w:r>
      <w:r>
        <w:t xml:space="preserve">).</w:t>
      </w:r>
    </w:p>
    <w:p>
      <w:pPr>
        <w:pStyle w:val="BodyText"/>
      </w:pPr>
      <w:r>
        <w:t xml:space="preserve">For agricultural applications, geometric accuracy is not a cosmetic requirement but a functional necessity because: -</w:t>
      </w:r>
      <w:r>
        <w:t xml:space="preserve"> </w:t>
      </w:r>
      <w:r>
        <w:rPr>
          <w:bCs/>
          <w:b/>
        </w:rPr>
        <w:t xml:space="preserve">Field boundary delineation</w:t>
      </w:r>
      <w:r>
        <w:t xml:space="preserve"> </w:t>
      </w:r>
      <w:r>
        <w:t xml:space="preserve">and cadastral-linked farm-level analytics require pixel-accurate correspondence with real-world parcel boundaries — misregistration directly causes misattribution of crop type/condition to the wrong field, particularly damaging in the small, fragmented field sizes typical of Indian smallholder agriculture. -</w:t>
      </w:r>
      <w:r>
        <w:t xml:space="preserve"> </w:t>
      </w:r>
      <w:r>
        <w:rPr>
          <w:bCs/>
          <w:b/>
        </w:rPr>
        <w:t xml:space="preserve">Multi-temporal change detection and time-series analysis</w:t>
      </w:r>
      <w:r>
        <w:t xml:space="preserve"> </w:t>
      </w:r>
      <w:r>
        <w:t xml:space="preserve">(central to phenology tracking and yield modelling) requires that the same ground location be represented by the same pixel across all dates; even sub-pixel misregistration between images of different dates or sensors introduces spurious spectral change signals unrelated to actual crop growth. -</w:t>
      </w:r>
      <w:r>
        <w:t xml:space="preserve"> </w:t>
      </w:r>
      <w:r>
        <w:rPr>
          <w:bCs/>
          <w:b/>
        </w:rPr>
        <w:t xml:space="preserve">Multi-sensor data fusion</w:t>
      </w:r>
      <w:r>
        <w:t xml:space="preserve"> </w:t>
      </w:r>
      <w:r>
        <w:t xml:space="preserve">(e.g., combining optical Sentinel-2 with SAR Sentinel-1, or LISS-IV with AWiFS) requires all datasets to be co-registered into a common geometric reference frame. - In areas of variable terrain (e.g., hilly/terraced agriculture), relief displacement without orthorectification can cause meaningful positional errors even in otherwise fine-resolution imagery.</w:t>
      </w:r>
    </w:p>
    <w:p>
      <w:pPr>
        <w:pStyle w:val="Heading3"/>
      </w:pPr>
      <w:r>
        <w:t xml:space="preserve">5.8.2 Basic Approach</w:t>
      </w:r>
    </w:p>
    <w:p>
      <w:pPr>
        <w:pStyle w:val="FirstParagraph"/>
      </w:pPr>
      <w:r>
        <w:t xml:space="preserve">Geometric correction/orthorectification typically involves: establishing mathematical transformation models (using satellite ephemeris/orbit data, sensor viewing geometry, and Ground Control Points — GCPs — collected via GNSS/GPS or from existing accurate reference maps), applying a DEM to compute and remove terrain-relief displacement, and resampling the image (nearest neighbor, bilinear, or cubic convolution) onto the corrected map grid. Most standard satellite data products today (e.g., Sentinel-2 L1C/L2A, Landsat Collection 2, ResourceSat standard products) are delivered with a baseline systematic geometric correction already applied using onboard ephemeris and a reference DEM, though users requiring survey-grade accuracy for cadastral-level agricultural applications may still need to refine registration using local GCPs.</w:t>
      </w:r>
    </w:p>
    <w:p>
      <w:pPr>
        <w:pStyle w:val="Heading2"/>
      </w:pPr>
      <w:r>
        <w:t xml:space="preserve">5.9 Digital Elevation Model (DEM) Generation</w:t>
      </w:r>
    </w:p>
    <w:p>
      <w:pPr>
        <w:pStyle w:val="FirstParagraph"/>
      </w:pPr>
      <w:r>
        <w:t xml:space="preserve">Two remote-sensing techniques generate DEMs, both referenced elsewhere in this manual and worth being able to explain end-to-end if asked:</w:t>
      </w:r>
    </w:p>
    <w:p>
      <w:pPr>
        <w:pStyle w:val="BodyText"/>
      </w:pPr>
      <w:r>
        <w:rPr>
          <w:bCs/>
          <w:b/>
        </w:rPr>
        <w:t xml:space="preserve">Stereo photogrammetry</w:t>
      </w:r>
      <w:r>
        <w:t xml:space="preserve"> </w:t>
      </w:r>
      <w:r>
        <w:t xml:space="preserve">(Cartosat-1’s fore/aft stereo pair, Chapter 3, Section 3.3) — two images of the same area acquired from different viewing angles (along-track, in Cartosat-1’s case, via separately pointed fore- and aft-looking cameras) create a stereoscopic parallax effect; the same ground point appears at a different image-column position in the two images, and this</w:t>
      </w:r>
      <w:r>
        <w:t xml:space="preserve"> </w:t>
      </w:r>
      <w:r>
        <w:rPr>
          <w:bCs/>
          <w:b/>
        </w:rPr>
        <w:t xml:space="preserve">parallax displacement is inversely related to terrain elevation</w:t>
      </w:r>
      <w:r>
        <w:t xml:space="preserve"> </w:t>
      </w:r>
      <w:r>
        <w:t xml:space="preserve">(higher terrain shows greater parallax displacement, closer to the sensor) — automated image-matching algorithms identify corresponding points in both images and triangulate elevation from the measured parallax and known sensor geometry/baseline.</w:t>
      </w:r>
    </w:p>
    <w:p>
      <w:pPr>
        <w:pStyle w:val="BodyText"/>
      </w:pPr>
      <w:r>
        <w:rPr>
          <w:bCs/>
          <w:b/>
        </w:rPr>
        <w:t xml:space="preserve">SAR interferometry (InSAR)</w:t>
      </w:r>
      <w:r>
        <w:t xml:space="preserve"> </w:t>
      </w:r>
      <w:r>
        <w:t xml:space="preserve">— two SAR acquisitions of the same area from slightly different positions (either two satellites simultaneously, or the same satellite on a repeat pass) record both amplitude and</w:t>
      </w:r>
      <w:r>
        <w:t xml:space="preserve"> </w:t>
      </w:r>
      <w:r>
        <w:rPr>
          <w:bCs/>
          <w:b/>
        </w:rPr>
        <w:t xml:space="preserve">phase</w:t>
      </w:r>
      <w:r>
        <w:t xml:space="preserve"> </w:t>
      </w:r>
      <w:r>
        <w:t xml:space="preserve">of the returned signal; the phase difference between the two acquisitions (the interferogram) is directly related to the path-length difference to each ground point, from which elevation is derived once the phase is</w:t>
      </w:r>
      <w:r>
        <w:t xml:space="preserve"> </w:t>
      </w:r>
      <w:r>
        <w:t xml:space="preserve">“</w:t>
      </w:r>
      <w:r>
        <w:t xml:space="preserve">unwrapped</w:t>
      </w:r>
      <w:r>
        <w:t xml:space="preserve">”</w:t>
      </w:r>
      <w:r>
        <w:t xml:space="preserve"> </w:t>
      </w:r>
      <w:r>
        <w:t xml:space="preserve">(resolving the inherent 2π ambiguity of a purely phase-based measurement) — the same interferometric-coherence concept referenced for forest-biomass/structure sensing in the relevant chapter and land-subsidence monitoring in the relevant chapter is a byproduct of the same two-pass SAR acquisition geometry used for InSAR DEM generation.</w:t>
      </w:r>
    </w:p>
    <w:p>
      <w:pPr>
        <w:pStyle w:val="Heading2"/>
      </w:pPr>
      <w:r>
        <w:t xml:space="preserve">5.10 Map Projections, Coordinate Reference Systems and Photogrammetric Concepts</w:t>
      </w:r>
    </w:p>
    <w:p>
      <w:pPr>
        <w:pStyle w:val="Heading3"/>
      </w:pPr>
      <w:r>
        <w:t xml:space="preserve">5.10.1 Why Projections Are Needed</w:t>
      </w:r>
    </w:p>
    <w:p>
      <w:pPr>
        <w:pStyle w:val="FirstParagraph"/>
      </w:pPr>
      <w:r>
        <w:t xml:space="preserve">The Earth’s surface is (approximately) a curved ellipsoidal shape, while a map or a raster GIS layer is inherently a flat, two-dimensional surface; a</w:t>
      </w:r>
      <w:r>
        <w:t xml:space="preserve"> </w:t>
      </w:r>
      <w:r>
        <w:rPr>
          <w:bCs/>
          <w:b/>
        </w:rPr>
        <w:t xml:space="preserve">map projection</w:t>
      </w:r>
      <w:r>
        <w:t xml:space="preserve"> </w:t>
      </w:r>
      <w:r>
        <w:t xml:space="preserve">is a mathematically defined transformation converting geographic (latitude/longitude, angular) coordinates on the curved Earth into planar (x,y, linear-distance) coordinates, and every such transformation necessarily distorts at least one of the four spatial properties —</w:t>
      </w:r>
      <w:r>
        <w:t xml:space="preserve"> </w:t>
      </w:r>
      <w:r>
        <w:rPr>
          <w:bCs/>
          <w:b/>
        </w:rPr>
        <w:t xml:space="preserve">area, shape (angle/conformality), distance, or direction</w:t>
      </w:r>
      <w:r>
        <w:t xml:space="preserve"> </w:t>
      </w:r>
      <w:r>
        <w:t xml:space="preserve">— since it is mathematically impossible to flatten a curved surface without some distortion (a fact usually illustrated with the analogy of trying to flatten an orange peel without tearing or stretching it).</w:t>
      </w:r>
    </w:p>
    <w:p>
      <w:pPr>
        <w:pStyle w:val="Heading3"/>
      </w:pPr>
      <w:r>
        <w:t xml:space="preserve">5.10.2 Projection Families by Preserved Property</w:t>
      </w:r>
    </w:p>
    <w:p>
      <w:pPr>
        <w:pStyle w:val="Compact"/>
        <w:numPr>
          <w:ilvl w:val="0"/>
          <w:numId w:val="1033"/>
        </w:numPr>
      </w:pPr>
      <w:r>
        <w:rPr>
          <w:bCs/>
          <w:b/>
        </w:rPr>
        <w:t xml:space="preserve">Conformal projections</w:t>
      </w:r>
      <w:r>
        <w:t xml:space="preserve"> </w:t>
      </w:r>
      <w:r>
        <w:t xml:space="preserve">(e.g.,</w:t>
      </w:r>
      <w:r>
        <w:t xml:space="preserve"> </w:t>
      </w:r>
      <w:r>
        <w:rPr>
          <w:bCs/>
          <w:b/>
        </w:rPr>
        <w:t xml:space="preserve">Transverse Mercator</w:t>
      </w:r>
      <w:r>
        <w:t xml:space="preserve">, the basis of the UTM system below) preserve local angles/shapes at the cost of area distortion, particularly away from the projection’s line(s) of true scale — the preferred choice for topographic mapping and remote-sensing image display where correct local shape (and hence recognisable feature geometry) matters most.</w:t>
      </w:r>
    </w:p>
    <w:p>
      <w:pPr>
        <w:pStyle w:val="Compact"/>
        <w:numPr>
          <w:ilvl w:val="0"/>
          <w:numId w:val="1033"/>
        </w:numPr>
      </w:pPr>
      <w:r>
        <w:rPr>
          <w:bCs/>
          <w:b/>
        </w:rPr>
        <w:t xml:space="preserve">Equal-area (equivalent) projections</w:t>
      </w:r>
      <w:r>
        <w:t xml:space="preserve"> </w:t>
      </w:r>
      <w:r>
        <w:t xml:space="preserve">(e.g., Albers Equal-Area Conic, Lambert Azimuthal Equal-Area) preserve area at the cost of shape distortion — the preferred choice whenever area-based measurement is the primary purpose, such as national-scale crop-area or LULC-area statistics, since area comparisons/summations must not be biased by projection-induced area distortion.</w:t>
      </w:r>
    </w:p>
    <w:p>
      <w:pPr>
        <w:pStyle w:val="Compact"/>
        <w:numPr>
          <w:ilvl w:val="0"/>
          <w:numId w:val="1033"/>
        </w:numPr>
      </w:pPr>
      <w:r>
        <w:rPr>
          <w:bCs/>
          <w:b/>
        </w:rPr>
        <w:t xml:space="preserve">Equidistant projections</w:t>
      </w:r>
      <w:r>
        <w:t xml:space="preserve"> </w:t>
      </w:r>
      <w:r>
        <w:t xml:space="preserve">preserve true distance from one or two specific points/lines (never everywhere simultaneously) — used for specific distance-critical applications (e.g., some radar/sensor-geometry-related mapping).</w:t>
      </w:r>
    </w:p>
    <w:p>
      <w:pPr>
        <w:pStyle w:val="Compact"/>
        <w:numPr>
          <w:ilvl w:val="0"/>
          <w:numId w:val="1033"/>
        </w:numPr>
      </w:pPr>
      <w:r>
        <w:rPr>
          <w:bCs/>
          <w:b/>
        </w:rPr>
        <w:t xml:space="preserve">Azimuthal (direction-preserving) projections</w:t>
      </w:r>
      <w:r>
        <w:t xml:space="preserve"> </w:t>
      </w:r>
      <w:r>
        <w:t xml:space="preserve">preserve true direction from a single central point — historically used for navigation/great-circle-route mapping.</w:t>
      </w:r>
    </w:p>
    <w:p>
      <w:pPr>
        <w:pStyle w:val="FirstParagraph"/>
      </w:pPr>
      <w:r>
        <w:rPr>
          <w:iCs/>
          <w:i/>
        </w:rPr>
        <w:t xml:space="preserve">Interview-relevant point: national agricultural-area statistics (Net Sown Area, Chapter 10) should, strictly, be computed in an equal-area projection to avoid systematic area bias, particularly over a country as large and latitudinally extensive as India — a subtlety worth mentioning if asked how satellite-classified pixel counts are converted to accurate area statistics.</w:t>
      </w:r>
    </w:p>
    <w:p>
      <w:pPr>
        <w:pStyle w:val="Heading3"/>
      </w:pPr>
      <w:r>
        <w:t xml:space="preserve">5.10.3 Coordinate Reference Systems Used in Indian Remote Sensing</w:t>
      </w:r>
    </w:p>
    <w:p>
      <w:pPr>
        <w:pStyle w:val="FirstParagraph"/>
      </w:pPr>
      <w:r>
        <w:rPr>
          <w:bCs/>
          <w:b/>
        </w:rPr>
        <w:t xml:space="preserve">Geographic Coordinate System (GCS):</w:t>
      </w:r>
      <w:r>
        <w:t xml:space="preserve"> </w:t>
      </w:r>
      <w:r>
        <w:t xml:space="preserve">the base angular latitude/longitude system, referenced to a specific</w:t>
      </w:r>
      <w:r>
        <w:t xml:space="preserve"> </w:t>
      </w:r>
      <w:r>
        <w:rPr>
          <w:bCs/>
          <w:b/>
        </w:rPr>
        <w:t xml:space="preserve">datum</w:t>
      </w:r>
      <w:r>
        <w:t xml:space="preserve"> </w:t>
      </w:r>
      <w:r>
        <w:t xml:space="preserve">— a defined ellipsoid (mathematical approximation of Earth’s shape) and its precise position/orientation relative to the Earth’s actual centre of mass.</w:t>
      </w:r>
      <w:r>
        <w:t xml:space="preserve"> </w:t>
      </w:r>
      <w:r>
        <w:rPr>
          <w:bCs/>
          <w:b/>
        </w:rPr>
        <w:t xml:space="preserve">WGS84</w:t>
      </w:r>
      <w:r>
        <w:t xml:space="preserve"> </w:t>
      </w:r>
      <w:r>
        <w:t xml:space="preserve">(World Geodetic System 1984) is the current global-standard datum, used by GPS/GNSS and virtually all modern satellite-imagery products;</w:t>
      </w:r>
      <w:r>
        <w:t xml:space="preserve"> </w:t>
      </w:r>
      <w:r>
        <w:rPr>
          <w:bCs/>
          <w:b/>
        </w:rPr>
        <w:t xml:space="preserve">Everest 1830</w:t>
      </w:r>
      <w:r>
        <w:t xml:space="preserve"> </w:t>
      </w:r>
      <w:r>
        <w:t xml:space="preserve">was the historical datum underlying much of India’s legacy Survey of India topographic map series, and a systematic (several-hundred-metre) positional offset exists between Everest-datum legacy maps and WGS84-referenced modern satellite data unless a formal datum transformation is applied — a genuine, practically important source of geolocation error when integrating legacy cadastral/topographic maps with current satellite-derived layers, worth being aware of for any question touching historical-versus-modern spatial-data integration.</w:t>
      </w:r>
    </w:p>
    <w:p>
      <w:pPr>
        <w:pStyle w:val="BodyText"/>
      </w:pPr>
      <w:r>
        <w:rPr>
          <w:bCs/>
          <w:b/>
        </w:rPr>
        <w:t xml:space="preserve">Universal Transverse Mercator (UTM):</w:t>
      </w:r>
      <w:r>
        <w:t xml:space="preserve"> </w:t>
      </w:r>
      <w:r>
        <w:t xml:space="preserve">the standard projected coordinate system for most Indian remote-sensing/GIS work, dividing the globe into 60 north-south zones each 6° of longitude wide (India spans UTM zones 42N to 47N approximately), each zone using a Transverse Mercator projection centred on its own central meridian to keep distortion small (&lt;0.04% scale error) within the zone — the projected system in which LISS/AWiFS/Cartosat/Sentinel imagery is most commonly geocoded and distributed.</w:t>
      </w:r>
    </w:p>
    <w:p>
      <w:pPr>
        <w:pStyle w:val="BodyText"/>
      </w:pPr>
      <w:r>
        <w:rPr>
          <w:bCs/>
          <w:b/>
        </w:rPr>
        <w:t xml:space="preserve">India-specific/national grid systems:</w:t>
      </w:r>
      <w:r>
        <w:t xml:space="preserve"> </w:t>
      </w:r>
      <w:r>
        <w:t xml:space="preserve">for applications requiring a single, seamless national coordinate system spanning multiple UTM zones without a zone-boundary discontinuity (e.g., a truly national-scale LULC or crop-area mosaic, Chapter 10), a national equal-area or Lambert Conformal Conic projection, appropriately parameterised for India’s extent, is commonly used instead of stitching together multiple UTM zones.</w:t>
      </w:r>
    </w:p>
    <w:p>
      <w:pPr>
        <w:pStyle w:val="Heading3"/>
      </w:pPr>
      <w:r>
        <w:t xml:space="preserve">5.10.4 Geo-referencing and Ortho-rectification</w:t>
      </w:r>
    </w:p>
    <w:p>
      <w:pPr>
        <w:pStyle w:val="FirstParagraph"/>
      </w:pPr>
      <w:r>
        <w:rPr>
          <w:bCs/>
          <w:b/>
        </w:rPr>
        <w:t xml:space="preserve">Geo-referencing</w:t>
      </w:r>
      <w:r>
        <w:t xml:space="preserve"> </w:t>
      </w:r>
      <w:r>
        <w:t xml:space="preserve">assigns real-world coordinates to an image using a mathematical transformation (commonly a polynomial or rubber-sheeting transformation) fitted from a set of Ground Control Points (GCPs, locations identifiable both in the image and with precisely known real-world coordinates, e.g., from GPS survey or a previously geo-referenced reference image), correcting the image’s position and (with a sufficiently high-order transformation) systematic internal geometric distortion, but</w:t>
      </w:r>
      <w:r>
        <w:t xml:space="preserve"> </w:t>
      </w:r>
      <w:r>
        <w:rPr>
          <w:bCs/>
          <w:b/>
        </w:rPr>
        <w:t xml:space="preserve">without</w:t>
      </w:r>
      <w:r>
        <w:t xml:space="preserve"> </w:t>
      </w:r>
      <w:r>
        <w:t xml:space="preserve">accounting for terrain-relief-induced displacement.</w:t>
      </w:r>
    </w:p>
    <w:p>
      <w:pPr>
        <w:pStyle w:val="BodyText"/>
      </w:pPr>
      <w:r>
        <w:rPr>
          <w:bCs/>
          <w:b/>
        </w:rPr>
        <w:t xml:space="preserve">Ortho-rectification</w:t>
      </w:r>
      <w:r>
        <w:t xml:space="preserve"> </w:t>
      </w:r>
      <w:r>
        <w:t xml:space="preserve">goes further, using a Digital Elevation Model together with the sensor’s precise viewing geometry (position, attitude and look angle at the moment of each image line’s acquisition) to remove</w:t>
      </w:r>
      <w:r>
        <w:t xml:space="preserve"> </w:t>
      </w:r>
      <w:r>
        <w:rPr>
          <w:bCs/>
          <w:b/>
        </w:rPr>
        <w:t xml:space="preserve">relief displacement</w:t>
      </w:r>
      <w:r>
        <w:t xml:space="preserve"> </w:t>
      </w:r>
      <w:r>
        <w:t xml:space="preserve">— the apparent horizontal shift of a feature’s image position caused purely by its elevation relative to the reference datum, combined with the sensor’s off-nadir viewing angle (relief displacement is zero for a perfectly nadir-viewing sensor over flat terrain, but grows with both terrain relief and off-nadir angle) — producing a geometrically correct, uniform-scale image in which every pixel’s position accurately reflects its true map-plane location regardless of terrain elevation; this is the essential geometric-correction step distinguishing an L1C/L1T</w:t>
      </w:r>
      <w:r>
        <w:t xml:space="preserve"> </w:t>
      </w:r>
      <w:r>
        <w:t xml:space="preserve">“</w:t>
      </w:r>
      <w:r>
        <w:t xml:space="preserve">ortho</w:t>
      </w:r>
      <w:r>
        <w:t xml:space="preserve">”</w:t>
      </w:r>
      <w:r>
        <w:t xml:space="preserve"> </w:t>
      </w:r>
      <w:r>
        <w:t xml:space="preserve">product from a simpler, GCP-only geo-referenced product, and is particularly critical for accurate area measurement and multi-date/multi-sensor co-registration in hilly/mountainous terrain.</w:t>
      </w:r>
    </w:p>
    <w:p>
      <w:pPr>
        <w:pStyle w:val="Heading3"/>
      </w:pPr>
      <w:r>
        <w:t xml:space="preserve">5.10.5 Photogrammetric Concepts</w:t>
      </w:r>
    </w:p>
    <w:p>
      <w:pPr>
        <w:pStyle w:val="FirstParagraph"/>
      </w:pPr>
      <w:r>
        <w:rPr>
          <w:bCs/>
          <w:b/>
        </w:rPr>
        <w:t xml:space="preserve">Interior orientation:</w:t>
      </w:r>
      <w:r>
        <w:t xml:space="preserve"> </w:t>
      </w:r>
      <w:r>
        <w:t xml:space="preserve">defines the internal geometric characteristics of the imaging sensor itself — principal point location, focal length, and lens/sensor distortion parameters — established through pre-launch/in-orbit sensor calibration.</w:t>
      </w:r>
    </w:p>
    <w:p>
      <w:pPr>
        <w:pStyle w:val="BodyText"/>
      </w:pPr>
      <w:r>
        <w:rPr>
          <w:bCs/>
          <w:b/>
        </w:rPr>
        <w:t xml:space="preserve">Exterior orientation:</w:t>
      </w:r>
      <w:r>
        <w:t xml:space="preserve"> </w:t>
      </w:r>
      <w:r>
        <w:t xml:space="preserve">defines the sensor’s position and attitude (the six parameters: X, Y, Z position and roll, pitch, yaw orientation) at the precise moment of image acquisition, obtained from onboard GPS (position) and star-tracker/gyroscope (attitude) systems for a satellite platform — together, interior and exterior orientation fully define the geometric relationship between an image pixel and its corresponding ground location, the foundation of both ortho-rectification and stereo-photogrammetric DEM generation.</w:t>
      </w:r>
    </w:p>
    <w:p>
      <w:pPr>
        <w:pStyle w:val="BodyText"/>
      </w:pPr>
      <w:r>
        <w:rPr>
          <w:bCs/>
          <w:b/>
        </w:rPr>
        <w:t xml:space="preserve">Parallax and stereo base-to-height ratio:</w:t>
      </w:r>
      <w:r>
        <w:t xml:space="preserve"> </w:t>
      </w:r>
      <w:r>
        <w:t xml:space="preserve">the stereoscopic parallax used for elevation extraction is itself governed by the</w:t>
      </w:r>
      <w:r>
        <w:t xml:space="preserve"> </w:t>
      </w:r>
      <w:r>
        <w:rPr>
          <w:bCs/>
          <w:b/>
        </w:rPr>
        <w:t xml:space="preserve">base-to-height (B/H) ratio</w:t>
      </w:r>
      <w:r>
        <w:t xml:space="preserve"> </w:t>
      </w:r>
      <w:r>
        <w:t xml:space="preserve">— the ratio of the stereo baseline (the effective separation between the two viewing positions, e.g., Cartosat-1’s fore/aft camera separation, or the along-track distance travelled between two same-camera acquisitions) to the sensor’s altitude — a higher B/H ratio gives greater parallax (and hence greater potential elevation-measurement precision) for a given elevation difference, but too high a B/H ratio also increases the risk of poor image-matching (very different viewing angles make the same ground feature look too different in the two images to reliably match), so stereo-mission designers (including Cartosat-1’s) must balance these competing considerations.</w:t>
      </w:r>
    </w:p>
    <w:p>
      <w:pPr>
        <w:pStyle w:val="Heading1"/>
      </w:pPr>
      <w:r>
        <w:t xml:space="preserve">Chapter 6. Digital Image Processing, Classification and Accuracy Assessment</w:t>
      </w:r>
    </w:p>
    <w:p>
      <w:pPr>
        <w:pStyle w:val="Heading2"/>
      </w:pPr>
      <w:r>
        <w:t xml:space="preserve">6.1 The Digital Image</w:t>
      </w:r>
    </w:p>
    <w:p>
      <w:pPr>
        <w:pStyle w:val="FirstParagraph"/>
      </w:pPr>
      <w:r>
        <w:t xml:space="preserve">A digital remotely sensed image is a</w:t>
      </w:r>
      <w:r>
        <w:t xml:space="preserve"> </w:t>
      </w:r>
      <w:r>
        <w:rPr>
          <w:bCs/>
          <w:b/>
        </w:rPr>
        <w:t xml:space="preserve">three-dimensional array</w:t>
      </w:r>
      <w:r>
        <w:t xml:space="preserve">: rows (scan lines) × columns (pixels) × bands. Each cell holds a</w:t>
      </w:r>
      <w:r>
        <w:t xml:space="preserve"> </w:t>
      </w:r>
      <w:r>
        <w:rPr>
          <w:bCs/>
          <w:b/>
        </w:rPr>
        <w:t xml:space="preserve">digital number (DN)</w:t>
      </w:r>
      <w:r>
        <w:t xml:space="preserve"> </w:t>
      </w:r>
      <w:r>
        <w:t xml:space="preserve">or</w:t>
      </w:r>
      <w:r>
        <w:t xml:space="preserve"> </w:t>
      </w:r>
      <w:r>
        <w:rPr>
          <w:bCs/>
          <w:b/>
        </w:rPr>
        <w:t xml:space="preserve">brightness value (BV)</w:t>
      </w:r>
      <w:r>
        <w:t xml:space="preserve">, which is proportional to the average radiance of the ground area the pixel covers. A low DN means low radiance and a high DN means high radiance.</w:t>
      </w:r>
    </w:p>
    <w:p>
      <w:pPr>
        <w:pStyle w:val="Compact"/>
        <w:numPr>
          <w:ilvl w:val="0"/>
          <w:numId w:val="1034"/>
        </w:numPr>
      </w:pPr>
      <w:r>
        <w:rPr>
          <w:bCs/>
          <w:b/>
        </w:rPr>
        <w:t xml:space="preserve">Pixel (picture element):</w:t>
      </w:r>
      <w:r>
        <w:t xml:space="preserve"> </w:t>
      </w:r>
      <w:r>
        <w:t xml:space="preserve">the smallest unit, of size equal to the spatial resolution.</w:t>
      </w:r>
    </w:p>
    <w:p>
      <w:pPr>
        <w:pStyle w:val="Compact"/>
        <w:numPr>
          <w:ilvl w:val="0"/>
          <w:numId w:val="1034"/>
        </w:numPr>
      </w:pPr>
      <w:r>
        <w:rPr>
          <w:bCs/>
          <w:b/>
        </w:rPr>
        <w:t xml:space="preserve">Bit depth:</w:t>
      </w:r>
      <w:r>
        <w:t xml:space="preserve"> </w:t>
      </w:r>
      <w:r>
        <w:t xml:space="preserve">an 8-bit image has DN 0–255, a 10-bit image 0–1023, an 11-bit image 0–2047 (IKONOS), a 12-bit image 0–4095.</w:t>
      </w:r>
    </w:p>
    <w:p>
      <w:pPr>
        <w:pStyle w:val="Compact"/>
        <w:numPr>
          <w:ilvl w:val="0"/>
          <w:numId w:val="1034"/>
        </w:numPr>
      </w:pPr>
      <w:r>
        <w:rPr>
          <w:bCs/>
          <w:b/>
        </w:rPr>
        <w:t xml:space="preserve">Band interleaving formats:</w:t>
      </w:r>
    </w:p>
    <w:p>
      <w:pPr>
        <w:pStyle w:val="Compact"/>
        <w:numPr>
          <w:ilvl w:val="1"/>
          <w:numId w:val="1035"/>
        </w:numPr>
      </w:pPr>
      <w:r>
        <w:rPr>
          <w:bCs/>
          <w:b/>
        </w:rPr>
        <w:t xml:space="preserve">BSQ</w:t>
      </w:r>
      <w:r>
        <w:t xml:space="preserve"> </w:t>
      </w:r>
      <w:r>
        <w:t xml:space="preserve">(band sequential): each band stored as a whole image. Best for single-band operations.</w:t>
      </w:r>
    </w:p>
    <w:p>
      <w:pPr>
        <w:pStyle w:val="Compact"/>
        <w:numPr>
          <w:ilvl w:val="1"/>
          <w:numId w:val="1035"/>
        </w:numPr>
      </w:pPr>
      <w:r>
        <w:rPr>
          <w:bCs/>
          <w:b/>
        </w:rPr>
        <w:t xml:space="preserve">BIL</w:t>
      </w:r>
      <w:r>
        <w:t xml:space="preserve"> </w:t>
      </w:r>
      <w:r>
        <w:t xml:space="preserve">(band interleaved by line): line 1 of every band, then line 2, and so on.</w:t>
      </w:r>
    </w:p>
    <w:p>
      <w:pPr>
        <w:pStyle w:val="Compact"/>
        <w:numPr>
          <w:ilvl w:val="1"/>
          <w:numId w:val="1035"/>
        </w:numPr>
      </w:pPr>
      <w:r>
        <w:rPr>
          <w:bCs/>
          <w:b/>
        </w:rPr>
        <w:t xml:space="preserve">BIP</w:t>
      </w:r>
      <w:r>
        <w:t xml:space="preserve"> </w:t>
      </w:r>
      <w:r>
        <w:t xml:space="preserve">(band interleaved by pixel): all bands of pixel 1, then pixel 2. Best for per-pixel spectral operations (classification, hyperspectral).</w:t>
      </w:r>
    </w:p>
    <w:p>
      <w:pPr>
        <w:pStyle w:val="Compact"/>
        <w:numPr>
          <w:ilvl w:val="0"/>
          <w:numId w:val="1034"/>
        </w:numPr>
      </w:pPr>
      <w:r>
        <w:rPr>
          <w:bCs/>
          <w:b/>
        </w:rPr>
        <w:t xml:space="preserve">Image histogram:</w:t>
      </w:r>
      <w:r>
        <w:t xml:space="preserve"> </w:t>
      </w:r>
      <w:r>
        <w:t xml:space="preserve">the frequency distribution of DNs. It shows contrast, saturation and possible thresholds.</w:t>
      </w:r>
      <w:r>
        <w:t xml:space="preserve"> </w:t>
      </w:r>
      <w:r>
        <w:rPr>
          <w:bCs/>
          <w:b/>
        </w:rPr>
        <w:t xml:space="preserve">Image statistics</w:t>
      </w:r>
      <w:r>
        <w:t xml:space="preserve"> </w:t>
      </w:r>
      <w:r>
        <w:t xml:space="preserve">(mean, SD, min, max, covariance and correlation between bands) drive enhancement and classification.</w:t>
      </w:r>
    </w:p>
    <w:p>
      <w:pPr>
        <w:pStyle w:val="FirstParagraph"/>
      </w:pPr>
      <w:r>
        <w:t xml:space="preserve">Digital image processing operations fall into three families:</w:t>
      </w:r>
    </w:p>
    <w:p>
      <w:pPr>
        <w:pStyle w:val="CaptionedFigure"/>
      </w:pPr>
      <w:r>
        <w:drawing>
          <wp:inline>
            <wp:extent cx="5334000" cy="1786890"/>
            <wp:effectExtent b="0" l="0" r="0" t="0"/>
            <wp:docPr descr="Families of digital image processing" title="" id="36" name="Picture"/>
            <a:graphic>
              <a:graphicData uri="http://schemas.openxmlformats.org/drawingml/2006/picture">
                <pic:pic>
                  <pic:nvPicPr>
                    <pic:cNvPr descr="/tmp/claude-0/-home-user-sonu/ab07c29a-21cd-5a4a-9d2d-68ad72d07153/scratchpad/build/../flows/flow_006.png" id="37" name="Picture"/>
                    <pic:cNvPicPr>
                      <a:picLocks noChangeArrowheads="1" noChangeAspect="1"/>
                    </pic:cNvPicPr>
                  </pic:nvPicPr>
                  <pic:blipFill>
                    <a:blip r:embed="rId35"/>
                    <a:stretch>
                      <a:fillRect/>
                    </a:stretch>
                  </pic:blipFill>
                  <pic:spPr bwMode="auto">
                    <a:xfrm>
                      <a:off x="0" y="0"/>
                      <a:ext cx="5334000" cy="1786890"/>
                    </a:xfrm>
                    <a:prstGeom prst="rect">
                      <a:avLst/>
                    </a:prstGeom>
                    <a:noFill/>
                    <a:ln w="9525">
                      <a:noFill/>
                      <a:headEnd/>
                      <a:tailEnd/>
                    </a:ln>
                  </pic:spPr>
                </pic:pic>
              </a:graphicData>
            </a:graphic>
          </wp:inline>
        </w:drawing>
      </w:r>
    </w:p>
    <w:p>
      <w:pPr>
        <w:pStyle w:val="ImageCaption"/>
      </w:pPr>
      <w:r>
        <w:t xml:space="preserve">Families of digital image processing</w:t>
      </w:r>
    </w:p>
    <w:p>
      <w:pPr>
        <w:pStyle w:val="Heading2"/>
      </w:pPr>
      <w:r>
        <w:t xml:space="preserve">6.2 Colour Composites</w:t>
      </w:r>
    </w:p>
    <w:p>
      <w:pPr>
        <w:pStyle w:val="FirstParagraph"/>
      </w:pPr>
      <w:r>
        <w:t xml:space="preserve">A display has three colour guns (red, green, blue), so three bands can be shown at once.</w:t>
      </w:r>
    </w:p>
    <w:p>
      <w:pPr>
        <w:pStyle w:val="Compact"/>
        <w:numPr>
          <w:ilvl w:val="0"/>
          <w:numId w:val="1036"/>
        </w:numPr>
      </w:pPr>
      <w:r>
        <w:rPr>
          <w:bCs/>
          <w:b/>
        </w:rPr>
        <w:t xml:space="preserve">True colour composite (TCC):</w:t>
      </w:r>
      <w:r>
        <w:t xml:space="preserve"> </w:t>
      </w:r>
      <w:r>
        <w:t xml:space="preserve">red band → R, green → G, blue → B. It looks natural but is hazy and low in contrast.</w:t>
      </w:r>
    </w:p>
    <w:p>
      <w:pPr>
        <w:pStyle w:val="Compact"/>
        <w:numPr>
          <w:ilvl w:val="0"/>
          <w:numId w:val="1036"/>
        </w:numPr>
      </w:pPr>
      <w:r>
        <w:rPr>
          <w:bCs/>
          <w:b/>
        </w:rPr>
        <w:t xml:space="preserve">Standard false colour composite (FCC):</w:t>
      </w:r>
      <w:r>
        <w:t xml:space="preserve"> </w:t>
      </w:r>
      <w:r>
        <w:rPr>
          <w:bCs/>
          <w:b/>
        </w:rPr>
        <w:t xml:space="preserve">NIR → R, red → G, green → B</w:t>
      </w:r>
      <w:r>
        <w:t xml:space="preserve">. Healthy vegetation looks</w:t>
      </w:r>
      <w:r>
        <w:t xml:space="preserve"> </w:t>
      </w:r>
      <w:r>
        <w:rPr>
          <w:bCs/>
          <w:b/>
        </w:rPr>
        <w:t xml:space="preserve">bright red to magenta</w:t>
      </w:r>
      <w:r>
        <w:t xml:space="preserve"> </w:t>
      </w:r>
      <w:r>
        <w:t xml:space="preserve">(high NIR), water is dark blue to black, urban areas are steel-grey or cyan (they reflect NIR, R and G roughly equally), and fallow soil is white to brownish.</w:t>
      </w:r>
    </w:p>
    <w:p>
      <w:pPr>
        <w:pStyle w:val="Compact"/>
        <w:numPr>
          <w:ilvl w:val="0"/>
          <w:numId w:val="1036"/>
        </w:numPr>
      </w:pPr>
      <w:r>
        <w:rPr>
          <w:bCs/>
          <w:b/>
        </w:rPr>
        <w:t xml:space="preserve">Other FCCs:</w:t>
      </w:r>
      <w:r>
        <w:t xml:space="preserve"> </w:t>
      </w:r>
      <w:r>
        <w:t xml:space="preserve">SWIR-NIR-red (vegetation green, burnt areas red, water black), and SAR multi-temporal RGB (date1, date2, date3), which shows crop phenology as colour.</w:t>
      </w:r>
    </w:p>
    <w:p>
      <w:pPr>
        <w:pStyle w:val="Heading2"/>
      </w:pPr>
      <w:r>
        <w:t xml:space="preserve">6.3 Image Enhancement</w:t>
      </w:r>
    </w:p>
    <w:p>
      <w:pPr>
        <w:pStyle w:val="FirstParagraph"/>
      </w:pPr>
      <w:r>
        <w:t xml:space="preserve">Enhancement improves an image’s</w:t>
      </w:r>
      <w:r>
        <w:t xml:space="preserve"> </w:t>
      </w:r>
      <w:r>
        <w:rPr>
          <w:bCs/>
          <w:b/>
        </w:rPr>
        <w:t xml:space="preserve">interpretability for a human analyst</w:t>
      </w:r>
      <w:r>
        <w:t xml:space="preserve">. It does not try to restore some</w:t>
      </w:r>
      <w:r>
        <w:t xml:space="preserve"> </w:t>
      </w:r>
      <w:r>
        <w:t xml:space="preserve">“</w:t>
      </w:r>
      <w:r>
        <w:t xml:space="preserve">true</w:t>
      </w:r>
      <w:r>
        <w:t xml:space="preserve">”</w:t>
      </w:r>
      <w:r>
        <w:t xml:space="preserve"> </w:t>
      </w:r>
      <w:r>
        <w:t xml:space="preserve">image. Enhancement is applied after geometric and radiometric correction, and band by band.</w:t>
      </w:r>
    </w:p>
    <w:p>
      <w:pPr>
        <w:pStyle w:val="Heading3"/>
      </w:pPr>
      <w:r>
        <w:t xml:space="preserve">6.3.1 Contrast</w:t>
      </w:r>
    </w:p>
    <w:p>
      <w:pPr>
        <w:pStyle w:val="FirstParagraph"/>
      </w:pPr>
      <m:oMathPara>
        <m:oMathParaPr>
          <m:jc m:val="center"/>
        </m:oMathParaPr>
        <m:oMath>
          <m:r>
            <m:t>C</m:t>
          </m:r>
          <m:r>
            <m:rPr>
              <m:sty m:val="p"/>
            </m:rPr>
            <m:t>=</m:t>
          </m:r>
          <m:f>
            <m:fPr>
              <m:type m:val="bar"/>
            </m:fPr>
            <m:num>
              <m:r>
                <m:t>B</m:t>
              </m:r>
              <m:sSub>
                <m:e>
                  <m:r>
                    <m:t>V</m:t>
                  </m:r>
                </m:e>
                <m:sub>
                  <m:r>
                    <m:t>m</m:t>
                  </m:r>
                  <m:r>
                    <m:t>a</m:t>
                  </m:r>
                  <m:r>
                    <m:t>x</m:t>
                  </m:r>
                </m:sub>
              </m:sSub>
            </m:num>
            <m:den>
              <m:r>
                <m:t>B</m:t>
              </m:r>
              <m:sSub>
                <m:e>
                  <m:r>
                    <m:t>V</m:t>
                  </m:r>
                </m:e>
                <m:sub>
                  <m:r>
                    <m:t>m</m:t>
                  </m:r>
                  <m:r>
                    <m:t>i</m:t>
                  </m:r>
                  <m:r>
                    <m:t>n</m:t>
                  </m:r>
                </m:sub>
              </m:sSub>
            </m:den>
          </m:f>
        </m:oMath>
      </m:oMathPara>
    </w:p>
    <w:p>
      <w:pPr>
        <w:pStyle w:val="FirstParagraph"/>
      </w:pPr>
      <w:r>
        <w:t xml:space="preserve">Raw images usually occupy only a small part of the available DN range (low contrast).</w:t>
      </w:r>
      <w:r>
        <w:t xml:space="preserve"> </w:t>
      </w:r>
      <w:r>
        <w:rPr>
          <w:bCs/>
          <w:b/>
        </w:rPr>
        <w:t xml:space="preserve">Contrast stretching</w:t>
      </w:r>
      <w:r>
        <w:t xml:space="preserve"> </w:t>
      </w:r>
      <w:r>
        <w:t xml:space="preserve">expands that range.</w:t>
      </w:r>
    </w:p>
    <w:p>
      <w:pPr>
        <w:pStyle w:val="BodyText"/>
      </w:pPr>
      <w:r>
        <w:rPr>
          <w:bCs/>
          <w:b/>
        </w:rPr>
        <w:t xml:space="preserve">Linear (min–max) stretch:</w:t>
      </w:r>
    </w:p>
    <w:p>
      <w:pPr>
        <w:pStyle w:val="BodyText"/>
      </w:pPr>
      <m:oMathPara>
        <m:oMathParaPr>
          <m:jc m:val="center"/>
        </m:oMathParaPr>
        <m:oMath>
          <m:r>
            <m:t>B</m:t>
          </m:r>
          <m:sSub>
            <m:e>
              <m:r>
                <m:t>V</m:t>
              </m:r>
            </m:e>
            <m:sub>
              <m:r>
                <m:t>o</m:t>
              </m:r>
              <m:r>
                <m:t>u</m:t>
              </m:r>
              <m:r>
                <m:t>t</m:t>
              </m:r>
            </m:sub>
          </m:sSub>
          <m:r>
            <m:rPr>
              <m:sty m:val="p"/>
            </m:rPr>
            <m:t>=</m:t>
          </m:r>
          <m:f>
            <m:fPr>
              <m:type m:val="bar"/>
            </m:fPr>
            <m:num>
              <m:r>
                <m:t>B</m:t>
              </m:r>
              <m:sSub>
                <m:e>
                  <m:r>
                    <m:t>V</m:t>
                  </m:r>
                </m:e>
                <m:sub>
                  <m:r>
                    <m:t>i</m:t>
                  </m:r>
                  <m:r>
                    <m:t>n</m:t>
                  </m:r>
                </m:sub>
              </m:sSub>
              <m:r>
                <m:rPr>
                  <m:sty m:val="p"/>
                </m:rPr>
                <m:t>−</m:t>
              </m:r>
              <m:r>
                <m:t>m</m:t>
              </m:r>
              <m:r>
                <m:t>i</m:t>
              </m:r>
              <m:sSub>
                <m:e>
                  <m:r>
                    <m:t>n</m:t>
                  </m:r>
                </m:e>
                <m:sub>
                  <m:r>
                    <m:t>k</m:t>
                  </m:r>
                </m:sub>
              </m:sSub>
            </m:num>
            <m:den>
              <m:r>
                <m:t>m</m:t>
              </m:r>
              <m:r>
                <m:t>a</m:t>
              </m:r>
              <m:sSub>
                <m:e>
                  <m:r>
                    <m:t>x</m:t>
                  </m:r>
                </m:e>
                <m:sub>
                  <m:r>
                    <m:t>k</m:t>
                  </m:r>
                </m:sub>
              </m:sSub>
              <m:r>
                <m:rPr>
                  <m:sty m:val="p"/>
                </m:rPr>
                <m:t>−</m:t>
              </m:r>
              <m:r>
                <m:t>m</m:t>
              </m:r>
              <m:r>
                <m:t>i</m:t>
              </m:r>
              <m:sSub>
                <m:e>
                  <m:r>
                    <m:t>n</m:t>
                  </m:r>
                </m:e>
                <m:sub>
                  <m:r>
                    <m:t>k</m:t>
                  </m:r>
                </m:sub>
              </m:sSub>
            </m:den>
          </m:f>
          <m:r>
            <m:rPr>
              <m:sty m:val="p"/>
            </m:rPr>
            <m:t>×</m:t>
          </m:r>
          <m:r>
            <m:t>255</m:t>
          </m:r>
        </m:oMath>
      </m:oMathPara>
    </w:p>
    <w:p>
      <w:pPr>
        <w:pStyle w:val="Compact"/>
        <w:numPr>
          <w:ilvl w:val="0"/>
          <w:numId w:val="1037"/>
        </w:numPr>
      </w:pPr>
      <w:r>
        <w:rPr>
          <w:bCs/>
          <w:b/>
        </w:rPr>
        <w:t xml:space="preserve">Percentage (saturation) stretch:</w:t>
      </w:r>
      <w:r>
        <w:t xml:space="preserve"> </w:t>
      </w:r>
      <w:r>
        <w:t xml:space="preserve">use the 2nd and 98th percentiles instead of the absolute min and max, so a few outliers do not waste the range.</w:t>
      </w:r>
    </w:p>
    <w:p>
      <w:pPr>
        <w:pStyle w:val="Compact"/>
        <w:numPr>
          <w:ilvl w:val="0"/>
          <w:numId w:val="1037"/>
        </w:numPr>
      </w:pPr>
      <w:r>
        <w:rPr>
          <w:bCs/>
          <w:b/>
        </w:rPr>
        <w:t xml:space="preserve">Standard-deviation stretch:</w:t>
      </w:r>
      <w:r>
        <w:t xml:space="preserve"> </w:t>
      </w:r>
      <w:r>
        <w:t xml:space="preserve">stretch mean ± 2 SD.</w:t>
      </w:r>
    </w:p>
    <w:p>
      <w:pPr>
        <w:pStyle w:val="Compact"/>
        <w:numPr>
          <w:ilvl w:val="0"/>
          <w:numId w:val="1037"/>
        </w:numPr>
      </w:pPr>
      <w:r>
        <w:rPr>
          <w:bCs/>
          <w:b/>
        </w:rPr>
        <w:t xml:space="preserve">Piecewise linear stretch:</w:t>
      </w:r>
      <w:r>
        <w:t xml:space="preserve"> </w:t>
      </w:r>
      <w:r>
        <w:t xml:space="preserve">different slopes for different DN ranges (for example to enhance water and land separately).</w:t>
      </w:r>
    </w:p>
    <w:p>
      <w:pPr>
        <w:pStyle w:val="FirstParagraph"/>
      </w:pPr>
      <w:r>
        <w:rPr>
          <w:bCs/>
          <w:b/>
        </w:rPr>
        <w:t xml:space="preserve">Non-linear stretches:</w:t>
      </w:r>
    </w:p>
    <w:p>
      <w:pPr>
        <w:pStyle w:val="Compact"/>
        <w:numPr>
          <w:ilvl w:val="0"/>
          <w:numId w:val="1038"/>
        </w:numPr>
      </w:pPr>
      <w:r>
        <w:rPr>
          <w:bCs/>
          <w:b/>
        </w:rPr>
        <w:t xml:space="preserve">Logarithmic:</w:t>
      </w:r>
      <w:r>
        <w:t xml:space="preserve"> </w:t>
      </w:r>
      <w:r>
        <w:t xml:space="preserve">expands dark values (shadows, water).</w:t>
      </w:r>
    </w:p>
    <w:p>
      <w:pPr>
        <w:pStyle w:val="Compact"/>
        <w:numPr>
          <w:ilvl w:val="0"/>
          <w:numId w:val="1038"/>
        </w:numPr>
      </w:pPr>
      <w:r>
        <w:rPr>
          <w:bCs/>
          <w:b/>
        </w:rPr>
        <w:t xml:space="preserve">Exponential / inverse-log:</w:t>
      </w:r>
      <w:r>
        <w:t xml:space="preserve"> </w:t>
      </w:r>
      <w:r>
        <w:t xml:space="preserve">expands bright values.</w:t>
      </w:r>
    </w:p>
    <w:p>
      <w:pPr>
        <w:pStyle w:val="Compact"/>
        <w:numPr>
          <w:ilvl w:val="0"/>
          <w:numId w:val="1038"/>
        </w:numPr>
      </w:pPr>
      <w:r>
        <w:rPr>
          <w:bCs/>
          <w:b/>
        </w:rPr>
        <w:t xml:space="preserve">Histogram equalisation:</w:t>
      </w:r>
      <w:r>
        <w:t xml:space="preserve"> </w:t>
      </w:r>
      <w:r>
        <w:t xml:space="preserve">redistributes DNs so each output level has roughly equal frequency. Heavily populated DN ranges are expanded and sparse ones compressed. The output has fewer distinct grey levels than the input, but contrast is greatest where most pixels lie.</w:t>
      </w:r>
    </w:p>
    <w:p>
      <w:pPr>
        <w:pStyle w:val="Compact"/>
        <w:numPr>
          <w:ilvl w:val="0"/>
          <w:numId w:val="1038"/>
        </w:numPr>
      </w:pPr>
      <w:r>
        <w:rPr>
          <w:bCs/>
          <w:b/>
        </w:rPr>
        <w:t xml:space="preserve">Gaussian stretch:</w:t>
      </w:r>
      <w:r>
        <w:t xml:space="preserve"> </w:t>
      </w:r>
      <w:r>
        <w:t xml:space="preserve">fits the histogram to a normal distribution.</w:t>
      </w:r>
    </w:p>
    <w:p>
      <w:pPr>
        <w:pStyle w:val="FirstParagraph"/>
      </w:pPr>
      <w:r>
        <w:rPr>
          <w:bCs/>
          <w:b/>
        </w:rPr>
        <w:t xml:space="preserve">Density slicing:</w:t>
      </w:r>
      <w:r>
        <w:t xml:space="preserve"> </w:t>
      </w:r>
      <w:r>
        <w:t xml:space="preserve">a single band’s continuous DN range is divided into intervals, each shown in a different colour (for example NDVI classes, LST classes, thermal plumes).</w:t>
      </w:r>
    </w:p>
    <w:p>
      <w:pPr>
        <w:pStyle w:val="Heading3"/>
      </w:pPr>
      <w:r>
        <w:t xml:space="preserve">6.3.2 Spatial filtering</w:t>
      </w:r>
    </w:p>
    <w:p>
      <w:pPr>
        <w:pStyle w:val="FirstParagraph"/>
      </w:pPr>
      <w:r>
        <w:rPr>
          <w:bCs/>
          <w:b/>
        </w:rPr>
        <w:t xml:space="preserve">Spatial frequency</w:t>
      </w:r>
      <w:r>
        <w:t xml:space="preserve"> </w:t>
      </w:r>
      <w:r>
        <w:t xml:space="preserve">is the number of changes in brightness per unit distance. Smooth areas have low frequency and edges and textures have high frequency. Filters are implemented by</w:t>
      </w:r>
      <w:r>
        <w:t xml:space="preserve"> </w:t>
      </w:r>
      <w:r>
        <w:rPr>
          <w:bCs/>
          <w:b/>
        </w:rPr>
        <w:t xml:space="preserve">convolution</w:t>
      </w:r>
      <w:r>
        <w:t xml:space="preserve"> </w:t>
      </w:r>
      <w:r>
        <w:t xml:space="preserve">with a moving window (kernel) of size</w:t>
      </w:r>
      <w:r>
        <w:t xml:space="preserve"> </w:t>
      </w:r>
      <m:oMath>
        <m:r>
          <m:t>n</m:t>
        </m:r>
        <m:r>
          <m:rPr>
            <m:sty m:val="p"/>
          </m:rPr>
          <m:t>×</m:t>
        </m:r>
        <m:r>
          <m:t>n</m:t>
        </m:r>
      </m:oMath>
      <w:r>
        <w:t xml:space="preserve"> </w:t>
      </w:r>
      <w:r>
        <w:t xml:space="preserve">(3×3, 5×5, 7×7):</w:t>
      </w:r>
    </w:p>
    <w:p>
      <w:pPr>
        <w:pStyle w:val="BodyText"/>
      </w:pPr>
      <m:oMathPara>
        <m:oMathParaPr>
          <m:jc m:val="center"/>
        </m:oMathParaPr>
        <m:oMath>
          <m:r>
            <m:t>B</m:t>
          </m:r>
          <m:sSub>
            <m:e>
              <m:r>
                <m:t>V</m:t>
              </m:r>
            </m:e>
            <m:sub>
              <m:r>
                <m:t>o</m:t>
              </m:r>
              <m:r>
                <m:t>u</m:t>
              </m:r>
              <m:r>
                <m:t>t</m:t>
              </m:r>
            </m:sub>
          </m:sSub>
          <m:d>
            <m:dPr>
              <m:begChr m:val="("/>
              <m:endChr m:val=")"/>
              <m:sepChr m:val=""/>
              <m:grow/>
            </m:dPr>
            <m:e>
              <m:r>
                <m:t>i</m:t>
              </m:r>
              <m:r>
                <m:rPr>
                  <m:sty m:val="p"/>
                </m:rPr>
                <m:t>,</m:t>
              </m:r>
              <m:r>
                <m:t>j</m:t>
              </m:r>
            </m:e>
          </m:d>
          <m:r>
            <m:rPr>
              <m:sty m:val="p"/>
            </m:rPr>
            <m:t>=</m:t>
          </m:r>
          <m:nary>
            <m:naryPr>
              <m:chr m:val="∑"/>
              <m:limLoc m:val="undOvr"/>
              <m:subHide m:val="off"/>
              <m:supHide m:val="on"/>
            </m:naryPr>
            <m:sub>
              <m:r>
                <m:t>m</m:t>
              </m:r>
            </m:sub>
            <m:sup>
              <m:r>
                <m:t>​</m:t>
              </m:r>
            </m:sup>
            <m:e>
              <m:nary>
                <m:naryPr>
                  <m:chr m:val="∑"/>
                  <m:limLoc m:val="undOvr"/>
                  <m:subHide m:val="off"/>
                  <m:supHide m:val="on"/>
                </m:naryPr>
                <m:sub>
                  <m:r>
                    <m:t>n</m:t>
                  </m:r>
                </m:sub>
                <m:sup>
                  <m:r>
                    <m:t>​</m:t>
                  </m:r>
                </m:sup>
                <m:e>
                  <m:r>
                    <m:t>w</m:t>
                  </m:r>
                </m:e>
              </m:nary>
            </m:e>
          </m:nary>
          <m:d>
            <m:dPr>
              <m:begChr m:val="("/>
              <m:endChr m:val=")"/>
              <m:sepChr m:val=""/>
              <m:grow/>
            </m:dPr>
            <m:e>
              <m:r>
                <m:t>m</m:t>
              </m:r>
              <m:r>
                <m:rPr>
                  <m:sty m:val="p"/>
                </m:rPr>
                <m:t>,</m:t>
              </m:r>
              <m:r>
                <m:t>n</m:t>
              </m:r>
            </m:e>
          </m:d>
          <m:r>
            <m:t> </m:t>
          </m:r>
          <m:r>
            <m:t>B</m:t>
          </m:r>
          <m:sSub>
            <m:e>
              <m:r>
                <m:t>V</m:t>
              </m:r>
            </m:e>
            <m:sub>
              <m:r>
                <m:t>i</m:t>
              </m:r>
              <m:r>
                <m:t>n</m:t>
              </m:r>
            </m:sub>
          </m:sSub>
          <m:d>
            <m:dPr>
              <m:begChr m:val="("/>
              <m:endChr m:val=")"/>
              <m:sepChr m:val=""/>
              <m:grow/>
            </m:dPr>
            <m:e>
              <m:r>
                <m:t>i</m:t>
              </m:r>
              <m:r>
                <m:rPr>
                  <m:sty m:val="p"/>
                </m:rPr>
                <m:t>+</m:t>
              </m:r>
              <m:r>
                <m:t>m</m:t>
              </m:r>
              <m:r>
                <m:rPr>
                  <m:sty m:val="p"/>
                </m:rPr>
                <m:t>,</m:t>
              </m:r>
              <m:r>
                <m:t> </m:t>
              </m:r>
              <m:r>
                <m:t>j</m:t>
              </m:r>
              <m:r>
                <m:rPr>
                  <m:sty m:val="p"/>
                </m:rPr>
                <m:t>+</m:t>
              </m:r>
              <m:r>
                <m:t>n</m:t>
              </m:r>
            </m:e>
          </m:d>
        </m:oMath>
      </m:oMathPara>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Filter</w:t>
            </w:r>
          </w:p>
        </w:tc>
        <w:tc>
          <w:tcPr/>
          <w:p>
            <w:pPr>
              <w:pStyle w:val="Compact"/>
              <w:jc w:val="left"/>
            </w:pPr>
            <w:r>
              <w:t xml:space="preserve">Kernel / operation</w:t>
            </w:r>
          </w:p>
        </w:tc>
        <w:tc>
          <w:tcPr/>
          <w:p>
            <w:pPr>
              <w:pStyle w:val="Compact"/>
              <w:jc w:val="left"/>
            </w:pPr>
            <w:r>
              <w:t xml:space="preserve">Effect</w:t>
            </w:r>
          </w:p>
        </w:tc>
        <w:tc>
          <w:tcPr/>
          <w:p>
            <w:pPr>
              <w:pStyle w:val="Compact"/>
              <w:jc w:val="left"/>
            </w:pPr>
            <w:r>
              <w:t xml:space="preserve">Use</w:t>
            </w:r>
          </w:p>
        </w:tc>
      </w:tr>
      <w:tr>
        <w:tc>
          <w:tcPr/>
          <w:p>
            <w:pPr>
              <w:pStyle w:val="Compact"/>
              <w:jc w:val="left"/>
            </w:pPr>
            <w:r>
              <w:rPr>
                <w:bCs/>
                <w:b/>
              </w:rPr>
              <w:t xml:space="preserve">Low-pass (mean)</w:t>
            </w:r>
          </w:p>
        </w:tc>
        <w:tc>
          <w:tcPr/>
          <w:p>
            <w:pPr>
              <w:pStyle w:val="Compact"/>
              <w:jc w:val="left"/>
            </w:pPr>
            <w:r>
              <w:t xml:space="preserve">All weights 1/9 (3×3)</w:t>
            </w:r>
          </w:p>
        </w:tc>
        <w:tc>
          <w:tcPr/>
          <w:p>
            <w:pPr>
              <w:pStyle w:val="Compact"/>
              <w:jc w:val="left"/>
            </w:pPr>
            <w:r>
              <w:t xml:space="preserve">Smoothing, noise reduction, blurring of edges</w:t>
            </w:r>
          </w:p>
        </w:tc>
        <w:tc>
          <w:tcPr/>
          <w:p>
            <w:pPr>
              <w:pStyle w:val="Compact"/>
              <w:jc w:val="left"/>
            </w:pPr>
            <w:r>
              <w:t xml:space="preserve">Reduce random noise</w:t>
            </w:r>
          </w:p>
        </w:tc>
      </w:tr>
      <w:tr>
        <w:tc>
          <w:tcPr/>
          <w:p>
            <w:pPr>
              <w:pStyle w:val="Compact"/>
              <w:jc w:val="left"/>
            </w:pPr>
            <w:r>
              <w:rPr>
                <w:bCs/>
                <w:b/>
              </w:rPr>
              <w:t xml:space="preserve">Median</w:t>
            </w:r>
          </w:p>
        </w:tc>
        <w:tc>
          <w:tcPr/>
          <w:p>
            <w:pPr>
              <w:pStyle w:val="Compact"/>
              <w:jc w:val="left"/>
            </w:pPr>
            <w:r>
              <w:t xml:space="preserve">Median of the window</w:t>
            </w:r>
          </w:p>
        </w:tc>
        <w:tc>
          <w:tcPr/>
          <w:p>
            <w:pPr>
              <w:pStyle w:val="Compact"/>
              <w:jc w:val="left"/>
            </w:pPr>
            <w:r>
              <w:t xml:space="preserve">Removes salt-and-pepper noise and preserves edges better than the mean</w:t>
            </w:r>
          </w:p>
        </w:tc>
        <w:tc>
          <w:tcPr/>
          <w:p>
            <w:pPr>
              <w:pStyle w:val="Compact"/>
              <w:jc w:val="left"/>
            </w:pPr>
            <w:r>
              <w:t xml:space="preserve">Noise, speckle</w:t>
            </w:r>
          </w:p>
        </w:tc>
      </w:tr>
      <w:tr>
        <w:tc>
          <w:tcPr/>
          <w:p>
            <w:pPr>
              <w:pStyle w:val="Compact"/>
              <w:jc w:val="left"/>
            </w:pPr>
            <w:r>
              <w:rPr>
                <w:bCs/>
                <w:b/>
              </w:rPr>
              <w:t xml:space="preserve">Mode / majority</w:t>
            </w:r>
          </w:p>
        </w:tc>
        <w:tc>
          <w:tcPr/>
          <w:p>
            <w:pPr>
              <w:pStyle w:val="Compact"/>
              <w:jc w:val="left"/>
            </w:pPr>
            <w:r>
              <w:t xml:space="preserve">Most frequent value</w:t>
            </w:r>
          </w:p>
        </w:tc>
        <w:tc>
          <w:tcPr/>
          <w:p>
            <w:pPr>
              <w:pStyle w:val="Compact"/>
              <w:jc w:val="left"/>
            </w:pPr>
            <w:r>
              <w:t xml:space="preserve">Removes isolated misclassified pixels</w:t>
            </w:r>
          </w:p>
        </w:tc>
        <w:tc>
          <w:tcPr/>
          <w:p>
            <w:pPr>
              <w:pStyle w:val="Compact"/>
              <w:jc w:val="left"/>
            </w:pPr>
            <w:r>
              <w:t xml:space="preserve">Post-classification smoothing</w:t>
            </w:r>
          </w:p>
        </w:tc>
      </w:tr>
      <w:tr>
        <w:tc>
          <w:tcPr/>
          <w:p>
            <w:pPr>
              <w:pStyle w:val="Compact"/>
              <w:jc w:val="left"/>
            </w:pPr>
            <w:r>
              <w:rPr>
                <w:bCs/>
                <w:b/>
              </w:rPr>
              <w:t xml:space="preserve">High-pass</w:t>
            </w:r>
          </w:p>
        </w:tc>
        <w:tc>
          <w:tcPr/>
          <w:p>
            <w:pPr>
              <w:pStyle w:val="Compact"/>
              <w:jc w:val="left"/>
            </w:pPr>
            <w:r>
              <w:t xml:space="preserve">Original minus low-pass, or centre 8 with −1 neighbours</w:t>
            </w:r>
          </w:p>
        </w:tc>
        <w:tc>
          <w:tcPr/>
          <w:p>
            <w:pPr>
              <w:pStyle w:val="Compact"/>
              <w:jc w:val="left"/>
            </w:pPr>
            <w:r>
              <w:t xml:space="preserve">Enhances local detail and edges</w:t>
            </w:r>
          </w:p>
        </w:tc>
        <w:tc>
          <w:tcPr/>
          <w:p>
            <w:pPr>
              <w:pStyle w:val="Compact"/>
              <w:jc w:val="left"/>
            </w:pPr>
            <w:r>
              <w:t xml:space="preserve">Texture, lineaments</w:t>
            </w:r>
          </w:p>
        </w:tc>
      </w:tr>
      <w:tr>
        <w:tc>
          <w:tcPr/>
          <w:p>
            <w:pPr>
              <w:pStyle w:val="Compact"/>
              <w:jc w:val="left"/>
            </w:pPr>
            <w:r>
              <w:rPr>
                <w:bCs/>
                <w:b/>
              </w:rPr>
              <w:t xml:space="preserve">Directional (first-difference)</w:t>
            </w:r>
          </w:p>
        </w:tc>
        <w:tc>
          <w:tcPr/>
          <w:p>
            <w:pPr>
              <w:pStyle w:val="Compact"/>
              <w:jc w:val="left"/>
            </w:pPr>
            <w:r>
              <w:t xml:space="preserve">e.g. </w:t>
            </w:r>
            <m:oMath>
              <m:r>
                <m:t>B</m:t>
              </m:r>
              <m:sSub>
                <m:e>
                  <m:r>
                    <m:t>V</m:t>
                  </m:r>
                </m:e>
                <m:sub>
                  <m:r>
                    <m:t>i</m:t>
                  </m:r>
                  <m:r>
                    <m:rPr>
                      <m:sty m:val="p"/>
                    </m:rPr>
                    <m:t>,</m:t>
                  </m:r>
                  <m:r>
                    <m:t>j</m:t>
                  </m:r>
                </m:sub>
              </m:sSub>
              <m:r>
                <m:rPr>
                  <m:sty m:val="p"/>
                </m:rPr>
                <m:t>−</m:t>
              </m:r>
              <m:r>
                <m:t>B</m:t>
              </m:r>
              <m:sSub>
                <m:e>
                  <m:r>
                    <m:t>V</m:t>
                  </m:r>
                </m:e>
                <m:sub>
                  <m:r>
                    <m:t>i</m:t>
                  </m:r>
                  <m:r>
                    <m:rPr>
                      <m:sty m:val="p"/>
                    </m:rPr>
                    <m:t>,</m:t>
                  </m:r>
                  <m:r>
                    <m:t>j</m:t>
                  </m:r>
                  <m:r>
                    <m:rPr>
                      <m:sty m:val="p"/>
                    </m:rPr>
                    <m:t>+</m:t>
                  </m:r>
                  <m:r>
                    <m:t>1</m:t>
                  </m:r>
                </m:sub>
              </m:sSub>
            </m:oMath>
          </w:p>
        </w:tc>
        <w:tc>
          <w:tcPr/>
          <w:p>
            <w:pPr>
              <w:pStyle w:val="Compact"/>
              <w:jc w:val="left"/>
            </w:pPr>
            <w:r>
              <w:t xml:space="preserve">Edges in one direction</w:t>
            </w:r>
          </w:p>
        </w:tc>
        <w:tc>
          <w:tcPr/>
          <w:p>
            <w:pPr>
              <w:pStyle w:val="Compact"/>
              <w:jc w:val="left"/>
            </w:pPr>
            <w:r>
              <w:t xml:space="preserve">Lineament mapping</w:t>
            </w:r>
          </w:p>
        </w:tc>
      </w:tr>
      <w:tr>
        <w:tc>
          <w:tcPr/>
          <w:p>
            <w:pPr>
              <w:pStyle w:val="Compact"/>
              <w:jc w:val="left"/>
            </w:pPr>
            <w:r>
              <w:rPr>
                <w:bCs/>
                <w:b/>
              </w:rPr>
              <w:t xml:space="preserve">Sobel / Prewitt</w:t>
            </w:r>
          </w:p>
        </w:tc>
        <w:tc>
          <w:tcPr/>
          <w:p>
            <w:pPr>
              <w:pStyle w:val="Compact"/>
              <w:jc w:val="left"/>
            </w:pPr>
            <w:r>
              <w:t xml:space="preserve">Gradient kernels in x and y</w:t>
            </w:r>
          </w:p>
        </w:tc>
        <w:tc>
          <w:tcPr/>
          <w:p>
            <w:pPr>
              <w:pStyle w:val="Compact"/>
              <w:jc w:val="left"/>
            </w:pPr>
            <w:r>
              <w:t xml:space="preserve">Edge strength and direction</w:t>
            </w:r>
          </w:p>
        </w:tc>
        <w:tc>
          <w:tcPr/>
          <w:p>
            <w:pPr>
              <w:pStyle w:val="Compact"/>
              <w:jc w:val="left"/>
            </w:pPr>
            <w:r>
              <w:t xml:space="preserve">Field boundary extraction</w:t>
            </w:r>
          </w:p>
        </w:tc>
      </w:tr>
      <w:tr>
        <w:tc>
          <w:tcPr/>
          <w:p>
            <w:pPr>
              <w:pStyle w:val="Compact"/>
              <w:jc w:val="left"/>
            </w:pPr>
            <w:r>
              <w:rPr>
                <w:bCs/>
                <w:b/>
              </w:rPr>
              <w:t xml:space="preserve">Laplacian</w:t>
            </w:r>
          </w:p>
        </w:tc>
        <w:tc>
          <w:tcPr/>
          <w:p>
            <w:pPr>
              <w:pStyle w:val="Compact"/>
              <w:jc w:val="left"/>
            </w:pPr>
            <w:r>
              <w:t xml:space="preserve">Second derivative: [0 −1 0; −1 4 −1; 0 −1 0]</w:t>
            </w:r>
          </w:p>
        </w:tc>
        <w:tc>
          <w:tcPr/>
          <w:p>
            <w:pPr>
              <w:pStyle w:val="Compact"/>
              <w:jc w:val="left"/>
            </w:pPr>
            <w:r>
              <w:t xml:space="preserve">Points, lines and edges in all directions</w:t>
            </w:r>
          </w:p>
        </w:tc>
        <w:tc>
          <w:tcPr/>
          <w:p>
            <w:pPr>
              <w:pStyle w:val="Compact"/>
              <w:jc w:val="left"/>
            </w:pPr>
            <w:r>
              <w:t xml:space="preserve">Edge sharpening, which mimics human vision</w:t>
            </w:r>
          </w:p>
        </w:tc>
      </w:tr>
      <w:tr>
        <w:tc>
          <w:tcPr/>
          <w:p>
            <w:pPr>
              <w:pStyle w:val="Compact"/>
              <w:jc w:val="left"/>
            </w:pPr>
            <w:r>
              <w:rPr>
                <w:bCs/>
                <w:b/>
              </w:rPr>
              <w:t xml:space="preserve">Speckle filters</w:t>
            </w:r>
            <w:r>
              <w:t xml:space="preserve"> </w:t>
            </w:r>
            <w:r>
              <w:t xml:space="preserve">(SAR)</w:t>
            </w:r>
          </w:p>
        </w:tc>
        <w:tc>
          <w:tcPr/>
          <w:p>
            <w:pPr>
              <w:pStyle w:val="Compact"/>
              <w:jc w:val="left"/>
            </w:pPr>
            <w:r>
              <w:t xml:space="preserve">Lee, Frost, Gamma-MAP</w:t>
            </w:r>
          </w:p>
        </w:tc>
        <w:tc>
          <w:tcPr/>
          <w:p>
            <w:pPr>
              <w:pStyle w:val="Compact"/>
              <w:jc w:val="left"/>
            </w:pPr>
            <w:r>
              <w:t xml:space="preserve">Reduce multiplicative speckle while preserving edges</w:t>
            </w:r>
          </w:p>
        </w:tc>
        <w:tc>
          <w:tcPr/>
          <w:p>
            <w:pPr>
              <w:pStyle w:val="Compact"/>
              <w:jc w:val="left"/>
            </w:pPr>
            <w:r>
              <w:t xml:space="preserve">SAR crop and flood mapping</w:t>
            </w:r>
          </w:p>
        </w:tc>
      </w:tr>
    </w:tbl>
    <w:p>
      <w:pPr>
        <w:pStyle w:val="BodyText"/>
      </w:pPr>
      <w:r>
        <w:rPr>
          <w:bCs/>
          <w:b/>
        </w:rPr>
        <w:t xml:space="preserve">Edge effects:</w:t>
      </w:r>
      <w:r>
        <w:t xml:space="preserve"> </w:t>
      </w:r>
      <w:r>
        <w:t xml:space="preserve">a 3×3 kernel cannot be centred on the outermost rows and columns. Edges are handled by replicating border pixels or by leaving them unfiltered.</w:t>
      </w:r>
    </w:p>
    <w:p>
      <w:pPr>
        <w:pStyle w:val="BodyText"/>
      </w:pPr>
      <w:r>
        <w:rPr>
          <w:bCs/>
          <w:b/>
        </w:rPr>
        <w:t xml:space="preserve">Fourier (frequency-domain) filtering:</w:t>
      </w:r>
      <w:r>
        <w:t xml:space="preserve"> </w:t>
      </w:r>
      <w:r>
        <w:t xml:space="preserve">the image is transformed with the FFT, specific frequencies are suppressed (for example periodic striping as spikes in the spectrum, removed with a</w:t>
      </w:r>
      <w:r>
        <w:t xml:space="preserve"> </w:t>
      </w:r>
      <w:r>
        <w:rPr>
          <w:bCs/>
          <w:b/>
        </w:rPr>
        <w:t xml:space="preserve">notch filter</w:t>
      </w:r>
      <w:r>
        <w:t xml:space="preserve">), and the result is transformed back.</w:t>
      </w:r>
    </w:p>
    <w:p>
      <w:pPr>
        <w:pStyle w:val="Heading3"/>
      </w:pPr>
      <w:r>
        <w:t xml:space="preserve">6.3.3 Band ratioing</w:t>
      </w:r>
    </w:p>
    <w:p>
      <w:pPr>
        <w:pStyle w:val="FirstParagraph"/>
      </w:pPr>
      <m:oMathPara>
        <m:oMathParaPr>
          <m:jc m:val="center"/>
        </m:oMathParaPr>
        <m:oMath>
          <m:r>
            <m:t>B</m:t>
          </m:r>
          <m:sSub>
            <m:e>
              <m:r>
                <m:t>V</m:t>
              </m:r>
            </m:e>
            <m:sub>
              <m:r>
                <m:t>i</m:t>
              </m:r>
              <m:r>
                <m:rPr>
                  <m:sty m:val="p"/>
                </m:rPr>
                <m:t>,</m:t>
              </m:r>
              <m:r>
                <m:t>j</m:t>
              </m:r>
              <m:r>
                <m:rPr>
                  <m:sty m:val="p"/>
                </m:rPr>
                <m:t>,</m:t>
              </m:r>
              <m:r>
                <m:t>r</m:t>
              </m:r>
              <m:r>
                <m:t>a</m:t>
              </m:r>
              <m:r>
                <m:t>t</m:t>
              </m:r>
              <m:r>
                <m:t>i</m:t>
              </m:r>
              <m:r>
                <m:t>o</m:t>
              </m:r>
            </m:sub>
          </m:sSub>
          <m:r>
            <m:rPr>
              <m:sty m:val="p"/>
            </m:rPr>
            <m:t>=</m:t>
          </m:r>
          <m:f>
            <m:fPr>
              <m:type m:val="bar"/>
            </m:fPr>
            <m:num>
              <m:r>
                <m:t>B</m:t>
              </m:r>
              <m:sSub>
                <m:e>
                  <m:r>
                    <m:t>V</m:t>
                  </m:r>
                </m:e>
                <m:sub>
                  <m:r>
                    <m:t>i</m:t>
                  </m:r>
                  <m:r>
                    <m:rPr>
                      <m:sty m:val="p"/>
                    </m:rPr>
                    <m:t>,</m:t>
                  </m:r>
                  <m:r>
                    <m:t>j</m:t>
                  </m:r>
                  <m:r>
                    <m:rPr>
                      <m:sty m:val="p"/>
                    </m:rPr>
                    <m:t>,</m:t>
                  </m:r>
                  <m:r>
                    <m:t>k</m:t>
                  </m:r>
                </m:sub>
              </m:sSub>
            </m:num>
            <m:den>
              <m:r>
                <m:t>B</m:t>
              </m:r>
              <m:sSub>
                <m:e>
                  <m:r>
                    <m:t>V</m:t>
                  </m:r>
                </m:e>
                <m:sub>
                  <m:r>
                    <m:t>i</m:t>
                  </m:r>
                  <m:r>
                    <m:rPr>
                      <m:sty m:val="p"/>
                    </m:rPr>
                    <m:t>,</m:t>
                  </m:r>
                  <m:r>
                    <m:t>j</m:t>
                  </m:r>
                  <m:r>
                    <m:rPr>
                      <m:sty m:val="p"/>
                    </m:rPr>
                    <m:t>,</m:t>
                  </m:r>
                  <m:r>
                    <m:t>l</m:t>
                  </m:r>
                </m:sub>
              </m:sSub>
            </m:den>
          </m:f>
        </m:oMath>
      </m:oMathPara>
    </w:p>
    <w:p>
      <w:pPr>
        <w:pStyle w:val="FirstParagraph"/>
      </w:pPr>
      <w:r>
        <w:t xml:space="preserve">Ratios</w:t>
      </w:r>
      <w:r>
        <w:t xml:space="preserve"> </w:t>
      </w:r>
      <w:r>
        <w:rPr>
          <w:bCs/>
          <w:b/>
        </w:rPr>
        <w:t xml:space="preserve">suppress illumination differences</w:t>
      </w:r>
      <w:r>
        <w:t xml:space="preserve"> </w:t>
      </w:r>
      <w:r>
        <w:t xml:space="preserve">due to topography (slope and aspect), shadows and seasonal sun angle, because the same multiplicative illumination factor scales both bands. A ratio also enhances the</w:t>
      </w:r>
      <w:r>
        <w:t xml:space="preserve"> </w:t>
      </w:r>
      <w:r>
        <w:rPr>
          <w:bCs/>
          <w:b/>
        </w:rPr>
        <w:t xml:space="preserve">slope of the spectral curve</w:t>
      </w:r>
      <w:r>
        <w:t xml:space="preserve"> </w:t>
      </w:r>
      <w:r>
        <w:t xml:space="preserve">between two bands (NIR/red for vegetation, SWIR/NIR for moisture, red/blue for iron oxide).</w:t>
      </w:r>
    </w:p>
    <w:p>
      <w:pPr>
        <w:pStyle w:val="KeyPoint"/>
      </w:pPr>
      <w:r>
        <w:rPr>
          <w:bCs/>
          <w:b/>
        </w:rPr>
        <w:t xml:space="preserve">Classic illustration.</w:t>
      </w:r>
      <w:r>
        <w:t xml:space="preserve"> </w:t>
      </w:r>
      <w:r>
        <w:t xml:space="preserve">Deciduous forest on a sunlit slope has DN 48 (band A) and 50 (band B), a ratio of 0.96. The same forest in shadow has 18 and 19, a ratio of 0.95. Coniferous forest gives 31/45 = 0.69 sunlit and 11/16 = 0.69 shadowed.</w:t>
      </w:r>
      <w:r>
        <w:t xml:space="preserve"> </w:t>
      </w:r>
      <w:r>
        <w:rPr>
          <w:bCs/>
          <w:b/>
        </w:rPr>
        <w:t xml:space="preserve">After ratioing, sunlit and shadowed parts of the same cover type match.</w:t>
      </w:r>
      <w:r>
        <w:t xml:space="preserve"> </w:t>
      </w:r>
      <w:r>
        <w:t xml:space="preserve">A caution: materials with similar spectral slopes but different albedos may become inseparable in a ratio image. Division by zero is avoided by setting DN 0 to 1.</w:t>
      </w:r>
    </w:p>
    <w:p>
      <w:pPr>
        <w:pStyle w:val="BodyText"/>
      </w:pPr>
      <w:r>
        <w:t xml:space="preserve">Normalised differences such as NDVI,</w:t>
      </w:r>
      <w:r>
        <w:t xml:space="preserve"> </w:t>
      </w:r>
      <m:oMath>
        <m:d>
          <m:dPr>
            <m:begChr m:val="("/>
            <m:endChr m:val=")"/>
            <m:sepChr m:val=""/>
            <m:grow/>
          </m:dPr>
          <m:e>
            <m:r>
              <m:t>a</m:t>
            </m:r>
            <m:r>
              <m:rPr>
                <m:sty m:val="p"/>
              </m:rPr>
              <m:t>−</m:t>
            </m:r>
            <m:r>
              <m:t>b</m:t>
            </m:r>
          </m:e>
        </m:d>
        <m:r>
          <m:rPr>
            <m:sty m:val="p"/>
          </m:rPr>
          <m:t>/</m:t>
        </m:r>
        <m:d>
          <m:dPr>
            <m:begChr m:val="("/>
            <m:endChr m:val=")"/>
            <m:sepChr m:val=""/>
            <m:grow/>
          </m:dPr>
          <m:e>
            <m:r>
              <m:t>a</m:t>
            </m:r>
            <m:r>
              <m:rPr>
                <m:sty m:val="p"/>
              </m:rPr>
              <m:t>+</m:t>
            </m:r>
            <m:r>
              <m:t>b</m:t>
            </m:r>
          </m:e>
        </m:d>
      </m:oMath>
      <w:r>
        <w:t xml:space="preserve">, are bounded ratios (−1 to +1). They are covered in detail in the chapter on spectral indices.</w:t>
      </w:r>
    </w:p>
    <w:p>
      <w:pPr>
        <w:pStyle w:val="Heading2"/>
      </w:pPr>
      <w:r>
        <w:t xml:space="preserve">6.4 Image Transformations</w:t>
      </w:r>
    </w:p>
    <w:p>
      <w:pPr>
        <w:pStyle w:val="Heading3"/>
      </w:pPr>
      <w:r>
        <w:t xml:space="preserve">6.4.1 Principal component transformation</w:t>
      </w:r>
    </w:p>
    <w:p>
      <w:pPr>
        <w:pStyle w:val="FirstParagraph"/>
      </w:pPr>
      <w:r>
        <w:t xml:space="preserve">Multispectral bands are highly correlated.</w:t>
      </w:r>
      <w:r>
        <w:t xml:space="preserve"> </w:t>
      </w:r>
      <w:r>
        <w:rPr>
          <w:bCs/>
          <w:b/>
        </w:rPr>
        <w:t xml:space="preserve">PCA</w:t>
      </w:r>
      <w:r>
        <w:t xml:space="preserve"> </w:t>
      </w:r>
      <w:r>
        <w:t xml:space="preserve">rotates the axes of the multi-band feature space so the new components are uncorrelated and ordered by variance.</w:t>
      </w:r>
      <w:r>
        <w:t xml:space="preserve"> </w:t>
      </w:r>
      <w:r>
        <w:rPr>
          <w:bCs/>
          <w:b/>
        </w:rPr>
        <w:t xml:space="preserve">PC1</w:t>
      </w:r>
      <w:r>
        <w:t xml:space="preserve"> </w:t>
      </w:r>
      <w:r>
        <w:t xml:space="preserve">typically holds 80–98% of the variance (overall brightness or albedo). Later PCs hold spectral contrasts and, eventually, noise. Uses: data compression (drop the low-variance PCs), enhancement (colour composite of PC1–PC3) and multi-date change detection (change concentrates in minor PCs). The full eigen-decomposition is derived in the chapter on multivariate analysis.</w:t>
      </w:r>
    </w:p>
    <w:p>
      <w:pPr>
        <w:pStyle w:val="Heading3"/>
      </w:pPr>
      <w:r>
        <w:t xml:space="preserve">6.4.2 Tasseled cap (Kauth–Thomas) transformation</w:t>
      </w:r>
    </w:p>
    <w:p>
      <w:pPr>
        <w:pStyle w:val="FirstParagraph"/>
      </w:pPr>
      <w:r>
        <w:t xml:space="preserve">A fixed, sensor-specific linear transformation of bands into physically meaningful axes:</w:t>
      </w:r>
    </w:p>
    <w:p>
      <w:pPr>
        <w:pStyle w:val="Compact"/>
        <w:numPr>
          <w:ilvl w:val="0"/>
          <w:numId w:val="1039"/>
        </w:numPr>
      </w:pPr>
      <w:r>
        <w:rPr>
          <w:bCs/>
          <w:b/>
        </w:rPr>
        <w:t xml:space="preserve">Brightness:</w:t>
      </w:r>
      <w:r>
        <w:t xml:space="preserve"> </w:t>
      </w:r>
      <w:r>
        <w:t xml:space="preserve">weighted sum of all bands (soil reflectance, albedo).</w:t>
      </w:r>
    </w:p>
    <w:p>
      <w:pPr>
        <w:pStyle w:val="Compact"/>
        <w:numPr>
          <w:ilvl w:val="0"/>
          <w:numId w:val="1039"/>
        </w:numPr>
      </w:pPr>
      <w:r>
        <w:rPr>
          <w:bCs/>
          <w:b/>
        </w:rPr>
        <w:t xml:space="preserve">Greenness:</w:t>
      </w:r>
      <w:r>
        <w:t xml:space="preserve"> </w:t>
      </w:r>
      <w:r>
        <w:t xml:space="preserve">NIR contrasted against visible bands (green vegetation).</w:t>
      </w:r>
    </w:p>
    <w:p>
      <w:pPr>
        <w:pStyle w:val="Compact"/>
        <w:numPr>
          <w:ilvl w:val="0"/>
          <w:numId w:val="1039"/>
        </w:numPr>
      </w:pPr>
      <w:r>
        <w:rPr>
          <w:bCs/>
          <w:b/>
        </w:rPr>
        <w:t xml:space="preserve">Wetness:</w:t>
      </w:r>
      <w:r>
        <w:t xml:space="preserve"> </w:t>
      </w:r>
      <w:r>
        <w:t xml:space="preserve">SWIR contrasted against VIS–NIR (soil and canopy moisture).</w:t>
      </w:r>
    </w:p>
    <w:p>
      <w:pPr>
        <w:pStyle w:val="FirstParagraph"/>
      </w:pPr>
      <w:r>
        <w:t xml:space="preserve">In brightness–greenness space, crop development traces a</w:t>
      </w:r>
      <w:r>
        <w:t xml:space="preserve"> </w:t>
      </w:r>
      <w:r>
        <w:t xml:space="preserve">“</w:t>
      </w:r>
      <w:r>
        <w:t xml:space="preserve">tasseled cap</w:t>
      </w:r>
      <w:r>
        <w:t xml:space="preserve">”</w:t>
      </w:r>
      <w:r>
        <w:t xml:space="preserve"> </w:t>
      </w:r>
      <w:r>
        <w:t xml:space="preserve">shape: from the soil line, up to greenness at peak canopy, then back towards brightness at senescence.</w:t>
      </w:r>
    </w:p>
    <w:p>
      <w:pPr>
        <w:pStyle w:val="Heading3"/>
      </w:pPr>
      <w:r>
        <w:t xml:space="preserve">6.4.3 Intensity–Hue–Saturation (IHS) transformation</w:t>
      </w:r>
    </w:p>
    <w:p>
      <w:pPr>
        <w:pStyle w:val="FirstParagraph"/>
      </w:pPr>
      <w:r>
        <w:t xml:space="preserve">RGB values are converted into</w:t>
      </w:r>
      <w:r>
        <w:t xml:space="preserve"> </w:t>
      </w:r>
      <w:r>
        <w:rPr>
          <w:bCs/>
          <w:b/>
        </w:rPr>
        <w:t xml:space="preserve">intensity</w:t>
      </w:r>
      <w:r>
        <w:t xml:space="preserve"> </w:t>
      </w:r>
      <w:r>
        <w:t xml:space="preserve">(overall brightness),</w:t>
      </w:r>
      <w:r>
        <w:t xml:space="preserve"> </w:t>
      </w:r>
      <w:r>
        <w:rPr>
          <w:bCs/>
          <w:b/>
        </w:rPr>
        <w:t xml:space="preserve">hue</w:t>
      </w:r>
      <w:r>
        <w:t xml:space="preserve"> </w:t>
      </w:r>
      <w:r>
        <w:t xml:space="preserve">(dominant wavelength, i.e. colour) and</w:t>
      </w:r>
      <w:r>
        <w:t xml:space="preserve"> </w:t>
      </w:r>
      <w:r>
        <w:rPr>
          <w:bCs/>
          <w:b/>
        </w:rPr>
        <w:t xml:space="preserve">saturation</w:t>
      </w:r>
      <w:r>
        <w:t xml:space="preserve"> </w:t>
      </w:r>
      <w:r>
        <w:t xml:space="preserve">(purity of colour). IHS is used for enhancement and, most importantly, for</w:t>
      </w:r>
      <w:r>
        <w:t xml:space="preserve"> </w:t>
      </w:r>
      <w:r>
        <w:rPr>
          <w:bCs/>
          <w:b/>
        </w:rPr>
        <w:t xml:space="preserve">image fusion</w:t>
      </w:r>
      <w:r>
        <w:t xml:space="preserve">.</w:t>
      </w:r>
    </w:p>
    <w:p>
      <w:pPr>
        <w:pStyle w:val="Heading2"/>
      </w:pPr>
      <w:r>
        <w:t xml:space="preserve">6.5 Image Fusion (Pan-sharpening)</w:t>
      </w:r>
    </w:p>
    <w:p>
      <w:pPr>
        <w:pStyle w:val="FirstParagraph"/>
      </w:pPr>
      <w:r>
        <w:t xml:space="preserve">Most sensors carry a</w:t>
      </w:r>
      <w:r>
        <w:t xml:space="preserve"> </w:t>
      </w:r>
      <w:r>
        <w:rPr>
          <w:bCs/>
          <w:b/>
        </w:rPr>
        <w:t xml:space="preserve">panchromatic</w:t>
      </w:r>
      <w:r>
        <w:t xml:space="preserve"> </w:t>
      </w:r>
      <w:r>
        <w:t xml:space="preserve">band (broad band, finer spatial resolution, e.g. IRS-1C PAN 5.8 m) and</w:t>
      </w:r>
      <w:r>
        <w:t xml:space="preserve"> </w:t>
      </w:r>
      <w:r>
        <w:rPr>
          <w:bCs/>
          <w:b/>
        </w:rPr>
        <w:t xml:space="preserve">multispectral</w:t>
      </w:r>
      <w:r>
        <w:t xml:space="preserve"> </w:t>
      </w:r>
      <w:r>
        <w:t xml:space="preserve">bands (narrower bands, coarser resolution, e.g. LISS-III 23.5 m).</w:t>
      </w:r>
      <w:r>
        <w:t xml:space="preserve"> </w:t>
      </w:r>
      <w:r>
        <w:rPr>
          <w:bCs/>
          <w:b/>
        </w:rPr>
        <w:t xml:space="preserve">Image fusion</w:t>
      </w:r>
      <w:r>
        <w:t xml:space="preserve"> </w:t>
      </w:r>
      <w:r>
        <w:t xml:space="preserve">combines them to produce a multispectral image at the panchromatic resolution.</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Principle</w:t>
            </w:r>
          </w:p>
        </w:tc>
        <w:tc>
          <w:tcPr/>
          <w:p>
            <w:pPr>
              <w:pStyle w:val="Compact"/>
              <w:jc w:val="left"/>
            </w:pPr>
            <w:r>
              <w:t xml:space="preserve">Notes</w:t>
            </w:r>
          </w:p>
        </w:tc>
      </w:tr>
      <w:tr>
        <w:tc>
          <w:tcPr/>
          <w:p>
            <w:pPr>
              <w:pStyle w:val="Compact"/>
              <w:jc w:val="left"/>
            </w:pPr>
            <w:r>
              <w:rPr>
                <w:bCs/>
                <w:b/>
              </w:rPr>
              <w:t xml:space="preserve">IHS substitution</w:t>
            </w:r>
          </w:p>
        </w:tc>
        <w:tc>
          <w:tcPr/>
          <w:p>
            <w:pPr>
              <w:pStyle w:val="Compact"/>
              <w:jc w:val="left"/>
            </w:pPr>
            <w:r>
              <w:t xml:space="preserve">Convert MS (3 bands) RGB → IHS, replace I with stretched PAN, convert back</w:t>
            </w:r>
          </w:p>
        </w:tc>
        <w:tc>
          <w:tcPr/>
          <w:p>
            <w:pPr>
              <w:pStyle w:val="Compact"/>
              <w:jc w:val="left"/>
            </w:pPr>
            <w:r>
              <w:t xml:space="preserve">Simple; spectral distortion if PAN and I differ</w:t>
            </w:r>
          </w:p>
        </w:tc>
      </w:tr>
      <w:tr>
        <w:tc>
          <w:tcPr/>
          <w:p>
            <w:pPr>
              <w:pStyle w:val="Compact"/>
              <w:jc w:val="left"/>
            </w:pPr>
            <w:r>
              <w:rPr>
                <w:bCs/>
                <w:b/>
              </w:rPr>
              <w:t xml:space="preserve">PCA substitution</w:t>
            </w:r>
          </w:p>
        </w:tc>
        <w:tc>
          <w:tcPr/>
          <w:p>
            <w:pPr>
              <w:pStyle w:val="Compact"/>
              <w:jc w:val="left"/>
            </w:pPr>
            <w:r>
              <w:t xml:space="preserve">Replace PC1 of the MS data with stretched PAN, then inverse PCA</w:t>
            </w:r>
          </w:p>
        </w:tc>
        <w:tc>
          <w:tcPr/>
          <w:p>
            <w:pPr>
              <w:pStyle w:val="Compact"/>
              <w:jc w:val="left"/>
            </w:pPr>
            <w:r>
              <w:t xml:space="preserve">Works for more than 3 bands</w:t>
            </w:r>
          </w:p>
        </w:tc>
      </w:tr>
      <w:tr>
        <w:tc>
          <w:tcPr/>
          <w:p>
            <w:pPr>
              <w:pStyle w:val="Compact"/>
              <w:jc w:val="left"/>
            </w:pPr>
            <w:r>
              <w:rPr>
                <w:bCs/>
                <w:b/>
              </w:rPr>
              <w:t xml:space="preserve">Brovey transform</w:t>
            </w:r>
          </w:p>
        </w:tc>
        <w:tc>
          <w:tcPr/>
          <w:p>
            <w:pPr>
              <w:pStyle w:val="Compact"/>
              <w:jc w:val="left"/>
            </w:pPr>
            <m:oMath>
              <m:r>
                <m:t>M</m:t>
              </m:r>
              <m:sSubSup>
                <m:e>
                  <m:r>
                    <m:t>S</m:t>
                  </m:r>
                </m:e>
                <m:sub>
                  <m:r>
                    <m:t>i</m:t>
                  </m:r>
                </m:sub>
                <m:sup>
                  <m:r>
                    <m:t>f</m:t>
                  </m:r>
                  <m:r>
                    <m:t>u</m:t>
                  </m:r>
                  <m:r>
                    <m:t>s</m:t>
                  </m:r>
                  <m:r>
                    <m:t>e</m:t>
                  </m:r>
                  <m:r>
                    <m:t>d</m:t>
                  </m:r>
                </m:sup>
              </m:sSubSup>
              <m:r>
                <m:rPr>
                  <m:sty m:val="p"/>
                </m:rPr>
                <m:t>=</m:t>
              </m:r>
              <m:f>
                <m:fPr>
                  <m:type m:val="bar"/>
                </m:fPr>
                <m:num>
                  <m:r>
                    <m:t>M</m:t>
                  </m:r>
                  <m:sSub>
                    <m:e>
                      <m:r>
                        <m:t>S</m:t>
                      </m:r>
                    </m:e>
                    <m:sub>
                      <m:r>
                        <m:t>i</m:t>
                      </m:r>
                    </m:sub>
                  </m:sSub>
                </m:num>
                <m:den>
                  <m:r>
                    <m:rPr>
                      <m:sty m:val="p"/>
                    </m:rPr>
                    <m:t>∑</m:t>
                  </m:r>
                  <m:r>
                    <m:t>M</m:t>
                  </m:r>
                  <m:r>
                    <m:t>S</m:t>
                  </m:r>
                </m:den>
              </m:f>
              <m:r>
                <m:rPr>
                  <m:sty m:val="p"/>
                </m:rPr>
                <m:t>×</m:t>
              </m:r>
              <m:r>
                <m:t>P</m:t>
              </m:r>
              <m:r>
                <m:t>A</m:t>
              </m:r>
              <m:r>
                <m:t>N</m:t>
              </m:r>
            </m:oMath>
          </w:p>
        </w:tc>
        <w:tc>
          <w:tcPr/>
          <w:p>
            <w:pPr>
              <w:pStyle w:val="Compact"/>
              <w:jc w:val="left"/>
            </w:pPr>
            <w:r>
              <w:t xml:space="preserve">Normalises each band by total intensity; good contrast; alters radiometry</w:t>
            </w:r>
          </w:p>
        </w:tc>
      </w:tr>
      <w:tr>
        <w:tc>
          <w:tcPr/>
          <w:p>
            <w:pPr>
              <w:pStyle w:val="Compact"/>
              <w:jc w:val="left"/>
            </w:pPr>
            <w:r>
              <w:rPr>
                <w:bCs/>
                <w:b/>
              </w:rPr>
              <w:t xml:space="preserve">High-pass filter (HPF)</w:t>
            </w:r>
          </w:p>
        </w:tc>
        <w:tc>
          <w:tcPr/>
          <w:p>
            <w:pPr>
              <w:pStyle w:val="Compact"/>
              <w:jc w:val="left"/>
            </w:pPr>
            <w:r>
              <w:t xml:space="preserve">Add high-frequency detail of PAN to resampled MS</w:t>
            </w:r>
          </w:p>
        </w:tc>
        <w:tc>
          <w:tcPr/>
          <w:p>
            <w:pPr>
              <w:pStyle w:val="Compact"/>
              <w:jc w:val="left"/>
            </w:pPr>
            <w:r>
              <w:t xml:space="preserve">Preserves spectra better</w:t>
            </w:r>
          </w:p>
        </w:tc>
      </w:tr>
      <w:tr>
        <w:tc>
          <w:tcPr/>
          <w:p>
            <w:pPr>
              <w:pStyle w:val="Compact"/>
              <w:jc w:val="left"/>
            </w:pPr>
            <w:r>
              <w:rPr>
                <w:bCs/>
                <w:b/>
              </w:rPr>
              <w:t xml:space="preserve">Gram–Schmidt, wavelet, Ehlers</w:t>
            </w:r>
          </w:p>
        </w:tc>
        <w:tc>
          <w:tcPr/>
          <w:p>
            <w:pPr>
              <w:pStyle w:val="Compact"/>
              <w:jc w:val="left"/>
            </w:pPr>
            <w:r>
              <w:t xml:space="preserve">Advanced spectral-preserving methods</w:t>
            </w:r>
          </w:p>
        </w:tc>
        <w:tc>
          <w:tcPr/>
          <w:p>
            <w:pPr>
              <w:pStyle w:val="Compact"/>
              <w:jc w:val="left"/>
            </w:pPr>
            <w:r>
              <w:t xml:space="preserve">Common in modern software</w:t>
            </w:r>
          </w:p>
        </w:tc>
      </w:tr>
      <w:tr>
        <w:tc>
          <w:tcPr/>
          <w:p>
            <w:pPr>
              <w:pStyle w:val="Compact"/>
              <w:jc w:val="left"/>
            </w:pPr>
            <w:r>
              <w:rPr>
                <w:bCs/>
                <w:b/>
              </w:rPr>
              <w:t xml:space="preserve">Band substitution</w:t>
            </w:r>
          </w:p>
        </w:tc>
        <w:tc>
          <w:tcPr/>
          <w:p>
            <w:pPr>
              <w:pStyle w:val="Compact"/>
              <w:jc w:val="left"/>
            </w:pPr>
            <w:r>
              <w:t xml:space="preserve">Directly use PAN in place of one band</w:t>
            </w:r>
          </w:p>
        </w:tc>
        <w:tc>
          <w:tcPr/>
          <w:p>
            <w:pPr>
              <w:pStyle w:val="Compact"/>
              <w:jc w:val="left"/>
            </w:pPr>
            <w:r>
              <w:t xml:space="preserve">Crude</w:t>
            </w:r>
          </w:p>
        </w:tc>
      </w:tr>
    </w:tbl>
    <w:p>
      <w:pPr>
        <w:pStyle w:val="BodyText"/>
      </w:pPr>
      <w:r>
        <w:t xml:space="preserve">Fusion levels:</w:t>
      </w:r>
      <w:r>
        <w:t xml:space="preserve"> </w:t>
      </w:r>
      <w:r>
        <w:rPr>
          <w:bCs/>
          <w:b/>
        </w:rPr>
        <w:t xml:space="preserve">pixel level</w:t>
      </w:r>
      <w:r>
        <w:t xml:space="preserve"> </w:t>
      </w:r>
      <w:r>
        <w:t xml:space="preserve">(pan-sharpening, optical–SAR layer stacking),</w:t>
      </w:r>
      <w:r>
        <w:t xml:space="preserve"> </w:t>
      </w:r>
      <w:r>
        <w:rPr>
          <w:bCs/>
          <w:b/>
        </w:rPr>
        <w:t xml:space="preserve">feature level</w:t>
      </w:r>
      <w:r>
        <w:t xml:space="preserve"> </w:t>
      </w:r>
      <w:r>
        <w:t xml:space="preserve">(combining extracted features such as edges, texture and indices), and</w:t>
      </w:r>
      <w:r>
        <w:t xml:space="preserve"> </w:t>
      </w:r>
      <w:r>
        <w:rPr>
          <w:bCs/>
          <w:b/>
        </w:rPr>
        <w:t xml:space="preserve">decision level</w:t>
      </w:r>
      <w:r>
        <w:t xml:space="preserve"> </w:t>
      </w:r>
      <w:r>
        <w:t xml:space="preserve">(combining classifier outputs).</w:t>
      </w:r>
    </w:p>
    <w:p>
      <w:pPr>
        <w:pStyle w:val="Heading2"/>
      </w:pPr>
      <w:r>
        <w:t xml:space="preserve">6.6 Classification: Concepts Not Covered Elsewhere</w:t>
      </w:r>
    </w:p>
    <w:p>
      <w:pPr>
        <w:pStyle w:val="FirstParagraph"/>
      </w:pPr>
      <w:r>
        <w:t xml:space="preserve">Supervised and unsupervised approaches, MLC, machine learning and accuracy assessment follow in the next sections. The points below fill gaps.</w:t>
      </w:r>
    </w:p>
    <w:p>
      <w:pPr>
        <w:pStyle w:val="Heading3"/>
      </w:pPr>
      <w:r>
        <w:t xml:space="preserve">6.6.1 Parallelepiped classifier</w:t>
      </w:r>
    </w:p>
    <w:p>
      <w:pPr>
        <w:pStyle w:val="FirstParagraph"/>
      </w:pPr>
      <w:r>
        <w:t xml:space="preserve">For each class</w:t>
      </w:r>
      <w:r>
        <w:t xml:space="preserve"> </w:t>
      </w:r>
      <m:oMath>
        <m:r>
          <m:t>c</m:t>
        </m:r>
      </m:oMath>
      <w:r>
        <w:t xml:space="preserve"> </w:t>
      </w:r>
      <w:r>
        <w:t xml:space="preserve">and band</w:t>
      </w:r>
      <w:r>
        <w:t xml:space="preserve"> </w:t>
      </w:r>
      <m:oMath>
        <m:r>
          <m:t>k</m:t>
        </m:r>
      </m:oMath>
      <w:r>
        <w:t xml:space="preserve">, define a box:</w:t>
      </w:r>
      <w:r>
        <w:t xml:space="preserve"> </w:t>
      </w:r>
      <m:oMath>
        <m:sSub>
          <m:e>
            <m:r>
              <m:t>μ</m:t>
            </m:r>
          </m:e>
          <m:sub>
            <m:r>
              <m:t>c</m:t>
            </m:r>
            <m:r>
              <m:t>k</m:t>
            </m:r>
          </m:sub>
        </m:sSub>
        <m:r>
          <m:rPr>
            <m:sty m:val="p"/>
          </m:rPr>
          <m:t>−</m:t>
        </m:r>
        <m:sSub>
          <m:e>
            <m:r>
              <m:t>S</m:t>
            </m:r>
          </m:e>
          <m:sub>
            <m:r>
              <m:t>c</m:t>
            </m:r>
            <m:r>
              <m:t>k</m:t>
            </m:r>
          </m:sub>
        </m:sSub>
        <m:r>
          <m:rPr>
            <m:sty m:val="p"/>
          </m:rPr>
          <m:t>≤</m:t>
        </m:r>
        <m:r>
          <m:t>B</m:t>
        </m:r>
        <m:sSub>
          <m:e>
            <m:r>
              <m:t>V</m:t>
            </m:r>
          </m:e>
          <m:sub>
            <m:r>
              <m:t>i</m:t>
            </m:r>
            <m:r>
              <m:t>j</m:t>
            </m:r>
            <m:r>
              <m:t>k</m:t>
            </m:r>
          </m:sub>
        </m:sSub>
        <m:r>
          <m:rPr>
            <m:sty m:val="p"/>
          </m:rPr>
          <m:t>≤</m:t>
        </m:r>
        <m:sSub>
          <m:e>
            <m:r>
              <m:t>μ</m:t>
            </m:r>
          </m:e>
          <m:sub>
            <m:r>
              <m:t>c</m:t>
            </m:r>
            <m:r>
              <m:t>k</m:t>
            </m:r>
          </m:sub>
        </m:sSub>
        <m:r>
          <m:rPr>
            <m:sty m:val="p"/>
          </m:rPr>
          <m:t>+</m:t>
        </m:r>
        <m:sSub>
          <m:e>
            <m:r>
              <m:t>S</m:t>
            </m:r>
          </m:e>
          <m:sub>
            <m:r>
              <m:t>c</m:t>
            </m:r>
            <m:r>
              <m:t>k</m:t>
            </m:r>
          </m:sub>
        </m:sSub>
      </m:oMath>
      <w:r>
        <w:t xml:space="preserve"> </w:t>
      </w:r>
      <w:r>
        <w:t xml:space="preserve">(or class min–max). A pixel inside the box for every band is assigned to that class. It is fast and uses simple Boolean logic. However, boxes overlap (correlated bands produce elongated clusters), so a pixel may fall in several boxes, in which case it is assigned to the first class or resolved by minimum distance. A pixel may also fall in none (unclassified).</w:t>
      </w:r>
      <w:r>
        <w:t xml:space="preserve"> </w:t>
      </w:r>
      <w:r>
        <w:rPr>
          <w:bCs/>
          <w:b/>
        </w:rPr>
        <w:t xml:space="preserve">Stepped parallelepipeds</w:t>
      </w:r>
      <w:r>
        <w:t xml:space="preserve"> </w:t>
      </w:r>
      <w:r>
        <w:t xml:space="preserve">reduce the overlap.</w:t>
      </w:r>
    </w:p>
    <w:p>
      <w:pPr>
        <w:pStyle w:val="Heading3"/>
      </w:pPr>
      <w:r>
        <w:t xml:space="preserve">6.6.2 Minimum distance to means: the formula</w:t>
      </w:r>
    </w:p>
    <w:p>
      <w:pPr>
        <w:pStyle w:val="FirstParagraph"/>
      </w:pPr>
      <m:oMathPara>
        <m:oMathParaPr>
          <m:jc m:val="center"/>
        </m:oMathParaPr>
        <m:oMath>
          <m:sSub>
            <m:e>
              <m:r>
                <m:t>D</m:t>
              </m:r>
            </m:e>
            <m:sub>
              <m:r>
                <m:t>c</m:t>
              </m:r>
            </m:sub>
          </m:sSub>
          <m:r>
            <m:rPr>
              <m:sty m:val="p"/>
            </m:rPr>
            <m:t>=</m:t>
          </m:r>
          <m:rad>
            <m:radPr>
              <m:degHide m:val="on"/>
            </m:radPr>
            <m:deg/>
            <m:e>
              <m:nary>
                <m:naryPr>
                  <m:chr m:val="∑"/>
                  <m:limLoc m:val="undOvr"/>
                  <m:subHide m:val="off"/>
                  <m:supHide m:val="off"/>
                </m:naryPr>
                <m:sub>
                  <m:r>
                    <m:t>k</m:t>
                  </m:r>
                  <m:r>
                    <m:rPr>
                      <m:sty m:val="p"/>
                    </m:rPr>
                    <m:t>=</m:t>
                  </m:r>
                  <m:r>
                    <m:t>1</m:t>
                  </m:r>
                </m:sub>
                <m:sup>
                  <m:r>
                    <m:t>n</m:t>
                  </m:r>
                </m:sup>
                <m:e>
                  <m:sSup>
                    <m:e>
                      <m:d>
                        <m:dPr>
                          <m:begChr m:val="("/>
                          <m:endChr m:val=")"/>
                          <m:sepChr m:val=""/>
                          <m:grow/>
                        </m:dPr>
                        <m:e>
                          <m:r>
                            <m:t>B</m:t>
                          </m:r>
                          <m:sSub>
                            <m:e>
                              <m:r>
                                <m:t>V</m:t>
                              </m:r>
                            </m:e>
                            <m:sub>
                              <m:r>
                                <m:t>i</m:t>
                              </m:r>
                              <m:r>
                                <m:t>j</m:t>
                              </m:r>
                              <m:r>
                                <m:t>k</m:t>
                              </m:r>
                            </m:sub>
                          </m:sSub>
                          <m:r>
                            <m:rPr>
                              <m:sty m:val="p"/>
                            </m:rPr>
                            <m:t>−</m:t>
                          </m:r>
                          <m:sSub>
                            <m:e>
                              <m:r>
                                <m:t>μ</m:t>
                              </m:r>
                            </m:e>
                            <m:sub>
                              <m:r>
                                <m:t>c</m:t>
                              </m:r>
                              <m:r>
                                <m:t>k</m:t>
                              </m:r>
                            </m:sub>
                          </m:sSub>
                        </m:e>
                      </m:d>
                    </m:e>
                    <m:sup>
                      <m:r>
                        <m:t>2</m:t>
                      </m:r>
                    </m:sup>
                  </m:sSup>
                </m:e>
              </m:nary>
            </m:e>
          </m:rad>
        </m:oMath>
      </m:oMathPara>
    </w:p>
    <w:p>
      <w:pPr>
        <w:pStyle w:val="FirstParagraph"/>
      </w:pPr>
      <w:r>
        <w:t xml:space="preserve">The pixel goes to the class with the smallest</w:t>
      </w:r>
      <w:r>
        <w:t xml:space="preserve"> </w:t>
      </w:r>
      <m:oMath>
        <m:sSub>
          <m:e>
            <m:r>
              <m:t>D</m:t>
            </m:r>
          </m:e>
          <m:sub>
            <m:r>
              <m:t>c</m:t>
            </m:r>
          </m:sub>
        </m:sSub>
      </m:oMath>
      <w:r>
        <w:t xml:space="preserve">, optionally only if</w:t>
      </w:r>
      <w:r>
        <w:t xml:space="preserve"> </w:t>
      </w:r>
      <m:oMath>
        <m:sSub>
          <m:e>
            <m:r>
              <m:t>D</m:t>
            </m:r>
          </m:e>
          <m:sub>
            <m:r>
              <m:t>c</m:t>
            </m:r>
          </m:sub>
        </m:sSub>
      </m:oMath>
      <w:r>
        <w:t xml:space="preserve"> </w:t>
      </w:r>
      <w:r>
        <w:t xml:space="preserve">is within a threshold. The</w:t>
      </w:r>
      <w:r>
        <w:t xml:space="preserve"> </w:t>
      </w:r>
      <w:r>
        <w:rPr>
          <w:bCs/>
          <w:b/>
        </w:rPr>
        <w:t xml:space="preserve">Mahalanobis distance</w:t>
      </w:r>
      <w:r>
        <w:t xml:space="preserve"> </w:t>
      </w:r>
      <w:r>
        <w:t xml:space="preserve">adds the covariance:</w:t>
      </w:r>
      <w:r>
        <w:t xml:space="preserve"> </w:t>
      </w:r>
      <m:oMath>
        <m:sSubSup>
          <m:e>
            <m:r>
              <m:t>D</m:t>
            </m:r>
          </m:e>
          <m:sub>
            <m:r>
              <m:t>c</m:t>
            </m:r>
          </m:sub>
          <m:sup>
            <m:r>
              <m:t>2</m:t>
            </m:r>
          </m:sup>
        </m:sSubSup>
        <m:r>
          <m:rPr>
            <m:sty m:val="p"/>
          </m:rPr>
          <m:t>=</m:t>
        </m:r>
        <m:sSup>
          <m:e>
            <m:d>
              <m:dPr>
                <m:begChr m:val="("/>
                <m:endChr m:val=")"/>
                <m:sepChr m:val=""/>
                <m:grow/>
              </m:dPr>
              <m:e>
                <m:r>
                  <m:t>X</m:t>
                </m:r>
                <m:r>
                  <m:rPr>
                    <m:sty m:val="p"/>
                  </m:rPr>
                  <m:t>−</m:t>
                </m:r>
                <m:sSub>
                  <m:e>
                    <m:r>
                      <m:t>μ</m:t>
                    </m:r>
                  </m:e>
                  <m:sub>
                    <m:r>
                      <m:t>c</m:t>
                    </m:r>
                  </m:sub>
                </m:sSub>
              </m:e>
            </m:d>
          </m:e>
          <m:sup>
            <m:r>
              <m:t>T</m:t>
            </m:r>
          </m:sup>
        </m:sSup>
        <m:sSubSup>
          <m:e>
            <m:r>
              <m:t>Σ</m:t>
            </m:r>
          </m:e>
          <m:sub>
            <m:r>
              <m:t>c</m:t>
            </m:r>
          </m:sub>
          <m:sup>
            <m:r>
              <m:rPr>
                <m:sty m:val="p"/>
              </m:rPr>
              <m:t>−</m:t>
            </m:r>
            <m:r>
              <m:t>1</m:t>
            </m:r>
          </m:sup>
        </m:sSubSup>
        <m:d>
          <m:dPr>
            <m:begChr m:val="("/>
            <m:endChr m:val=")"/>
            <m:sepChr m:val=""/>
            <m:grow/>
          </m:dPr>
          <m:e>
            <m:r>
              <m:t>X</m:t>
            </m:r>
            <m:r>
              <m:rPr>
                <m:sty m:val="p"/>
              </m:rPr>
              <m:t>−</m:t>
            </m:r>
            <m:sSub>
              <m:e>
                <m:r>
                  <m:t>μ</m:t>
                </m:r>
              </m:e>
              <m:sub>
                <m:r>
                  <m:t>c</m:t>
                </m:r>
              </m:sub>
            </m:sSub>
          </m:e>
        </m:d>
      </m:oMath>
      <w:r>
        <w:t xml:space="preserve">.</w:t>
      </w:r>
    </w:p>
    <w:p>
      <w:pPr>
        <w:pStyle w:val="Heading3"/>
      </w:pPr>
      <w:r>
        <w:t xml:space="preserve">6.6.3 Maximum likelihood discriminant function</w:t>
      </w:r>
    </w:p>
    <w:p>
      <w:pPr>
        <w:pStyle w:val="FirstParagraph"/>
      </w:pPr>
      <w:r>
        <w:t xml:space="preserve">Assuming Gaussian classes, pixel vector</w:t>
      </w:r>
      <w:r>
        <w:t xml:space="preserve"> </w:t>
      </w:r>
      <m:oMath>
        <m:r>
          <m:t>X</m:t>
        </m:r>
      </m:oMath>
      <w:r>
        <w:t xml:space="preserve"> </w:t>
      </w:r>
      <w:r>
        <w:t xml:space="preserve">is assigned to the class maximising</w:t>
      </w:r>
    </w:p>
    <w:p>
      <w:pPr>
        <w:pStyle w:val="BodyText"/>
      </w:pPr>
      <m:oMathPara>
        <m:oMathParaPr>
          <m:jc m:val="center"/>
        </m:oMathParaPr>
        <m:oMath>
          <m:sSub>
            <m:e>
              <m:r>
                <m:t>g</m:t>
              </m:r>
            </m:e>
            <m:sub>
              <m:r>
                <m:t>c</m:t>
              </m:r>
            </m:sub>
          </m:sSub>
          <m:d>
            <m:dPr>
              <m:begChr m:val="("/>
              <m:endChr m:val=")"/>
              <m:sepChr m:val=""/>
              <m:grow/>
            </m:dPr>
            <m:e>
              <m:r>
                <m:t>X</m:t>
              </m:r>
            </m:e>
          </m:d>
          <m:r>
            <m:rPr>
              <m:sty m:val="p"/>
            </m:rPr>
            <m:t>=</m:t>
          </m:r>
          <m:r>
            <m:rPr>
              <m:sty m:val="p"/>
            </m:rPr>
            <m:t>ln</m:t>
          </m:r>
          <m:r>
            <m:t>p</m:t>
          </m:r>
          <m:d>
            <m:dPr>
              <m:begChr m:val="("/>
              <m:endChr m:val=")"/>
              <m:sepChr m:val=""/>
              <m:grow/>
            </m:dPr>
            <m:e>
              <m:sSub>
                <m:e>
                  <m:r>
                    <m:t>ω</m:t>
                  </m:r>
                </m:e>
                <m:sub>
                  <m:r>
                    <m:t>c</m:t>
                  </m:r>
                </m:sub>
              </m:sSub>
            </m:e>
          </m:d>
          <m:r>
            <m:rPr>
              <m:sty m:val="p"/>
            </m:rPr>
            <m:t>−</m:t>
          </m:r>
          <m:f>
            <m:fPr>
              <m:type m:val="lin"/>
            </m:fPr>
            <m:num>
              <m:r>
                <m:t>1</m:t>
              </m:r>
            </m:num>
            <m:den>
              <m:r>
                <m:t>2</m:t>
              </m:r>
            </m:den>
          </m:f>
          <m:r>
            <m:rPr>
              <m:sty m:val="p"/>
            </m:rPr>
            <m:t>ln</m:t>
          </m:r>
          <m:d>
            <m:dPr>
              <m:begChr m:val="|"/>
              <m:endChr m:val="|"/>
              <m:sepChr m:val=""/>
              <m:grow/>
            </m:dPr>
            <m:e>
              <m:sSub>
                <m:e>
                  <m:r>
                    <m:t>Σ</m:t>
                  </m:r>
                </m:e>
                <m:sub>
                  <m:r>
                    <m:t>c</m:t>
                  </m:r>
                </m:sub>
              </m:sSub>
            </m:e>
          </m:d>
          <m:r>
            <m:rPr>
              <m:sty m:val="p"/>
            </m:rPr>
            <m:t>−</m:t>
          </m:r>
          <m:f>
            <m:fPr>
              <m:type m:val="lin"/>
            </m:fPr>
            <m:num>
              <m:r>
                <m:t>1</m:t>
              </m:r>
            </m:num>
            <m:den>
              <m:r>
                <m:t>2</m:t>
              </m:r>
            </m:den>
          </m:f>
          <m:sSup>
            <m:e>
              <m:d>
                <m:dPr>
                  <m:begChr m:val="("/>
                  <m:endChr m:val=")"/>
                  <m:sepChr m:val=""/>
                  <m:grow/>
                </m:dPr>
                <m:e>
                  <m:r>
                    <m:t>X</m:t>
                  </m:r>
                  <m:r>
                    <m:rPr>
                      <m:sty m:val="p"/>
                    </m:rPr>
                    <m:t>−</m:t>
                  </m:r>
                  <m:sSub>
                    <m:e>
                      <m:r>
                        <m:t>μ</m:t>
                      </m:r>
                    </m:e>
                    <m:sub>
                      <m:r>
                        <m:t>c</m:t>
                      </m:r>
                    </m:sub>
                  </m:sSub>
                </m:e>
              </m:d>
            </m:e>
            <m:sup>
              <m:r>
                <m:t>T</m:t>
              </m:r>
            </m:sup>
          </m:sSup>
          <m:sSubSup>
            <m:e>
              <m:r>
                <m:t>Σ</m:t>
              </m:r>
            </m:e>
            <m:sub>
              <m:r>
                <m:t>c</m:t>
              </m:r>
            </m:sub>
            <m:sup>
              <m:r>
                <m:rPr>
                  <m:sty m:val="p"/>
                </m:rPr>
                <m:t>−</m:t>
              </m:r>
              <m:r>
                <m:t>1</m:t>
              </m:r>
            </m:sup>
          </m:sSubSup>
          <m:d>
            <m:dPr>
              <m:begChr m:val="("/>
              <m:endChr m:val=")"/>
              <m:sepChr m:val=""/>
              <m:grow/>
            </m:dPr>
            <m:e>
              <m:r>
                <m:t>X</m:t>
              </m:r>
              <m:r>
                <m:rPr>
                  <m:sty m:val="p"/>
                </m:rPr>
                <m:t>−</m:t>
              </m:r>
              <m:sSub>
                <m:e>
                  <m:r>
                    <m:t>μ</m:t>
                  </m:r>
                </m:e>
                <m:sub>
                  <m:r>
                    <m:t>c</m:t>
                  </m:r>
                </m:sub>
              </m:sSub>
            </m:e>
          </m:d>
        </m:oMath>
      </m:oMathPara>
    </w:p>
    <w:p>
      <w:pPr>
        <w:pStyle w:val="FirstParagraph"/>
      </w:pPr>
      <w:r>
        <w:t xml:space="preserve">With equal priors</w:t>
      </w:r>
      <w:r>
        <w:t xml:space="preserve"> </w:t>
      </w:r>
      <m:oMath>
        <m:r>
          <m:t>p</m:t>
        </m:r>
        <m:d>
          <m:dPr>
            <m:begChr m:val="("/>
            <m:endChr m:val=")"/>
            <m:sepChr m:val=""/>
            <m:grow/>
          </m:dPr>
          <m:e>
            <m:sSub>
              <m:e>
                <m:r>
                  <m:t>ω</m:t>
                </m:r>
              </m:e>
              <m:sub>
                <m:r>
                  <m:t>c</m:t>
                </m:r>
              </m:sub>
            </m:sSub>
          </m:e>
        </m:d>
      </m:oMath>
      <w:r>
        <w:t xml:space="preserve"> </w:t>
      </w:r>
      <w:r>
        <w:t xml:space="preserve">this is the maximum likelihood rule. With unequal priors (from a previous map, terrain or crop statistics) it becomes the</w:t>
      </w:r>
      <w:r>
        <w:t xml:space="preserve"> </w:t>
      </w:r>
      <w:r>
        <w:rPr>
          <w:bCs/>
          <w:b/>
        </w:rPr>
        <w:t xml:space="preserve">Bayes</w:t>
      </w:r>
      <w:r>
        <w:t xml:space="preserve"> </w:t>
      </w:r>
      <w:r>
        <w:t xml:space="preserve">rule.</w:t>
      </w:r>
    </w:p>
    <w:p>
      <w:pPr>
        <w:pStyle w:val="Heading3"/>
      </w:pPr>
      <w:r>
        <w:t xml:space="preserve">6.6.4 Training-data guidelines</w:t>
      </w:r>
    </w:p>
    <w:p>
      <w:pPr>
        <w:pStyle w:val="Compact"/>
        <w:numPr>
          <w:ilvl w:val="0"/>
          <w:numId w:val="1040"/>
        </w:numPr>
      </w:pPr>
      <w:r>
        <w:t xml:space="preserve">At least</w:t>
      </w:r>
      <w:r>
        <w:t xml:space="preserve"> </w:t>
      </w:r>
      <w:r>
        <w:rPr>
          <w:bCs/>
          <w:b/>
        </w:rPr>
        <w:t xml:space="preserve">10n to 100n pixels per class</w:t>
      </w:r>
      <w:r>
        <w:t xml:space="preserve"> </w:t>
      </w:r>
      <w:r>
        <w:t xml:space="preserve">(</w:t>
      </w:r>
      <m:oMath>
        <m:r>
          <m:t>n</m:t>
        </m:r>
      </m:oMath>
      <w:r>
        <w:t xml:space="preserve"> </w:t>
      </w:r>
      <w:r>
        <w:t xml:space="preserve">= number of bands) so the covariance matrix can be estimated.</w:t>
      </w:r>
    </w:p>
    <w:p>
      <w:pPr>
        <w:pStyle w:val="Compact"/>
        <w:numPr>
          <w:ilvl w:val="0"/>
          <w:numId w:val="1040"/>
        </w:numPr>
      </w:pPr>
      <w:r>
        <w:t xml:space="preserve">Several training sites per class, spread across the image, including within-class variation (soil types, sowing dates).</w:t>
      </w:r>
    </w:p>
    <w:p>
      <w:pPr>
        <w:pStyle w:val="Compact"/>
        <w:numPr>
          <w:ilvl w:val="0"/>
          <w:numId w:val="1040"/>
        </w:numPr>
      </w:pPr>
      <w:r>
        <w:rPr>
          <w:bCs/>
          <w:b/>
        </w:rPr>
        <w:t xml:space="preserve">Homogeneous</w:t>
      </w:r>
      <w:r>
        <w:t xml:space="preserve">, avoiding edges and mixed pixels.</w:t>
      </w:r>
    </w:p>
    <w:p>
      <w:pPr>
        <w:pStyle w:val="Compact"/>
        <w:numPr>
          <w:ilvl w:val="0"/>
          <w:numId w:val="1040"/>
        </w:numPr>
      </w:pPr>
      <w:r>
        <w:t xml:space="preserve">Check</w:t>
      </w:r>
      <w:r>
        <w:t xml:space="preserve"> </w:t>
      </w:r>
      <w:r>
        <w:rPr>
          <w:bCs/>
          <w:b/>
        </w:rPr>
        <w:t xml:space="preserve">unimodality</w:t>
      </w:r>
      <w:r>
        <w:t xml:space="preserve"> </w:t>
      </w:r>
      <w:r>
        <w:t xml:space="preserve">of each band’s histogram. Bimodal training data usually mean two sub-classes, which should be trained separately and merged afterwards.</w:t>
      </w:r>
    </w:p>
    <w:p>
      <w:pPr>
        <w:pStyle w:val="Compact"/>
        <w:numPr>
          <w:ilvl w:val="0"/>
          <w:numId w:val="1040"/>
        </w:numPr>
      </w:pPr>
      <w:r>
        <w:t xml:space="preserve">Evaluate separability (Transformed Divergence, JM distance) before classifying.</w:t>
      </w:r>
    </w:p>
    <w:p>
      <w:pPr>
        <w:pStyle w:val="Heading3"/>
      </w:pPr>
      <w:r>
        <w:t xml:space="preserve">6.6.5 Supervised classification: the three stages</w:t>
      </w:r>
    </w:p>
    <w:p>
      <w:pPr>
        <w:pStyle w:val="CaptionedFigure"/>
      </w:pPr>
      <w:r>
        <w:drawing>
          <wp:inline>
            <wp:extent cx="5334000" cy="3227070"/>
            <wp:effectExtent b="0" l="0" r="0" t="0"/>
            <wp:docPr descr="Supervised classification — training, allocation, output" title="" id="39" name="Picture"/>
            <a:graphic>
              <a:graphicData uri="http://schemas.openxmlformats.org/drawingml/2006/picture">
                <pic:pic>
                  <pic:nvPicPr>
                    <pic:cNvPr descr="/tmp/claude-0/-home-user-sonu/ab07c29a-21cd-5a4a-9d2d-68ad72d07153/scratchpad/build/../flows/flow_007.png" id="40" name="Picture"/>
                    <pic:cNvPicPr>
                      <a:picLocks noChangeArrowheads="1" noChangeAspect="1"/>
                    </pic:cNvPicPr>
                  </pic:nvPicPr>
                  <pic:blipFill>
                    <a:blip r:embed="rId38"/>
                    <a:stretch>
                      <a:fillRect/>
                    </a:stretch>
                  </pic:blipFill>
                  <pic:spPr bwMode="auto">
                    <a:xfrm>
                      <a:off x="0" y="0"/>
                      <a:ext cx="5334000" cy="3227070"/>
                    </a:xfrm>
                    <a:prstGeom prst="rect">
                      <a:avLst/>
                    </a:prstGeom>
                    <a:noFill/>
                    <a:ln w="9525">
                      <a:noFill/>
                      <a:headEnd/>
                      <a:tailEnd/>
                    </a:ln>
                  </pic:spPr>
                </pic:pic>
              </a:graphicData>
            </a:graphic>
          </wp:inline>
        </w:drawing>
      </w:r>
    </w:p>
    <w:p>
      <w:pPr>
        <w:pStyle w:val="ImageCaption"/>
      </w:pPr>
      <w:r>
        <w:t xml:space="preserve">Supervised classification — training, allocation, output</w:t>
      </w:r>
    </w:p>
    <w:p>
      <w:pPr>
        <w:pStyle w:val="BodyText"/>
      </w:pPr>
      <w:r>
        <w:rPr>
          <w:bCs/>
          <w:b/>
        </w:rPr>
        <w:t xml:space="preserve">When is unsupervised better?</w:t>
      </w:r>
      <w:r>
        <w:t xml:space="preserve"> </w:t>
      </w:r>
      <w:r>
        <w:t xml:space="preserve">In complex terrain where training sites are hard to define, when little prior knowledge exists, or to discover spectral classes the analyst did not anticipate. Its classes are</w:t>
      </w:r>
      <w:r>
        <w:t xml:space="preserve"> </w:t>
      </w:r>
      <w:r>
        <w:rPr>
          <w:bCs/>
          <w:b/>
        </w:rPr>
        <w:t xml:space="preserve">spectral classes</w:t>
      </w:r>
      <w:r>
        <w:t xml:space="preserve"> </w:t>
      </w:r>
      <w:r>
        <w:t xml:space="preserve">that must be labelled afterwards. Supervised classes are</w:t>
      </w:r>
      <w:r>
        <w:t xml:space="preserve"> </w:t>
      </w:r>
      <w:r>
        <w:rPr>
          <w:bCs/>
          <w:b/>
        </w:rPr>
        <w:t xml:space="preserve">information classes</w:t>
      </w:r>
      <w:r>
        <w:t xml:space="preserve"> </w:t>
      </w:r>
      <w:r>
        <w:t xml:space="preserve">defined first, and may contain several spectral sub-classes. When good training data exist, supervised results are usually superior.</w:t>
      </w:r>
    </w:p>
    <w:p>
      <w:pPr>
        <w:pStyle w:val="Heading3"/>
      </w:pPr>
      <w:r>
        <w:t xml:space="preserve">6.6.6 Error matrix vocabulary: a worked reading</w:t>
      </w:r>
    </w:p>
    <w:p>
      <w:pPr>
        <w:pStyle w:val="FirstParagraph"/>
      </w:pPr>
      <w:r>
        <w:t xml:space="preserve">In an error matrix with reference data in columns and the classified map in rows:</w:t>
      </w:r>
    </w:p>
    <w:p>
      <w:pPr>
        <w:pStyle w:val="Compact"/>
        <w:numPr>
          <w:ilvl w:val="0"/>
          <w:numId w:val="1041"/>
        </w:numPr>
      </w:pPr>
      <w:r>
        <w:t xml:space="preserve">Diagonal elements are correct.</w:t>
      </w:r>
    </w:p>
    <w:p>
      <w:pPr>
        <w:pStyle w:val="Compact"/>
        <w:numPr>
          <w:ilvl w:val="0"/>
          <w:numId w:val="1041"/>
        </w:numPr>
      </w:pPr>
      <w:r>
        <w:rPr>
          <w:bCs/>
          <w:b/>
        </w:rPr>
        <w:t xml:space="preserve">Off-diagonal elements in a column</w:t>
      </w:r>
      <w:r>
        <w:t xml:space="preserve"> </w:t>
      </w:r>
      <w:r>
        <w:t xml:space="preserve">are</w:t>
      </w:r>
      <w:r>
        <w:t xml:space="preserve"> </w:t>
      </w:r>
      <w:r>
        <w:rPr>
          <w:bCs/>
          <w:b/>
        </w:rPr>
        <w:t xml:space="preserve">omission errors</w:t>
      </w:r>
      <w:r>
        <w:t xml:space="preserve"> </w:t>
      </w:r>
      <w:r>
        <w:t xml:space="preserve">(reference pixels of that class left out).</w:t>
      </w:r>
    </w:p>
    <w:p>
      <w:pPr>
        <w:pStyle w:val="Compact"/>
        <w:numPr>
          <w:ilvl w:val="0"/>
          <w:numId w:val="1041"/>
        </w:numPr>
      </w:pPr>
      <w:r>
        <w:rPr>
          <w:bCs/>
          <w:b/>
        </w:rPr>
        <w:t xml:space="preserve">Off-diagonal elements in a row</w:t>
      </w:r>
      <w:r>
        <w:t xml:space="preserve"> </w:t>
      </w:r>
      <w:r>
        <w:t xml:space="preserve">are</w:t>
      </w:r>
      <w:r>
        <w:t xml:space="preserve"> </w:t>
      </w:r>
      <w:r>
        <w:rPr>
          <w:bCs/>
          <w:b/>
        </w:rPr>
        <w:t xml:space="preserve">commission errors</w:t>
      </w:r>
      <w:r>
        <w:t xml:space="preserve"> </w:t>
      </w:r>
      <w:r>
        <w:t xml:space="preserve">(pixels wrongly included in that class).</w:t>
      </w:r>
    </w:p>
    <w:p>
      <w:pPr>
        <w:pStyle w:val="FirstParagraph"/>
      </w:pPr>
      <w:r>
        <w:rPr>
          <w:bCs/>
          <w:b/>
        </w:rPr>
        <w:t xml:space="preserve">Producer’s accuracy</w:t>
      </w:r>
      <w:r>
        <w:t xml:space="preserve"> </w:t>
      </w:r>
      <w:r>
        <w:t xml:space="preserve">= diagonal / column total.</w:t>
      </w:r>
      <w:r>
        <w:t xml:space="preserve"> </w:t>
      </w:r>
      <w:r>
        <w:rPr>
          <w:bCs/>
          <w:b/>
        </w:rPr>
        <w:t xml:space="preserve">User’s accuracy</w:t>
      </w:r>
      <w:r>
        <w:t xml:space="preserve"> </w:t>
      </w:r>
      <w:r>
        <w:t xml:space="preserve">= diagonal / row total.</w:t>
      </w:r>
      <w:r>
        <w:t xml:space="preserve"> </w:t>
      </w:r>
      <w:r>
        <w:rPr>
          <w:bCs/>
          <w:b/>
        </w:rPr>
        <w:t xml:space="preserve">Overall accuracy</w:t>
      </w:r>
      <w:r>
        <w:t xml:space="preserve"> </w:t>
      </w:r>
      <w:r>
        <w:t xml:space="preserve">= sum of the diagonal / grand total. For example, 1676 correct pixels out of 1992 gives 84%.</w:t>
      </w:r>
    </w:p>
    <w:p>
      <w:pPr>
        <w:pStyle w:val="BodyText"/>
      </w:pPr>
      <w:r>
        <w:t xml:space="preserve">The kappa statistic (KHAT) in summation form:</w:t>
      </w:r>
    </w:p>
    <w:p>
      <w:pPr>
        <w:pStyle w:val="BodyText"/>
      </w:pPr>
      <m:oMathPara>
        <m:oMathParaPr>
          <m:jc m:val="center"/>
        </m:oMathParaPr>
        <m:oMath>
          <m:acc>
            <m:accPr>
              <m:chr m:val="̂"/>
            </m:accPr>
            <m:e>
              <m:r>
                <m:t>K</m:t>
              </m:r>
            </m:e>
          </m:acc>
          <m:r>
            <m:rPr>
              <m:sty m:val="p"/>
            </m:rPr>
            <m:t>=</m:t>
          </m:r>
          <m:f>
            <m:fPr>
              <m:type m:val="bar"/>
            </m:fPr>
            <m:num>
              <m:r>
                <m:t>N</m:t>
              </m:r>
              <m:nary>
                <m:naryPr>
                  <m:chr m:val="∑"/>
                  <m:limLoc m:val="undOvr"/>
                  <m:subHide m:val="off"/>
                  <m:supHide m:val="off"/>
                </m:naryPr>
                <m:sub>
                  <m:r>
                    <m:t>i</m:t>
                  </m:r>
                  <m:r>
                    <m:rPr>
                      <m:sty m:val="p"/>
                    </m:rPr>
                    <m:t>=</m:t>
                  </m:r>
                  <m:r>
                    <m:t>1</m:t>
                  </m:r>
                </m:sub>
                <m:sup>
                  <m:r>
                    <m:t>r</m:t>
                  </m:r>
                </m:sup>
                <m:e>
                  <m:sSub>
                    <m:e>
                      <m:r>
                        <m:t>x</m:t>
                      </m:r>
                    </m:e>
                    <m:sub>
                      <m:r>
                        <m:t>i</m:t>
                      </m:r>
                      <m:r>
                        <m:t>i</m:t>
                      </m:r>
                    </m:sub>
                  </m:sSub>
                </m:e>
              </m:nary>
              <m:r>
                <m:rPr>
                  <m:sty m:val="p"/>
                </m:rPr>
                <m:t>−</m:t>
              </m:r>
              <m:nary>
                <m:naryPr>
                  <m:chr m:val="∑"/>
                  <m:limLoc m:val="undOvr"/>
                  <m:subHide m:val="off"/>
                  <m:supHide m:val="off"/>
                </m:naryPr>
                <m:sub>
                  <m:r>
                    <m:t>i</m:t>
                  </m:r>
                  <m:r>
                    <m:rPr>
                      <m:sty m:val="p"/>
                    </m:rPr>
                    <m:t>=</m:t>
                  </m:r>
                  <m:r>
                    <m:t>1</m:t>
                  </m:r>
                </m:sub>
                <m:sup>
                  <m:r>
                    <m:t>r</m:t>
                  </m:r>
                </m:sup>
                <m:e>
                  <m:d>
                    <m:dPr>
                      <m:begChr m:val="("/>
                      <m:endChr m:val=")"/>
                      <m:sepChr m:val=""/>
                      <m:grow/>
                    </m:dPr>
                    <m:e>
                      <m:sSub>
                        <m:e>
                          <m:r>
                            <m:t>x</m:t>
                          </m:r>
                        </m:e>
                        <m:sub>
                          <m:r>
                            <m:t>i</m:t>
                          </m:r>
                          <m:r>
                            <m:rPr>
                              <m:sty m:val="p"/>
                            </m:rPr>
                            <m:t>+</m:t>
                          </m:r>
                        </m:sub>
                      </m:sSub>
                      <m:r>
                        <m:t> </m:t>
                      </m:r>
                      <m:sSub>
                        <m:e>
                          <m:r>
                            <m:t>x</m:t>
                          </m:r>
                        </m:e>
                        <m:sub>
                          <m:r>
                            <m:rPr>
                              <m:sty m:val="p"/>
                            </m:rPr>
                            <m:t>+</m:t>
                          </m:r>
                          <m:r>
                            <m:t>i</m:t>
                          </m:r>
                        </m:sub>
                      </m:sSub>
                    </m:e>
                  </m:d>
                </m:e>
              </m:nary>
            </m:num>
            <m:den>
              <m:sSup>
                <m:e>
                  <m:r>
                    <m:t>N</m:t>
                  </m:r>
                </m:e>
                <m:sup>
                  <m:r>
                    <m:t>2</m:t>
                  </m:r>
                </m:sup>
              </m:sSup>
              <m:r>
                <m:rPr>
                  <m:sty m:val="p"/>
                </m:rPr>
                <m:t>−</m:t>
              </m:r>
              <m:nary>
                <m:naryPr>
                  <m:chr m:val="∑"/>
                  <m:limLoc m:val="undOvr"/>
                  <m:subHide m:val="off"/>
                  <m:supHide m:val="off"/>
                </m:naryPr>
                <m:sub>
                  <m:r>
                    <m:t>i</m:t>
                  </m:r>
                  <m:r>
                    <m:rPr>
                      <m:sty m:val="p"/>
                    </m:rPr>
                    <m:t>=</m:t>
                  </m:r>
                  <m:r>
                    <m:t>1</m:t>
                  </m:r>
                </m:sub>
                <m:sup>
                  <m:r>
                    <m:t>r</m:t>
                  </m:r>
                </m:sup>
                <m:e>
                  <m:d>
                    <m:dPr>
                      <m:begChr m:val="("/>
                      <m:endChr m:val=")"/>
                      <m:sepChr m:val=""/>
                      <m:grow/>
                    </m:dPr>
                    <m:e>
                      <m:sSub>
                        <m:e>
                          <m:r>
                            <m:t>x</m:t>
                          </m:r>
                        </m:e>
                        <m:sub>
                          <m:r>
                            <m:t>i</m:t>
                          </m:r>
                          <m:r>
                            <m:rPr>
                              <m:sty m:val="p"/>
                            </m:rPr>
                            <m:t>+</m:t>
                          </m:r>
                        </m:sub>
                      </m:sSub>
                      <m:r>
                        <m:t> </m:t>
                      </m:r>
                      <m:sSub>
                        <m:e>
                          <m:r>
                            <m:t>x</m:t>
                          </m:r>
                        </m:e>
                        <m:sub>
                          <m:r>
                            <m:rPr>
                              <m:sty m:val="p"/>
                            </m:rPr>
                            <m:t>+</m:t>
                          </m:r>
                          <m:r>
                            <m:t>i</m:t>
                          </m:r>
                        </m:sub>
                      </m:sSub>
                    </m:e>
                  </m:d>
                </m:e>
              </m:nary>
            </m:den>
          </m:f>
        </m:oMath>
      </m:oMathPara>
    </w:p>
    <w:p>
      <w:pPr>
        <w:pStyle w:val="FirstParagraph"/>
      </w:pPr>
      <w:r>
        <w:t xml:space="preserve">where</w:t>
      </w:r>
      <w:r>
        <w:t xml:space="preserve"> </w:t>
      </w:r>
      <m:oMath>
        <m:r>
          <m:t>r</m:t>
        </m:r>
      </m:oMath>
      <w:r>
        <w:t xml:space="preserve"> </w:t>
      </w:r>
      <w:r>
        <w:t xml:space="preserve">is the number of classes,</w:t>
      </w:r>
      <w:r>
        <w:t xml:space="preserve"> </w:t>
      </w:r>
      <m:oMath>
        <m:sSub>
          <m:e>
            <m:r>
              <m:t>x</m:t>
            </m:r>
          </m:e>
          <m:sub>
            <m:r>
              <m:t>i</m:t>
            </m:r>
            <m:r>
              <m:t>i</m:t>
            </m:r>
          </m:sub>
        </m:sSub>
      </m:oMath>
      <w:r>
        <w:t xml:space="preserve"> </w:t>
      </w:r>
      <w:r>
        <w:t xml:space="preserve">are the diagonal counts,</w:t>
      </w:r>
      <w:r>
        <w:t xml:space="preserve"> </w:t>
      </w:r>
      <m:oMath>
        <m:sSub>
          <m:e>
            <m:r>
              <m:t>x</m:t>
            </m:r>
          </m:e>
          <m:sub>
            <m:r>
              <m:t>i</m:t>
            </m:r>
            <m:r>
              <m:rPr>
                <m:sty m:val="p"/>
              </m:rPr>
              <m:t>+</m:t>
            </m:r>
          </m:sub>
        </m:sSub>
      </m:oMath>
      <w:r>
        <w:t xml:space="preserve"> </w:t>
      </w:r>
      <w:r>
        <w:t xml:space="preserve">and</w:t>
      </w:r>
      <w:r>
        <w:t xml:space="preserve"> </w:t>
      </w:r>
      <m:oMath>
        <m:sSub>
          <m:e>
            <m:r>
              <m:t>x</m:t>
            </m:r>
          </m:e>
          <m:sub>
            <m:r>
              <m:rPr>
                <m:sty m:val="p"/>
              </m:rPr>
              <m:t>+</m:t>
            </m:r>
            <m:r>
              <m:t>i</m:t>
            </m:r>
          </m:sub>
        </m:sSub>
      </m:oMath>
      <w:r>
        <w:t xml:space="preserve"> </w:t>
      </w:r>
      <w:r>
        <w:t xml:space="preserve">are the row and column totals, and</w:t>
      </w:r>
      <w:r>
        <w:t xml:space="preserve"> </w:t>
      </w:r>
      <m:oMath>
        <m:r>
          <m:t>N</m:t>
        </m:r>
      </m:oMath>
      <w:r>
        <w:t xml:space="preserve"> </w:t>
      </w:r>
      <w:r>
        <w:t xml:space="preserve">is the total number of observations.</w:t>
      </w:r>
    </w:p>
    <w:p>
      <w:pPr>
        <w:pStyle w:val="ExamTip"/>
      </w:pPr>
      <w:r>
        <w:t xml:space="preserve">An error matrix built from</w:t>
      </w:r>
      <w:r>
        <w:t xml:space="preserve"> </w:t>
      </w:r>
      <w:r>
        <w:rPr>
          <w:bCs/>
          <w:b/>
        </w:rPr>
        <w:t xml:space="preserve">training</w:t>
      </w:r>
      <w:r>
        <w:t xml:space="preserve"> </w:t>
      </w:r>
      <w:r>
        <w:t xml:space="preserve">pixels shows only how separable the training data are. It overestimates accuracy. Report accuracy from</w:t>
      </w:r>
      <w:r>
        <w:t xml:space="preserve"> </w:t>
      </w:r>
      <w:r>
        <w:rPr>
          <w:bCs/>
          <w:b/>
        </w:rPr>
        <w:t xml:space="preserve">independent validation</w:t>
      </w:r>
      <w:r>
        <w:t xml:space="preserve"> </w:t>
      </w:r>
      <w:r>
        <w:t xml:space="preserve">samples (stratified random, at least 50 per class as a rule of thumb).</w:t>
      </w:r>
    </w:p>
    <w:p>
      <w:pPr>
        <w:pStyle w:val="Heading3"/>
      </w:pPr>
      <w:r>
        <w:t xml:space="preserve">6.6.7 Likely interview questions</w:t>
      </w:r>
    </w:p>
    <w:p>
      <w:pPr>
        <w:pStyle w:val="FirstParagraph"/>
      </w:pPr>
      <w:r>
        <w:rPr>
          <w:bCs/>
          <w:b/>
        </w:rPr>
        <w:t xml:space="preserve">Q. What is the difference between image enhancement and image restoration?</w:t>
      </w:r>
      <w:r>
        <w:t xml:space="preserve"> </w:t>
      </w:r>
      <w:r>
        <w:t xml:space="preserve">Restoration corrects radiometric and geometric errors to recover the true scene. Enhancement improves visual interpretability without aiming at fidelity.</w:t>
      </w:r>
    </w:p>
    <w:p>
      <w:pPr>
        <w:pStyle w:val="BodyText"/>
      </w:pPr>
      <w:r>
        <w:rPr>
          <w:bCs/>
          <w:b/>
        </w:rPr>
        <w:t xml:space="preserve">Q. How does band ratioing reduce topographic effects?</w:t>
      </w:r>
      <w:r>
        <w:t xml:space="preserve"> </w:t>
      </w:r>
      <w:r>
        <w:t xml:space="preserve">Illumination differences multiply both bands equally, so the ratio cancels them.</w:t>
      </w:r>
    </w:p>
    <w:p>
      <w:pPr>
        <w:pStyle w:val="BodyText"/>
      </w:pPr>
      <w:r>
        <w:rPr>
          <w:bCs/>
          <w:b/>
        </w:rPr>
        <w:t xml:space="preserve">Q. Name three image fusion methods.</w:t>
      </w:r>
      <w:r>
        <w:t xml:space="preserve"> </w:t>
      </w:r>
      <w:r>
        <w:t xml:space="preserve">IHS substitution, PCA substitution, the Brovey transform (also HPF and Gram–Schmidt).</w:t>
      </w:r>
    </w:p>
    <w:p>
      <w:pPr>
        <w:pStyle w:val="BodyText"/>
      </w:pPr>
      <w:r>
        <w:rPr>
          <w:bCs/>
          <w:b/>
        </w:rPr>
        <w:t xml:space="preserve">Q. Which filter removes salt-and-pepper noise while keeping edges?</w:t>
      </w:r>
      <w:r>
        <w:t xml:space="preserve"> </w:t>
      </w:r>
      <w:r>
        <w:t xml:space="preserve">The median filter.</w:t>
      </w:r>
    </w:p>
    <w:p>
      <w:pPr>
        <w:pStyle w:val="BodyText"/>
      </w:pPr>
      <w:r>
        <w:rPr>
          <w:bCs/>
          <w:b/>
        </w:rPr>
        <w:t xml:space="preserve">Q. Why does histogram equalisation reduce the number of grey levels?</w:t>
      </w:r>
      <w:r>
        <w:t xml:space="preserve"> </w:t>
      </w:r>
      <w:r>
        <w:t xml:space="preserve">Sparsely populated adjacent levels are merged so that output levels have roughly equal frequency.</w:t>
      </w:r>
    </w:p>
    <w:p>
      <w:pPr>
        <w:pStyle w:val="Heading2"/>
      </w:pPr>
      <w:r>
        <w:t xml:space="preserve">6.7 Supervised versus Unsupervised Classification</w:t>
      </w:r>
    </w:p>
    <w:p>
      <w:pPr>
        <w:pStyle w:val="FirstParagraph"/>
      </w:pPr>
      <w:r>
        <w:rPr>
          <w:bCs/>
          <w:b/>
        </w:rPr>
        <w:t xml:space="preserve">Unsupervised classification</w:t>
      </w:r>
      <w:r>
        <w:t xml:space="preserve"> </w:t>
      </w:r>
      <w:r>
        <w:t xml:space="preserve">groups pixels into spectrally distinct clusters using only the statistical structure of the image data itself, with no prior training-sample input — the most common algorithm,</w:t>
      </w:r>
      <w:r>
        <w:t xml:space="preserve"> </w:t>
      </w:r>
      <w:r>
        <w:rPr>
          <w:bCs/>
          <w:b/>
        </w:rPr>
        <w:t xml:space="preserve">ISODATA</w:t>
      </w:r>
      <w:r>
        <w:t xml:space="preserve"> </w:t>
      </w:r>
      <w:r>
        <w:t xml:space="preserve">(Iterative Self-Organizing Data Analysis Technique), iteratively assigns each pixel to the nearest of an initial (arbitrary or randomly seeded) set of cluster-mean vectors, recomputes cluster means from the newly assigned members, and repeats until cluster assignment stabilises (splitting clusters with excessive internal variance and merging clusters that are too close together, within user-set thresholds), after which an analyst must separately label each resulting spectral cluster with a meaningful land-cover class based on its spectral signature, ancillary knowledge or field verification — useful for initial land-cover exploration or where training data are unavailable, but the resulting clusters do not necessarily correspond one-to-one with meaningful classes without this labelling step.</w:t>
      </w:r>
    </w:p>
    <w:p>
      <w:pPr>
        <w:pStyle w:val="BodyText"/>
      </w:pPr>
      <w:r>
        <w:rPr>
          <w:bCs/>
          <w:b/>
        </w:rPr>
        <w:t xml:space="preserve">Supervised classification</w:t>
      </w:r>
      <w:r>
        <w:t xml:space="preserve"> </w:t>
      </w:r>
      <w:r>
        <w:t xml:space="preserve">requires the analyst to first identify representative training samples of known class identity (from field survey/ground-truth or high-resolution reference imagery), compute each class’s spectral statistics from these training samples, and then classify every remaining pixel in the image by assigning it to the class whose statistics it most closely matches — the dominant approach for the operational LULC, crop-type and soil mapping described throughout this manual, since the resulting classes are, by construction, meaningfully labelled from the start.</w:t>
      </w:r>
    </w:p>
    <w:p>
      <w:pPr>
        <w:pStyle w:val="Heading2"/>
      </w:pPr>
      <w:r>
        <w:t xml:space="preserve">6.8 Common Supervised Classifier Algorithms</w:t>
      </w:r>
    </w:p>
    <w:p>
      <w:pPr>
        <w:pStyle w:val="Compact"/>
        <w:numPr>
          <w:ilvl w:val="0"/>
          <w:numId w:val="1042"/>
        </w:numPr>
      </w:pPr>
      <w:r>
        <w:rPr>
          <w:bCs/>
          <w:b/>
        </w:rPr>
        <w:t xml:space="preserve">Minimum Distance to Means:</w:t>
      </w:r>
      <w:r>
        <w:t xml:space="preserve"> </w:t>
      </w:r>
      <w:r>
        <w:t xml:space="preserve">assigns each pixel to the class whose mean spectral vector is closest (Euclidean distance) — simple and fast, but ignores each class’s spectral variance/covariance structure, so it can misclassify pixels near the boundary between a tightly clustered class and a widely spread class.</w:t>
      </w:r>
    </w:p>
    <w:p>
      <w:pPr>
        <w:pStyle w:val="Compact"/>
        <w:numPr>
          <w:ilvl w:val="0"/>
          <w:numId w:val="1042"/>
        </w:numPr>
      </w:pPr>
      <w:r>
        <w:rPr>
          <w:bCs/>
          <w:b/>
        </w:rPr>
        <w:t xml:space="preserve">Maximum Likelihood Classification (MLC):</w:t>
      </w:r>
      <w:r>
        <w:t xml:space="preserve"> </w:t>
      </w:r>
      <w:r>
        <w:t xml:space="preserve">the classical statistically optimal parametric classifier (assuming multivariate-normal class distributions), assigning each pixel to the class with the highest posterior probability given its spectral vector, computed from each class’s mean vector and full covariance matrix (accounting for both variance and inter-band correlation) via Bayes’ theorem — historically the most widely used per-pixel classifier for LULC/crop mapping, though it requires a sufficient number of training pixels per class (conventionally at least 10×p, where p is the number of bands, to reliably estimate the p×p covariance matrix) and its Gaussian-distribution assumption can be violated by genuinely multi-modal or non-normal class spectral distributions.</w:t>
      </w:r>
    </w:p>
    <w:p>
      <w:pPr>
        <w:pStyle w:val="Compact"/>
        <w:numPr>
          <w:ilvl w:val="0"/>
          <w:numId w:val="1042"/>
        </w:numPr>
      </w:pPr>
      <w:r>
        <w:rPr>
          <w:bCs/>
          <w:b/>
        </w:rPr>
        <w:t xml:space="preserve">Machine-learning classifiers (Random Forest, Support Vector Machine, and increasingly deep-learning/CNN approaches):</w:t>
      </w:r>
      <w:r>
        <w:t xml:space="preserve"> </w:t>
      </w:r>
      <w:r>
        <w:t xml:space="preserve">non-parametric methods that do not assume any particular statistical distribution of class spectra, generally achieving higher accuracy than MLC on complex, high-dimensional (hyperspectral, multi-sensor, multi-temporal) datasets, and the methodological basis of SASYA’s AI-based SAR crop classification and the broader automated multi-temporal/multi-sensor classification pipelines described in the relevant chapter.</w:t>
      </w:r>
    </w:p>
    <w:p>
      <w:pPr>
        <w:pStyle w:val="Compact"/>
        <w:numPr>
          <w:ilvl w:val="0"/>
          <w:numId w:val="1042"/>
        </w:numPr>
      </w:pPr>
      <w:r>
        <w:rPr>
          <w:bCs/>
          <w:b/>
        </w:rPr>
        <w:t xml:space="preserve">Object-Based Image Analysis (OBIA):</w:t>
      </w:r>
      <w:r>
        <w:t xml:space="preserve"> </w:t>
      </w:r>
      <w:r>
        <w:t xml:space="preserve">rather than classifying individual pixels, OBIA first segments the image into spatially contiguous, spectrally homogeneous</w:t>
      </w:r>
      <w:r>
        <w:t xml:space="preserve"> </w:t>
      </w:r>
      <w:r>
        <w:t xml:space="preserve">“</w:t>
      </w:r>
      <w:r>
        <w:t xml:space="preserve">objects</w:t>
      </w:r>
      <w:r>
        <w:t xml:space="preserve">”</w:t>
      </w:r>
      <w:r>
        <w:t xml:space="preserve"> </w:t>
      </w:r>
      <w:r>
        <w:t xml:space="preserve">(groups of neighbouring similar pixels, delineated using region-growing or similar segmentation algorithms), then classifies each object as a whole using both its spectral statistics and additional object-level attributes (shape, size, texture, context/adjacency to other objects) — particularly valuable for very-high-resolution imagery (Cartosat, LISS-IV) where individual pixels are smaller than the features of interest (individual tree crowns, small field parcels), making per-pixel classification noisy, and directly relevant to the texture-based horticulture/orchard classification approach described in the relevant chapter.</w:t>
      </w:r>
    </w:p>
    <w:p>
      <w:pPr>
        <w:pStyle w:val="Heading2"/>
      </w:pPr>
      <w:r>
        <w:t xml:space="preserve">6.9 Accuracy Assessment — the Confusion Matrix and Kappa Coefficient</w:t>
      </w:r>
    </w:p>
    <w:p>
      <w:pPr>
        <w:pStyle w:val="FirstParagraph"/>
      </w:pPr>
      <w:r>
        <w:t xml:space="preserve">No classification (however produced) is considered complete or usable for an operational product without a formal accuracy assessment, comparing classified-map labels against independent ground-truth/reference data at a statistically designed sample of validation locations (kept strictly separate from the training samples used to build the classifier, to avoid an artificially inflated, non-independent accuracy estimate).</w:t>
      </w:r>
    </w:p>
    <w:p>
      <w:pPr>
        <w:pStyle w:val="BodyText"/>
      </w:pPr>
      <w:r>
        <w:rPr>
          <w:bCs/>
          <w:b/>
        </w:rPr>
        <w:t xml:space="preserve">The confusion (error) matrix</w:t>
      </w:r>
      <w:r>
        <w:t xml:space="preserve"> </w:t>
      </w:r>
      <w:r>
        <w:t xml:space="preserve">is a square table with reference (ground-truth) classes as rows and classified (map) classes as columns (or vice versa, by convention), each cell (i,j) recording the number of validation samples of true class i that were mapped as class j. From this matrix:</w:t>
      </w:r>
    </w:p>
    <w:p>
      <w:pPr>
        <w:pStyle w:val="Compact"/>
        <w:numPr>
          <w:ilvl w:val="0"/>
          <w:numId w:val="1043"/>
        </w:numPr>
      </w:pPr>
      <w:r>
        <w:rPr>
          <w:bCs/>
          <w:b/>
        </w:rPr>
        <w:t xml:space="preserve">Overall accuracy</w:t>
      </w:r>
      <w:r>
        <w:t xml:space="preserve"> </w:t>
      </w:r>
      <w:r>
        <w:t xml:space="preserve">= (sum of the diagonal, i.e., correctly classified samples) / (total samples) — the simplest, but least diagnostic, summary statistic.</w:t>
      </w:r>
    </w:p>
    <w:p>
      <w:pPr>
        <w:pStyle w:val="Compact"/>
        <w:numPr>
          <w:ilvl w:val="0"/>
          <w:numId w:val="1043"/>
        </w:numPr>
      </w:pPr>
      <w:r>
        <w:rPr>
          <w:bCs/>
          <w:b/>
        </w:rPr>
        <w:t xml:space="preserve">Producer’s accuracy</w:t>
      </w:r>
      <w:r>
        <w:t xml:space="preserve"> </w:t>
      </w:r>
      <w:r>
        <w:t xml:space="preserve">(for a given class) = (diagonal cell for that class) / (row total for that class) — the probability that a truly-that-class location was correctly mapped as that class; its complement (1 − producer’s accuracy) is the</w:t>
      </w:r>
      <w:r>
        <w:t xml:space="preserve"> </w:t>
      </w:r>
      <w:r>
        <w:rPr>
          <w:bCs/>
          <w:b/>
        </w:rPr>
        <w:t xml:space="preserve">omission error</w:t>
      </w:r>
      <w:r>
        <w:t xml:space="preserve"> </w:t>
      </w:r>
      <w:r>
        <w:t xml:space="preserve">rate (truly-present instances the map missed/omitted).</w:t>
      </w:r>
    </w:p>
    <w:p>
      <w:pPr>
        <w:pStyle w:val="Compact"/>
        <w:numPr>
          <w:ilvl w:val="0"/>
          <w:numId w:val="1043"/>
        </w:numPr>
      </w:pPr>
      <w:r>
        <w:rPr>
          <w:bCs/>
          <w:b/>
        </w:rPr>
        <w:t xml:space="preserve">User’s accuracy</w:t>
      </w:r>
      <w:r>
        <w:t xml:space="preserve"> </w:t>
      </w:r>
      <w:r>
        <w:t xml:space="preserve">(for a given class) = (diagonal cell for that class) / (column total, i.e., all locations the map labelled as that class) — the probability that a location the map labels as that class is actually, on the ground, that class; its complement is the</w:t>
      </w:r>
      <w:r>
        <w:t xml:space="preserve"> </w:t>
      </w:r>
      <w:r>
        <w:rPr>
          <w:bCs/>
          <w:b/>
        </w:rPr>
        <w:t xml:space="preserve">commission error</w:t>
      </w:r>
      <w:r>
        <w:t xml:space="preserve"> </w:t>
      </w:r>
      <w:r>
        <w:t xml:space="preserve">rate (falsely included instances).</w:t>
      </w:r>
    </w:p>
    <w:p>
      <w:pPr>
        <w:pStyle w:val="Compact"/>
        <w:numPr>
          <w:ilvl w:val="0"/>
          <w:numId w:val="1043"/>
        </w:numPr>
      </w:pPr>
      <w:r>
        <w:rPr>
          <w:bCs/>
          <w:b/>
        </w:rPr>
        <w:t xml:space="preserve">Kappa coefficient (κ):</w:t>
      </w:r>
      <w:r>
        <w:t xml:space="preserve"> </w:t>
      </w:r>
      <w:r>
        <w:t xml:space="preserve">κ = (Po − Pe)/(1 − Pe), where Po is the observed overall accuracy (proportion of agreement) and Pe is the accuracy expected purely by chance given the row/column marginal totals — Kappa corrects overall accuracy for the level of agreement that would be expected even from a random classifier with the same class-proportion distribution, providing a more conservative, chance-corrected accuracy measure; κ=0 indicates agreement no better than chance, κ=1 indicates perfect agreement, and conventional (if somewhat arbitrary) interpretive bands describe κ&gt;0.80 as</w:t>
      </w:r>
      <w:r>
        <w:t xml:space="preserve"> </w:t>
      </w:r>
      <w:r>
        <w:t xml:space="preserve">“</w:t>
      </w:r>
      <w:r>
        <w:t xml:space="preserve">almost perfect,</w:t>
      </w:r>
      <w:r>
        <w:t xml:space="preserve">”</w:t>
      </w:r>
      <w:r>
        <w:t xml:space="preserve"> </w:t>
      </w:r>
      <w:r>
        <w:t xml:space="preserve">0.60–0.80 as</w:t>
      </w:r>
      <w:r>
        <w:t xml:space="preserve"> </w:t>
      </w:r>
      <w:r>
        <w:t xml:space="preserve">“</w:t>
      </w:r>
      <w:r>
        <w:t xml:space="preserve">substantial,</w:t>
      </w:r>
      <w:r>
        <w:t xml:space="preserve">”</w:t>
      </w:r>
      <w:r>
        <w:t xml:space="preserve"> </w:t>
      </w:r>
      <w:r>
        <w:t xml:space="preserve">and below 0.40 as</w:t>
      </w:r>
      <w:r>
        <w:t xml:space="preserve"> </w:t>
      </w:r>
      <w:r>
        <w:t xml:space="preserve">“</w:t>
      </w:r>
      <w:r>
        <w:t xml:space="preserve">fair to poor</w:t>
      </w:r>
      <w:r>
        <w:t xml:space="preserve">”</w:t>
      </w:r>
      <w:r>
        <w:t xml:space="preserve"> </w:t>
      </w:r>
      <w:r>
        <w:t xml:space="preserve">agreement.</w:t>
      </w:r>
    </w:p>
    <w:p>
      <w:pPr>
        <w:pStyle w:val="FirstParagraph"/>
      </w:pPr>
      <w:r>
        <w:rPr>
          <w:iCs/>
          <w:i/>
        </w:rPr>
        <w:t xml:space="preserve">Interview-relevant point: producer’s and user’s accuracy for the same class routinely differ, and a candidate should be able to explain a scenario where they diverge — e.g., if a classifier systematically over-predicts a common, spectrally simple class (like</w:t>
      </w:r>
      <w:r>
        <w:rPr>
          <w:iCs/>
          <w:i/>
        </w:rPr>
        <w:t xml:space="preserve"> </w:t>
      </w:r>
      <w:r>
        <w:rPr>
          <w:iCs/>
          <w:i/>
        </w:rPr>
        <w:t xml:space="preserve">“</w:t>
      </w:r>
      <w:r>
        <w:rPr>
          <w:iCs/>
          <w:i/>
        </w:rPr>
        <w:t xml:space="preserve">bare soil</w:t>
      </w:r>
      <w:r>
        <w:rPr>
          <w:iCs/>
          <w:i/>
        </w:rPr>
        <w:t xml:space="preserve">”</w:t>
      </w:r>
      <w:r>
        <w:rPr>
          <w:iCs/>
          <w:i/>
        </w:rPr>
        <w:t xml:space="preserve">) at the expense of a rarer, spectrally similar class (like</w:t>
      </w:r>
      <w:r>
        <w:rPr>
          <w:iCs/>
          <w:i/>
        </w:rPr>
        <w:t xml:space="preserve"> </w:t>
      </w:r>
      <w:r>
        <w:rPr>
          <w:iCs/>
          <w:i/>
        </w:rPr>
        <w:t xml:space="preserve">“</w:t>
      </w:r>
      <w:r>
        <w:rPr>
          <w:iCs/>
          <w:i/>
        </w:rPr>
        <w:t xml:space="preserve">fallow land</w:t>
      </w:r>
      <w:r>
        <w:rPr>
          <w:iCs/>
          <w:i/>
        </w:rPr>
        <w:t xml:space="preserve">”</w:t>
      </w:r>
      <w:r>
        <w:rPr>
          <w:iCs/>
          <w:i/>
        </w:rPr>
        <w:t xml:space="preserve">), bare soil’s user’s accuracy would fall (many pixels mapped as bare soil are actually fallow, i.e., high commission error) while fallow’s producer’s accuracy would fall (many truly-fallow pixels are missed, mapped instead as bare soil, i.e., high omission error) — the two error types are mirror images of each other across the confusion matrix.</w:t>
      </w:r>
    </w:p>
    <w:p>
      <w:pPr>
        <w:pStyle w:val="Heading2"/>
      </w:pPr>
      <w:r>
        <w:t xml:space="preserve">6.10 Kappa Coefficient from a Simple Confusion Matrix</w:t>
      </w:r>
    </w:p>
    <w:p>
      <w:pPr>
        <w:pStyle w:val="FirstParagraph"/>
      </w:pPr>
      <w:r>
        <w:rPr>
          <w:bCs/>
          <w:b/>
        </w:rPr>
        <w:t xml:space="preserve">Problem:</w:t>
      </w:r>
      <w:r>
        <w:t xml:space="preserve"> </w:t>
      </w:r>
      <w:r>
        <w:t xml:space="preserve">A two-class (Rice / Non-Rice) classification accuracy assessment against 100 independent validation points yields the confusion matrix: True Rice, mapped Rice = 40; True Rice, mapped Non-Rice = 8; True Non-Rice, mapped Rice = 7; True Non-Rice, mapped Non-Rice = 45.</w:t>
      </w:r>
    </w:p>
    <w:p>
      <w:pPr>
        <w:pStyle w:val="BodyText"/>
      </w:pPr>
      <w:r>
        <w:rPr>
          <w:bCs/>
          <w:b/>
        </w:rPr>
        <w:t xml:space="preserve">Step 1 — Overall accuracy (Po).</w:t>
      </w:r>
      <w:r>
        <w:t xml:space="preserve"> </w:t>
      </w:r>
      <w:r>
        <w:t xml:space="preserve">Po = (40+45)/100 = 85/100 =</w:t>
      </w:r>
      <w:r>
        <w:t xml:space="preserve"> </w:t>
      </w:r>
      <w:r>
        <w:rPr>
          <w:bCs/>
          <w:b/>
        </w:rPr>
        <w:t xml:space="preserve">0.85</w:t>
      </w:r>
    </w:p>
    <w:p>
      <w:pPr>
        <w:pStyle w:val="BodyText"/>
      </w:pPr>
      <w:r>
        <w:rPr>
          <w:bCs/>
          <w:b/>
        </w:rPr>
        <w:t xml:space="preserve">Step 2 — Row and column totals.</w:t>
      </w:r>
      <w:r>
        <w:t xml:space="preserve"> </w:t>
      </w:r>
      <w:r>
        <w:t xml:space="preserve">Row totals (true class totals): True Rice = 40+8 = 48; True Non-Rice = 7+45 = 52 Column totals (mapped class totals): Mapped Rice = 40+7 = 47; Mapped Non-Rice = 8+45 = 53</w:t>
      </w:r>
    </w:p>
    <w:p>
      <w:pPr>
        <w:pStyle w:val="BodyText"/>
      </w:pPr>
      <w:r>
        <w:rPr>
          <w:bCs/>
          <w:b/>
        </w:rPr>
        <w:t xml:space="preserve">Step 3 — Chance agreement (Pe).</w:t>
      </w:r>
      <w:r>
        <w:t xml:space="preserve"> </w:t>
      </w:r>
      <w:r>
        <w:t xml:space="preserve">Pe = [(Row-Rice × Col-Rice) + (Row-NonRice × Col-NonRice)] / N² Pe = [(48×47) + (52×53)] / 100² = [2256 + 2756] / 10000 = 5012/10000 =</w:t>
      </w:r>
      <w:r>
        <w:t xml:space="preserve"> </w:t>
      </w:r>
      <w:r>
        <w:rPr>
          <w:bCs/>
          <w:b/>
        </w:rPr>
        <w:t xml:space="preserve">0.5012</w:t>
      </w:r>
    </w:p>
    <w:p>
      <w:pPr>
        <w:pStyle w:val="BodyText"/>
      </w:pPr>
      <w:r>
        <w:rPr>
          <w:bCs/>
          <w:b/>
        </w:rPr>
        <w:t xml:space="preserve">Step 4 — Kappa.</w:t>
      </w:r>
      <w:r>
        <w:t xml:space="preserve"> </w:t>
      </w:r>
      <w:r>
        <w:t xml:space="preserve">κ = (Po − Pe)/(1 − Pe) = (0.85 − 0.5012)/(1 − 0.5012) = 0.3488/0.4988 =</w:t>
      </w:r>
      <w:r>
        <w:t xml:space="preserve"> </w:t>
      </w:r>
      <w:r>
        <w:rPr>
          <w:bCs/>
          <w:b/>
        </w:rPr>
        <w:t xml:space="preserve">0.699</w:t>
      </w:r>
    </w:p>
    <w:p>
      <w:pPr>
        <w:pStyle w:val="BodyText"/>
      </w:pPr>
      <w:r>
        <w:rPr>
          <w:bCs/>
          <w:b/>
        </w:rPr>
        <w:t xml:space="preserve">Interpretation:</w:t>
      </w:r>
      <w:r>
        <w:t xml:space="preserve"> </w:t>
      </w:r>
      <w:r>
        <w:t xml:space="preserve">κ≈0.70 falls in the</w:t>
      </w:r>
      <w:r>
        <w:t xml:space="preserve"> </w:t>
      </w:r>
      <w:r>
        <w:t xml:space="preserve">“</w:t>
      </w:r>
      <w:r>
        <w:t xml:space="preserve">substantial agreement</w:t>
      </w:r>
      <w:r>
        <w:t xml:space="preserve">”</w:t>
      </w:r>
      <w:r>
        <w:t xml:space="preserve"> </w:t>
      </w:r>
      <w:r>
        <w:t xml:space="preserve">band — notably lower than the raw 85% overall accuracy figure might suggest at first glance, illustrating exactly why Kappa (which corrects for the roughly 50% chance-agreement baseline this particular class-proportion mix would produce even from an uninformed/random classifier) is considered a more conservative, and generally more defensible, accuracy statistic to report than overall accuracy alone.</w:t>
      </w:r>
    </w:p>
    <w:p>
      <w:pPr>
        <w:pStyle w:val="Heading2"/>
      </w:pPr>
      <w:r>
        <w:t xml:space="preserve">6.11 Change Detection Techniques</w:t>
      </w:r>
    </w:p>
    <w:p>
      <w:pPr>
        <w:pStyle w:val="Compact"/>
        <w:numPr>
          <w:ilvl w:val="0"/>
          <w:numId w:val="1044"/>
        </w:numPr>
      </w:pPr>
      <w:r>
        <w:rPr>
          <w:bCs/>
          <w:b/>
        </w:rPr>
        <w:t xml:space="preserve">Post-classification comparison:</w:t>
      </w:r>
      <w:r>
        <w:t xml:space="preserve"> </w:t>
      </w:r>
      <w:r>
        <w:t xml:space="preserve">independently classify two (or more) dates’ imagery, then compare the resulting class labels pixel-by-pixel to identify</w:t>
      </w:r>
      <w:r>
        <w:t xml:space="preserve"> </w:t>
      </w:r>
      <w:r>
        <w:t xml:space="preserve">“</w:t>
      </w:r>
      <w:r>
        <w:t xml:space="preserve">from-class-A-to-class-B</w:t>
      </w:r>
      <w:r>
        <w:t xml:space="preserve">”</w:t>
      </w:r>
      <w:r>
        <w:t xml:space="preserve"> </w:t>
      </w:r>
      <w:r>
        <w:t xml:space="preserve">transitions — the most interpretable method (directly yields a transition matrix, e.g.,</w:t>
      </w:r>
      <w:r>
        <w:t xml:space="preserve"> </w:t>
      </w:r>
      <w:r>
        <w:t xml:space="preserve">“</w:t>
      </w:r>
      <w:r>
        <w:t xml:space="preserve">cropland to built-up</w:t>
      </w:r>
      <w:r>
        <w:t xml:space="preserve">”</w:t>
      </w:r>
      <w:r>
        <w:t xml:space="preserve">) but accumulates the classification error of both independent dates.</w:t>
      </w:r>
    </w:p>
    <w:p>
      <w:pPr>
        <w:pStyle w:val="Compact"/>
        <w:numPr>
          <w:ilvl w:val="0"/>
          <w:numId w:val="1044"/>
        </w:numPr>
      </w:pPr>
      <w:r>
        <w:rPr>
          <w:bCs/>
          <w:b/>
        </w:rPr>
        <w:t xml:space="preserve">Image differencing / ratioing:</w:t>
      </w:r>
      <w:r>
        <w:t xml:space="preserve"> </w:t>
      </w:r>
      <w:r>
        <w:t xml:space="preserve">directly subtract or ratio a spectral band or vegetation index between two dates (e.g., NDVI difference, dNBR for burn severity, Chapter 15, Section 15.4) and threshold the result to identify change — simpler and avoiding compounded classification error, but requires careful radiometric normalisation between dates and a defensible, often empirically calibrated, change threshold.</w:t>
      </w:r>
    </w:p>
    <w:p>
      <w:pPr>
        <w:pStyle w:val="Compact"/>
        <w:numPr>
          <w:ilvl w:val="0"/>
          <w:numId w:val="1044"/>
        </w:numPr>
      </w:pPr>
      <w:r>
        <w:rPr>
          <w:bCs/>
          <w:b/>
        </w:rPr>
        <w:t xml:space="preserve">Multi-temporal PCA</w:t>
      </w:r>
      <w:r>
        <w:t xml:space="preserve"> </w:t>
      </w:r>
      <w:r>
        <w:t xml:space="preserve">— jointly analysing a stacked multi-date image, concentrating stable information into early (high-eigenvalue) components and genuine change into later (lower-eigenvalue, orthogonal-to-the-dominant-stable-pattern) components.</w:t>
      </w:r>
    </w:p>
    <w:p>
      <w:pPr>
        <w:pStyle w:val="Compact"/>
        <w:numPr>
          <w:ilvl w:val="0"/>
          <w:numId w:val="1044"/>
        </w:numPr>
      </w:pPr>
      <w:r>
        <w:rPr>
          <w:bCs/>
          <w:b/>
        </w:rPr>
        <w:t xml:space="preserve">SAR coherence-based change detection:</w:t>
      </w:r>
      <w:r>
        <w:t xml:space="preserve"> </w:t>
      </w:r>
      <w:r>
        <w:t xml:space="preserve">exploiting the loss of interferometric coherence between two SAR acquisitions when the ground surface has physically changed between them (vegetation growth, construction, flooding), a technique particularly valuable for detecting change under cloud cover where optical multi-date comparison is impossible.</w:t>
      </w:r>
    </w:p>
    <w:p>
      <w:pPr>
        <w:pStyle w:val="Heading1"/>
      </w:pPr>
      <w:r>
        <w:t xml:space="preserve">Chapter 7. Spectral Indices for Vegetation, Water and Soil</w:t>
      </w:r>
    </w:p>
    <w:p>
      <w:pPr>
        <w:pStyle w:val="Heading2"/>
      </w:pPr>
      <w:r>
        <w:t xml:space="preserve">7.1 Vegetation Indices: Formulas, Physics, and Agricultural Utility</w:t>
      </w:r>
    </w:p>
    <w:p>
      <w:pPr>
        <w:pStyle w:val="Heading3"/>
      </w:pPr>
      <w:r>
        <w:t xml:space="preserve">7.1.1 Why Vegetation Indices Are Needed</w:t>
      </w:r>
    </w:p>
    <w:p>
      <w:pPr>
        <w:pStyle w:val="FirstParagraph"/>
      </w:pPr>
      <w:r>
        <w:t xml:space="preserve">A single reflectance band is influenced by many confounding factors — soil brightness and colour, sun-sensor geometry, atmospheric haze, canopy shadow, and sensor calibration drift. Vegetation indices are algebraic combinations of two or more spectral bands (most commonly Red and NIR) designed to:</w:t>
      </w:r>
    </w:p>
    <w:p>
      <w:pPr>
        <w:pStyle w:val="Compact"/>
        <w:numPr>
          <w:ilvl w:val="0"/>
          <w:numId w:val="1045"/>
        </w:numPr>
      </w:pPr>
      <w:r>
        <w:t xml:space="preserve">Maximise sensitivity to vegetation biophysical parameters (LAI — leaf area index, fractional vegetation cover, biomass, chlorophyll content).</w:t>
      </w:r>
    </w:p>
    <w:p>
      <w:pPr>
        <w:pStyle w:val="Compact"/>
        <w:numPr>
          <w:ilvl w:val="0"/>
          <w:numId w:val="1045"/>
        </w:numPr>
      </w:pPr>
      <w:r>
        <w:t xml:space="preserve">Minimise or normalise the influence of external/confounding factors (soil background, sun angle, atmosphere, sensor differences).</w:t>
      </w:r>
    </w:p>
    <w:p>
      <w:pPr>
        <w:pStyle w:val="Compact"/>
        <w:numPr>
          <w:ilvl w:val="0"/>
          <w:numId w:val="1045"/>
        </w:numPr>
      </w:pPr>
      <w:r>
        <w:t xml:space="preserve">Compress multi-band data into a single, interpretable, roughly 0–1 scaled number that can be tracked over time and compared across space.</w:t>
      </w:r>
    </w:p>
    <w:p>
      <w:pPr>
        <w:pStyle w:val="Heading3"/>
      </w:pPr>
      <w:r>
        <w:t xml:space="preserve">7.1.2 The Core Broadband Indices</w:t>
      </w:r>
    </w:p>
    <w:p>
      <w:pPr>
        <w:pStyle w:val="FirstParagraph"/>
      </w:pPr>
      <w:r>
        <w:rPr>
          <w:bCs/>
          <w:b/>
        </w:rPr>
        <w:t xml:space="preserve">NDVI (Normalized Difference Vegetation Index)</w:t>
      </w:r>
      <w:r>
        <w:t xml:space="preserve"> </w:t>
      </w:r>
      <w:r>
        <w:t xml:space="preserve">— proposed by Rouse et al. (1974) and popularised through the AVHRR/NOAA and later MODIS record — is the single most widely used VI in operational agriculture:</w:t>
      </w:r>
    </w:p>
    <w:p>
      <w:pPr>
        <w:pStyle w:val="BodyText"/>
      </w:pPr>
      <w:r>
        <w:t xml:space="preserve">NDVI = (NIR − Red) / (NIR + Red)</w:t>
      </w:r>
    </w:p>
    <w:p>
      <w:pPr>
        <w:pStyle w:val="BodyText"/>
      </w:pPr>
      <w:r>
        <w:t xml:space="preserve">NDVI ranges theoretically from −1 to +1. Values near 0 or negative indicate bare soil, water, snow, or built-up surfaces; values from about 0.2–0.3 indicate sparse/early-stage vegetation; values of 0.6–0.9 indicate dense, healthy vegetation at peak growth. NDVI correlates well with green LAI and fraction of absorbed photosynthetically active radiation (fAPAR) at low-to-moderate canopy densities, making it excellent for tracking crop emergence, vegetative growth, and general crop vigour trends.</w:t>
      </w:r>
    </w:p>
    <w:p>
      <w:pPr>
        <w:pStyle w:val="BodyText"/>
      </w:pPr>
      <w:r>
        <w:rPr>
          <w:iCs/>
          <w:i/>
        </w:rPr>
        <w:t xml:space="preserve">Limitations</w:t>
      </w:r>
      <w:r>
        <w:t xml:space="preserve">: NDVI</w:t>
      </w:r>
      <w:r>
        <w:t xml:space="preserve"> </w:t>
      </w:r>
      <w:r>
        <w:rPr>
          <w:bCs/>
          <w:b/>
        </w:rPr>
        <w:t xml:space="preserve">saturates</w:t>
      </w:r>
      <w:r>
        <w:t xml:space="preserve"> </w:t>
      </w:r>
      <w:r>
        <w:t xml:space="preserve">at high biomass/LAI (typically LAI &gt; 3–4, e.g., dense rice or maize canopies near peak growth), meaning further biomass increases are not well captured. It is also sensitive to soil background reflectance when canopy cover is sparse (early growth stages), and to atmospheric aerosols/water vapour, sun-sensor geometry (bidirectional reflectance effects), and residue/litter in no-till or post-harvest fields.</w:t>
      </w:r>
    </w:p>
    <w:p>
      <w:pPr>
        <w:pStyle w:val="BodyText"/>
      </w:pPr>
      <w:r>
        <w:rPr>
          <w:bCs/>
          <w:b/>
        </w:rPr>
        <w:t xml:space="preserve">EVI (Enhanced Vegetation Index)</w:t>
      </w:r>
      <w:r>
        <w:t xml:space="preserve">, developed for MODIS by Huete et al. (2002), was explicitly designed to correct NDVI’s soil-background sensitivity and atmosphere/aerosol contamination, and to reduce saturation at high biomass by incorporating the blue band and canopy background adjustment coefficients:</w:t>
      </w:r>
    </w:p>
    <w:p>
      <w:pPr>
        <w:pStyle w:val="BodyText"/>
      </w:pPr>
      <w:r>
        <w:t xml:space="preserve">EVI = G × (NIR − Red) / (NIR + C1×Red − C2×Blue + L)</w:t>
      </w:r>
    </w:p>
    <w:p>
      <w:pPr>
        <w:pStyle w:val="BodyText"/>
      </w:pPr>
      <w:r>
        <w:t xml:space="preserve">with standard MODIS coefficients G = 2.5, C1 = 6, C2 = 7.5, and L = 1 (canopy background adjustment). EVI has better dynamic range at high LAI and is less prone to atmospheric contamination, but requires a blue band (not always available, e.g., in some SAR-optical fusion or coarser sensors) and is more sensitive to canopy structural/architectural differences, so it is somewhat less directly interpretable than NDVI. EVI is the preferred index for dense tropical crops (sugarcane, maize at tasseling, dense rice) and for MODIS-based large-area monitoring where atmospheric noise is a major concern.</w:t>
      </w:r>
    </w:p>
    <w:p>
      <w:pPr>
        <w:pStyle w:val="BodyText"/>
      </w:pPr>
      <w:r>
        <w:rPr>
          <w:bCs/>
          <w:b/>
        </w:rPr>
        <w:t xml:space="preserve">SAVI (Soil-Adjusted Vegetation Index)</w:t>
      </w:r>
      <w:r>
        <w:t xml:space="preserve">, from Huete (1988), introduces a soil-brightness correction factor L (typically 0.5 for intermediate vegetation density) to minimise soil noise in sparse canopies — critical during crop emergence/early vegetative stages when row crops expose significant bare soil between plants:</w:t>
      </w:r>
    </w:p>
    <w:p>
      <w:pPr>
        <w:pStyle w:val="BodyText"/>
      </w:pPr>
      <w:r>
        <w:t xml:space="preserve">SAVI = [(NIR − Red) / (NIR + Red + L)] × (1 + L)</w:t>
      </w:r>
    </w:p>
    <w:p>
      <w:pPr>
        <w:pStyle w:val="BodyText"/>
      </w:pPr>
      <w:r>
        <w:rPr>
          <w:bCs/>
          <w:b/>
        </w:rPr>
        <w:t xml:space="preserve">MSAVI / MSAVI2 (Modified SAVI)</w:t>
      </w:r>
      <w:r>
        <w:t xml:space="preserve">, Qi et al. (1994), replaces the constant L with a self-adjusting soil correction factor computed iteratively from the data itself, removing the need to know soil brightness a priori:</w:t>
      </w:r>
    </w:p>
    <w:p>
      <w:pPr>
        <w:pStyle w:val="BodyText"/>
      </w:pPr>
      <w:r>
        <w:t xml:space="preserve">MSAVI2 = [2×NIR + 1 − √((2×NIR + 1)² − 8×(NIR − Red))] / 2</w:t>
      </w:r>
    </w:p>
    <w:p>
      <w:pPr>
        <w:pStyle w:val="BodyText"/>
      </w:pPr>
      <w:r>
        <w:t xml:space="preserve">MSAVI2 is particularly valuable for sowing-date/emergence detection and sparse-canopy row crops such as cotton, groundnut, and pulses in the early season, and for arid/semi-arid Indian agro-climatic zones (Rajasthan, parts of Deccan plateau) with bright, exposed soils.</w:t>
      </w:r>
    </w:p>
    <w:p>
      <w:pPr>
        <w:pStyle w:val="Heading3"/>
      </w:pPr>
      <w:r>
        <w:t xml:space="preserve">7.1.3 Water- and Canopy-Moisture Sensitive Indices</w:t>
      </w:r>
    </w:p>
    <w:p>
      <w:pPr>
        <w:pStyle w:val="FirstParagraph"/>
      </w:pPr>
      <w:r>
        <w:rPr>
          <w:bCs/>
          <w:b/>
        </w:rPr>
        <w:t xml:space="preserve">NDWI (Normalized Difference Water Index)</w:t>
      </w:r>
      <w:r>
        <w:t xml:space="preserve"> </w:t>
      </w:r>
      <w:r>
        <w:t xml:space="preserve">has two common formulations that are frequently confused:</w:t>
      </w:r>
    </w:p>
    <w:p>
      <w:pPr>
        <w:pStyle w:val="Compact"/>
        <w:numPr>
          <w:ilvl w:val="0"/>
          <w:numId w:val="1046"/>
        </w:numPr>
      </w:pPr>
      <w:r>
        <w:t xml:space="preserve">Gao’s (1996)</w:t>
      </w:r>
      <w:r>
        <w:t xml:space="preserve"> </w:t>
      </w:r>
      <w:r>
        <w:rPr>
          <w:iCs/>
          <w:i/>
        </w:rPr>
        <w:t xml:space="preserve">vegetation water content</w:t>
      </w:r>
      <w:r>
        <w:t xml:space="preserve"> </w:t>
      </w:r>
      <w:r>
        <w:t xml:space="preserve">version uses NIR and SWIR (short-wave infrared, ~1240 nm or 1640 nm): NDWI = (NIR − SWIR) / (NIR + SWIR). This tracks canopy/leaf water content and is sensitive to irrigation status, drought stress, and crop water deficit — extremely useful for irrigation scheduling and drought monitoring.</w:t>
      </w:r>
    </w:p>
    <w:p>
      <w:pPr>
        <w:pStyle w:val="Compact"/>
        <w:numPr>
          <w:ilvl w:val="0"/>
          <w:numId w:val="1046"/>
        </w:numPr>
      </w:pPr>
      <w:r>
        <w:t xml:space="preserve">McFeeters’ (1996)</w:t>
      </w:r>
      <w:r>
        <w:t xml:space="preserve"> </w:t>
      </w:r>
      <w:r>
        <w:rPr>
          <w:iCs/>
          <w:i/>
        </w:rPr>
        <w:t xml:space="preserve">open-water/surface-water</w:t>
      </w:r>
      <w:r>
        <w:t xml:space="preserve"> </w:t>
      </w:r>
      <w:r>
        <w:t xml:space="preserve">version uses Green and NIR: NDWI = (Green − NIR) / (Green + NIR), used to delineate standing water/flooded fields — highly relevant for detecting transplanted/flooded rice paddies in optical imagery.</w:t>
      </w:r>
    </w:p>
    <w:p>
      <w:pPr>
        <w:pStyle w:val="FirstParagraph"/>
      </w:pPr>
      <w:r>
        <w:rPr>
          <w:bCs/>
          <w:b/>
        </w:rPr>
        <w:t xml:space="preserve">GNDVI (Green NDVI)</w:t>
      </w:r>
      <w:r>
        <w:t xml:space="preserve">, Gitelson et al. (1996), substitutes the Green band for Red:</w:t>
      </w:r>
    </w:p>
    <w:p>
      <w:pPr>
        <w:pStyle w:val="BodyText"/>
      </w:pPr>
      <w:r>
        <w:t xml:space="preserve">GNDVI = (NIR − Green) / (NIR + Green)</w:t>
      </w:r>
    </w:p>
    <w:p>
      <w:pPr>
        <w:pStyle w:val="BodyText"/>
      </w:pPr>
      <w:r>
        <w:t xml:space="preserve">GNDVI is more sensitive to chlorophyll concentration and less prone to saturation at higher LAI than standard NDVI, making it useful for detecting nitrogen status and chlorophyll variation in mid-to-late season canopies when NDVI has already saturated — a common precision-agriculture application for variable-rate nitrogen top-dressing.</w:t>
      </w:r>
    </w:p>
    <w:p>
      <w:pPr>
        <w:pStyle w:val="Heading3"/>
      </w:pPr>
      <w:r>
        <w:t xml:space="preserve">7.1.4 Red-Edge and Chlorophyll Indices (Precision Agriculture Focus)</w:t>
      </w:r>
    </w:p>
    <w:p>
      <w:pPr>
        <w:pStyle w:val="FirstParagraph"/>
      </w:pPr>
      <w:r>
        <w:t xml:space="preserve">The red-edge region (690–750 nm), now available on Sentinel-2 (bands 5, 6, 7 at 705, 740, 783 nm) and RapidEye, is uniquely sensitive to leaf chlorophyll and nitrogen content, and — critically — does</w:t>
      </w:r>
      <w:r>
        <w:t xml:space="preserve"> </w:t>
      </w:r>
      <w:r>
        <w:rPr>
          <w:bCs/>
          <w:b/>
        </w:rPr>
        <w:t xml:space="preserve">not</w:t>
      </w:r>
      <w:r>
        <w:t xml:space="preserve"> </w:t>
      </w:r>
      <w:r>
        <w:t xml:space="preserve">saturate as quickly as red-band-based indices at moderate-to-high LAI, since chlorophyll absorption in this transition zone continues responding to changes even in dense canopies.</w:t>
      </w:r>
    </w:p>
    <w:p>
      <w:pPr>
        <w:pStyle w:val="BodyText"/>
      </w:pPr>
      <w:r>
        <w:rPr>
          <w:bCs/>
          <w:b/>
        </w:rPr>
        <w:t xml:space="preserve">NDRE (Normalized Difference Red Edge)</w:t>
      </w:r>
      <w:r>
        <w:t xml:space="preserve">:</w:t>
      </w:r>
    </w:p>
    <w:p>
      <w:pPr>
        <w:pStyle w:val="BodyText"/>
      </w:pPr>
      <w:r>
        <w:t xml:space="preserve">NDRE = (NIR − RedEdge) / (NIR + RedEdge)</w:t>
      </w:r>
    </w:p>
    <w:p>
      <w:pPr>
        <w:pStyle w:val="BodyText"/>
      </w:pPr>
      <w:r>
        <w:t xml:space="preserve">NDRE is the workhorse index in commercial precision-agriculture platforms (e.g., variable-rate nitrogen prescription maps) because it remains sensitive deep into the growing season (post-canopy-closure) when NDVI has plateaued, allowing detection of subtle within-field chlorophyll/nitrogen variability for site-specific fertilisation.</w:t>
      </w:r>
    </w:p>
    <w:p>
      <w:pPr>
        <w:pStyle w:val="BodyText"/>
      </w:pPr>
      <w:r>
        <w:rPr>
          <w:bCs/>
          <w:b/>
        </w:rPr>
        <w:t xml:space="preserve">Chlorophyll Indices (CIgreen and CIre)</w:t>
      </w:r>
      <w:r>
        <w:t xml:space="preserve">, from Gitelson, Viña et al. (2003, 2005):</w:t>
      </w:r>
    </w:p>
    <w:p>
      <w:pPr>
        <w:pStyle w:val="BodyText"/>
      </w:pPr>
      <w:r>
        <w:t xml:space="preserve">CIgreen = (NIR / Green) − 1 CIre = (NIR / RedEdge) − 1</w:t>
      </w:r>
    </w:p>
    <w:p>
      <w:pPr>
        <w:pStyle w:val="BodyText"/>
      </w:pPr>
      <w:r>
        <w:t xml:space="preserve">Both are near-linearly related to total leaf/canopy chlorophyll content over a wide dynamic range, and CIre in particular has been validated (including on Sentinel-2/Sentinel-3 red-edge bands) for estimating crop and grass chlorophyll and nitrogen content with strong linear response even at high chlorophyll concentrations, per Clevers &amp; Gitelson (2013), making them well suited to nitrogen status diagnostics in wheat, maize, and rice.</w:t>
      </w:r>
    </w:p>
    <w:p>
      <w:pPr>
        <w:pStyle w:val="Heading3"/>
      </w:pPr>
      <w:r>
        <w:t xml:space="preserve">7.1.5 Structural/Shape-Based Indices</w:t>
      </w:r>
    </w:p>
    <w:p>
      <w:pPr>
        <w:pStyle w:val="FirstParagraph"/>
      </w:pPr>
      <w:r>
        <w:rPr>
          <w:bCs/>
          <w:b/>
        </w:rPr>
        <w:t xml:space="preserve">TVI (Triangular Vegetation Index)</w:t>
      </w:r>
      <w:r>
        <w:t xml:space="preserve">, Broge &amp; Leblanc (2001), uses the geometric area of the triangle formed by reflectance in green, red, and NIR bands (relating to the relative depth of chlorophyll absorption in red versus the height of the NIR shoulder) to estimate chlorophyll density and LAI while being less sensitive to background/soil noise than simple ratio indices:</w:t>
      </w:r>
    </w:p>
    <w:p>
      <w:pPr>
        <w:pStyle w:val="BodyText"/>
      </w:pPr>
      <w:r>
        <w:t xml:space="preserve">TVI = 0.5 × [120×(NIR − Green) − 200×(Red − Green)]</w:t>
      </w:r>
    </w:p>
    <w:p>
      <w:pPr>
        <w:pStyle w:val="BodyText"/>
      </w:pPr>
      <w:r>
        <w:t xml:space="preserve">Variants like MTVI2 (Modified TVI2) further correct for soil background and are used in LAI-retrieval algorithms feeding crop-growth/yield models.</w:t>
      </w:r>
    </w:p>
    <w:p>
      <w:pPr>
        <w:pStyle w:val="Heading3"/>
      </w:pPr>
      <w:r>
        <w:t xml:space="preserve">7.1.6 Summary Table — Vegetation Indices</w:t>
      </w:r>
    </w:p>
    <w:tbl>
      <w:tblPr>
        <w:tblStyle w:val="Table"/>
        <w:tblW w:type="pct" w:w="4958"/>
        <w:jc w:val="left"/>
        <w:tblLook w:firstRow="1" w:lastRow="0" w:firstColumn="0" w:lastColumn="0" w:noHBand="0" w:noVBand="0" w:val="0020"/>
      </w:tblPr>
      <w:tblGrid>
        <w:gridCol w:w="632"/>
        <w:gridCol w:w="1397"/>
        <w:gridCol w:w="1663"/>
        <w:gridCol w:w="2395"/>
        <w:gridCol w:w="1763"/>
      </w:tblGrid>
      <w:tr>
        <w:trPr>
          <w:tblHeader w:val="true"/>
        </w:trPr>
        <w:tc>
          <w:tcPr/>
          <w:p>
            <w:pPr>
              <w:pStyle w:val="Compact"/>
              <w:jc w:val="left"/>
            </w:pPr>
            <w:r>
              <w:t xml:space="preserve">Index</w:t>
            </w:r>
          </w:p>
        </w:tc>
        <w:tc>
          <w:tcPr/>
          <w:p>
            <w:pPr>
              <w:pStyle w:val="Compact"/>
              <w:jc w:val="left"/>
            </w:pPr>
            <w:r>
              <w:t xml:space="preserve">Formula (reflectance bands)</w:t>
            </w:r>
          </w:p>
        </w:tc>
        <w:tc>
          <w:tcPr/>
          <w:p>
            <w:pPr>
              <w:pStyle w:val="Compact"/>
              <w:jc w:val="left"/>
            </w:pPr>
            <w:r>
              <w:t xml:space="preserve">Primary Sensitivity</w:t>
            </w:r>
          </w:p>
        </w:tc>
        <w:tc>
          <w:tcPr/>
          <w:p>
            <w:pPr>
              <w:pStyle w:val="Compact"/>
              <w:jc w:val="left"/>
            </w:pPr>
            <w:r>
              <w:t xml:space="preserve">Key Agricultural Application</w:t>
            </w:r>
          </w:p>
        </w:tc>
        <w:tc>
          <w:tcPr/>
          <w:p>
            <w:pPr>
              <w:pStyle w:val="Compact"/>
              <w:jc w:val="left"/>
            </w:pPr>
            <w:r>
              <w:t xml:space="preserve">Key Limitation</w:t>
            </w:r>
          </w:p>
        </w:tc>
      </w:tr>
      <w:tr>
        <w:tc>
          <w:tcPr/>
          <w:p>
            <w:pPr>
              <w:pStyle w:val="Compact"/>
              <w:jc w:val="left"/>
            </w:pPr>
            <w:r>
              <w:t xml:space="preserve">NDVI</w:t>
            </w:r>
          </w:p>
        </w:tc>
        <w:tc>
          <w:tcPr/>
          <w:p>
            <w:pPr>
              <w:pStyle w:val="Compact"/>
              <w:jc w:val="left"/>
            </w:pPr>
            <w:r>
              <w:t xml:space="preserve">(NIR−Red)/(NIR+Red)</w:t>
            </w:r>
          </w:p>
        </w:tc>
        <w:tc>
          <w:tcPr/>
          <w:p>
            <w:pPr>
              <w:pStyle w:val="Compact"/>
              <w:jc w:val="left"/>
            </w:pPr>
            <w:r>
              <w:t xml:space="preserve">Green biomass, fAPAR, LAI (low-mid)</w:t>
            </w:r>
          </w:p>
        </w:tc>
        <w:tc>
          <w:tcPr/>
          <w:p>
            <w:pPr>
              <w:pStyle w:val="Compact"/>
              <w:jc w:val="left"/>
            </w:pPr>
            <w:r>
              <w:t xml:space="preserve">General crop vigour monitoring, season-long time series, phenology</w:t>
            </w:r>
          </w:p>
        </w:tc>
        <w:tc>
          <w:tcPr/>
          <w:p>
            <w:pPr>
              <w:pStyle w:val="Compact"/>
              <w:jc w:val="left"/>
            </w:pPr>
            <w:r>
              <w:t xml:space="preserve">Saturates at high LAI; soil noise at low cover</w:t>
            </w:r>
          </w:p>
        </w:tc>
      </w:tr>
      <w:tr>
        <w:tc>
          <w:tcPr/>
          <w:p>
            <w:pPr>
              <w:pStyle w:val="Compact"/>
              <w:jc w:val="left"/>
            </w:pPr>
            <w:r>
              <w:t xml:space="preserve">EVI</w:t>
            </w:r>
          </w:p>
        </w:tc>
        <w:tc>
          <w:tcPr/>
          <w:p>
            <w:pPr>
              <w:pStyle w:val="Compact"/>
              <w:jc w:val="left"/>
            </w:pPr>
            <w:r>
              <w:t xml:space="preserve">G(NIR−Red)/(NIR+C1·Red−C2·Blue+L)</w:t>
            </w:r>
          </w:p>
        </w:tc>
        <w:tc>
          <w:tcPr/>
          <w:p>
            <w:pPr>
              <w:pStyle w:val="Compact"/>
              <w:jc w:val="left"/>
            </w:pPr>
            <w:r>
              <w:t xml:space="preserve">Biomass at higher LAI; atmosphere-corrected</w:t>
            </w:r>
          </w:p>
        </w:tc>
        <w:tc>
          <w:tcPr/>
          <w:p>
            <w:pPr>
              <w:pStyle w:val="Compact"/>
              <w:jc w:val="left"/>
            </w:pPr>
            <w:r>
              <w:t xml:space="preserve">Dense canopy monitoring (sugarcane, maize), MODIS large-area products</w:t>
            </w:r>
          </w:p>
        </w:tc>
        <w:tc>
          <w:tcPr/>
          <w:p>
            <w:pPr>
              <w:pStyle w:val="Compact"/>
              <w:jc w:val="left"/>
            </w:pPr>
            <w:r>
              <w:t xml:space="preserve">Needs blue band; more complex, less intuitive</w:t>
            </w:r>
          </w:p>
        </w:tc>
      </w:tr>
      <w:tr>
        <w:tc>
          <w:tcPr/>
          <w:p>
            <w:pPr>
              <w:pStyle w:val="Compact"/>
              <w:jc w:val="left"/>
            </w:pPr>
            <w:r>
              <w:t xml:space="preserve">SAVI</w:t>
            </w:r>
          </w:p>
        </w:tc>
        <w:tc>
          <w:tcPr/>
          <w:p>
            <w:pPr>
              <w:pStyle w:val="Compact"/>
              <w:jc w:val="left"/>
            </w:pPr>
            <w:r>
              <w:t xml:space="preserve">[(NIR−Red)/(NIR+Red+L)]·(1+L)</w:t>
            </w:r>
          </w:p>
        </w:tc>
        <w:tc>
          <w:tcPr/>
          <w:p>
            <w:pPr>
              <w:pStyle w:val="Compact"/>
              <w:jc w:val="left"/>
            </w:pPr>
            <w:r>
              <w:t xml:space="preserve">Vegetation with soil-noise correction</w:t>
            </w:r>
          </w:p>
        </w:tc>
        <w:tc>
          <w:tcPr/>
          <w:p>
            <w:pPr>
              <w:pStyle w:val="Compact"/>
              <w:jc w:val="left"/>
            </w:pPr>
            <w:r>
              <w:t xml:space="preserve">Sparse/emerging canopies, row crops</w:t>
            </w:r>
          </w:p>
        </w:tc>
        <w:tc>
          <w:tcPr/>
          <w:p>
            <w:pPr>
              <w:pStyle w:val="Compact"/>
              <w:jc w:val="left"/>
            </w:pPr>
            <w:r>
              <w:t xml:space="preserve">Requires assumed L value</w:t>
            </w:r>
          </w:p>
        </w:tc>
      </w:tr>
      <w:tr>
        <w:tc>
          <w:tcPr/>
          <w:p>
            <w:pPr>
              <w:pStyle w:val="Compact"/>
              <w:jc w:val="left"/>
            </w:pPr>
            <w:r>
              <w:t xml:space="preserve">MSAVI2</w:t>
            </w:r>
          </w:p>
        </w:tc>
        <w:tc>
          <w:tcPr/>
          <w:p>
            <w:pPr>
              <w:pStyle w:val="Compact"/>
              <w:jc w:val="left"/>
            </w:pPr>
            <w:r>
              <w:t xml:space="preserve">Self-adjusting soil-line formula</w:t>
            </w:r>
          </w:p>
        </w:tc>
        <w:tc>
          <w:tcPr/>
          <w:p>
            <w:pPr>
              <w:pStyle w:val="Compact"/>
              <w:jc w:val="left"/>
            </w:pPr>
            <w:r>
              <w:t xml:space="preserve">Vegetation with adaptive soil correction</w:t>
            </w:r>
          </w:p>
        </w:tc>
        <w:tc>
          <w:tcPr/>
          <w:p>
            <w:pPr>
              <w:pStyle w:val="Compact"/>
              <w:jc w:val="left"/>
            </w:pPr>
            <w:r>
              <w:t xml:space="preserve">Sowing/emergence detection, arid-zone crops</w:t>
            </w:r>
          </w:p>
        </w:tc>
        <w:tc>
          <w:tcPr/>
          <w:p>
            <w:pPr>
              <w:pStyle w:val="Compact"/>
              <w:jc w:val="left"/>
            </w:pPr>
            <w:r>
              <w:t xml:space="preserve">Computationally heavier; still red/NIR based</w:t>
            </w:r>
          </w:p>
        </w:tc>
      </w:tr>
      <w:tr>
        <w:tc>
          <w:tcPr/>
          <w:p>
            <w:pPr>
              <w:pStyle w:val="Compact"/>
              <w:jc w:val="left"/>
            </w:pPr>
            <w:r>
              <w:t xml:space="preserve">NDWI (Gao)</w:t>
            </w:r>
          </w:p>
        </w:tc>
        <w:tc>
          <w:tcPr/>
          <w:p>
            <w:pPr>
              <w:pStyle w:val="Compact"/>
              <w:jc w:val="left"/>
            </w:pPr>
            <w:r>
              <w:t xml:space="preserve">(NIR−SWIR)/(NIR+SWIR)</w:t>
            </w:r>
          </w:p>
        </w:tc>
        <w:tc>
          <w:tcPr/>
          <w:p>
            <w:pPr>
              <w:pStyle w:val="Compact"/>
              <w:jc w:val="left"/>
            </w:pPr>
            <w:r>
              <w:t xml:space="preserve">Canopy/leaf water content</w:t>
            </w:r>
          </w:p>
        </w:tc>
        <w:tc>
          <w:tcPr/>
          <w:p>
            <w:pPr>
              <w:pStyle w:val="Compact"/>
              <w:jc w:val="left"/>
            </w:pPr>
            <w:r>
              <w:t xml:space="preserve">Drought/irrigation stress detection</w:t>
            </w:r>
          </w:p>
        </w:tc>
        <w:tc>
          <w:tcPr/>
          <w:p>
            <w:pPr>
              <w:pStyle w:val="Compact"/>
              <w:jc w:val="left"/>
            </w:pPr>
            <w:r>
              <w:t xml:space="preserve">SWIR band needed; affected by canopy structure</w:t>
            </w:r>
          </w:p>
        </w:tc>
      </w:tr>
      <w:tr>
        <w:tc>
          <w:tcPr/>
          <w:p>
            <w:pPr>
              <w:pStyle w:val="Compact"/>
              <w:jc w:val="left"/>
            </w:pPr>
            <w:r>
              <w:t xml:space="preserve">NDWI (McFeeters)</w:t>
            </w:r>
          </w:p>
        </w:tc>
        <w:tc>
          <w:tcPr/>
          <w:p>
            <w:pPr>
              <w:pStyle w:val="Compact"/>
              <w:jc w:val="left"/>
            </w:pPr>
            <w:r>
              <w:t xml:space="preserve">(Green−NIR)/(Green+NIR)</w:t>
            </w:r>
          </w:p>
        </w:tc>
        <w:tc>
          <w:tcPr/>
          <w:p>
            <w:pPr>
              <w:pStyle w:val="Compact"/>
              <w:jc w:val="left"/>
            </w:pPr>
            <w:r>
              <w:t xml:space="preserve">Open/standing water</w:t>
            </w:r>
          </w:p>
        </w:tc>
        <w:tc>
          <w:tcPr/>
          <w:p>
            <w:pPr>
              <w:pStyle w:val="Compact"/>
              <w:jc w:val="left"/>
            </w:pPr>
            <w:r>
              <w:t xml:space="preserve">Flooded paddy/transplanted rice detection</w:t>
            </w:r>
          </w:p>
        </w:tc>
        <w:tc>
          <w:tcPr/>
          <w:p>
            <w:pPr>
              <w:pStyle w:val="Compact"/>
              <w:jc w:val="left"/>
            </w:pPr>
            <w:r>
              <w:t xml:space="preserve">Confused with vegetation water index; mixed pixels</w:t>
            </w:r>
          </w:p>
        </w:tc>
      </w:tr>
      <w:tr>
        <w:tc>
          <w:tcPr/>
          <w:p>
            <w:pPr>
              <w:pStyle w:val="Compact"/>
              <w:jc w:val="left"/>
            </w:pPr>
            <w:r>
              <w:t xml:space="preserve">GNDVI</w:t>
            </w:r>
          </w:p>
        </w:tc>
        <w:tc>
          <w:tcPr/>
          <w:p>
            <w:pPr>
              <w:pStyle w:val="Compact"/>
              <w:jc w:val="left"/>
            </w:pPr>
            <w:r>
              <w:t xml:space="preserve">(NIR−Green)/(NIR+Green)</w:t>
            </w:r>
          </w:p>
        </w:tc>
        <w:tc>
          <w:tcPr/>
          <w:p>
            <w:pPr>
              <w:pStyle w:val="Compact"/>
              <w:jc w:val="left"/>
            </w:pPr>
            <w:r>
              <w:t xml:space="preserve">Chlorophyll concentration</w:t>
            </w:r>
          </w:p>
        </w:tc>
        <w:tc>
          <w:tcPr/>
          <w:p>
            <w:pPr>
              <w:pStyle w:val="Compact"/>
              <w:jc w:val="left"/>
            </w:pPr>
            <w:r>
              <w:t xml:space="preserve">Mid/late-season chlorophyll &amp; N status</w:t>
            </w:r>
          </w:p>
        </w:tc>
        <w:tc>
          <w:tcPr/>
          <w:p>
            <w:pPr>
              <w:pStyle w:val="Compact"/>
              <w:jc w:val="left"/>
            </w:pPr>
            <w:r>
              <w:t xml:space="preserve">Less standardized thresholds than NDVI</w:t>
            </w:r>
          </w:p>
        </w:tc>
      </w:tr>
      <w:tr>
        <w:tc>
          <w:tcPr/>
          <w:p>
            <w:pPr>
              <w:pStyle w:val="Compact"/>
              <w:jc w:val="left"/>
            </w:pPr>
            <w:r>
              <w:t xml:space="preserve">NDRE</w:t>
            </w:r>
          </w:p>
        </w:tc>
        <w:tc>
          <w:tcPr/>
          <w:p>
            <w:pPr>
              <w:pStyle w:val="Compact"/>
              <w:jc w:val="left"/>
            </w:pPr>
            <w:r>
              <w:t xml:space="preserve">(NIR−RedEdge)/(NIR+RedEdge)</w:t>
            </w:r>
          </w:p>
        </w:tc>
        <w:tc>
          <w:tcPr/>
          <w:p>
            <w:pPr>
              <w:pStyle w:val="Compact"/>
              <w:jc w:val="left"/>
            </w:pPr>
            <w:r>
              <w:t xml:space="preserve">Canopy chlorophyll/N, late-season</w:t>
            </w:r>
          </w:p>
        </w:tc>
        <w:tc>
          <w:tcPr/>
          <w:p>
            <w:pPr>
              <w:pStyle w:val="Compact"/>
              <w:jc w:val="left"/>
            </w:pPr>
            <w:r>
              <w:t xml:space="preserve">Variable-rate N prescription, precision agriculture</w:t>
            </w:r>
          </w:p>
        </w:tc>
        <w:tc>
          <w:tcPr/>
          <w:p>
            <w:pPr>
              <w:pStyle w:val="Compact"/>
              <w:jc w:val="left"/>
            </w:pPr>
            <w:r>
              <w:t xml:space="preserve">Requires red-edge band (Sentinel-2, RapidEye)</w:t>
            </w:r>
          </w:p>
        </w:tc>
      </w:tr>
      <w:tr>
        <w:tc>
          <w:tcPr/>
          <w:p>
            <w:pPr>
              <w:pStyle w:val="Compact"/>
              <w:jc w:val="left"/>
            </w:pPr>
            <w:r>
              <w:t xml:space="preserve">CIgreen / CIre</w:t>
            </w:r>
          </w:p>
        </w:tc>
        <w:tc>
          <w:tcPr/>
          <w:p>
            <w:pPr>
              <w:pStyle w:val="Compact"/>
              <w:jc w:val="left"/>
            </w:pPr>
            <w:r>
              <w:t xml:space="preserve">(NIR/Green)−1 ; (NIR/RedEdge)−1</w:t>
            </w:r>
          </w:p>
        </w:tc>
        <w:tc>
          <w:tcPr/>
          <w:p>
            <w:pPr>
              <w:pStyle w:val="Compact"/>
              <w:jc w:val="left"/>
            </w:pPr>
            <w:r>
              <w:t xml:space="preserve">Total/canopy chlorophyll (linear, wide range)</w:t>
            </w:r>
          </w:p>
        </w:tc>
        <w:tc>
          <w:tcPr/>
          <w:p>
            <w:pPr>
              <w:pStyle w:val="Compact"/>
              <w:jc w:val="left"/>
            </w:pPr>
            <w:r>
              <w:t xml:space="preserve">Nitrogen diagnostics, chlorophyll retrieval models</w:t>
            </w:r>
          </w:p>
        </w:tc>
        <w:tc>
          <w:tcPr/>
          <w:p>
            <w:pPr>
              <w:pStyle w:val="Compact"/>
              <w:jc w:val="left"/>
            </w:pPr>
            <w:r>
              <w:t xml:space="preserve">Needs careful band-specific calibration</w:t>
            </w:r>
          </w:p>
        </w:tc>
      </w:tr>
      <w:tr>
        <w:tc>
          <w:tcPr/>
          <w:p>
            <w:pPr>
              <w:pStyle w:val="Compact"/>
              <w:jc w:val="left"/>
            </w:pPr>
            <w:r>
              <w:t xml:space="preserve">TVI / MTVI2</w:t>
            </w:r>
          </w:p>
        </w:tc>
        <w:tc>
          <w:tcPr/>
          <w:p>
            <w:pPr>
              <w:pStyle w:val="Compact"/>
              <w:jc w:val="left"/>
            </w:pPr>
            <w:r>
              <w:t xml:space="preserve">Triangle-area formula (Green, Red, NIR)</w:t>
            </w:r>
          </w:p>
        </w:tc>
        <w:tc>
          <w:tcPr/>
          <w:p>
            <w:pPr>
              <w:pStyle w:val="Compact"/>
              <w:jc w:val="left"/>
            </w:pPr>
            <w:r>
              <w:t xml:space="preserve">Chlorophyll absorption depth &amp; canopy structure</w:t>
            </w:r>
          </w:p>
        </w:tc>
        <w:tc>
          <w:tcPr/>
          <w:p>
            <w:pPr>
              <w:pStyle w:val="Compact"/>
              <w:jc w:val="left"/>
            </w:pPr>
            <w:r>
              <w:t xml:space="preserve">LAI retrieval for crop growth/yield models</w:t>
            </w:r>
          </w:p>
        </w:tc>
        <w:tc>
          <w:tcPr/>
          <w:p>
            <w:pPr>
              <w:pStyle w:val="Compact"/>
              <w:jc w:val="left"/>
            </w:pPr>
            <w:r>
              <w:t xml:space="preserve">Sensitive to canopy geometry assumptions</w:t>
            </w:r>
          </w:p>
        </w:tc>
      </w:tr>
    </w:tbl>
    <w:p>
      <w:pPr>
        <w:pStyle w:val="Heading3"/>
      </w:pPr>
      <w:r>
        <w:t xml:space="preserve">7.1.7 Choosing an Index in Practice</w:t>
      </w:r>
    </w:p>
    <w:p>
      <w:pPr>
        <w:pStyle w:val="FirstParagraph"/>
      </w:pPr>
      <w:r>
        <w:t xml:space="preserve">No single VI is universally optimal. Operational systems (including FASAL) typically use NDVI as the default season-long tracking index because of its long historical record (AVHRR since 1981, MODIS since 2000) enabling anomaly baselines, but supplement it with EVI or GNDVI near peak biomass to avoid saturation artifacts, and with NDWI/SWIR-based indices for water-stress and flooded-rice detection. Precision agriculture at the field scale increasingly relies on red-edge indices (NDRE, CIre) precisely because farm-level in-season nitrogen management decisions must be made after canopy closure, when NDVI has already saturated.</w:t>
      </w:r>
    </w:p>
    <w:p>
      <w:pPr>
        <w:pStyle w:val="Heading2"/>
      </w:pPr>
      <w:r>
        <w:t xml:space="preserve">7.2 Optical Vegetation and Spectral Indices (beyond NDVI, Chapter 10)</w:t>
      </w:r>
    </w:p>
    <w:p>
      <w:pPr>
        <w:pStyle w:val="FirstParagraph"/>
      </w:pPr>
      <w:r>
        <w:rPr>
          <w:bCs/>
          <w:b/>
        </w:rPr>
        <w:t xml:space="preserve">Enhanced Vegetation Index (EVI):</w:t>
      </w:r>
      <w:r>
        <w:t xml:space="preserve"> </w:t>
      </w:r>
      <w:r>
        <w:t xml:space="preserve">EVI = G × (NIR−Red) / (NIR + C1×Red − C2×Blue + L), typical constants G=2.5, C1=6, C2=7.5, L=1 — designed to reduce atmospheric and soil-background influence and to avoid NDVI’s saturation at high biomass, using the blue band to correct for residual atmospheric aerosol scattering.</w:t>
      </w:r>
    </w:p>
    <w:p>
      <w:pPr>
        <w:pStyle w:val="BodyText"/>
      </w:pPr>
      <w:r>
        <w:rPr>
          <w:bCs/>
          <w:b/>
        </w:rPr>
        <w:t xml:space="preserve">Soil-Adjusted Vegetation Index (SAVI):</w:t>
      </w:r>
      <w:r>
        <w:t xml:space="preserve"> </w:t>
      </w:r>
      <w:r>
        <w:t xml:space="preserve">SAVI = [(NIR−Red)/(NIR+Red+L)] × (1+L), L (soil-brightness correction factor) typically 0.5 — reduces soil-background brightness influence on the vegetation signal, particularly important for the sparse-canopy early-growth-stage conditions common at Indian crop-sowing.</w:t>
      </w:r>
    </w:p>
    <w:p>
      <w:pPr>
        <w:pStyle w:val="BodyText"/>
      </w:pPr>
      <w:r>
        <w:rPr>
          <w:bCs/>
          <w:b/>
        </w:rPr>
        <w:t xml:space="preserve">Normalized Difference Water Index (NDWI):</w:t>
      </w:r>
      <w:r>
        <w:t xml:space="preserve"> </w:t>
      </w:r>
      <w:r>
        <w:t xml:space="preserve">NDWI = (Green−NIR)/(Green+NIR) (McFeeters, for open water) — water strongly absorbs NIR while reflecting green, giving strongly positive NDWI for open water, the basis of surface-water-extent mapping products as an alternative/complement to SAR-based water mapping.</w:t>
      </w:r>
    </w:p>
    <w:p>
      <w:pPr>
        <w:pStyle w:val="BodyText"/>
      </w:pPr>
      <w:r>
        <w:rPr>
          <w:bCs/>
          <w:b/>
        </w:rPr>
        <w:t xml:space="preserve">Normalized Burn Ratio (NBR):</w:t>
      </w:r>
      <w:r>
        <w:t xml:space="preserve"> </w:t>
      </w:r>
      <w:r>
        <w:t xml:space="preserve">NBR = (NIR−SWIR)/(NIR+SWIR) — healthy vegetation has high NIR/low SWIR reflectance; burnt/charred surfaces show the reverse, making the pre-to-post-fire NBR difference (dNBR) a standard burn-severity/extent mapping index.</w:t>
      </w:r>
    </w:p>
    <w:p>
      <w:pPr>
        <w:pStyle w:val="BodyText"/>
      </w:pPr>
      <w:r>
        <w:rPr>
          <w:bCs/>
          <w:b/>
        </w:rPr>
        <w:t xml:space="preserve">Red-Edge Position / Red-Edge Inflection Point:</w:t>
      </w:r>
      <w:r>
        <w:t xml:space="preserve"> </w:t>
      </w:r>
      <w:r>
        <w:t xml:space="preserve">the wavelength (typically 700–740 nm) of maximum slope in the reflectance spectrum between the red chlorophyll-absorption minimum and the NIR plateau; shifts toward shorter wavelengths (</w:t>
      </w:r>
      <w:r>
        <w:t xml:space="preserve">“</w:t>
      </w:r>
      <w:r>
        <w:t xml:space="preserve">blue shift</w:t>
      </w:r>
      <w:r>
        <w:t xml:space="preserve">”</w:t>
      </w:r>
      <w:r>
        <w:t xml:space="preserve">) under chlorophyll-reducing stress, a key hyperspectral early-stress indicator.</w:t>
      </w:r>
    </w:p>
    <w:p>
      <w:pPr>
        <w:pStyle w:val="BodyText"/>
      </w:pPr>
      <w:r>
        <w:rPr>
          <w:bCs/>
          <w:b/>
        </w:rPr>
        <w:t xml:space="preserve">Photochemical Reflectance Index (PRI):</w:t>
      </w:r>
      <w:r>
        <w:t xml:space="preserve"> </w:t>
      </w:r>
      <w:r>
        <w:t xml:space="preserve">PRI = (R531−R570)/(R531+R570) — a narrow-band index sensitive to the xanthophyll-cycle pigment changes associated with non-photochemical quenching, used as an independent, reflectance-based (non-fluorescence) proxy for light-use-efficiency variation.</w:t>
      </w:r>
    </w:p>
    <w:p>
      <w:pPr>
        <w:pStyle w:val="BodyText"/>
      </w:pPr>
      <w:r>
        <w:rPr>
          <w:bCs/>
          <w:b/>
        </w:rPr>
        <w:t xml:space="preserve">Simple Ratio (SR):</w:t>
      </w:r>
      <w:r>
        <w:t xml:space="preserve"> </w:t>
      </w:r>
      <w:r>
        <w:t xml:space="preserve">SR = NIR/Red — the historical precursor to NDVI; NDVI is in fact a normalised transform of SR, NDVI = (SR−1)/(SR+1).</w:t>
      </w:r>
    </w:p>
    <w:p>
      <w:pPr>
        <w:pStyle w:val="Heading2"/>
      </w:pPr>
      <w:r>
        <w:t xml:space="preserve">7.3 Vegetation Indices Derived from SAR (VI Related to SAR)</w:t>
      </w:r>
    </w:p>
    <w:p>
      <w:pPr>
        <w:pStyle w:val="FirstParagraph"/>
      </w:pPr>
      <w:r>
        <w:t xml:space="preserve">Because clouds and haze frequently obscure optical sensors during the Indian kharif (monsoon) season — precisely when rice and other kharif crop area/condition assessment is most critical — Synthetic Aperture Radar (SAR), which operates at microwave wavelengths that penetrate cloud cover and, at longer wavelengths, partially penetrate canopy, is central to Indian operational crop monitoring (RISAT-1/EOS-04, and internationally Sentinel-1). Several SAR-analogue</w:t>
      </w:r>
      <w:r>
        <w:t xml:space="preserve"> </w:t>
      </w:r>
      <w:r>
        <w:t xml:space="preserve">“</w:t>
      </w:r>
      <w:r>
        <w:t xml:space="preserve">vegetation indices</w:t>
      </w:r>
      <w:r>
        <w:t xml:space="preserve">”</w:t>
      </w:r>
      <w:r>
        <w:t xml:space="preserve"> </w:t>
      </w:r>
      <w:r>
        <w:t xml:space="preserve">have been developed:</w:t>
      </w:r>
    </w:p>
    <w:tbl>
      <w:tblPr>
        <w:tblStyle w:val="Table"/>
        <w:tblW w:type="pct" w:w="4979"/>
        <w:jc w:val="left"/>
        <w:tblLook w:firstRow="1" w:lastRow="0" w:firstColumn="0" w:lastColumn="0" w:noHBand="0" w:noVBand="0" w:val="0020"/>
      </w:tblPr>
      <w:tblGrid>
        <w:gridCol w:w="1129"/>
        <w:gridCol w:w="2324"/>
        <w:gridCol w:w="4433"/>
      </w:tblGrid>
      <w:tr>
        <w:trPr>
          <w:tblHeader w:val="true"/>
        </w:trPr>
        <w:tc>
          <w:tcPr/>
          <w:p>
            <w:pPr>
              <w:pStyle w:val="Compact"/>
              <w:jc w:val="left"/>
            </w:pPr>
            <w:r>
              <w:t xml:space="preserve">SAR Index</w:t>
            </w:r>
          </w:p>
        </w:tc>
        <w:tc>
          <w:tcPr/>
          <w:p>
            <w:pPr>
              <w:pStyle w:val="Compact"/>
              <w:jc w:val="left"/>
            </w:pPr>
            <w:r>
              <w:t xml:space="preserve">Formula (dual-pol VV/VH or HH/HV data)</w:t>
            </w:r>
          </w:p>
        </w:tc>
        <w:tc>
          <w:tcPr/>
          <w:p>
            <w:pPr>
              <w:pStyle w:val="Compact"/>
              <w:jc w:val="left"/>
            </w:pPr>
            <w:r>
              <w:t xml:space="preserve">Physical basis / use</w:t>
            </w:r>
          </w:p>
        </w:tc>
      </w:tr>
      <w:tr>
        <w:tc>
          <w:tcPr/>
          <w:p>
            <w:pPr>
              <w:pStyle w:val="Compact"/>
              <w:jc w:val="left"/>
            </w:pPr>
            <w:r>
              <w:rPr>
                <w:bCs/>
                <w:b/>
              </w:rPr>
              <w:t xml:space="preserve">Radar Vegetation Index (RVI)</w:t>
            </w:r>
            <w:r>
              <w:t xml:space="preserve"> </w:t>
            </w:r>
            <w:r>
              <w:t xml:space="preserve">(Kim &amp; van Zyl)</w:t>
            </w:r>
          </w:p>
        </w:tc>
        <w:tc>
          <w:tcPr/>
          <w:p>
            <w:pPr>
              <w:pStyle w:val="Compact"/>
              <w:jc w:val="left"/>
            </w:pPr>
            <w:r>
              <w:t xml:space="preserve">RVI = 8 σ°HV / (σ°HH + σ°HV + σ°VV) (full-pol form); dual-pol approximate form: RVI = 4σ°VH/(σ°VV+σ°VH)</w:t>
            </w:r>
          </w:p>
        </w:tc>
        <w:tc>
          <w:tcPr/>
          <w:p>
            <w:pPr>
              <w:pStyle w:val="Compact"/>
              <w:jc w:val="left"/>
            </w:pPr>
            <w:r>
              <w:t xml:space="preserve">Ratio designed to isolate the volume-scattering (depolarising, cross-pol) contribution of vegetation canopy relative to total backscatter; increases with canopy biomass/LAI, analogous in interpretation to optical NDVI.</w:t>
            </w:r>
          </w:p>
        </w:tc>
      </w:tr>
      <w:tr>
        <w:tc>
          <w:tcPr/>
          <w:p>
            <w:pPr>
              <w:pStyle w:val="Compact"/>
              <w:jc w:val="left"/>
            </w:pPr>
            <w:r>
              <w:rPr>
                <w:bCs/>
                <w:b/>
              </w:rPr>
              <w:t xml:space="preserve">Dual-pol Radar Vegetation Index (DpRVI)</w:t>
            </w:r>
          </w:p>
        </w:tc>
        <w:tc>
          <w:tcPr/>
          <w:p>
            <w:pPr>
              <w:pStyle w:val="Compact"/>
              <w:jc w:val="left"/>
            </w:pPr>
            <w:r>
              <w:t xml:space="preserve">DpRVI = 1 − (λ2/λ1) derived from the 2×2 covariance/coherency matrix eigenvalues of VV-VH dual-pol data, scaled by degree of polarisation</w:t>
            </w:r>
          </w:p>
        </w:tc>
        <w:tc>
          <w:tcPr/>
          <w:p>
            <w:pPr>
              <w:pStyle w:val="Compact"/>
              <w:jc w:val="left"/>
            </w:pPr>
            <w:r>
              <w:t xml:space="preserve">Captures the randomness (depolarisation) of the scattering mechanism; low values indicate surface/single-bounce dominated scattering (bare soil, early-stage crop), high values indicate volume-scattering dominance (dense canopy).</w:t>
            </w:r>
          </w:p>
        </w:tc>
      </w:tr>
      <w:tr>
        <w:tc>
          <w:tcPr/>
          <w:p>
            <w:pPr>
              <w:pStyle w:val="Compact"/>
              <w:jc w:val="left"/>
            </w:pPr>
            <w:r>
              <w:rPr>
                <w:bCs/>
                <w:b/>
              </w:rPr>
              <w:t xml:space="preserve">Cross-pol ratio (VH/VV)</w:t>
            </w:r>
          </w:p>
        </w:tc>
        <w:tc>
          <w:tcPr/>
          <w:p>
            <w:pPr>
              <w:pStyle w:val="Compact"/>
              <w:jc w:val="left"/>
            </w:pPr>
            <w:r>
              <w:t xml:space="preserve">Simple ratio of cross- to co-polarised backscatter</w:t>
            </w:r>
          </w:p>
        </w:tc>
        <w:tc>
          <w:tcPr/>
          <w:p>
            <w:pPr>
              <w:pStyle w:val="Compact"/>
              <w:jc w:val="left"/>
            </w:pPr>
            <w:r>
              <w:t xml:space="preserve">Rises through the crop growth cycle as canopy volume scattering increases relative to surface scattering; the single most widely used empirical SAR crop-growth-stage indicator in Sentinel-1/RISAT time-series analysis for rice transplantation and growth monitoring.</w:t>
            </w:r>
          </w:p>
        </w:tc>
      </w:tr>
      <w:tr>
        <w:tc>
          <w:tcPr/>
          <w:p>
            <w:pPr>
              <w:pStyle w:val="Compact"/>
              <w:jc w:val="left"/>
            </w:pPr>
            <w:r>
              <w:rPr>
                <w:bCs/>
                <w:b/>
              </w:rPr>
              <w:t xml:space="preserve">Polarisation ratio / Normalised Difference Polarisation Index</w:t>
            </w:r>
          </w:p>
        </w:tc>
        <w:tc>
          <w:tcPr/>
          <w:p>
            <w:pPr>
              <w:pStyle w:val="Compact"/>
              <w:jc w:val="left"/>
            </w:pPr>
            <w:r>
              <w:t xml:space="preserve">(σ°VV − σ°VH)/(σ°VV + σ°VH)</w:t>
            </w:r>
          </w:p>
        </w:tc>
        <w:tc>
          <w:tcPr/>
          <w:p>
            <w:pPr>
              <w:pStyle w:val="Compact"/>
              <w:jc w:val="left"/>
            </w:pPr>
            <w:r>
              <w:t xml:space="preserve">Analogous</w:t>
            </w:r>
            <w:r>
              <w:t xml:space="preserve"> </w:t>
            </w:r>
            <w:r>
              <w:t xml:space="preserve">“</w:t>
            </w:r>
            <w:r>
              <w:t xml:space="preserve">normalised difference</w:t>
            </w:r>
            <w:r>
              <w:t xml:space="preserve">”</w:t>
            </w:r>
            <w:r>
              <w:t xml:space="preserve"> </w:t>
            </w:r>
            <w:r>
              <w:t xml:space="preserve">construction to optical NDVI, sensitive to canopy structure change.</w:t>
            </w:r>
          </w:p>
        </w:tc>
      </w:tr>
      <w:tr>
        <w:tc>
          <w:tcPr/>
          <w:p>
            <w:pPr>
              <w:pStyle w:val="Compact"/>
              <w:jc w:val="left"/>
            </w:pPr>
            <w:r>
              <w:rPr>
                <w:bCs/>
                <w:b/>
              </w:rPr>
              <w:t xml:space="preserve">Radar Forest Degradation Index / Biomass Index (various)</w:t>
            </w:r>
          </w:p>
        </w:tc>
        <w:tc>
          <w:tcPr/>
          <w:p>
            <w:pPr>
              <w:pStyle w:val="Compact"/>
              <w:jc w:val="left"/>
            </w:pPr>
            <w:r>
              <w:t xml:space="preserve">Combinations of HH, HV, VV backscatter and their ratios</w:t>
            </w:r>
          </w:p>
        </w:tc>
        <w:tc>
          <w:tcPr/>
          <w:p>
            <w:pPr>
              <w:pStyle w:val="Compact"/>
              <w:jc w:val="left"/>
            </w:pPr>
            <w:r>
              <w:t xml:space="preserve">Used for forest biomass/degradation and (by extension) tall-crop (sugarcane) biomass proxy studies.</w:t>
            </w:r>
          </w:p>
        </w:tc>
      </w:tr>
    </w:tbl>
    <w:p>
      <w:pPr>
        <w:pStyle w:val="BodyText"/>
      </w:pPr>
      <w:r>
        <w:rPr>
          <w:bCs/>
          <w:b/>
        </w:rPr>
        <w:t xml:space="preserve">Mechanistic basis for rice mapping specifically:</w:t>
      </w:r>
      <w:r>
        <w:t xml:space="preserve"> </w:t>
      </w:r>
      <w:r>
        <w:t xml:space="preserve">rice paddies show a highly diagnostic temporal SAR backscatter signature exploited operationally by ISRO/SAC/MNCFC for kharif rice-area mapping — at transplanting, flooded bare paddy fields produce</w:t>
      </w:r>
      <w:r>
        <w:t xml:space="preserve"> </w:t>
      </w:r>
      <w:r>
        <w:rPr>
          <w:bCs/>
          <w:b/>
        </w:rPr>
        <w:t xml:space="preserve">very low backscatter</w:t>
      </w:r>
      <w:r>
        <w:t xml:space="preserve"> </w:t>
      </w:r>
      <w:r>
        <w:t xml:space="preserve">(specular reflection off the smooth water surface scatters incident radar energy away from the sensor, i.e., low return); as the rice canopy develops, backscatter</w:t>
      </w:r>
      <w:r>
        <w:t xml:space="preserve"> </w:t>
      </w:r>
      <w:r>
        <w:rPr>
          <w:bCs/>
          <w:b/>
        </w:rPr>
        <w:t xml:space="preserve">rises sharply</w:t>
      </w:r>
      <w:r>
        <w:t xml:space="preserve"> </w:t>
      </w:r>
      <w:r>
        <w:t xml:space="preserve">due to double-bounce scattering between the vertical rice stems and the underlying water surface (particularly strong in HH polarisation) combined with increasing volume scattering from the canopy; at full canopy closure/maturity, backscatter is dominated by volume scattering and often</w:t>
      </w:r>
      <w:r>
        <w:t xml:space="preserve"> </w:t>
      </w:r>
      <w:r>
        <w:rPr>
          <w:bCs/>
          <w:b/>
        </w:rPr>
        <w:t xml:space="preserve">plateaus or slightly declines</w:t>
      </w:r>
      <w:r>
        <w:t xml:space="preserve"> </w:t>
      </w:r>
      <w:r>
        <w:t xml:space="preserve">as the water surface becomes obscured by dense canopy. This characteristic</w:t>
      </w:r>
      <w:r>
        <w:t xml:space="preserve"> </w:t>
      </w:r>
      <w:r>
        <w:t xml:space="preserve">“</w:t>
      </w:r>
      <w:r>
        <w:t xml:space="preserve">low–rise–plateau</w:t>
      </w:r>
      <w:r>
        <w:t xml:space="preserve">”</w:t>
      </w:r>
      <w:r>
        <w:t xml:space="preserve"> </w:t>
      </w:r>
      <w:r>
        <w:t xml:space="preserve">multi-temporal signature is the algorithmic basis of ISRO’s operational EOS-04-based national rice-area/kharif-sown-area mapping.</w:t>
      </w:r>
    </w:p>
    <w:p>
      <w:pPr>
        <w:pStyle w:val="Heading1"/>
      </w:pPr>
      <w:r>
        <w:t xml:space="preserve">Chapter 8. Advanced Optical, Thermal and Microwave Concepts</w:t>
      </w:r>
    </w:p>
    <w:p>
      <w:pPr>
        <w:pStyle w:val="Heading2"/>
      </w:pPr>
      <w:r>
        <w:t xml:space="preserve">8.1 Sun-Induced Fluorescence (SIF)</w:t>
      </w:r>
    </w:p>
    <w:p>
      <w:pPr>
        <w:pStyle w:val="Heading3"/>
      </w:pPr>
      <w:r>
        <w:t xml:space="preserve">8.1.1 The photosynthetic energy-partitioning basis</w:t>
      </w:r>
    </w:p>
    <w:p>
      <w:pPr>
        <w:pStyle w:val="FirstParagraph"/>
      </w:pPr>
      <w:r>
        <w:t xml:space="preserve">When a chlorophyll molecule in a leaf absorbs a photon of photosynthetically active radiation (PAR, 400–700 nm), the absorbed energy is partitioned among three competing, mutually exclusive de-excitation pathways, formalised by the classical</w:t>
      </w:r>
      <w:r>
        <w:t xml:space="preserve"> </w:t>
      </w:r>
      <w:r>
        <w:t xml:space="preserve">“</w:t>
      </w:r>
      <w:r>
        <w:t xml:space="preserve">fluorescence triangle</w:t>
      </w:r>
      <w:r>
        <w:t xml:space="preserve">”</w:t>
      </w:r>
      <w:r>
        <w:t xml:space="preserve">:</w:t>
      </w:r>
    </w:p>
    <w:p>
      <w:pPr>
        <w:pStyle w:val="Compact"/>
        <w:numPr>
          <w:ilvl w:val="0"/>
          <w:numId w:val="1047"/>
        </w:numPr>
      </w:pPr>
      <w:r>
        <w:rPr>
          <w:bCs/>
          <w:b/>
        </w:rPr>
        <w:t xml:space="preserve">Photochemistry</w:t>
      </w:r>
      <w:r>
        <w:t xml:space="preserve"> </w:t>
      </w:r>
      <w:r>
        <w:t xml:space="preserve">— the energy drives electron transport in Photosystem II (PSII) and is used for carbon fixation (this is what remote sensing ultimately wants to infer — Gross Primary Productivity, GPP).</w:t>
      </w:r>
    </w:p>
    <w:p>
      <w:pPr>
        <w:pStyle w:val="Compact"/>
        <w:numPr>
          <w:ilvl w:val="0"/>
          <w:numId w:val="1047"/>
        </w:numPr>
      </w:pPr>
      <w:r>
        <w:rPr>
          <w:bCs/>
          <w:b/>
        </w:rPr>
        <w:t xml:space="preserve">Non-photochemical quenching (NPQ)</w:t>
      </w:r>
      <w:r>
        <w:t xml:space="preserve"> </w:t>
      </w:r>
      <w:r>
        <w:t xml:space="preserve">— the energy is dissipated as heat, primarily a photoprotective mechanism activated under excess light or stress (heat, water deficit).</w:t>
      </w:r>
    </w:p>
    <w:p>
      <w:pPr>
        <w:pStyle w:val="Compact"/>
        <w:numPr>
          <w:ilvl w:val="0"/>
          <w:numId w:val="1047"/>
        </w:numPr>
      </w:pPr>
      <w:r>
        <w:rPr>
          <w:bCs/>
          <w:b/>
        </w:rPr>
        <w:t xml:space="preserve">Chlorophyll fluorescence</w:t>
      </w:r>
      <w:r>
        <w:t xml:space="preserve"> </w:t>
      </w:r>
      <w:r>
        <w:t xml:space="preserve">— a small fraction (typically 1–2 percent of absorbed PAR under unstressed conditions, but variable with stress) is re-emitted as red and far-red light with peaks near 685 nm (red peak, reabsorbed strongly within the leaf/canopy) and 740 nm (far-red peak, less reabsorbed, so more representative of whole-canopy emission).</w:t>
      </w:r>
    </w:p>
    <w:p>
      <w:pPr>
        <w:pStyle w:val="FirstParagraph"/>
      </w:pPr>
      <w:r>
        <w:t xml:space="preserve">Because these three pathways compete for the same absorbed-energy pool, chlorophyll fluorescence yield carries direct, mechanistic information about the actual photochemical efficiency of photosynthesis — unlike traditional reflectance-based vegetation indices (NDVI, EVI) which are proxies for chlorophyll content/greenness/leaf area and saturate at moderate-to-high biomass, SIF is a</w:t>
      </w:r>
      <w:r>
        <w:t xml:space="preserve"> </w:t>
      </w:r>
      <w:r>
        <w:t xml:space="preserve">“</w:t>
      </w:r>
      <w:r>
        <w:t xml:space="preserve">physiological</w:t>
      </w:r>
      <w:r>
        <w:t xml:space="preserve">”</w:t>
      </w:r>
      <w:r>
        <w:t xml:space="preserve"> </w:t>
      </w:r>
      <w:r>
        <w:t xml:space="preserve">signal, tracking APAR × photochemical yield in near-real time, including diurnal stress responses (e.g., midday stomatal closure) that greenness indices cannot detect.</w:t>
      </w:r>
    </w:p>
    <w:p>
      <w:pPr>
        <w:pStyle w:val="Heading3"/>
      </w:pPr>
      <w:r>
        <w:t xml:space="preserve">8.1.2 Sun-Induced Fluorescence (SIF) versus active (laser-induced) fluorescence</w:t>
      </w:r>
    </w:p>
    <w:p>
      <w:pPr>
        <w:pStyle w:val="FirstParagraph"/>
      </w:pPr>
      <w:r>
        <w:rPr>
          <w:bCs/>
          <w:b/>
        </w:rPr>
        <w:t xml:space="preserve">Sun-induced (passive) fluorescence</w:t>
      </w:r>
      <w:r>
        <w:t xml:space="preserve"> </w:t>
      </w:r>
      <w:r>
        <w:t xml:space="preserve">uses natural sunlight as the excitation source and retrieves the faint fluorescence signal (typically &lt;5 percent of the total at-sensor radiance in the relevant spectral region) superimposed on the much larger reflected-radiance signal, by exploiting narrow solar/telluric (oxygen) absorption features where the reflected-radiance</w:t>
      </w:r>
      <w:r>
        <w:t xml:space="preserve"> </w:t>
      </w:r>
      <w:r>
        <w:t xml:space="preserve">“</w:t>
      </w:r>
      <w:r>
        <w:t xml:space="preserve">continuum</w:t>
      </w:r>
      <w:r>
        <w:t xml:space="preserve">”</w:t>
      </w:r>
      <w:r>
        <w:t xml:space="preserve"> </w:t>
      </w:r>
      <w:r>
        <w:t xml:space="preserve">is strongly depleted but the fluorescence emission (originating within the canopy, not solar) is not.</w:t>
      </w:r>
    </w:p>
    <w:p>
      <w:pPr>
        <w:pStyle w:val="Heading3"/>
      </w:pPr>
      <w:r>
        <w:t xml:space="preserve">8.1.3 Retrieval principle — the Fraunhofer Line Discrimination (FLD) / oxygen-absorption-band method</w:t>
      </w:r>
    </w:p>
    <w:p>
      <w:pPr>
        <w:pStyle w:val="FirstParagraph"/>
      </w:pPr>
      <w:r>
        <w:t xml:space="preserve">The standard retrieval exploits the narrow, deep atmospheric oxygen absorption bands —</w:t>
      </w:r>
      <w:r>
        <w:t xml:space="preserve"> </w:t>
      </w:r>
      <w:r>
        <w:rPr>
          <w:bCs/>
          <w:b/>
        </w:rPr>
        <w:t xml:space="preserve">O2-A band near 760 nm</w:t>
      </w:r>
      <w:r>
        <w:t xml:space="preserve"> </w:t>
      </w:r>
      <w:r>
        <w:t xml:space="preserve">and</w:t>
      </w:r>
      <w:r>
        <w:t xml:space="preserve"> </w:t>
      </w:r>
      <w:r>
        <w:rPr>
          <w:bCs/>
          <w:b/>
        </w:rPr>
        <w:t xml:space="preserve">O2-B band near 687 nm</w:t>
      </w:r>
      <w:r>
        <w:t xml:space="preserve"> </w:t>
      </w:r>
      <w:r>
        <w:t xml:space="preserve">— where incoming solar irradiance reaching the surface (and the reflected component of at-sensor radiance) is strongly reduced by atmospheric O2 absorption, but the fluorescence signal emitted by the canopy is not affected by this absorption on its way up in the same manner (it is generated below/within the absorbing layer’s relevant path in a way that can be spectrally decoupled). Within the narrow absorption band, at-sensor radiance is modelled as:</w:t>
      </w:r>
    </w:p>
    <w:p>
      <w:pPr>
        <w:pStyle w:val="BodyText"/>
      </w:pPr>
      <w:r>
        <w:t xml:space="preserve">L(λin) = R(λin) · E(λin)/π + F(λin)</w:t>
      </w:r>
    </w:p>
    <w:p>
      <w:pPr>
        <w:pStyle w:val="BodyText"/>
      </w:pPr>
      <w:r>
        <w:t xml:space="preserve">where L is at-sensor radiance inside the absorption feature, R is surface reflectance, E is incoming irradiance (heavily attenuated inside the band), and F is the fluorescence radiance. Just outside the band (λout), atmospheric transmittance is high, so L(λout) ≈ R(λout) E(λout)/π (fluorescence contribution comparatively negligible or separately accounted for). Assuming R and F vary smoothly (linearly) across the narrow band, the classical</w:t>
      </w:r>
      <w:r>
        <w:t xml:space="preserve"> </w:t>
      </w:r>
      <w:r>
        <w:rPr>
          <w:bCs/>
          <w:b/>
        </w:rPr>
        <w:t xml:space="preserve">3-band (or improved 3FLD) Fraunhofer Line Discrimination algorithm</w:t>
      </w:r>
      <w:r>
        <w:t xml:space="preserve"> </w:t>
      </w:r>
      <w:r>
        <w:t xml:space="preserve">solves simultaneously for R and F using radiance measured just inside and on either side of the absorption feature — requiring extremely high spectral resolution (&lt;1 nm) and high signal-to-noise ratio, which is why dedicated SIF retrieval has historically required hyperspectral/high-resolution spectrometers (e.g., ESA’s FLEX mission, GOSAT/GOSAT-2, OCO-2/3 repurposed retrievals, TROPOMI) rather than standard multispectral broadband sensors.</w:t>
      </w:r>
    </w:p>
    <w:p>
      <w:pPr>
        <w:pStyle w:val="Heading3"/>
      </w:pPr>
      <w:r>
        <w:t xml:space="preserve">8.1.4 Applications</w:t>
      </w:r>
    </w:p>
    <w:p>
      <w:pPr>
        <w:pStyle w:val="FirstParagraph"/>
      </w:pPr>
      <w:r>
        <w:t xml:space="preserve">SIF is now established as a strong proxy for canopy-scale GPP (Gross Primary Production), often showing a more linear relationship with GPP than NDVI/EVI, and is used for near-real-time drought-onset detection (SIF drops before canopy greenness/NDVI visibly declines, since photochemical down-regulation precedes structural/pigment degradation), crop-yield forecasting research (early-stress and peak-productivity signal), and cross-validation of light-use-efficiency (LUE) models (GPP = APAR × LUE, where SIF directly informs the LUE term rather than assuming a fixed value). ISRO/SAC research interest in SIF (from GOSAT-2/TROPOMI-derived global SIF products, and prototype airborne/ground hyperspectral SIF field campaigns at IIRS/SAC) is oriented toward integrating SIF-based GPP anomalies into agricultural-drought early-warning alongside NDVI/ET-based indicators.</w:t>
      </w:r>
    </w:p>
    <w:p>
      <w:pPr>
        <w:pStyle w:val="CaptionedFigure"/>
      </w:pPr>
      <w:r>
        <w:drawing>
          <wp:inline>
            <wp:extent cx="5334000" cy="3256547"/>
            <wp:effectExtent b="0" l="0" r="0" t="0"/>
            <wp:docPr descr="Figure: Principle of the Fraunhofer Line Discrimination method for Sun-Induced Fluorescence retrieval, showing the O2-A absorption feature and the in-band/out-of-band radiance used to separate reflected radiance from the fluorescence signal." title="" id="42" name="Picture"/>
            <a:graphic>
              <a:graphicData uri="http://schemas.openxmlformats.org/drawingml/2006/picture">
                <pic:pic>
                  <pic:nvPicPr>
                    <pic:cNvPr descr="up/media/media/image4.png" id="43" name="Picture"/>
                    <pic:cNvPicPr>
                      <a:picLocks noChangeArrowheads="1" noChangeAspect="1"/>
                    </pic:cNvPicPr>
                  </pic:nvPicPr>
                  <pic:blipFill>
                    <a:blip r:embed="rId41"/>
                    <a:stretch>
                      <a:fillRect/>
                    </a:stretch>
                  </pic:blipFill>
                  <pic:spPr bwMode="auto">
                    <a:xfrm>
                      <a:off x="0" y="0"/>
                      <a:ext cx="5334000" cy="3256547"/>
                    </a:xfrm>
                    <a:prstGeom prst="rect">
                      <a:avLst/>
                    </a:prstGeom>
                    <a:noFill/>
                    <a:ln w="9525">
                      <a:noFill/>
                      <a:headEnd/>
                      <a:tailEnd/>
                    </a:ln>
                  </pic:spPr>
                </pic:pic>
              </a:graphicData>
            </a:graphic>
          </wp:inline>
        </w:drawing>
      </w:r>
    </w:p>
    <w:p>
      <w:pPr>
        <w:pStyle w:val="ImageCaption"/>
      </w:pPr>
      <w:r>
        <w:t xml:space="preserve">Figure: Principle of the Fraunhofer Line Discrimination method for Sun-Induced Fluorescence retrieval, showing the O2-A absorption feature and the in-band/out-of-band radiance used to separate reflected radiance from the fluorescence signal.</w:t>
      </w:r>
    </w:p>
    <w:p>
      <w:pPr>
        <w:pStyle w:val="BodyText"/>
      </w:pPr>
      <w:r>
        <w:t xml:space="preserve">Figure: Principle of the Fraunhofer Line Discrimination method for Sun-Induced Fluorescence retrieval, showing the O2-A absorption feature and the in-band/out-of-band radiance used to separate reflected radiance from the fluorescence signal.</w:t>
      </w:r>
    </w:p>
    <w:p>
      <w:pPr>
        <w:pStyle w:val="Heading2"/>
      </w:pPr>
      <w:r>
        <w:t xml:space="preserve">8.2 Thermal Inertia and Thermal Remote Sensing</w:t>
      </w:r>
    </w:p>
    <w:p>
      <w:pPr>
        <w:pStyle w:val="Heading3"/>
      </w:pPr>
      <w:r>
        <w:t xml:space="preserve">8.2.1 Definition</w:t>
      </w:r>
    </w:p>
    <w:p>
      <w:pPr>
        <w:pStyle w:val="FirstParagraph"/>
      </w:pPr>
      <w:r>
        <w:rPr>
          <w:bCs/>
          <w:b/>
        </w:rPr>
        <w:t xml:space="preserve">Thermal inertia (P)</w:t>
      </w:r>
      <w:r>
        <w:t xml:space="preserve"> </w:t>
      </w:r>
      <w:r>
        <w:t xml:space="preserve">is a bulk physical property of a material expressing its resistance to a change in temperature when subjected to a periodic (typically diurnal) heat flux, defined as:</w:t>
      </w:r>
    </w:p>
    <w:p>
      <w:pPr>
        <w:pStyle w:val="BodyText"/>
      </w:pPr>
      <w:r>
        <w:rPr>
          <w:bCs/>
          <w:b/>
        </w:rPr>
        <w:t xml:space="preserve">P = √(k ρ c)</w:t>
      </w:r>
    </w:p>
    <w:p>
      <w:pPr>
        <w:pStyle w:val="BodyText"/>
      </w:pPr>
      <w:r>
        <w:t xml:space="preserve">where k is thermal conductivity (W m⁻¹ K⁻¹), ρ is bulk density (kg m⁻³) and c is specific heat capacity (J kg⁻¹ K⁻¹). Units are J m⁻² K⁻¹ s⁻⁻¹ᐟ² (commonly expressed in</w:t>
      </w:r>
      <w:r>
        <w:t xml:space="preserve"> </w:t>
      </w:r>
      <w:r>
        <w:t xml:space="preserve">“</w:t>
      </w:r>
      <w:r>
        <w:t xml:space="preserve">thermal inertia units</w:t>
      </w:r>
      <w:r>
        <w:t xml:space="preserve">”</w:t>
      </w:r>
      <w:r>
        <w:t xml:space="preserve">, TIU, = 41.84 × 10⁻³ J cm⁻² s⁻¹ᐟ² K⁻¹ in the older cgs literature).</w:t>
      </w:r>
    </w:p>
    <w:p>
      <w:pPr>
        <w:pStyle w:val="Heading3"/>
      </w:pPr>
      <w:r>
        <w:t xml:space="preserve">8.2.2 Physical basis: the diurnal temperature-wave equation</w:t>
      </w:r>
    </w:p>
    <w:p>
      <w:pPr>
        <w:pStyle w:val="FirstParagraph"/>
      </w:pPr>
      <w:r>
        <w:t xml:space="preserve">Surface temperature under a periodic (approximately sinusoidal) solar heating cycle is governed by the one-dimensional heat-conduction equation, ∂T/∂t = κ ∂²T/∂z², where κ = k/(ρc) is thermal diffusivity. The solution for a semi-infinite homogeneous medium subjected to a sinusoidal surface heat-flux forcing of period τ (24 h for the diurnal cycle) shows that the</w:t>
      </w:r>
      <w:r>
        <w:t xml:space="preserve"> </w:t>
      </w:r>
      <w:r>
        <w:rPr>
          <w:bCs/>
          <w:b/>
        </w:rPr>
        <w:t xml:space="preserve">amplitude of the surface temperature oscillation is inversely proportional to thermal inertia</w:t>
      </w:r>
      <w:r>
        <w:t xml:space="preserve">:</w:t>
      </w:r>
    </w:p>
    <w:p>
      <w:pPr>
        <w:pStyle w:val="BodyText"/>
      </w:pPr>
      <w:r>
        <w:t xml:space="preserve">ΔTs ∝ 1/P (for a given net radiative/heat-flux forcing amplitude and period)</w:t>
      </w:r>
    </w:p>
    <w:p>
      <w:pPr>
        <w:pStyle w:val="BodyText"/>
      </w:pPr>
      <w:r>
        <w:t xml:space="preserve">Physically: a material with</w:t>
      </w:r>
      <w:r>
        <w:t xml:space="preserve"> </w:t>
      </w:r>
      <w:r>
        <w:rPr>
          <w:bCs/>
          <w:b/>
        </w:rPr>
        <w:t xml:space="preserve">high thermal inertia</w:t>
      </w:r>
      <w:r>
        <w:t xml:space="preserve"> </w:t>
      </w:r>
      <w:r>
        <w:t xml:space="preserve">(e.g., wet soil, compact rock, water bodies, dense clay) resists temperature change — it heats slowly during the day and cools slowly at night, producing a small diurnal temperature amplitude (day-night LST difference). A material with</w:t>
      </w:r>
      <w:r>
        <w:t xml:space="preserve"> </w:t>
      </w:r>
      <w:r>
        <w:rPr>
          <w:bCs/>
          <w:b/>
        </w:rPr>
        <w:t xml:space="preserve">low thermal inertia</w:t>
      </w:r>
      <w:r>
        <w:t xml:space="preserve"> </w:t>
      </w:r>
      <w:r>
        <w:t xml:space="preserve">(dry, loose, porous material — dry sand, tilled/loose dry soil, dust) heats and cools rapidly, producing a large diurnal temperature amplitude.</w:t>
      </w:r>
    </w:p>
    <w:p>
      <w:pPr>
        <w:pStyle w:val="Heading3"/>
      </w:pPr>
      <w:r>
        <w:t xml:space="preserve">8.2.3 Apparent Thermal Inertia (ATI) — the remote-sensing operational proxy</w:t>
      </w:r>
    </w:p>
    <w:p>
      <w:pPr>
        <w:pStyle w:val="FirstParagraph"/>
      </w:pPr>
      <w:r>
        <w:t xml:space="preserve">Because true thermal inertia requires knowledge of k, ρ and c (rarely known spatially), remote sensing uses</w:t>
      </w:r>
      <w:r>
        <w:t xml:space="preserve"> </w:t>
      </w:r>
      <w:r>
        <w:rPr>
          <w:bCs/>
          <w:b/>
        </w:rPr>
        <w:t xml:space="preserve">Apparent Thermal Inertia (ATI)</w:t>
      </w:r>
      <w:r>
        <w:t xml:space="preserve">, derived purely from satellite-observable quantities — day and night land-surface temperature (from two satellite overpasses, e.g., early-morning and afternoon, or day/night MODIS pairs) and albedo:</w:t>
      </w:r>
    </w:p>
    <w:p>
      <w:pPr>
        <w:pStyle w:val="BodyText"/>
      </w:pPr>
      <w:r>
        <w:rPr>
          <w:bCs/>
          <w:b/>
        </w:rPr>
        <w:t xml:space="preserve">ATI = (1 − A) / (Ts,day − Ts,night)</w:t>
      </w:r>
    </w:p>
    <w:p>
      <w:pPr>
        <w:pStyle w:val="BodyText"/>
      </w:pPr>
      <w:r>
        <w:t xml:space="preserve">where A is surface albedo (broadband shortwave reflectance) and (Ts,day − Ts,night) is the diurnal amplitude of land-surface temperature. The (1−A) term normalises for the amount of solar energy actually absorbed (rather than reflected) by the surface, since two surfaces receiving the same insolation but with different albedo would otherwise show different heating even at identical true thermal inertia.</w:t>
      </w:r>
    </w:p>
    <w:p>
      <w:pPr>
        <w:pStyle w:val="Heading3"/>
      </w:pPr>
      <w:r>
        <w:t xml:space="preserve">8.2.4 Applications relevant to SAC/agriculture and geology</w:t>
      </w:r>
    </w:p>
    <w:p>
      <w:pPr>
        <w:pStyle w:val="Compact"/>
        <w:numPr>
          <w:ilvl w:val="0"/>
          <w:numId w:val="1048"/>
        </w:numPr>
      </w:pPr>
      <w:r>
        <w:rPr>
          <w:bCs/>
          <w:b/>
        </w:rPr>
        <w:t xml:space="preserve">Soil moisture inference:</w:t>
      </w:r>
      <w:r>
        <w:t xml:space="preserve"> </w:t>
      </w:r>
      <w:r>
        <w:t xml:space="preserve">because water has very high specific heat and raises bulk thermal conductivity when it fills soil pore spaces, wetter soils show higher thermal inertia (smaller diurnal ΔT) than dry soils of identical texture — ATI is therefore used as a (coarse, indirect) soil-moisture indicator, complementary to microwave (SAR/radiometer) soil-moisture retrieval, particularly useful where microwave data are unavailable or vegetation-obscured.</w:t>
      </w:r>
    </w:p>
    <w:p>
      <w:pPr>
        <w:pStyle w:val="Compact"/>
        <w:numPr>
          <w:ilvl w:val="0"/>
          <w:numId w:val="1048"/>
        </w:numPr>
      </w:pPr>
      <w:r>
        <w:rPr>
          <w:bCs/>
          <w:b/>
        </w:rPr>
        <w:t xml:space="preserve">Soil texture/rock-type discrimination and geological mapping:</w:t>
      </w:r>
      <w:r>
        <w:t xml:space="preserve"> </w:t>
      </w:r>
      <w:r>
        <w:t xml:space="preserve">compact rock, clay-rich soils and coarse sand have systematically different thermal inertia, aiding lithological and soil-textural discrimination in thermal-band imagery (an application area historically associated with IRS/geological remote sensing and, internationally, missions like the Thermal Infrared Multispectral Scanner, THEMIS on Mars Odyssey, and ECOSTRESS).</w:t>
      </w:r>
    </w:p>
    <w:p>
      <w:pPr>
        <w:pStyle w:val="Compact"/>
        <w:numPr>
          <w:ilvl w:val="0"/>
          <w:numId w:val="1048"/>
        </w:numPr>
      </w:pPr>
      <w:r>
        <w:rPr>
          <w:bCs/>
          <w:b/>
        </w:rPr>
        <w:t xml:space="preserve">Irrigation/waterlogging detection:</w:t>
      </w:r>
      <w:r>
        <w:t xml:space="preserve"> </w:t>
      </w:r>
      <w:r>
        <w:t xml:space="preserve">irrigated or waterlogged fields show a damped diurnal temperature signal relative to adjoining dry fields, usable for irrigation-scheduling and waterlogging-mapping applications.</w:t>
      </w:r>
    </w:p>
    <w:p>
      <w:pPr>
        <w:pStyle w:val="Compact"/>
        <w:numPr>
          <w:ilvl w:val="0"/>
          <w:numId w:val="1048"/>
        </w:numPr>
      </w:pPr>
      <w:r>
        <w:rPr>
          <w:bCs/>
          <w:b/>
        </w:rPr>
        <w:t xml:space="preserve">Urban heat-island and land-use studies:</w:t>
      </w:r>
      <w:r>
        <w:t xml:space="preserve"> </w:t>
      </w:r>
      <w:r>
        <w:t xml:space="preserve">built-up (high thermal-mass, but also often high thermal-conductivity, low-albedo) surfaces show a distinct diurnal thermal signature from vegetation/soil.</w:t>
      </w:r>
    </w:p>
    <w:p>
      <w:pPr>
        <w:pStyle w:val="Heading2"/>
      </w:pPr>
      <w:r>
        <w:t xml:space="preserve">8.3 Bidirectional Reflectance Distribution Function (BRDF) and Crop Monitoring</w:t>
      </w:r>
    </w:p>
    <w:p>
      <w:pPr>
        <w:pStyle w:val="Heading3"/>
      </w:pPr>
      <w:r>
        <w:t xml:space="preserve">8.3.1 Definition</w:t>
      </w:r>
    </w:p>
    <w:p>
      <w:pPr>
        <w:pStyle w:val="FirstParagraph"/>
      </w:pPr>
      <w:r>
        <w:t xml:space="preserve">The BRDF, f_r(θi, φi; θr, φr; λ), describes how the reflectance of a surface varies as a function of the illumination geometry (solar zenith θi, solar azimuth φi) and the viewing/sensor geometry (view zenith θr, view azimuth φr), at a given wavelength λ. Formally,</w:t>
      </w:r>
    </w:p>
    <w:p>
      <w:pPr>
        <w:pStyle w:val="BodyText"/>
      </w:pPr>
      <w:r>
        <w:t xml:space="preserve">f_r(θi,φi;θr,φr) = dLr(θr,φr) / dEi(θi,φi)</w:t>
      </w:r>
    </w:p>
    <w:p>
      <w:pPr>
        <w:pStyle w:val="BodyText"/>
      </w:pPr>
      <w:r>
        <w:t xml:space="preserve">the ratio of reflected radiance in the view direction to incident irradiance from the illumination direction, an idealised quantity (BRDF itself is not directly measurable for a single geometry — what sensors observe are individual bidirectional reflectance factor, BRF, samples).</w:t>
      </w:r>
    </w:p>
    <w:p>
      <w:pPr>
        <w:pStyle w:val="Heading3"/>
      </w:pPr>
      <w:r>
        <w:t xml:space="preserve">8.3.2 Why surfaces are anisotropic — the physical causes</w:t>
      </w:r>
    </w:p>
    <w:p>
      <w:pPr>
        <w:pStyle w:val="FirstParagraph"/>
      </w:pPr>
      <w:r>
        <w:t xml:space="preserve">Natural surfaces, and vegetation canopies in particular, are almost never Lambertian (perfectly diffuse, equal-radiance-in-all-directions) reflectors, because of:</w:t>
      </w:r>
    </w:p>
    <w:p>
      <w:pPr>
        <w:pStyle w:val="Compact"/>
        <w:numPr>
          <w:ilvl w:val="0"/>
          <w:numId w:val="1049"/>
        </w:numPr>
      </w:pPr>
      <w:r>
        <w:rPr>
          <w:bCs/>
          <w:b/>
        </w:rPr>
        <w:t xml:space="preserve">Canopy structural geometry</w:t>
      </w:r>
      <w:r>
        <w:t xml:space="preserve"> </w:t>
      </w:r>
      <w:r>
        <w:t xml:space="preserve">— leaf angle distribution, canopy gap fraction, row structure/orientation (highly relevant for row crops such as cotton, sugarcane, and orchards) creates preferential shadowing and multiple-scattering paths that depend on view/illumination geometry.</w:t>
      </w:r>
    </w:p>
    <w:p>
      <w:pPr>
        <w:pStyle w:val="Compact"/>
        <w:numPr>
          <w:ilvl w:val="0"/>
          <w:numId w:val="1049"/>
        </w:numPr>
      </w:pPr>
      <w:r>
        <w:rPr>
          <w:bCs/>
          <w:b/>
        </w:rPr>
        <w:t xml:space="preserve">Hot-spot effect</w:t>
      </w:r>
      <w:r>
        <w:t xml:space="preserve"> </w:t>
      </w:r>
      <w:r>
        <w:t xml:space="preserve">— reflectance peaks sharply when the sensor view direction coincides with (or is very close to) the illumination direction (i.e., the sensor</w:t>
      </w:r>
      <w:r>
        <w:t xml:space="preserve"> </w:t>
      </w:r>
      <w:r>
        <w:t xml:space="preserve">“</w:t>
      </w:r>
      <w:r>
        <w:t xml:space="preserve">looks</w:t>
      </w:r>
      <w:r>
        <w:t xml:space="preserve">”</w:t>
      </w:r>
      <w:r>
        <w:t xml:space="preserve"> </w:t>
      </w:r>
      <w:r>
        <w:t xml:space="preserve">back along the same line as the sun), because in this unique geometry no shadows are visible to the sensor (all shadows cast by canopy elements are hidden directly behind the elements themselves from the sensor’s perspective) — the single most diagnostic BRDF feature for canopy structural retrieval (leaf area index, clumping).</w:t>
      </w:r>
    </w:p>
    <w:p>
      <w:pPr>
        <w:pStyle w:val="Compact"/>
        <w:numPr>
          <w:ilvl w:val="0"/>
          <w:numId w:val="1049"/>
        </w:numPr>
      </w:pPr>
      <w:r>
        <w:rPr>
          <w:bCs/>
          <w:b/>
        </w:rPr>
        <w:t xml:space="preserve">Forward- and backward-scattering asymmetry</w:t>
      </w:r>
      <w:r>
        <w:t xml:space="preserve"> </w:t>
      </w:r>
      <w:r>
        <w:t xml:space="preserve">— canopies typically show higher reflectance in the backscatter direction (sensor on the same side as the sun) than in the forward-scatter direction, with the degree of anisotropy increasing as canopy cover decreases (bare/sparse canopies are more anisotropic than closed canopies, which approach more diffuse, saturated behaviour).</w:t>
      </w:r>
    </w:p>
    <w:p>
      <w:pPr>
        <w:pStyle w:val="Heading3"/>
      </w:pPr>
      <w:r>
        <w:t xml:space="preserve">8.3.3 Models</w:t>
      </w:r>
    </w:p>
    <w:p>
      <w:pPr>
        <w:pStyle w:val="FirstParagraph"/>
      </w:pPr>
      <w:r>
        <w:t xml:space="preserve">Operational BRDF characterisation (e.g., the MODIS MCD43 BRDF/Albedo product) uses semi-empirical</w:t>
      </w:r>
      <w:r>
        <w:t xml:space="preserve"> </w:t>
      </w:r>
      <w:r>
        <w:rPr>
          <w:bCs/>
          <w:b/>
        </w:rPr>
        <w:t xml:space="preserve">kernel-driven linear BRDF models</w:t>
      </w:r>
      <w:r>
        <w:t xml:space="preserve">, most commonly the</w:t>
      </w:r>
      <w:r>
        <w:t xml:space="preserve"> </w:t>
      </w:r>
      <w:r>
        <w:rPr>
          <w:bCs/>
          <w:b/>
        </w:rPr>
        <w:t xml:space="preserve">RossThick–LiSparse-Reciprocal (RTLSR) model</w:t>
      </w:r>
      <w:r>
        <w:t xml:space="preserve">:</w:t>
      </w:r>
    </w:p>
    <w:p>
      <w:pPr>
        <w:pStyle w:val="BodyText"/>
      </w:pPr>
      <w:r>
        <w:t xml:space="preserve">R(θi,θr,φ) = fiso + fvol · Kvol(θi,θr,φ) + fgeo · Kgeo(θi,θr,φ)</w:t>
      </w:r>
    </w:p>
    <w:p>
      <w:pPr>
        <w:pStyle w:val="BodyText"/>
      </w:pPr>
      <w:r>
        <w:t xml:space="preserve">where fiso, fvol, fgeo are the isotropic, volumetric-scattering, and geometric-optical scattering coefficients fitted from multi-angle observations, Kvol is a volume-scattering kernel (RossThick, representing scattering within a dense, randomly oriented leaf canopy modelled as a turbid medium) and Kgeo is a geometric-optical kernel (LiSparse-Reciprocal, representing mutual shadowing of discrete crown/canopy objects, e.g., orchard trees). Fitted kernel weights are then used to normalise reflectance to a standard geometry (Nadir BRDF-Adjusted Reflectance, NBAR) for consistent multi-temporal compositing, and to compute broadband/spectral albedo by integrating the BRDF over the hemisphere.</w:t>
      </w:r>
    </w:p>
    <w:p>
      <w:pPr>
        <w:pStyle w:val="Heading3"/>
      </w:pPr>
      <w:r>
        <w:t xml:space="preserve">8.3.4 Applications in crop monitoring</w:t>
      </w:r>
    </w:p>
    <w:p>
      <w:pPr>
        <w:pStyle w:val="Compact"/>
        <w:numPr>
          <w:ilvl w:val="0"/>
          <w:numId w:val="1050"/>
        </w:numPr>
      </w:pPr>
      <w:r>
        <w:rPr>
          <w:bCs/>
          <w:b/>
        </w:rPr>
        <w:t xml:space="preserve">Angular-normalisation of time series:</w:t>
      </w:r>
      <w:r>
        <w:t xml:space="preserve"> </w:t>
      </w:r>
      <w:r>
        <w:t xml:space="preserve">removes viewing/illumination-geometry artefacts from multi-date NDVI/EVI time series (important for wide-swath sensors like AWiFS, MODIS, PROBA-V with large off-nadir view angles at swath edges), preventing false</w:t>
      </w:r>
      <w:r>
        <w:t xml:space="preserve"> </w:t>
      </w:r>
      <w:r>
        <w:t xml:space="preserve">“</w:t>
      </w:r>
      <w:r>
        <w:t xml:space="preserve">greenness</w:t>
      </w:r>
      <w:r>
        <w:t xml:space="preserve">”</w:t>
      </w:r>
      <w:r>
        <w:t xml:space="preserve"> </w:t>
      </w:r>
      <w:r>
        <w:t xml:space="preserve">trend/noise from being confused with genuine phenological change.</w:t>
      </w:r>
    </w:p>
    <w:p>
      <w:pPr>
        <w:pStyle w:val="Compact"/>
        <w:numPr>
          <w:ilvl w:val="0"/>
          <w:numId w:val="1050"/>
        </w:numPr>
      </w:pPr>
      <w:r>
        <w:rPr>
          <w:bCs/>
          <w:b/>
        </w:rPr>
        <w:t xml:space="preserve">Structural/LAI retrieval:</w:t>
      </w:r>
      <w:r>
        <w:t xml:space="preserve"> </w:t>
      </w:r>
      <w:r>
        <w:t xml:space="preserve">the shape and strength of the hot-spot and the anisotropy factor carry independent information on leaf area index, canopy clumping and row structure/orientation, exploited in multi-angle missions (e.g., the historical French POLDER, and multi-angle-capable sensors) and used for row-crop orientation/canopy-architecture studies.</w:t>
      </w:r>
    </w:p>
    <w:p>
      <w:pPr>
        <w:pStyle w:val="Compact"/>
        <w:numPr>
          <w:ilvl w:val="0"/>
          <w:numId w:val="1050"/>
        </w:numPr>
      </w:pPr>
      <w:r>
        <w:rPr>
          <w:bCs/>
          <w:b/>
        </w:rPr>
        <w:t xml:space="preserve">Crop identification/discrimination:</w:t>
      </w:r>
      <w:r>
        <w:t xml:space="preserve"> </w:t>
      </w:r>
      <w:r>
        <w:t xml:space="preserve">row crops (with strong azimuthal anisotropy aligned to row direction) versus broadcast crops (more azimuthally isotropic) show diagnostically different BRDF signatures usable as an ancillary crop-type discriminator.</w:t>
      </w:r>
    </w:p>
    <w:p>
      <w:pPr>
        <w:pStyle w:val="Compact"/>
        <w:numPr>
          <w:ilvl w:val="0"/>
          <w:numId w:val="1050"/>
        </w:numPr>
      </w:pPr>
      <w:r>
        <w:rPr>
          <w:bCs/>
          <w:b/>
        </w:rPr>
        <w:t xml:space="preserve">Directional albedo for surface energy balance:</w:t>
      </w:r>
      <w:r>
        <w:t xml:space="preserve"> </w:t>
      </w:r>
      <w:r>
        <w:t xml:space="preserve">BRDF-derived albedo (rather than a single nadir reflectance value) is required for physically correct Rn computation in energy-balance ET models.</w:t>
      </w:r>
    </w:p>
    <w:p>
      <w:pPr>
        <w:pStyle w:val="Heading2"/>
      </w:pPr>
      <w:r>
        <w:t xml:space="preserve">8.4 Land Surface Temperature Retrieval Algorithms</w:t>
      </w:r>
    </w:p>
    <w:p>
      <w:pPr>
        <w:pStyle w:val="FirstParagraph"/>
      </w:pPr>
      <w:r>
        <w:t xml:space="preserve">Chapter 8 detailed the split-window Sea Surface Temperature algorithm; this chapter extends the same thermal-remote-sensing retrieval logic specifically to</w:t>
      </w:r>
      <w:r>
        <w:t xml:space="preserve"> </w:t>
      </w:r>
      <w:r>
        <w:rPr>
          <w:bCs/>
          <w:b/>
        </w:rPr>
        <w:t xml:space="preserve">land</w:t>
      </w:r>
      <w:r>
        <w:t xml:space="preserve"> </w:t>
      </w:r>
      <w:r>
        <w:t xml:space="preserve">surface temperature (LST), which is materially harder than SST because land-surface emissivity is highly variable (unlike the ocean’s near-uniform, well-known emissivity), and because land-surface heterogeneity is far greater at any given pixel scale.</w:t>
      </w:r>
    </w:p>
    <w:p>
      <w:pPr>
        <w:pStyle w:val="Heading3"/>
      </w:pPr>
      <w:r>
        <w:t xml:space="preserve">8.4.1 Why LST Retrieval Requires an Emissivity Correction</w:t>
      </w:r>
    </w:p>
    <w:p>
      <w:pPr>
        <w:pStyle w:val="FirstParagraph"/>
      </w:pPr>
      <w:r>
        <w:t xml:space="preserve">The Stefan-Boltzmann/Planck-based brightness-temperature-to-kinetic-temperature conversion formally requires knowledge of surface emissivity ε, since a satellite thermal sensor measures</w:t>
      </w:r>
      <w:r>
        <w:t xml:space="preserve"> </w:t>
      </w:r>
      <w:r>
        <w:rPr>
          <w:bCs/>
          <w:b/>
        </w:rPr>
        <w:t xml:space="preserve">radiance</w:t>
      </w:r>
      <w:r>
        <w:t xml:space="preserve">, not temperature directly, and the same radiance can correspond to a hotter, lower-emissivity surface or a cooler, higher-emissivity surface. Over the ocean, emissivity is high (~0.98–0.99) and nearly spatially/spectrally uniform, so SST algorithms can use a fixed assumed emissivity with negligible error. Over land, emissivity varies substantially — from ~0.96–0.99 for dense vegetation to as low as ~0.90–0.94 for dry bare soil, sand or certain rock/mineral surfaces, and even more variably for urban/built-up materials — so a land LST algorithm cannot simply assume a fixed emissivity without introducing significant, spatially-varying temperature-retrieval error (a 0.01 error in assumed emissivity can translate to roughly 0.5–1 K error in retrieved LST, depending on sensor wavelength and actual surface temperature).</w:t>
      </w:r>
    </w:p>
    <w:p>
      <w:pPr>
        <w:pStyle w:val="Heading3"/>
      </w:pPr>
      <w:r>
        <w:t xml:space="preserve">8.4.2 The Three Main LST Retrieval Algorithm Families</w:t>
      </w:r>
    </w:p>
    <w:p>
      <w:pPr>
        <w:pStyle w:val="FirstParagraph"/>
      </w:pPr>
      <w:r>
        <w:rPr>
          <w:bCs/>
          <w:b/>
        </w:rPr>
        <w:t xml:space="preserve">Single-channel (mono-window) method:</w:t>
      </w:r>
      <w:r>
        <w:t xml:space="preserve"> </w:t>
      </w:r>
      <w:r>
        <w:t xml:space="preserve">uses only one thermal-infrared channel, correcting the observed brightness temperature to true LST using estimated atmospheric transmittance and water-vapour content (from ancillary/radiosonde/reanalysis data, or a simplified parameterisation) and an independently estimated surface emissivity (commonly derived from a companion optical-band vegetation-index/land-cover-based emissivity look-up, since a single thermal channel alone cannot simultaneously solve for both atmospheric and emissivity unknowns) — the necessary approach for single-thermal-channel sensors (e.g., older Landsat TM’s single thermal band), and structurally simpler but generally less accurate than the two-channel approaches below because it depends more heavily on external (non-thermal-channel) atmospheric-correction information.</w:t>
      </w:r>
    </w:p>
    <w:p>
      <w:pPr>
        <w:pStyle w:val="BodyText"/>
      </w:pPr>
      <w:r>
        <w:rPr>
          <w:bCs/>
          <w:b/>
        </w:rPr>
        <w:t xml:space="preserve">Split-window method</w:t>
      </w:r>
      <w:r>
        <w:t xml:space="preserve"> </w:t>
      </w:r>
      <w:r>
        <w:t xml:space="preserve">(the land-surface analogue of the SST algorithm in the relevant chapter, Section 8.2.7): using two closely spaced thermal-infrared channels (e.g., ~10.8 and ~12.0 µm, as used by INSAT-3D/3DR’s TIR-1/TIR-2 pair, or Landsat/MODIS equivalents), the differential atmospheric water-vapour absorption between the two channels is exploited to correct for atmospheric attenuation without requiring an independently supplied atmospheric profile, via a generalised split-window equation of the form:</w:t>
      </w:r>
    </w:p>
    <w:p>
      <w:pPr>
        <w:pStyle w:val="BodyText"/>
      </w:pPr>
      <w:r>
        <w:rPr>
          <w:bCs/>
          <w:b/>
        </w:rPr>
        <w:t xml:space="preserve">LST = T10.8 + C1(T10.8−T12.0) + C2(T10.8−T12.0)² + C0</w:t>
      </w:r>
    </w:p>
    <w:p>
      <w:pPr>
        <w:pStyle w:val="BodyText"/>
      </w:pPr>
      <w:r>
        <w:t xml:space="preserve">where the coefficients C0, C1, C2 are derived from radiative-transfer-model simulations across a representative range of atmospheric and emissivity conditions, and are typically expressed as functions of mean channel emissivity (ε = (ε10.8+ε12.0)/2) and channel emissivity difference (Δε = ε10.8−ε12.0), so that a companion emissivity-estimation step (below) still feeds into the split-window computation, but the atmospheric-correction burden is substantially reduced relative to the single-channel method because the two-channel differential handles most of the atmospheric water-vapour effect internally.</w:t>
      </w:r>
    </w:p>
    <w:p>
      <w:pPr>
        <w:pStyle w:val="BodyText"/>
      </w:pPr>
      <w:r>
        <w:rPr>
          <w:bCs/>
          <w:b/>
        </w:rPr>
        <w:t xml:space="preserve">Temperature-Emissivity Separation (TES):</w:t>
      </w:r>
      <w:r>
        <w:t xml:space="preserve"> </w:t>
      </w:r>
      <w:r>
        <w:t xml:space="preserve">for sensors with more than two thermal-infrared channels (multispectral thermal sensors, e.g., ASTER’s five TIR bands), TES algorithms exploit the additional spectral information to solve simultaneously for both surface temperature and the full spectral emissivity curve (rather than assuming/externally supplying emissivity), using the physical constraint that emissivity spectral contrast (the difference between the maximum and minimum emissivity across the available thermal channels) is empirically related to the absolute emissivity level for natural surfaces (the</w:t>
      </w:r>
      <w:r>
        <w:t xml:space="preserve"> </w:t>
      </w:r>
      <w:r>
        <w:t xml:space="preserve">“</w:t>
      </w:r>
      <w:r>
        <w:t xml:space="preserve">Maximum-Minimum Difference,</w:t>
      </w:r>
      <w:r>
        <w:t xml:space="preserve">”</w:t>
      </w:r>
      <w:r>
        <w:t xml:space="preserve"> </w:t>
      </w:r>
      <w:r>
        <w:t xml:space="preserve">MMD, empirical relationship) — providing simultaneously the most information-rich (full emissivity spectrum, useful for mineral/lithological discrimination as noted in the relevant chapter, Section 2.2.4) and most computationally/sensor-demanding of the three approaches.</w:t>
      </w:r>
    </w:p>
    <w:p>
      <w:pPr>
        <w:pStyle w:val="Heading3"/>
      </w:pPr>
      <w:r>
        <w:t xml:space="preserve">8.4.3 Emissivity Estimation via the NDVI Threshold Method</w:t>
      </w:r>
    </w:p>
    <w:p>
      <w:pPr>
        <w:pStyle w:val="FirstParagraph"/>
      </w:pPr>
      <w:r>
        <w:t xml:space="preserve">Where a dedicated multispectral-thermal TES capability is unavailable (the common case for split-window and mono-window sensors), surface emissivity is commonly estimated from the companion optical-band NDVI using an empirical</w:t>
      </w:r>
      <w:r>
        <w:t xml:space="preserve"> </w:t>
      </w:r>
      <w:r>
        <w:rPr>
          <w:bCs/>
          <w:b/>
        </w:rPr>
        <w:t xml:space="preserve">NDVI Threshold Method (NDVI-THM)</w:t>
      </w:r>
      <w:r>
        <w:t xml:space="preserve">: pixels below a low-NDVI threshold (bare soil dominated) are assigned a bare-soil emissivity value (from a soil-type-appropriate look-up), pixels above a high-NDVI threshold (fully vegetated) are assigned a vegetation emissivity value (typically ~0.98–0.99), and pixels in between are treated as a</w:t>
      </w:r>
      <w:r>
        <w:t xml:space="preserve"> </w:t>
      </w:r>
      <w:r>
        <w:rPr>
          <w:bCs/>
          <w:b/>
        </w:rPr>
        <w:t xml:space="preserve">linear mixture</w:t>
      </w:r>
      <w:r>
        <w:t xml:space="preserve"> </w:t>
      </w:r>
      <w:r>
        <w:t xml:space="preserve">of soil and vegetation emissivity, weighted by the</w:t>
      </w:r>
      <w:r>
        <w:t xml:space="preserve"> </w:t>
      </w:r>
      <w:r>
        <w:rPr>
          <w:bCs/>
          <w:b/>
        </w:rPr>
        <w:t xml:space="preserve">fractional vegetation cover, Fv</w:t>
      </w:r>
      <w:r>
        <w:t xml:space="preserve">, itself commonly estimated from NDVI via:</w:t>
      </w:r>
    </w:p>
    <w:p>
      <w:pPr>
        <w:pStyle w:val="BodyText"/>
      </w:pPr>
      <w:r>
        <w:rPr>
          <w:bCs/>
          <w:b/>
        </w:rPr>
        <w:t xml:space="preserve">Fv = [(NDVI − NDVImin)/(NDVImax − NDVImin)]²</w:t>
      </w:r>
    </w:p>
    <w:p>
      <w:pPr>
        <w:pStyle w:val="BodyText"/>
      </w:pPr>
      <w:r>
        <w:t xml:space="preserve">(NDVImin, NDVImax being the scene- or region-specific bare-soil and full-vegetation NDVI endpoints), giving:</w:t>
      </w:r>
    </w:p>
    <w:p>
      <w:pPr>
        <w:pStyle w:val="BodyText"/>
      </w:pPr>
      <w:r>
        <w:rPr>
          <w:bCs/>
          <w:b/>
        </w:rPr>
        <w:t xml:space="preserve">ε = εv × Fv + εs × (1−Fv) + Cε</w:t>
      </w:r>
    </w:p>
    <w:p>
      <w:pPr>
        <w:pStyle w:val="BodyText"/>
      </w:pPr>
      <w:r>
        <w:t xml:space="preserve">where εv and εs are vegetation and soil emissivity respectively, and Cε is a small cavity/geometric-effect correction term accounting for multiple internal reflection within a mixed canopy-soil pixel (which, because internal reflection increases effective emissivity slightly above the simple linear mixture, is generally a small positive term) — the same fractional-vegetation-cover concept referenced as a standalone VEDAS terrestrial product in the relevant chapter here serving as a direct input to the LST emissivity-correction chain, illustrating how these seemingly separate product streams are methodologically interlinked.</w:t>
      </w:r>
    </w:p>
    <w:p>
      <w:pPr>
        <w:pStyle w:val="Heading3"/>
      </w:pPr>
      <w:r>
        <w:t xml:space="preserve">8.4.4 LST Applications Threaded Through This Manual</w:t>
      </w:r>
    </w:p>
    <w:p>
      <w:pPr>
        <w:pStyle w:val="FirstParagraph"/>
      </w:pPr>
      <w:r>
        <w:t xml:space="preserve">LST, retrieved by the methods above, is the common input feeding: Apparent Thermal Inertia; the aerodynamic-temperature term in one- and two-source surface-energy-balance ET models; the fog and snow detection algorithms; crop-water-stress and evaporative-stress drought indices; and, at coarse gridded scale, the VEDAS terrestrial and hydrology product suite — underscoring LST’s status as arguably the single most cross-cutting geophysical variable in the entire applications portfolio this manual covers, and a strong candidate for a detailed</w:t>
      </w:r>
      <w:r>
        <w:t xml:space="preserve"> </w:t>
      </w:r>
      <w:r>
        <w:t xml:space="preserve">“</w:t>
      </w:r>
      <w:r>
        <w:t xml:space="preserve">walk me through how you’d compute this</w:t>
      </w:r>
      <w:r>
        <w:t xml:space="preserve">”</w:t>
      </w:r>
      <w:r>
        <w:t xml:space="preserve"> </w:t>
      </w:r>
      <w:r>
        <w:t xml:space="preserve">interview question in its own right.</w:t>
      </w:r>
    </w:p>
    <w:p>
      <w:pPr>
        <w:pStyle w:val="Heading2"/>
      </w:pPr>
      <w:r>
        <w:t xml:space="preserve">8.5 SAR Polarimetry — Scattering Mechanisms and Decomposition</w:t>
      </w:r>
    </w:p>
    <w:p>
      <w:pPr>
        <w:pStyle w:val="FirstParagraph"/>
      </w:pPr>
      <w:r>
        <w:t xml:space="preserve">Given the centrality of SAR to Indian operational agriculture monitoring, an SAC interview may go beyond the basic backscatter/vegetation-index treatment of the relevant chapter into full polarimetric SAR theory. This chapter provides that additional depth.</w:t>
      </w:r>
    </w:p>
    <w:p>
      <w:pPr>
        <w:pStyle w:val="Heading3"/>
      </w:pPr>
      <w:r>
        <w:t xml:space="preserve">8.5.1 Polarisation Basics</w:t>
      </w:r>
    </w:p>
    <w:p>
      <w:pPr>
        <w:pStyle w:val="FirstParagraph"/>
      </w:pPr>
      <w:r>
        <w:t xml:space="preserve">A SAR antenna can transmit and receive electromagnetic energy in a chosen polarisation state — most commonly horizontal (H) or vertical (V) linear polarisation. A</w:t>
      </w:r>
      <w:r>
        <w:t xml:space="preserve"> </w:t>
      </w:r>
      <w:r>
        <w:rPr>
          <w:bCs/>
          <w:b/>
        </w:rPr>
        <w:t xml:space="preserve">fully polarimetric (quad-pol)</w:t>
      </w:r>
      <w:r>
        <w:t xml:space="preserve"> </w:t>
      </w:r>
      <w:r>
        <w:t xml:space="preserve">SAR system transmits alternately in H and V, and receives both H and V for each transmitted pulse, yielding four complex backscatter measurements: HH, HV, VH and VV (the first letter denotes transmit polarisation, the second receive polarisation). Reciprocity (a property of most natural, reciprocal scattering media) generally makes HV ≈ VH, so quad-pol data are often represented by three independent complex channels (HH, HV/VH, VV).</w:t>
      </w:r>
      <w:r>
        <w:t xml:space="preserve"> </w:t>
      </w:r>
      <w:r>
        <w:rPr>
          <w:bCs/>
          <w:b/>
        </w:rPr>
        <w:t xml:space="preserve">Dual-pol</w:t>
      </w:r>
      <w:r>
        <w:t xml:space="preserve"> </w:t>
      </w:r>
      <w:r>
        <w:t xml:space="preserve">systems (as commonly operated by RISAT-1/EOS-04 and Sentinel-1 for routine wide-area monitoring, trading polarimetric completeness for wider swath/higher duty cycle) transmit a single polarisation (e.g., V) and receive both (VV and VH) — the basis of the VV/VH ratio and DpRVI indices introduced in the relevant chapter, Section 2.4.</w:t>
      </w:r>
    </w:p>
    <w:p>
      <w:pPr>
        <w:pStyle w:val="Heading3"/>
      </w:pPr>
      <w:r>
        <w:t xml:space="preserve">8.5.2 The Scattering (Sinclair) Matrix</w:t>
      </w:r>
    </w:p>
    <w:p>
      <w:pPr>
        <w:pStyle w:val="FirstParagraph"/>
      </w:pPr>
      <w:r>
        <w:t xml:space="preserve">For a fully polarimetric system, the scattering behaviour of a target/resolution cell is described by the complex 2×2</w:t>
      </w:r>
      <w:r>
        <w:t xml:space="preserve"> </w:t>
      </w:r>
      <w:r>
        <w:rPr>
          <w:bCs/>
          <w:b/>
        </w:rPr>
        <w:t xml:space="preserve">Sinclair scattering matrix</w:t>
      </w:r>
      <w:r>
        <w:t xml:space="preserve">:</w:t>
      </w:r>
    </w:p>
    <w:p>
      <w:pPr>
        <w:pStyle w:val="BodyText"/>
      </w:pPr>
      <w:r>
        <w:t xml:space="preserve">S = [ [SHH, SHV], [SVH, SVV] ]</w:t>
      </w:r>
    </w:p>
    <w:p>
      <w:pPr>
        <w:pStyle w:val="BodyText"/>
      </w:pPr>
      <w:r>
        <w:t xml:space="preserve">where each element Sij is a complex number (amplitude and phase) describing the scattered field in receive polarisation i for an incident field in transmit polarisation j. This matrix is the fundamental polarimetric observable, from which all derived polarimetric descriptors (below) are computed.</w:t>
      </w:r>
    </w:p>
    <w:p>
      <w:pPr>
        <w:pStyle w:val="Heading3"/>
      </w:pPr>
      <w:r>
        <w:t xml:space="preserve">8.5.3 Elementary Scattering Mechanisms</w:t>
      </w:r>
    </w:p>
    <w:p>
      <w:pPr>
        <w:pStyle w:val="FirstParagraph"/>
      </w:pPr>
      <w:r>
        <w:t xml:space="preserve">Physical interpretation of polarimetric SAR data rests on three canonical, idealised scattering mechanisms, each producing a characteristic signature in the scattering/covariance matrix:</w:t>
      </w:r>
    </w:p>
    <w:p>
      <w:pPr>
        <w:pStyle w:val="Compact"/>
        <w:numPr>
          <w:ilvl w:val="0"/>
          <w:numId w:val="1051"/>
        </w:numPr>
      </w:pPr>
      <w:r>
        <w:rPr>
          <w:bCs/>
          <w:b/>
        </w:rPr>
        <w:t xml:space="preserve">Surface (single-bounce/odd-bounce) scattering</w:t>
      </w:r>
      <w:r>
        <w:t xml:space="preserve"> </w:t>
      </w:r>
      <w:r>
        <w:t xml:space="preserve">— direct backscatter from a relatively smooth surface (bare soil, calm open water), dominated by co-polarised return (HH and VV strong and in-phase) with weak cross-polarised (HV) return; the dominant mechanism for bare/fallow fields and the flooded-paddy condition at rice transplanting.</w:t>
      </w:r>
    </w:p>
    <w:p>
      <w:pPr>
        <w:pStyle w:val="Compact"/>
        <w:numPr>
          <w:ilvl w:val="0"/>
          <w:numId w:val="1051"/>
        </w:numPr>
      </w:pPr>
      <w:r>
        <w:rPr>
          <w:bCs/>
          <w:b/>
        </w:rPr>
        <w:t xml:space="preserve">Double-bounce (even-bounce) scattering</w:t>
      </w:r>
      <w:r>
        <w:t xml:space="preserve"> </w:t>
      </w:r>
      <w:r>
        <w:t xml:space="preserve">— the radar pulse reflects twice before returning to the sensor, classically off a vertical structure and the adjacent horizontal ground/water surface (a dihedral-corner-reflector-like geometry) — strongly enhances HH relative to VV (because the two successive reflections introduce a 180° phase shift that affects H and V differently for a horizontal-ground/vertical-structure dihedral) and is the mechanism responsible for the sharp backscatter rise seen in developing rice canopies (vertical stems over standing water, Chapter 2, Section 2.4) and in flooded-forest/inundated-vegetation flood mapping.</w:t>
      </w:r>
    </w:p>
    <w:p>
      <w:pPr>
        <w:pStyle w:val="Compact"/>
        <w:numPr>
          <w:ilvl w:val="0"/>
          <w:numId w:val="1051"/>
        </w:numPr>
      </w:pPr>
      <w:r>
        <w:rPr>
          <w:bCs/>
          <w:b/>
        </w:rPr>
        <w:t xml:space="preserve">Volume scattering</w:t>
      </w:r>
      <w:r>
        <w:t xml:space="preserve"> </w:t>
      </w:r>
      <w:r>
        <w:t xml:space="preserve">— multiple, randomly oriented scattering within a volume of discrete scatterers (a dense canopy, modelled as a</w:t>
      </w:r>
      <w:r>
        <w:t xml:space="preserve"> </w:t>
      </w:r>
      <w:r>
        <w:t xml:space="preserve">“</w:t>
      </w:r>
      <w:r>
        <w:t xml:space="preserve">cloud</w:t>
      </w:r>
      <w:r>
        <w:t xml:space="preserve">”</w:t>
      </w:r>
      <w:r>
        <w:t xml:space="preserve"> </w:t>
      </w:r>
      <w:r>
        <w:t xml:space="preserve">of randomly oriented dipole-like leaf/branch elements) — produces strong depolarisation, i.e., a large cross-polarised (HV) return relative to co-polarised, and dominates in dense, mature vegetation canopies (closed-canopy crops, forest), the physical basis of the Radar Vegetation Index’s use of the HV/cross-pol channel as its numerator.</w:t>
      </w:r>
    </w:p>
    <w:p>
      <w:pPr>
        <w:pStyle w:val="Heading3"/>
      </w:pPr>
      <w:r>
        <w:t xml:space="preserve">8.5.4 Polarimetric Decomposition Techniques</w:t>
      </w:r>
    </w:p>
    <w:p>
      <w:pPr>
        <w:pStyle w:val="FirstParagraph"/>
      </w:pPr>
      <w:r>
        <w:t xml:space="preserve">Because real targets are rarely a pure single mechanism,</w:t>
      </w:r>
      <w:r>
        <w:t xml:space="preserve"> </w:t>
      </w:r>
      <w:r>
        <w:rPr>
          <w:bCs/>
          <w:b/>
        </w:rPr>
        <w:t xml:space="preserve">polarimetric decomposition</w:t>
      </w:r>
      <w:r>
        <w:t xml:space="preserve"> </w:t>
      </w:r>
      <w:r>
        <w:t xml:space="preserve">techniques mathematically express an observed scattering/covariance matrix as a weighted combination of canonical mechanisms, providing a physically interpretable breakdown rather than a single backscatter number.</w:t>
      </w:r>
    </w:p>
    <w:p>
      <w:pPr>
        <w:pStyle w:val="BodyText"/>
      </w:pPr>
      <w:r>
        <w:rPr>
          <w:bCs/>
          <w:b/>
        </w:rPr>
        <w:t xml:space="preserve">Freeman–Durden three-component decomposition</w:t>
      </w:r>
      <w:r>
        <w:t xml:space="preserve"> </w:t>
      </w:r>
      <w:r>
        <w:t xml:space="preserve">— a model-based decomposition expressing the total observed backscattered power as the sum of three physically modelled contributions: surface scattering (modelled via a Bragg-surface-scattering model), double-bounce scattering (modelled via a dihedral-corner-reflector model with a dielectric-loss parameter), and volume scattering (modelled as scattering from a cloud of randomly oriented, thin cylindrical dipoles representing canopy elements) — directly yielding, per pixel, the fractional contribution of each mechanism, which for a growing rice or cotton crop provides a physically direct time-series signature (rising volume-scattering fraction, and, for rice specifically, a double-bounce-fraction rise-then-fall pattern) more physically interpretable than the empirical backscatter-ratio indices of the relevant chapter.</w:t>
      </w:r>
    </w:p>
    <w:p>
      <w:pPr>
        <w:pStyle w:val="BodyText"/>
      </w:pPr>
      <w:r>
        <w:rPr>
          <w:bCs/>
          <w:b/>
        </w:rPr>
        <w:t xml:space="preserve">Cloude–Pottier eigenvalue/eigenvector decomposition</w:t>
      </w:r>
      <w:r>
        <w:t xml:space="preserve"> </w:t>
      </w:r>
      <w:r>
        <w:t xml:space="preserve">— decomposes the polarimetric coherency matrix T (a Hermitian matrix formed from the scattering matrix via the Pauli basis, analogous in mathematical structure to the covariance-matrix eigen-decomposition of the relevant chapter, Section 4.2.2, but here operating on a complex polarimetric matrix rather than a real multispectral covariance matrix) into its eigenvalues and eigenvectors, from which two key derived parameters are computed:</w:t>
      </w:r>
      <w:r>
        <w:t xml:space="preserve"> </w:t>
      </w:r>
      <w:r>
        <w:rPr>
          <w:bCs/>
          <w:b/>
        </w:rPr>
        <w:t xml:space="preserve">entropy (H)</w:t>
      </w:r>
      <w:r>
        <w:t xml:space="preserve"> </w:t>
      </w:r>
      <w:r>
        <w:t xml:space="preserve">— a measure of scattering randomness/mixture of mechanisms, ranging 0 (single pure mechanism) to 1 (fully random, equal mixture of all mechanisms) — and</w:t>
      </w:r>
      <w:r>
        <w:t xml:space="preserve"> </w:t>
      </w:r>
      <w:r>
        <w:rPr>
          <w:bCs/>
          <w:b/>
        </w:rPr>
        <w:t xml:space="preserve">alpha angle (α)</w:t>
      </w:r>
      <w:r>
        <w:t xml:space="preserve"> </w:t>
      </w:r>
      <w:r>
        <w:t xml:space="preserve">— a measure of the dominant scattering mechanism’s physical type, ranging from 0° (pure surface scattering) through ~45° (volume scattering) to 90° (pure double-bounce scattering). The resulting</w:t>
      </w:r>
      <w:r>
        <w:t xml:space="preserve"> </w:t>
      </w:r>
      <w:r>
        <w:rPr>
          <w:bCs/>
          <w:b/>
        </w:rPr>
        <w:t xml:space="preserve">H-α plane classification</w:t>
      </w:r>
      <w:r>
        <w:t xml:space="preserve"> </w:t>
      </w:r>
      <w:r>
        <w:t xml:space="preserve">provides a widely used, physically grounded unsupervised classification of scattering mechanism type across a scene, directly analogous in logic to the PCA-based feature-space classification approach of the relevant chapter but specifically adapted to polarimetric SAR’s complex-matrix mathematical structure.</w:t>
      </w:r>
    </w:p>
    <w:p>
      <w:pPr>
        <w:pStyle w:val="Heading3"/>
      </w:pPr>
      <w:r>
        <w:t xml:space="preserve">8.5.5 Polarimetric SAR Interferometry (PolInSAR)</w:t>
      </w:r>
    </w:p>
    <w:p>
      <w:pPr>
        <w:pStyle w:val="FirstParagraph"/>
      </w:pPr>
      <w:r>
        <w:t xml:space="preserve">Combining full polarimetric capability with interferometric (two-pass or single-pass multi-antenna) acquisition —</w:t>
      </w:r>
      <w:r>
        <w:t xml:space="preserve"> </w:t>
      </w:r>
      <w:r>
        <w:rPr>
          <w:bCs/>
          <w:b/>
        </w:rPr>
        <w:t xml:space="preserve">PolInSAR</w:t>
      </w:r>
      <w:r>
        <w:t xml:space="preserve"> </w:t>
      </w:r>
      <w:r>
        <w:t xml:space="preserve">— allows the interferometric coherence to be optimised as a function of polarisation, exploiting the fact that different scattering mechanisms (surface versus canopy-top volume scattering) effectively originate from different heights within a vegetated scene, so that polarisation-optimised coherence differences between, e.g., a surface-dominated polarisation and a volume-dominated polarisation can be inverted (via a physically motivated Random Volume over Ground, RVoG, model) to estimate</w:t>
      </w:r>
      <w:r>
        <w:t xml:space="preserve"> </w:t>
      </w:r>
      <w:r>
        <w:rPr>
          <w:bCs/>
          <w:b/>
        </w:rPr>
        <w:t xml:space="preserve">vegetation height</w:t>
      </w:r>
      <w:r>
        <w:t xml:space="preserve"> </w:t>
      </w:r>
      <w:r>
        <w:t xml:space="preserve">directly — a capability of direct relevance to forest-canopy-height retrieval and, prospectively, to NISAR’s biomass-retrieval objective, complementing the simpler backscatter-intensity and coherence-loss change-detection techniques described in Chapters 2, 7 and 18.</w:t>
      </w:r>
    </w:p>
    <w:p>
      <w:pPr>
        <w:pStyle w:val="Heading3"/>
      </w:pPr>
      <w:r>
        <w:t xml:space="preserve">8.5.6 Practical Implication for Crop Monitoring</w:t>
      </w:r>
    </w:p>
    <w:p>
      <w:pPr>
        <w:pStyle w:val="FirstParagraph"/>
      </w:pPr>
      <w:r>
        <w:t xml:space="preserve">The progression from simple backscatter intensity, to dual-pol ratio indices (RVI, DpRVI, Chapter 2), to full quad-pol model-based decomposition (this chapter) represents an increasing order of physical interpretability and information content, at a corresponding cost of data-volume, processing complexity and — critically for</w:t>
      </w:r>
      <w:r>
        <w:t xml:space="preserve"> </w:t>
      </w:r>
      <w:r>
        <w:rPr>
          <w:bCs/>
          <w:b/>
        </w:rPr>
        <w:t xml:space="preserve">operational, near-real-time national-scale monitoring</w:t>
      </w:r>
      <w:r>
        <w:t xml:space="preserve"> </w:t>
      </w:r>
      <w:r>
        <w:t xml:space="preserve">such as SASYA/EOS-04 rice mapping — narrower swath and reduced acquisition frequency (quad-pol modes generally have lower duty cycle/coverage rate than dual-pol modes on the same platform). This is precisely why India’s</w:t>
      </w:r>
      <w:r>
        <w:t xml:space="preserve"> </w:t>
      </w:r>
      <w:r>
        <w:rPr>
          <w:iCs/>
          <w:i/>
        </w:rPr>
        <w:t xml:space="preserve">operational</w:t>
      </w:r>
      <w:r>
        <w:t xml:space="preserve"> </w:t>
      </w:r>
      <w:r>
        <w:t xml:space="preserve">national crop-monitoring products rely on dual-pol (not quad-pol) EOS-04 data, while quad-pol/decomposition techniques remain primarily an</w:t>
      </w:r>
      <w:r>
        <w:t xml:space="preserve"> </w:t>
      </w:r>
      <w:r>
        <w:rPr>
          <w:iCs/>
          <w:i/>
        </w:rPr>
        <w:t xml:space="preserve">R&amp;D and validation</w:t>
      </w:r>
      <w:r>
        <w:t xml:space="preserve"> </w:t>
      </w:r>
      <w:r>
        <w:t xml:space="preserve">tool (informing which simplified dual-pol index best captures the mechanism of interest) rather than the routine operational data stream itself — an important nuance to articulate if asked</w:t>
      </w:r>
      <w:r>
        <w:t xml:space="preserve"> </w:t>
      </w:r>
      <w:r>
        <w:t xml:space="preserve">“</w:t>
      </w:r>
      <w:r>
        <w:t xml:space="preserve">why doesn’t ISRO just use full polarimetric decomposition operationally if it’s more informative?</w:t>
      </w:r>
      <w:r>
        <w:t xml:space="preserve">”</w:t>
      </w:r>
    </w:p>
    <w:p>
      <w:pPr>
        <w:pStyle w:val="Heading2"/>
      </w:pPr>
      <w:r>
        <w:t xml:space="preserve">8.6 SAR and Microwave Equations</w:t>
      </w:r>
    </w:p>
    <w:p>
      <w:pPr>
        <w:pStyle w:val="FirstParagraph"/>
      </w:pPr>
      <w:r>
        <w:rPr>
          <w:bCs/>
          <w:b/>
        </w:rPr>
        <w:t xml:space="preserve">Radar equation (simplified, for a distributed target):</w:t>
      </w:r>
      <w:r>
        <w:t xml:space="preserve"> </w:t>
      </w:r>
      <w:r>
        <w:t xml:space="preserve">Pr = (Pt G² λ² σ°)/(4π)³R⁴ × (area/resolution terms) — received power depends on transmitted power Pt, antenna gain G, wavelength λ, the surface backscatter coefficient σ° (the key output quantity of SAR processing), and range R; explains why SAR calibration is essential to convert raw received power to a physically meaningful, comparable σ° value.</w:t>
      </w:r>
    </w:p>
    <w:p>
      <w:pPr>
        <w:pStyle w:val="BodyText"/>
      </w:pPr>
      <w:r>
        <w:rPr>
          <w:bCs/>
          <w:b/>
        </w:rPr>
        <w:t xml:space="preserve">Radar backscatter coefficient in decibels:</w:t>
      </w:r>
      <w:r>
        <w:t xml:space="preserve"> </w:t>
      </w:r>
      <w:r>
        <w:t xml:space="preserve">σ°(dB) = 10 log10(σ°linear) — SAR imagery/backscatter values are conventionally reported/displayed in dB because of the very large dynamic range of natural-surface backscatter (many orders of magnitude in linear units).</w:t>
      </w:r>
    </w:p>
    <w:p>
      <w:pPr>
        <w:pStyle w:val="BodyText"/>
      </w:pPr>
      <w:r>
        <w:rPr>
          <w:bCs/>
          <w:b/>
        </w:rPr>
        <w:t xml:space="preserve">Dielectric mixing model (simplified conceptual form, Section 5.3.3):</w:t>
      </w:r>
      <w:r>
        <w:t xml:space="preserve"> </w:t>
      </w:r>
      <w:r>
        <w:t xml:space="preserve">ε′soil = f(θv, sand%, clay%, frequency) — empirical/semi-empirical (Dobson, Hallikainen) models expressing bulk soil dielectric constant as a function of volumetric water content and soil texture, the physical basis-function underlying all microwave soil-moisture retrieval algorithms.</w:t>
      </w:r>
    </w:p>
    <w:p>
      <w:pPr>
        <w:pStyle w:val="BodyText"/>
      </w:pPr>
      <w:r>
        <w:rPr>
          <w:bCs/>
          <w:b/>
        </w:rPr>
        <w:t xml:space="preserve">SAR range resolution:</w:t>
      </w:r>
      <w:r>
        <w:t xml:space="preserve"> </w:t>
      </w:r>
      <w:r>
        <w:t xml:space="preserve">ΔR = c/(2×Bandwidth) — finer range resolution requires a wider transmitted-pulse bandwidth; a fundamental SAR system-design relation explaining why NISAR’s ~3–48 m range resolution varies by operating mode/bandwidth.</w:t>
      </w:r>
    </w:p>
    <w:p>
      <w:pPr>
        <w:pStyle w:val="BodyText"/>
      </w:pPr>
      <w:r>
        <w:rPr>
          <w:bCs/>
          <w:b/>
        </w:rPr>
        <w:t xml:space="preserve">SAR azimuth resolution (synthetic-aperture principle):</w:t>
      </w:r>
      <w:r>
        <w:t xml:space="preserve"> </w:t>
      </w:r>
      <w:r>
        <w:t xml:space="preserve">Δaz ≈ D/2 (independent of range, remarkably), where D is the physical antenna length in the along-track direction — SAR’s defining innovation is that resolution does NOT degrade with range (unlike a real-aperture radar), achieved by synthetically combining many pulses along the flight track to form a much longer</w:t>
      </w:r>
      <w:r>
        <w:t xml:space="preserve"> </w:t>
      </w:r>
      <w:r>
        <w:t xml:space="preserve">“</w:t>
      </w:r>
      <w:r>
        <w:t xml:space="preserve">synthetic aperture.</w:t>
      </w:r>
      <w:r>
        <w:t xml:space="preserve">”</w:t>
      </w:r>
    </w:p>
    <w:p>
      <w:pPr>
        <w:pStyle w:val="Heading2"/>
      </w:pPr>
      <w:r>
        <w:t xml:space="preserve">8.7 Soil Moisture Retrieval</w:t>
      </w:r>
    </w:p>
    <w:p>
      <w:pPr>
        <w:pStyle w:val="FirstParagraph"/>
      </w:pPr>
      <w:r>
        <w:t xml:space="preserve">Soil moisture retrieval methods are grouped by the spectral domain exploited: optical/thermal, passive microwave, and active microwave (SAR).</w:t>
      </w:r>
    </w:p>
    <w:p>
      <w:pPr>
        <w:pStyle w:val="Heading3"/>
      </w:pPr>
      <w:r>
        <w:t xml:space="preserve">8.7.1 Optical/Thermal-Based Methods</w:t>
      </w:r>
    </w:p>
    <w:p>
      <w:pPr>
        <w:pStyle w:val="FirstParagraph"/>
      </w:pPr>
      <w:r>
        <w:rPr>
          <w:bCs/>
          <w:b/>
        </w:rPr>
        <w:t xml:space="preserve">Temperature-Vegetation Dryness Index (TVDI)</w:t>
      </w:r>
      <w:r>
        <w:t xml:space="preserve"> </w:t>
      </w:r>
      <w:r>
        <w:t xml:space="preserve">and the broader</w:t>
      </w:r>
      <w:r>
        <w:t xml:space="preserve"> </w:t>
      </w:r>
      <w:r>
        <w:rPr>
          <w:bCs/>
          <w:b/>
        </w:rPr>
        <w:t xml:space="preserve">temperature-vegetation triangle/trapezoid method</w:t>
      </w:r>
      <w:r>
        <w:t xml:space="preserve"> </w:t>
      </w:r>
      <w:r>
        <w:t xml:space="preserve">(Sandholt et al., 2002,</w:t>
      </w:r>
      <w:r>
        <w:t xml:space="preserve"> </w:t>
      </w:r>
      <w:r>
        <w:rPr>
          <w:iCs/>
          <w:i/>
        </w:rPr>
        <w:t xml:space="preserve">Remote Sensing of Environment</w:t>
      </w:r>
      <w:r>
        <w:t xml:space="preserve">) exploit the characteristic triangular/trapezoidal scatter of pixels in Land Surface Temperature (LST, y-axis) vs. a vegetation index (e.g., NDVI, x-axis) space derived from thermal-optical sensors (e.g., Landsat, MODIS). At a given vegetation fraction, the</w:t>
      </w:r>
      <w:r>
        <w:t xml:space="preserve"> </w:t>
      </w:r>
      <w:r>
        <w:t xml:space="preserve">“</w:t>
      </w:r>
      <w:r>
        <w:t xml:space="preserve">dry edge</w:t>
      </w:r>
      <w:r>
        <w:t xml:space="preserve">”</w:t>
      </w:r>
      <w:r>
        <w:t xml:space="preserve"> </w:t>
      </w:r>
      <w:r>
        <w:t xml:space="preserve">(maximum LST, representing minimal evapotranspirative cooling — water-limited conditions) and the</w:t>
      </w:r>
      <w:r>
        <w:t xml:space="preserve"> </w:t>
      </w:r>
      <w:r>
        <w:t xml:space="preserve">“</w:t>
      </w:r>
      <w:r>
        <w:t xml:space="preserve">wet edge</w:t>
      </w:r>
      <w:r>
        <w:t xml:space="preserve">”</w:t>
      </w:r>
      <w:r>
        <w:t xml:space="preserve"> </w:t>
      </w:r>
      <w:r>
        <w:t xml:space="preserve">(minimum LST, representing potential/maximum evapotranspiration — non-water-limited conditions) bound the observed LST-NDVI space. TVDI is computed as:</w:t>
      </w:r>
    </w:p>
    <w:p>
      <w:pPr>
        <w:pStyle w:val="BodyText"/>
      </w:pPr>
      <w:r>
        <w:t xml:space="preserve">TVDI = (LST − LST_min) / (LST_max − LST_min)</w:t>
      </w:r>
    </w:p>
    <w:p>
      <w:pPr>
        <w:pStyle w:val="BodyText"/>
      </w:pPr>
      <w:r>
        <w:t xml:space="preserve">where LST_min and LST_max are the wet-edge and dry-edge temperatures for the observed NDVI, fitted typically as linear regressions across the image scatterplot. TVDI ranges from 0 (wet/well-watered) to 1 (dry/water-stressed) and is a proxy for near-surface/root-zone soil moisture status, widely used for agricultural drought monitoring at moderate cost (only requires an optical + thermal sensor, e.g., Landsat TIRS or MODIS LST). Limitations: requires cloud-free scenes, sensitive to the assumption of full-range soil moisture variability being present in an image (edges must be well-defined), and calibration of the dry/wet edges is scene-dependent and can be unstable in homogeneous landscapes.</w:t>
      </w:r>
    </w:p>
    <w:p>
      <w:pPr>
        <w:pStyle w:val="Heading3"/>
      </w:pPr>
      <w:r>
        <w:t xml:space="preserve">8.7.2 Passive Microwave Radiometry</w:t>
      </w:r>
    </w:p>
    <w:p>
      <w:pPr>
        <w:pStyle w:val="FirstParagraph"/>
      </w:pPr>
      <w:r>
        <w:t xml:space="preserve">Passive microwave radiometers (e.g., SMOS at L-band 1.4 GHz, SMAP radiometer at L-band, AMSR2 at C/X-band) measure brightness temperature (Tb, in Kelvin), which is related to the physical temperature and emissivity of the surface: Tb = e × T_phys, where emissivity (e) is a strong function of the soil dielectric constant, which in turn depends strongly on volumetric soil moisture (water has a dielectric constant of ~80 versus ~3–5 for dry soil — an enormous contrast that gives microwave sensing its high sensitivity to soil moisture).</w:t>
      </w:r>
    </w:p>
    <w:p>
      <w:pPr>
        <w:pStyle w:val="BodyText"/>
      </w:pPr>
      <w:r>
        <w:t xml:space="preserve">The</w:t>
      </w:r>
      <w:r>
        <w:t xml:space="preserve"> </w:t>
      </w:r>
      <w:r>
        <w:rPr>
          <w:bCs/>
          <w:b/>
        </w:rPr>
        <w:t xml:space="preserve">tau-omega (τ–ω) radiative transfer model</w:t>
      </w:r>
      <w:r>
        <w:t xml:space="preserve"> </w:t>
      </w:r>
      <w:r>
        <w:t xml:space="preserve">is the standard semi-empirical/physical model for passive microwave soil moisture retrieval: it represents the vegetation canopy as a uniform absorbing/scattering layer characterized by</w:t>
      </w:r>
      <w:r>
        <w:t xml:space="preserve"> </w:t>
      </w:r>
      <w:r>
        <w:rPr>
          <w:bCs/>
          <w:b/>
        </w:rPr>
        <w:t xml:space="preserve">vegetation optical depth (τ)</w:t>
      </w:r>
      <w:r>
        <w:t xml:space="preserve"> </w:t>
      </w:r>
      <w:r>
        <w:t xml:space="preserve">(related to canopy water content) and</w:t>
      </w:r>
      <w:r>
        <w:t xml:space="preserve"> </w:t>
      </w:r>
      <w:r>
        <w:rPr>
          <w:bCs/>
          <w:b/>
        </w:rPr>
        <w:t xml:space="preserve">single scattering albedo (ω)</w:t>
      </w:r>
      <w:r>
        <w:t xml:space="preserve"> </w:t>
      </w:r>
      <w:r>
        <w:t xml:space="preserve">(representing within-canopy scattering losses), sitting above a rough soil surface whose emissivity is computed via a dielectric mixing model (e.g., Dobson, Mironov) combined with a roughness parameterization (e.g., the Q/h parameterization). The model is inverted (using ancillary land-cover, temperature, and roughness information) to solve for soil dielectric constant and hence volumetric soil moisture at ~0–5 cm depth. L-band (1.4 GHz, ~21 cm wavelength) is preferred over shorter wavelengths (C-, X-band) because of its greater penetration through vegetation canopies and reduced sensitivity to surface roughness, though at the cost of coarser spatial resolution (SMAP/SMOS native footprint ~35–40 km, enhanced/disaggregated products ~9 km or finer via radar/optical downscaling).</w:t>
      </w:r>
    </w:p>
    <w:p>
      <w:pPr>
        <w:pStyle w:val="Heading3"/>
      </w:pPr>
      <w:r>
        <w:t xml:space="preserve">8.7.3 Active Microwave (SAR)-Based Methods</w:t>
      </w:r>
    </w:p>
    <w:p>
      <w:pPr>
        <w:pStyle w:val="FirstParagraph"/>
      </w:pPr>
      <w:r>
        <w:t xml:space="preserve">SAR backscatter (σ⁰, in dB) responds jointly to soil dielectric constant (moisture), surface roughness, and vegetation structure, making inversion for soil moisture alone more complex than for passive systems, but SAR offers much finer spatial resolution (10 m–1 km, e.g., Sentinel-1, RISAT).</w:t>
      </w:r>
    </w:p>
    <w:p>
      <w:pPr>
        <w:numPr>
          <w:ilvl w:val="0"/>
          <w:numId w:val="1052"/>
        </w:numPr>
      </w:pPr>
      <w:r>
        <w:rPr>
          <w:bCs/>
          <w:b/>
        </w:rPr>
        <w:t xml:space="preserve">Change-detection methods</w:t>
      </w:r>
      <w:r>
        <w:t xml:space="preserve"> </w:t>
      </w:r>
      <w:r>
        <w:t xml:space="preserve">(e.g., the TU-Wien/ESA CCI SAR soil moisture algorithm) exploit the fact that, over a short time period, changes in σ⁰ at a fixed local incidence angle are primarily driven by soil moisture change rather than by (slower-changing) vegetation or roughness, allowing retrieval of relative soil moisture (as a fraction between long-term dry and wet reference backscatter values) without needing to fully characterize vegetation/roughness contributions.</w:t>
      </w:r>
    </w:p>
    <w:p>
      <w:pPr>
        <w:numPr>
          <w:ilvl w:val="0"/>
          <w:numId w:val="1052"/>
        </w:numPr>
      </w:pPr>
      <w:r>
        <w:rPr>
          <w:bCs/>
          <w:b/>
        </w:rPr>
        <w:t xml:space="preserve">Water Cloud Model (WCM)</w:t>
      </w:r>
      <w:r>
        <w:t xml:space="preserve"> </w:t>
      </w:r>
      <w:r>
        <w:t xml:space="preserve">(Attema &amp; Ulaby, 1978) is the classical semi-empirical approach for vegetated surfaces: it decomposes total backscatter into a vegetation contribution and an attenuated soil contribution:</w:t>
      </w:r>
    </w:p>
    <w:p>
      <w:pPr>
        <w:numPr>
          <w:ilvl w:val="0"/>
          <w:numId w:val="1052"/>
        </w:numPr>
      </w:pPr>
      <w:r>
        <w:t xml:space="preserve">σ⁰_total = σ⁰_veg + τ² × σ⁰_soil, with σ⁰_veg = A·V₁·cos θ·(1 − τ²), τ² = exp(−2B·V₂/cos θ)</w:t>
      </w:r>
    </w:p>
    <w:p>
      <w:pPr>
        <w:numPr>
          <w:ilvl w:val="0"/>
          <w:numId w:val="1052"/>
        </w:numPr>
      </w:pPr>
      <w:r>
        <w:t xml:space="preserve">where V₁, V₂ are vegetation descriptors (often LAI or vegetation water content), θ is incidence angle, and A, B are empirically fitted coefficients per crop type. σ⁰_soil is then related to soil moisture via a semi-empirical bare-soil backscatter model (e.g., Oh model, Dubois model, IEM — Integral Equation Model). WCM is popular in crop-focused soil moisture studies because LAI/VWC can be co-retrieved from optical data or a companion SAR-based vegetation descriptor, enabling a synergistic inversion.</w:t>
      </w:r>
    </w:p>
    <w:p>
      <w:pPr>
        <w:numPr>
          <w:ilvl w:val="0"/>
          <w:numId w:val="1052"/>
        </w:numPr>
      </w:pPr>
      <w:r>
        <w:rPr>
          <w:bCs/>
          <w:b/>
        </w:rPr>
        <w:t xml:space="preserve">Semi-empirical backscatter models</w:t>
      </w:r>
      <w:r>
        <w:t xml:space="preserve"> </w:t>
      </w:r>
      <w:r>
        <w:t xml:space="preserve">for bare/sparsely-vegetated soils (Oh et al. 1992; Dubois et al. 1995; the physically-based Integral Equation Model, IEM, Fung 1994) relate σ⁰ at a given polarization and incidence angle to soil moisture and RMS surface roughness height, typically requiring multi-polarization (e.g., Sentinel-1 VV/VH) data to jointly resolve moisture and roughness.</w:t>
      </w:r>
    </w:p>
    <w:p>
      <w:pPr>
        <w:pStyle w:val="Heading3"/>
      </w:pPr>
      <w:r>
        <w:t xml:space="preserve">8.7.4 Synergy of Optical, Passive, and Active Microwave (SMAP/SMOS-type Missions)</w:t>
      </w:r>
    </w:p>
    <w:p>
      <w:pPr>
        <w:pStyle w:val="FirstParagraph"/>
      </w:pPr>
      <w:r>
        <w:t xml:space="preserve">Because passive microwave gives high radiometric accuracy for soil moisture but coarse resolution, and SAR gives fine resolution but is more sensitive to roughness/vegetation ambiguity,</w:t>
      </w:r>
      <w:r>
        <w:t xml:space="preserve"> </w:t>
      </w:r>
      <w:r>
        <w:rPr>
          <w:bCs/>
          <w:b/>
        </w:rPr>
        <w:t xml:space="preserve">active-passive synergy</w:t>
      </w:r>
      <w:r>
        <w:t xml:space="preserve"> </w:t>
      </w:r>
      <w:r>
        <w:t xml:space="preserve">is used operationally: the SMAP mission originally planned a combined radiometer + radar product (before the radar failed in 2015) to disaggregate the coarse radiometer soil moisture to ~9 km using the finer-resolution radar texture; the</w:t>
      </w:r>
      <w:r>
        <w:t xml:space="preserve"> </w:t>
      </w:r>
      <w:r>
        <w:rPr>
          <w:bCs/>
          <w:b/>
        </w:rPr>
        <w:t xml:space="preserve">SMAP/Sentinel-1 combined product</w:t>
      </w:r>
      <w:r>
        <w:t xml:space="preserve"> </w:t>
      </w:r>
      <w:r>
        <w:t xml:space="preserve">now performs similar disaggregation using Sentinel-1 SAR change-detection backscatter as a downscaling kernel. Similarly, the</w:t>
      </w:r>
      <w:r>
        <w:t xml:space="preserve"> </w:t>
      </w:r>
      <w:r>
        <w:rPr>
          <w:bCs/>
          <w:b/>
        </w:rPr>
        <w:t xml:space="preserve">ESA CCI Soil Moisture</w:t>
      </w:r>
      <w:r>
        <w:t xml:space="preserve"> </w:t>
      </w:r>
      <w:r>
        <w:t xml:space="preserve">product merges multiple active (ERS, ASCAT, Sentinel-1) and passive (SMMR, SSM/I, TMI, AMSR-E/2, SMOS, SMAP) sensor soil moisture retrievals into a long-term (1978–present), globally consistent, gap-filled soil moisture record used widely for drought and climate applications. Optical/thermal TVDI-type products complement these by providing daily, high-resolution (but cloud-limited) soil moisture proxies useful for gap-filling and downscaling in agricultural fields.</w:t>
      </w:r>
    </w:p>
    <w:p>
      <w:pPr>
        <w:pStyle w:val="BodyText"/>
      </w:pPr>
      <w:r>
        <w:rPr>
          <w:bCs/>
          <w:b/>
        </w:rPr>
        <w:t xml:space="preserve">Table 3 — Soil moisture retrieval methods, sensors, and typical resolution</w:t>
      </w:r>
    </w:p>
    <w:tbl>
      <w:tblPr>
        <w:tblStyle w:val="Table"/>
        <w:tblW w:type="pct" w:w="4955"/>
        <w:jc w:val="left"/>
        <w:tblLook w:firstRow="1" w:lastRow="0" w:firstColumn="0" w:lastColumn="0" w:noHBand="0" w:noVBand="0" w:val="0020"/>
      </w:tblPr>
      <w:tblGrid>
        <w:gridCol w:w="1620"/>
        <w:gridCol w:w="1944"/>
        <w:gridCol w:w="1800"/>
        <w:gridCol w:w="756"/>
        <w:gridCol w:w="1728"/>
      </w:tblGrid>
      <w:tr>
        <w:trPr>
          <w:tblHeader w:val="true"/>
        </w:trPr>
        <w:tc>
          <w:tcPr/>
          <w:p>
            <w:pPr>
              <w:pStyle w:val="Compact"/>
              <w:jc w:val="left"/>
            </w:pPr>
            <w:r>
              <w:t xml:space="preserve">Method</w:t>
            </w:r>
          </w:p>
        </w:tc>
        <w:tc>
          <w:tcPr/>
          <w:p>
            <w:pPr>
              <w:pStyle w:val="Compact"/>
              <w:jc w:val="left"/>
            </w:pPr>
            <w:r>
              <w:t xml:space="preserve">Physical Basis</w:t>
            </w:r>
          </w:p>
        </w:tc>
        <w:tc>
          <w:tcPr/>
          <w:p>
            <w:pPr>
              <w:pStyle w:val="Compact"/>
              <w:jc w:val="left"/>
            </w:pPr>
            <w:r>
              <w:t xml:space="preserve">Typical Sensors</w:t>
            </w:r>
          </w:p>
        </w:tc>
        <w:tc>
          <w:tcPr/>
          <w:p>
            <w:pPr>
              <w:pStyle w:val="Compact"/>
              <w:jc w:val="left"/>
            </w:pPr>
            <w:r>
              <w:t xml:space="preserve">Spatial Resolution</w:t>
            </w:r>
          </w:p>
        </w:tc>
        <w:tc>
          <w:tcPr/>
          <w:p>
            <w:pPr>
              <w:pStyle w:val="Compact"/>
              <w:jc w:val="left"/>
            </w:pPr>
            <w:r>
              <w:t xml:space="preserve">Key Limitation</w:t>
            </w:r>
          </w:p>
        </w:tc>
      </w:tr>
      <w:tr>
        <w:tc>
          <w:tcPr/>
          <w:p>
            <w:pPr>
              <w:pStyle w:val="Compact"/>
              <w:jc w:val="left"/>
            </w:pPr>
            <w:r>
              <w:t xml:space="preserve">TVDI / LST-VI Triangle</w:t>
            </w:r>
          </w:p>
        </w:tc>
        <w:tc>
          <w:tcPr/>
          <w:p>
            <w:pPr>
              <w:pStyle w:val="Compact"/>
              <w:jc w:val="left"/>
            </w:pPr>
            <w:r>
              <w:t xml:space="preserve">Surface temperature-vegetation cooling relationship</w:t>
            </w:r>
          </w:p>
        </w:tc>
        <w:tc>
          <w:tcPr/>
          <w:p>
            <w:pPr>
              <w:pStyle w:val="Compact"/>
              <w:jc w:val="left"/>
            </w:pPr>
            <w:r>
              <w:t xml:space="preserve">Landsat TIRS, MODIS LST</w:t>
            </w:r>
          </w:p>
        </w:tc>
        <w:tc>
          <w:tcPr/>
          <w:p>
            <w:pPr>
              <w:pStyle w:val="Compact"/>
              <w:jc w:val="left"/>
            </w:pPr>
            <w:r>
              <w:t xml:space="preserve">30 m–1 km</w:t>
            </w:r>
          </w:p>
        </w:tc>
        <w:tc>
          <w:tcPr/>
          <w:p>
            <w:pPr>
              <w:pStyle w:val="Compact"/>
              <w:jc w:val="left"/>
            </w:pPr>
            <w:r>
              <w:t xml:space="preserve">Cloud dependence, empirical edge-fitting</w:t>
            </w:r>
          </w:p>
        </w:tc>
      </w:tr>
      <w:tr>
        <w:tc>
          <w:tcPr/>
          <w:p>
            <w:pPr>
              <w:pStyle w:val="Compact"/>
              <w:jc w:val="left"/>
            </w:pPr>
            <w:r>
              <w:t xml:space="preserve">Passive microwave (τ–ω)</w:t>
            </w:r>
          </w:p>
        </w:tc>
        <w:tc>
          <w:tcPr/>
          <w:p>
            <w:pPr>
              <w:pStyle w:val="Compact"/>
              <w:jc w:val="left"/>
            </w:pPr>
            <w:r>
              <w:t xml:space="preserve">Brightness temperature ↔ soil dielectric constant</w:t>
            </w:r>
          </w:p>
        </w:tc>
        <w:tc>
          <w:tcPr/>
          <w:p>
            <w:pPr>
              <w:pStyle w:val="Compact"/>
              <w:jc w:val="left"/>
            </w:pPr>
            <w:r>
              <w:t xml:space="preserve">SMOS, SMAP radiometer, AMSR2</w:t>
            </w:r>
          </w:p>
        </w:tc>
        <w:tc>
          <w:tcPr/>
          <w:p>
            <w:pPr>
              <w:pStyle w:val="Compact"/>
              <w:jc w:val="left"/>
            </w:pPr>
            <w:r>
              <w:t xml:space="preserve">~9–40 km</w:t>
            </w:r>
          </w:p>
        </w:tc>
        <w:tc>
          <w:tcPr/>
          <w:p>
            <w:pPr>
              <w:pStyle w:val="Compact"/>
              <w:jc w:val="left"/>
            </w:pPr>
            <w:r>
              <w:t xml:space="preserve">Coarse resolution, vegetation/RFI effects</w:t>
            </w:r>
          </w:p>
        </w:tc>
      </w:tr>
      <w:tr>
        <w:tc>
          <w:tcPr/>
          <w:p>
            <w:pPr>
              <w:pStyle w:val="Compact"/>
              <w:jc w:val="left"/>
            </w:pPr>
            <w:r>
              <w:t xml:space="preserve">SAR change detection</w:t>
            </w:r>
          </w:p>
        </w:tc>
        <w:tc>
          <w:tcPr/>
          <w:p>
            <w:pPr>
              <w:pStyle w:val="Compact"/>
              <w:jc w:val="left"/>
            </w:pPr>
            <w:r>
              <w:t xml:space="preserve">Temporal σ⁰ change at fixed incidence angle</w:t>
            </w:r>
          </w:p>
        </w:tc>
        <w:tc>
          <w:tcPr/>
          <w:p>
            <w:pPr>
              <w:pStyle w:val="Compact"/>
              <w:jc w:val="left"/>
            </w:pPr>
            <w:r>
              <w:t xml:space="preserve">ASCAT, Sentinel-1, ERS</w:t>
            </w:r>
          </w:p>
        </w:tc>
        <w:tc>
          <w:tcPr/>
          <w:p>
            <w:pPr>
              <w:pStyle w:val="Compact"/>
              <w:jc w:val="left"/>
            </w:pPr>
            <w:r>
              <w:t xml:space="preserve">1 km–25 km</w:t>
            </w:r>
          </w:p>
        </w:tc>
        <w:tc>
          <w:tcPr/>
          <w:p>
            <w:pPr>
              <w:pStyle w:val="Compact"/>
              <w:jc w:val="left"/>
            </w:pPr>
            <w:r>
              <w:t xml:space="preserve">Confounded by vegetation phenology change</w:t>
            </w:r>
          </w:p>
        </w:tc>
      </w:tr>
      <w:tr>
        <w:tc>
          <w:tcPr/>
          <w:p>
            <w:pPr>
              <w:pStyle w:val="Compact"/>
              <w:jc w:val="left"/>
            </w:pPr>
            <w:r>
              <w:t xml:space="preserve">Water Cloud Model + soil backscatter model</w:t>
            </w:r>
          </w:p>
        </w:tc>
        <w:tc>
          <w:tcPr/>
          <w:p>
            <w:pPr>
              <w:pStyle w:val="Compact"/>
              <w:jc w:val="left"/>
            </w:pPr>
            <w:r>
              <w:t xml:space="preserve">σ⁰ decomposition: soil + vegetation contributions</w:t>
            </w:r>
          </w:p>
        </w:tc>
        <w:tc>
          <w:tcPr/>
          <w:p>
            <w:pPr>
              <w:pStyle w:val="Compact"/>
              <w:jc w:val="left"/>
            </w:pPr>
            <w:r>
              <w:t xml:space="preserve">Sentinel-1, RISAT, RADARSAT</w:t>
            </w:r>
          </w:p>
        </w:tc>
        <w:tc>
          <w:tcPr/>
          <w:p>
            <w:pPr>
              <w:pStyle w:val="Compact"/>
              <w:jc w:val="left"/>
            </w:pPr>
            <w:r>
              <w:t xml:space="preserve">10–50 m</w:t>
            </w:r>
          </w:p>
        </w:tc>
        <w:tc>
          <w:tcPr/>
          <w:p>
            <w:pPr>
              <w:pStyle w:val="Compact"/>
              <w:jc w:val="left"/>
            </w:pPr>
            <w:r>
              <w:t xml:space="preserve">Requires crop-specific empirical coefficients</w:t>
            </w:r>
          </w:p>
        </w:tc>
      </w:tr>
      <w:tr>
        <w:tc>
          <w:tcPr/>
          <w:p>
            <w:pPr>
              <w:pStyle w:val="Compact"/>
              <w:jc w:val="left"/>
            </w:pPr>
            <w:r>
              <w:t xml:space="preserve">Active-passive synergy (disaggregation)</w:t>
            </w:r>
          </w:p>
        </w:tc>
        <w:tc>
          <w:tcPr/>
          <w:p>
            <w:pPr>
              <w:pStyle w:val="Compact"/>
              <w:jc w:val="left"/>
            </w:pPr>
            <w:r>
              <w:t xml:space="preserve">Radiometer moisture downscaled by SAR texture</w:t>
            </w:r>
          </w:p>
        </w:tc>
        <w:tc>
          <w:tcPr/>
          <w:p>
            <w:pPr>
              <w:pStyle w:val="Compact"/>
              <w:jc w:val="left"/>
            </w:pPr>
            <w:r>
              <w:t xml:space="preserve">SMAP + Sentinel-1, SMAP/Sentinel-1 9 km product</w:t>
            </w:r>
          </w:p>
        </w:tc>
        <w:tc>
          <w:tcPr/>
          <w:p>
            <w:pPr>
              <w:pStyle w:val="Compact"/>
              <w:jc w:val="left"/>
            </w:pPr>
            <w:r>
              <w:t xml:space="preserve">~1–9 km</w:t>
            </w:r>
          </w:p>
        </w:tc>
        <w:tc>
          <w:tcPr/>
          <w:p>
            <w:pPr>
              <w:pStyle w:val="Compact"/>
              <w:jc w:val="left"/>
            </w:pPr>
            <w:r>
              <w:t xml:space="preserve">Complex processing chain, error propagation</w:t>
            </w:r>
          </w:p>
        </w:tc>
      </w:tr>
    </w:tbl>
    <w:p>
      <w:pPr>
        <w:pStyle w:val="Heading1"/>
      </w:pPr>
      <w:r>
        <w:t xml:space="preserve">Chapter 9. Satellite Missions for Agriculture and Meteorology</w:t>
      </w:r>
    </w:p>
    <w:p>
      <w:pPr>
        <w:pStyle w:val="Heading2"/>
      </w:pPr>
      <w:r>
        <w:t xml:space="preserve">9.1 Timeline of milestones</w:t>
      </w:r>
    </w:p>
    <w:tbl>
      <w:tblPr>
        <w:tblStyle w:val="Table"/>
        <w:tblW w:type="pct" w:w="4947"/>
        <w:jc w:val="left"/>
        <w:tblLook w:firstRow="1" w:lastRow="0" w:firstColumn="0" w:lastColumn="0" w:noHBand="0" w:noVBand="0" w:val="0020"/>
      </w:tblPr>
      <w:tblGrid>
        <w:gridCol w:w="625"/>
        <w:gridCol w:w="7211"/>
      </w:tblGrid>
      <w:tr>
        <w:trPr>
          <w:tblHeader w:val="true"/>
        </w:trPr>
        <w:tc>
          <w:tcPr/>
          <w:p>
            <w:pPr>
              <w:pStyle w:val="Compact"/>
              <w:jc w:val="left"/>
            </w:pPr>
            <w:r>
              <w:rPr>
                <w:bCs/>
                <w:b/>
              </w:rPr>
              <w:t xml:space="preserve">Year</w:t>
            </w:r>
          </w:p>
        </w:tc>
        <w:tc>
          <w:tcPr/>
          <w:p>
            <w:pPr>
              <w:pStyle w:val="Compact"/>
              <w:jc w:val="left"/>
            </w:pPr>
            <w:r>
              <w:rPr>
                <w:bCs/>
                <w:b/>
              </w:rPr>
              <w:t xml:space="preserve">Milestone</w:t>
            </w:r>
          </w:p>
        </w:tc>
      </w:tr>
      <w:tr>
        <w:tc>
          <w:tcPr/>
          <w:p>
            <w:pPr>
              <w:pStyle w:val="Compact"/>
              <w:jc w:val="left"/>
            </w:pPr>
            <w:r>
              <w:rPr>
                <w:bCs/>
                <w:b/>
              </w:rPr>
              <w:t xml:space="preserve">1970</w:t>
            </w:r>
          </w:p>
        </w:tc>
        <w:tc>
          <w:tcPr/>
          <w:p>
            <w:pPr>
              <w:pStyle w:val="Compact"/>
              <w:jc w:val="left"/>
            </w:pPr>
            <w:r>
              <w:rPr>
                <w:bCs/>
                <w:b/>
              </w:rPr>
              <w:t xml:space="preserve">First remote sensing experiment in India</w:t>
            </w:r>
            <w:r>
              <w:t xml:space="preserve">: detection of</w:t>
            </w:r>
            <w:r>
              <w:t xml:space="preserve"> </w:t>
            </w:r>
            <w:r>
              <w:rPr>
                <w:bCs/>
                <w:b/>
              </w:rPr>
              <w:t xml:space="preserve">coconut root-wilt disease</w:t>
            </w:r>
            <w:r>
              <w:t xml:space="preserve"> </w:t>
            </w:r>
            <w:r>
              <w:t xml:space="preserve">in Kerala using colour-infrared aerial photography (ISRO, Prof. P. R. Pisharoty).</w:t>
            </w:r>
          </w:p>
        </w:tc>
      </w:tr>
      <w:tr>
        <w:tc>
          <w:tcPr/>
          <w:p>
            <w:pPr>
              <w:pStyle w:val="Compact"/>
              <w:jc w:val="left"/>
            </w:pPr>
            <w:r>
              <w:rPr>
                <w:bCs/>
                <w:b/>
              </w:rPr>
              <w:t xml:space="preserve">1974–75</w:t>
            </w:r>
          </w:p>
        </w:tc>
        <w:tc>
          <w:tcPr/>
          <w:p>
            <w:pPr>
              <w:pStyle w:val="Compact"/>
              <w:jc w:val="left"/>
            </w:pPr>
            <w:r>
              <w:rPr>
                <w:bCs/>
                <w:b/>
              </w:rPr>
              <w:t xml:space="preserve">ARISE</w:t>
            </w:r>
            <w:r>
              <w:t xml:space="preserve"> </w:t>
            </w:r>
            <w:r>
              <w:t xml:space="preserve">(Agricultural Resources Inventory and Survey Experiment), ISRO–ICAR, at Patiala (Punjab) and Anantapur (Andhra Pradesh) using Landsat and aircraft data.</w:t>
            </w:r>
          </w:p>
        </w:tc>
      </w:tr>
      <w:tr>
        <w:tc>
          <w:tcPr/>
          <w:p>
            <w:pPr>
              <w:pStyle w:val="Compact"/>
              <w:jc w:val="left"/>
            </w:pPr>
            <w:r>
              <w:rPr>
                <w:bCs/>
                <w:b/>
              </w:rPr>
              <w:t xml:space="preserve">1975–76</w:t>
            </w:r>
          </w:p>
        </w:tc>
        <w:tc>
          <w:tcPr/>
          <w:p>
            <w:pPr>
              <w:pStyle w:val="Compact"/>
              <w:jc w:val="left"/>
            </w:pPr>
            <w:r>
              <w:rPr>
                <w:bCs/>
                <w:b/>
              </w:rPr>
              <w:t xml:space="preserve">SITE</w:t>
            </w:r>
            <w:r>
              <w:t xml:space="preserve"> </w:t>
            </w:r>
            <w:r>
              <w:t xml:space="preserve">(Satellite Instructional Television Experiment): agriculture, health and education programmes beamed to about 2,400 villages via NASA's ATS-6.</w:t>
            </w:r>
          </w:p>
        </w:tc>
      </w:tr>
      <w:tr>
        <w:tc>
          <w:tcPr/>
          <w:p>
            <w:pPr>
              <w:pStyle w:val="Compact"/>
              <w:jc w:val="left"/>
            </w:pPr>
            <w:r>
              <w:rPr>
                <w:bCs/>
                <w:b/>
              </w:rPr>
              <w:t xml:space="preserve">1979</w:t>
            </w:r>
          </w:p>
        </w:tc>
        <w:tc>
          <w:tcPr/>
          <w:p>
            <w:pPr>
              <w:pStyle w:val="Compact"/>
              <w:jc w:val="left"/>
            </w:pPr>
            <w:r>
              <w:t xml:space="preserve">Bhaskara-I: first Indian Earth observation satellite (TV cameras and SAMIR microwave radiometer).</w:t>
            </w:r>
          </w:p>
        </w:tc>
      </w:tr>
      <w:tr>
        <w:tc>
          <w:tcPr/>
          <w:p>
            <w:pPr>
              <w:pStyle w:val="Compact"/>
              <w:jc w:val="left"/>
            </w:pPr>
            <w:r>
              <w:rPr>
                <w:bCs/>
                <w:b/>
              </w:rPr>
              <w:t xml:space="preserve">1980s</w:t>
            </w:r>
          </w:p>
        </w:tc>
        <w:tc>
          <w:tcPr/>
          <w:p>
            <w:pPr>
              <w:pStyle w:val="Compact"/>
              <w:jc w:val="left"/>
            </w:pPr>
            <w:r>
              <w:rPr>
                <w:bCs/>
                <w:b/>
              </w:rPr>
              <w:t xml:space="preserve">CAPE</w:t>
            </w:r>
            <w:r>
              <w:t xml:space="preserve"> </w:t>
            </w:r>
            <w:r>
              <w:t xml:space="preserve">(Crop Acreage and Production Estimation) project begins (DOS and Ministry of Agriculture).</w:t>
            </w:r>
          </w:p>
        </w:tc>
      </w:tr>
      <w:tr>
        <w:tc>
          <w:tcPr/>
          <w:p>
            <w:pPr>
              <w:pStyle w:val="Compact"/>
              <w:jc w:val="left"/>
            </w:pPr>
            <w:r>
              <w:rPr>
                <w:bCs/>
                <w:b/>
              </w:rPr>
              <w:t xml:space="preserve">1988</w:t>
            </w:r>
          </w:p>
        </w:tc>
        <w:tc>
          <w:tcPr/>
          <w:p>
            <w:pPr>
              <w:pStyle w:val="Compact"/>
              <w:jc w:val="left"/>
            </w:pPr>
            <w:r>
              <w:rPr>
                <w:bCs/>
                <w:b/>
              </w:rPr>
              <w:t xml:space="preserve">IRS-1A</w:t>
            </w:r>
            <w:r>
              <w:t xml:space="preserve"> </w:t>
            </w:r>
            <w:r>
              <w:t xml:space="preserve">launched (LISS-I 72.5 m, LISS-II 36.25 m), the first operational Indian remote sensing satellite.</w:t>
            </w:r>
          </w:p>
        </w:tc>
      </w:tr>
      <w:tr>
        <w:tc>
          <w:tcPr/>
          <w:p>
            <w:pPr>
              <w:pStyle w:val="Compact"/>
              <w:jc w:val="left"/>
            </w:pPr>
            <w:r>
              <w:rPr>
                <w:bCs/>
                <w:b/>
              </w:rPr>
              <w:t xml:space="preserve">1989</w:t>
            </w:r>
          </w:p>
        </w:tc>
        <w:tc>
          <w:tcPr/>
          <w:p>
            <w:pPr>
              <w:pStyle w:val="Compact"/>
              <w:jc w:val="left"/>
            </w:pPr>
            <w:r>
              <w:rPr>
                <w:bCs/>
                <w:b/>
              </w:rPr>
              <w:t xml:space="preserve">NADAMS</w:t>
            </w:r>
            <w:r>
              <w:t xml:space="preserve"> </w:t>
            </w:r>
            <w:r>
              <w:t xml:space="preserve">(National Agricultural Drought Assessment and Monitoring System) started by NRSA (now NRSC).</w:t>
            </w:r>
          </w:p>
        </w:tc>
      </w:tr>
      <w:tr>
        <w:tc>
          <w:tcPr/>
          <w:p>
            <w:pPr>
              <w:pStyle w:val="Compact"/>
              <w:jc w:val="left"/>
            </w:pPr>
            <w:r>
              <w:rPr>
                <w:bCs/>
                <w:b/>
              </w:rPr>
              <w:t xml:space="preserve">1992</w:t>
            </w:r>
          </w:p>
        </w:tc>
        <w:tc>
          <w:tcPr/>
          <w:p>
            <w:pPr>
              <w:pStyle w:val="Compact"/>
              <w:jc w:val="left"/>
            </w:pPr>
            <w:r>
              <w:rPr>
                <w:bCs/>
                <w:b/>
              </w:rPr>
              <w:t xml:space="preserve">IMSD</w:t>
            </w:r>
            <w:r>
              <w:t xml:space="preserve"> </w:t>
            </w:r>
            <w:r>
              <w:t xml:space="preserve">(Integrated Mission for Sustainable Development): land and water action plans for drought-prone districts.</w:t>
            </w:r>
          </w:p>
        </w:tc>
      </w:tr>
      <w:tr>
        <w:tc>
          <w:tcPr/>
          <w:p>
            <w:pPr>
              <w:pStyle w:val="Compact"/>
              <w:jc w:val="left"/>
            </w:pPr>
            <w:r>
              <w:rPr>
                <w:bCs/>
                <w:b/>
              </w:rPr>
              <w:t xml:space="preserve">1995–97</w:t>
            </w:r>
          </w:p>
        </w:tc>
        <w:tc>
          <w:tcPr/>
          <w:p>
            <w:pPr>
              <w:pStyle w:val="Compact"/>
              <w:jc w:val="left"/>
            </w:pPr>
            <w:r>
              <w:t xml:space="preserve">IRS-1C/1D (PAN 5.8 m, LISS-III 23.5 m, WiFS 188 m) improve crop monitoring.</w:t>
            </w:r>
          </w:p>
        </w:tc>
      </w:tr>
      <w:tr>
        <w:tc>
          <w:tcPr/>
          <w:p>
            <w:pPr>
              <w:pStyle w:val="Compact"/>
              <w:jc w:val="left"/>
            </w:pPr>
            <w:r>
              <w:rPr>
                <w:bCs/>
                <w:b/>
              </w:rPr>
              <w:t xml:space="preserve">2002</w:t>
            </w:r>
          </w:p>
        </w:tc>
        <w:tc>
          <w:tcPr/>
          <w:p>
            <w:pPr>
              <w:pStyle w:val="Compact"/>
              <w:jc w:val="left"/>
            </w:pPr>
            <w:r>
              <w:t xml:space="preserve">Kalpana-1 (geostationary VHRR) used for insolation, LST and evapotranspiration studies.</w:t>
            </w:r>
          </w:p>
        </w:tc>
      </w:tr>
      <w:tr>
        <w:tc>
          <w:tcPr/>
          <w:p>
            <w:pPr>
              <w:pStyle w:val="Compact"/>
              <w:jc w:val="left"/>
            </w:pPr>
            <w:r>
              <w:rPr>
                <w:bCs/>
                <w:b/>
              </w:rPr>
              <w:t xml:space="preserve">2003</w:t>
            </w:r>
          </w:p>
        </w:tc>
        <w:tc>
          <w:tcPr/>
          <w:p>
            <w:pPr>
              <w:pStyle w:val="Compact"/>
              <w:jc w:val="left"/>
            </w:pPr>
            <w:r>
              <w:rPr>
                <w:bCs/>
                <w:b/>
              </w:rPr>
              <w:t xml:space="preserve">Resourcesat-1</w:t>
            </w:r>
            <w:r>
              <w:t xml:space="preserve"> </w:t>
            </w:r>
            <w:r>
              <w:t xml:space="preserve">(AWiFS 56 m, LISS-III, LISS-IV), the backbone sensor for crop monitoring.</w:t>
            </w:r>
          </w:p>
        </w:tc>
      </w:tr>
      <w:tr>
        <w:tc>
          <w:tcPr/>
          <w:p>
            <w:pPr>
              <w:pStyle w:val="Compact"/>
              <w:jc w:val="left"/>
            </w:pPr>
            <w:r>
              <w:rPr>
                <w:bCs/>
                <w:b/>
              </w:rPr>
              <w:t xml:space="preserve">2004</w:t>
            </w:r>
          </w:p>
        </w:tc>
        <w:tc>
          <w:tcPr/>
          <w:p>
            <w:pPr>
              <w:pStyle w:val="Compact"/>
              <w:jc w:val="left"/>
            </w:pPr>
            <w:r>
              <w:t xml:space="preserve">Village Resource Centres (VRCs) launched for tele-agriculture advisories.</w:t>
            </w:r>
          </w:p>
        </w:tc>
      </w:tr>
      <w:tr>
        <w:tc>
          <w:tcPr/>
          <w:p>
            <w:pPr>
              <w:pStyle w:val="Compact"/>
              <w:jc w:val="left"/>
            </w:pPr>
            <w:r>
              <w:rPr>
                <w:bCs/>
                <w:b/>
              </w:rPr>
              <w:t xml:space="preserve">2006–07</w:t>
            </w:r>
          </w:p>
        </w:tc>
        <w:tc>
          <w:tcPr/>
          <w:p>
            <w:pPr>
              <w:pStyle w:val="Compact"/>
              <w:jc w:val="left"/>
            </w:pPr>
            <w:r>
              <w:rPr>
                <w:bCs/>
                <w:b/>
              </w:rPr>
              <w:t xml:space="preserve">FASAL</w:t>
            </w:r>
            <w:r>
              <w:t xml:space="preserve"> </w:t>
            </w:r>
            <w:r>
              <w:t xml:space="preserve">concept launched by the Ministry of Agriculture, with SAC as technical lead.</w:t>
            </w:r>
          </w:p>
        </w:tc>
      </w:tr>
      <w:tr>
        <w:tc>
          <w:tcPr/>
          <w:p>
            <w:pPr>
              <w:pStyle w:val="Compact"/>
              <w:jc w:val="left"/>
            </w:pPr>
            <w:r>
              <w:rPr>
                <w:bCs/>
                <w:b/>
              </w:rPr>
              <w:t xml:space="preserve">2011</w:t>
            </w:r>
          </w:p>
        </w:tc>
        <w:tc>
          <w:tcPr/>
          <w:p>
            <w:pPr>
              <w:pStyle w:val="Compact"/>
              <w:jc w:val="left"/>
            </w:pPr>
            <w:r>
              <w:t xml:space="preserve">Resourcesat-2 and Megha-Tropiques (ISRO–CNES rainfall mission).</w:t>
            </w:r>
          </w:p>
        </w:tc>
      </w:tr>
      <w:tr>
        <w:tc>
          <w:tcPr/>
          <w:p>
            <w:pPr>
              <w:pStyle w:val="Compact"/>
              <w:jc w:val="left"/>
            </w:pPr>
            <w:r>
              <w:rPr>
                <w:bCs/>
                <w:b/>
              </w:rPr>
              <w:t xml:space="preserve">2012</w:t>
            </w:r>
          </w:p>
        </w:tc>
        <w:tc>
          <w:tcPr/>
          <w:p>
            <w:pPr>
              <w:pStyle w:val="Compact"/>
              <w:jc w:val="left"/>
            </w:pPr>
            <w:r>
              <w:rPr>
                <w:bCs/>
                <w:b/>
              </w:rPr>
              <w:t xml:space="preserve">RISAT-1</w:t>
            </w:r>
            <w:r>
              <w:t xml:space="preserve"> </w:t>
            </w:r>
            <w:r>
              <w:t xml:space="preserve">(C-band SAR) for kharif rice under monsoon clouds;</w:t>
            </w:r>
            <w:r>
              <w:t xml:space="preserve"> </w:t>
            </w:r>
            <w:r>
              <w:rPr>
                <w:bCs/>
                <w:b/>
              </w:rPr>
              <w:t xml:space="preserve">MNCFC</w:t>
            </w:r>
            <w:r>
              <w:t xml:space="preserve"> </w:t>
            </w:r>
            <w:r>
              <w:t xml:space="preserve">established.</w:t>
            </w:r>
          </w:p>
        </w:tc>
      </w:tr>
      <w:tr>
        <w:tc>
          <w:tcPr/>
          <w:p>
            <w:pPr>
              <w:pStyle w:val="Compact"/>
              <w:jc w:val="left"/>
            </w:pPr>
            <w:r>
              <w:rPr>
                <w:bCs/>
                <w:b/>
              </w:rPr>
              <w:t xml:space="preserve">2013</w:t>
            </w:r>
          </w:p>
        </w:tc>
        <w:tc>
          <w:tcPr/>
          <w:p>
            <w:pPr>
              <w:pStyle w:val="Compact"/>
              <w:jc w:val="left"/>
            </w:pPr>
            <w:r>
              <w:t xml:space="preserve">INSAT-3D: insolation, LST, rainfall products for agromet.</w:t>
            </w:r>
          </w:p>
        </w:tc>
      </w:tr>
      <w:tr>
        <w:tc>
          <w:tcPr/>
          <w:p>
            <w:pPr>
              <w:pStyle w:val="Compact"/>
              <w:jc w:val="left"/>
            </w:pPr>
            <w:r>
              <w:rPr>
                <w:bCs/>
                <w:b/>
              </w:rPr>
              <w:t xml:space="preserve">2014</w:t>
            </w:r>
          </w:p>
        </w:tc>
        <w:tc>
          <w:tcPr/>
          <w:p>
            <w:pPr>
              <w:pStyle w:val="Compact"/>
              <w:jc w:val="left"/>
            </w:pPr>
            <w:r>
              <w:rPr>
                <w:bCs/>
                <w:b/>
              </w:rPr>
              <w:t xml:space="preserve">CHAMAN</w:t>
            </w:r>
            <w:r>
              <w:t xml:space="preserve"> </w:t>
            </w:r>
            <w:r>
              <w:t xml:space="preserve">horticulture programme.</w:t>
            </w:r>
          </w:p>
        </w:tc>
      </w:tr>
      <w:tr>
        <w:tc>
          <w:tcPr/>
          <w:p>
            <w:pPr>
              <w:pStyle w:val="Compact"/>
              <w:jc w:val="left"/>
            </w:pPr>
            <w:r>
              <w:rPr>
                <w:bCs/>
                <w:b/>
              </w:rPr>
              <w:t xml:space="preserve">2015</w:t>
            </w:r>
          </w:p>
        </w:tc>
        <w:tc>
          <w:tcPr/>
          <w:p>
            <w:pPr>
              <w:pStyle w:val="Compact"/>
              <w:jc w:val="left"/>
            </w:pPr>
            <w:r>
              <w:rPr>
                <w:bCs/>
                <w:b/>
              </w:rPr>
              <w:t xml:space="preserve">KISAN</w:t>
            </w:r>
            <w:r>
              <w:t xml:space="preserve"> </w:t>
            </w:r>
            <w:r>
              <w:t xml:space="preserve">pilot (crop insurance using space technology); ISRO–NASA AVIRIS-NG hyperspectral airborne campaign.</w:t>
            </w:r>
          </w:p>
        </w:tc>
      </w:tr>
      <w:tr>
        <w:tc>
          <w:tcPr/>
          <w:p>
            <w:pPr>
              <w:pStyle w:val="Compact"/>
              <w:jc w:val="left"/>
            </w:pPr>
            <w:r>
              <w:rPr>
                <w:bCs/>
                <w:b/>
              </w:rPr>
              <w:t xml:space="preserve">2016</w:t>
            </w:r>
          </w:p>
        </w:tc>
        <w:tc>
          <w:tcPr/>
          <w:p>
            <w:pPr>
              <w:pStyle w:val="Compact"/>
              <w:jc w:val="left"/>
            </w:pPr>
            <w:r>
              <w:rPr>
                <w:bCs/>
                <w:b/>
              </w:rPr>
              <w:t xml:space="preserve">PMFBY</w:t>
            </w:r>
            <w:r>
              <w:t xml:space="preserve"> </w:t>
            </w:r>
            <w:r>
              <w:t xml:space="preserve">crop insurance launched; Resourcesat-2A; SCATSAT-1 scatterometer; INSAT-3DR; Geo-MGNREGA geotagging.</w:t>
            </w:r>
          </w:p>
        </w:tc>
      </w:tr>
      <w:tr>
        <w:tc>
          <w:tcPr/>
          <w:p>
            <w:pPr>
              <w:pStyle w:val="Compact"/>
              <w:jc w:val="left"/>
            </w:pPr>
            <w:r>
              <w:rPr>
                <w:bCs/>
                <w:b/>
              </w:rPr>
              <w:t xml:space="preserve">2018</w:t>
            </w:r>
          </w:p>
        </w:tc>
        <w:tc>
          <w:tcPr/>
          <w:p>
            <w:pPr>
              <w:pStyle w:val="Compact"/>
              <w:jc w:val="left"/>
            </w:pPr>
            <w:r>
              <w:rPr>
                <w:bCs/>
                <w:b/>
              </w:rPr>
              <w:t xml:space="preserve">HySIS</w:t>
            </w:r>
            <w:r>
              <w:t xml:space="preserve"> </w:t>
            </w:r>
            <w:r>
              <w:t xml:space="preserve">hyperspectral imaging satellite.</w:t>
            </w:r>
          </w:p>
        </w:tc>
      </w:tr>
      <w:tr>
        <w:tc>
          <w:tcPr/>
          <w:p>
            <w:pPr>
              <w:pStyle w:val="Compact"/>
              <w:jc w:val="left"/>
            </w:pPr>
            <w:r>
              <w:rPr>
                <w:bCs/>
                <w:b/>
              </w:rPr>
              <w:t xml:space="preserve">2022</w:t>
            </w:r>
          </w:p>
        </w:tc>
        <w:tc>
          <w:tcPr/>
          <w:p>
            <w:pPr>
              <w:pStyle w:val="Compact"/>
              <w:jc w:val="left"/>
            </w:pPr>
            <w:r>
              <w:rPr>
                <w:bCs/>
                <w:b/>
              </w:rPr>
              <w:t xml:space="preserve">EOS-04</w:t>
            </w:r>
            <w:r>
              <w:t xml:space="preserve"> </w:t>
            </w:r>
            <w:r>
              <w:t xml:space="preserve">(RISAT-1A, C-band SAR); EOS-06 (Oceansat-3).</w:t>
            </w:r>
          </w:p>
        </w:tc>
      </w:tr>
      <w:tr>
        <w:tc>
          <w:tcPr/>
          <w:p>
            <w:pPr>
              <w:pStyle w:val="Compact"/>
              <w:jc w:val="left"/>
            </w:pPr>
            <w:r>
              <w:rPr>
                <w:bCs/>
                <w:b/>
              </w:rPr>
              <w:t xml:space="preserve">2023</w:t>
            </w:r>
          </w:p>
        </w:tc>
        <w:tc>
          <w:tcPr/>
          <w:p>
            <w:pPr>
              <w:pStyle w:val="Compact"/>
              <w:jc w:val="left"/>
            </w:pPr>
            <w:r>
              <w:rPr>
                <w:bCs/>
                <w:b/>
              </w:rPr>
              <w:t xml:space="preserve">YES-TECH</w:t>
            </w:r>
            <w:r>
              <w:t xml:space="preserve"> </w:t>
            </w:r>
            <w:r>
              <w:t xml:space="preserve">(technology-based yield estimation for PMFBY).</w:t>
            </w:r>
          </w:p>
        </w:tc>
      </w:tr>
      <w:tr>
        <w:tc>
          <w:tcPr/>
          <w:p>
            <w:pPr>
              <w:pStyle w:val="Compact"/>
              <w:jc w:val="left"/>
            </w:pPr>
            <w:r>
              <w:rPr>
                <w:bCs/>
                <w:b/>
              </w:rPr>
              <w:t xml:space="preserve">2024</w:t>
            </w:r>
          </w:p>
        </w:tc>
        <w:tc>
          <w:tcPr/>
          <w:p>
            <w:pPr>
              <w:pStyle w:val="Compact"/>
              <w:jc w:val="left"/>
            </w:pPr>
            <w:r>
              <w:t xml:space="preserve">INSAT-3DS; EOS-08 with GNSS-R (soil moisture);</w:t>
            </w:r>
            <w:r>
              <w:t xml:space="preserve"> </w:t>
            </w:r>
            <w:r>
              <w:rPr>
                <w:bCs/>
                <w:b/>
              </w:rPr>
              <w:t xml:space="preserve">Krishi-DSS</w:t>
            </w:r>
            <w:r>
              <w:t xml:space="preserve"> </w:t>
            </w:r>
            <w:r>
              <w:t xml:space="preserve">geospatial decision support platform.</w:t>
            </w:r>
          </w:p>
        </w:tc>
      </w:tr>
      <w:tr>
        <w:tc>
          <w:tcPr/>
          <w:p>
            <w:pPr>
              <w:pStyle w:val="Compact"/>
              <w:jc w:val="left"/>
            </w:pPr>
            <w:r>
              <w:rPr>
                <w:bCs/>
                <w:b/>
              </w:rPr>
              <w:t xml:space="preserve">2025</w:t>
            </w:r>
          </w:p>
        </w:tc>
        <w:tc>
          <w:tcPr/>
          <w:p>
            <w:pPr>
              <w:pStyle w:val="Compact"/>
              <w:jc w:val="left"/>
            </w:pPr>
            <w:r>
              <w:rPr>
                <w:bCs/>
                <w:b/>
              </w:rPr>
              <w:t xml:space="preserve">NISAR</w:t>
            </w:r>
            <w:r>
              <w:t xml:space="preserve"> </w:t>
            </w:r>
            <w:r>
              <w:t xml:space="preserve">(NASA–ISRO L- and S-band SAR) launched on GSLV-F16, 30 July 2025.</w:t>
            </w:r>
          </w:p>
        </w:tc>
      </w:tr>
      <w:tr>
        <w:tc>
          <w:tcPr/>
          <w:p>
            <w:pPr>
              <w:pStyle w:val="Compact"/>
              <w:jc w:val="left"/>
            </w:pPr>
            <w:r>
              <w:rPr>
                <w:bCs/>
                <w:b/>
              </w:rPr>
              <w:t xml:space="preserve">Upcoming</w:t>
            </w:r>
          </w:p>
        </w:tc>
        <w:tc>
          <w:tcPr/>
          <w:p>
            <w:pPr>
              <w:pStyle w:val="Compact"/>
              <w:jc w:val="left"/>
            </w:pPr>
            <w:r>
              <w:rPr>
                <w:bCs/>
                <w:b/>
              </w:rPr>
              <w:t xml:space="preserve">TRISHNA</w:t>
            </w:r>
            <w:r>
              <w:t xml:space="preserve"> </w:t>
            </w:r>
            <w:r>
              <w:t xml:space="preserve">(ISRO–CNES high-resolution thermal infrared mission) for evapotranspiration and crop water stress.</w:t>
            </w:r>
          </w:p>
        </w:tc>
      </w:tr>
    </w:tbl>
    <w:p>
      <w:pPr>
        <w:pStyle w:val="Heading2"/>
      </w:pPr>
      <w:r>
        <w:t xml:space="preserve">9.2 Introduction and Scope</w:t>
      </w:r>
    </w:p>
    <w:p>
      <w:pPr>
        <w:pStyle w:val="FirstParagraph"/>
      </w:pPr>
      <w:r>
        <w:t xml:space="preserve">Agricultural remote sensing draws on a chain of satellite assets spanning optical multispectral, hyperspectral, thermal infrared, microwave (SAR and scatterometer), and geostationary meteorological sensors. India’s Department of Space (DOS)/ISRO has built one of the most agriculture-relevant Earth Observation (EO) constellations in the world, purpose-built around the operational needs of crop acreage estimation, yield forecasting, drought and flood monitoring, irrigation command area mapping, and agromet advisories delivered through programmes such as FASAL (Forecasting Agricultural output using Space, Agrometeorology and Land based observations), CHAMAN (horticulture), and the National Agricultural Drought Assessment and Monitoring System (NADAMS). This chapter surveys the ISRO EO programme’s evolution, the sensor-level specifications of missions most relevant to crop monitoring, and complementary international assets used alongside ISRO data.</w:t>
      </w:r>
    </w:p>
    <w:p>
      <w:pPr>
        <w:pStyle w:val="Heading2"/>
      </w:pPr>
      <w:r>
        <w:t xml:space="preserve">9.3 ISRO/DOS Earth Observation Programme: Evolution</w:t>
      </w:r>
    </w:p>
    <w:p>
      <w:pPr>
        <w:pStyle w:val="FirstParagraph"/>
      </w:pPr>
      <w:r>
        <w:t xml:space="preserve">India’s EO programme began with two experimental satellites,</w:t>
      </w:r>
      <w:r>
        <w:t xml:space="preserve"> </w:t>
      </w:r>
      <w:r>
        <w:rPr>
          <w:bCs/>
          <w:b/>
        </w:rPr>
        <w:t xml:space="preserve">Bhaskara-1 (1979)</w:t>
      </w:r>
      <w:r>
        <w:t xml:space="preserve"> </w:t>
      </w:r>
      <w:r>
        <w:t xml:space="preserve">and</w:t>
      </w:r>
      <w:r>
        <w:t xml:space="preserve"> </w:t>
      </w:r>
      <w:r>
        <w:rPr>
          <w:bCs/>
          <w:b/>
        </w:rPr>
        <w:t xml:space="preserve">Bhaskara-2 (1981)</w:t>
      </w:r>
      <w:r>
        <w:t xml:space="preserve">, carrying television and microwave radiometer payloads used to demonstrate hydrology, forestry, and oceanography applications. The operational era began with the</w:t>
      </w:r>
      <w:r>
        <w:t xml:space="preserve"> </w:t>
      </w:r>
      <w:r>
        <w:rPr>
          <w:bCs/>
          <w:b/>
        </w:rPr>
        <w:t xml:space="preserve">Indian Remote Sensing (IRS) series</w:t>
      </w:r>
      <w:r>
        <w:t xml:space="preserve">, starting with</w:t>
      </w:r>
      <w:r>
        <w:t xml:space="preserve"> </w:t>
      </w:r>
      <w:r>
        <w:rPr>
          <w:bCs/>
          <w:b/>
        </w:rPr>
        <w:t xml:space="preserve">IRS-1A (1988)</w:t>
      </w:r>
      <w:r>
        <w:t xml:space="preserve">, which carried the LISS-I and LISS-II sensors (72.5 m and 36.25 m resolution respectively) and established India’s civilian land-observation capability. IRS-1B (1991), IRS-1C (1995) and IRS-1D (1997) progressively improved resolution and added panchromatic imaging (5.8 m PAN on IRS-1C/1D) and the first Wide Field Sensor (WiFS, 188 m, 5-day repeat) for vegetation and crop-condition monitoring at a national scale.</w:t>
      </w:r>
    </w:p>
    <w:p>
      <w:pPr>
        <w:pStyle w:val="BodyText"/>
      </w:pPr>
      <w:r>
        <w:t xml:space="preserve">The 2000s saw diversification into thematic constellations: -</w:t>
      </w:r>
      <w:r>
        <w:t xml:space="preserve"> </w:t>
      </w:r>
      <w:r>
        <w:rPr>
          <w:bCs/>
          <w:b/>
        </w:rPr>
        <w:t xml:space="preserve">Resourcesat-1 (2003)</w:t>
      </w:r>
      <w:r>
        <w:t xml:space="preserve"> </w:t>
      </w:r>
      <w:r>
        <w:t xml:space="preserve">— dedicated agriculture/land-resources satellite carrying LISS-III, LISS-IV, and AWiFS. -</w:t>
      </w:r>
      <w:r>
        <w:t xml:space="preserve"> </w:t>
      </w:r>
      <w:r>
        <w:rPr>
          <w:bCs/>
          <w:b/>
        </w:rPr>
        <w:t xml:space="preserve">Cartosat-1 (2005)</w:t>
      </w:r>
      <w:r>
        <w:t xml:space="preserve"> </w:t>
      </w:r>
      <w:r>
        <w:t xml:space="preserve">and</w:t>
      </w:r>
      <w:r>
        <w:t xml:space="preserve"> </w:t>
      </w:r>
      <w:r>
        <w:rPr>
          <w:bCs/>
          <w:b/>
        </w:rPr>
        <w:t xml:space="preserve">Cartosat-2 series (2007 onward)</w:t>
      </w:r>
      <w:r>
        <w:t xml:space="preserve"> </w:t>
      </w:r>
      <w:r>
        <w:t xml:space="preserve">— high-resolution stereo/panchromatic mapping satellites. -</w:t>
      </w:r>
      <w:r>
        <w:t xml:space="preserve"> </w:t>
      </w:r>
      <w:r>
        <w:rPr>
          <w:bCs/>
          <w:b/>
        </w:rPr>
        <w:t xml:space="preserve">Oceansat-1 (1999) and Oceansat-2 (2009)</w:t>
      </w:r>
      <w:r>
        <w:t xml:space="preserve"> </w:t>
      </w:r>
      <w:r>
        <w:t xml:space="preserve">— ocean color and scatterometer missions with vegetation-monitoring spinoffs. -</w:t>
      </w:r>
      <w:r>
        <w:t xml:space="preserve"> </w:t>
      </w:r>
      <w:r>
        <w:rPr>
          <w:bCs/>
          <w:b/>
        </w:rPr>
        <w:t xml:space="preserve">RISAT-2 (2009)</w:t>
      </w:r>
      <w:r>
        <w:t xml:space="preserve"> </w:t>
      </w:r>
      <w:r>
        <w:t xml:space="preserve">and</w:t>
      </w:r>
      <w:r>
        <w:t xml:space="preserve"> </w:t>
      </w:r>
      <w:r>
        <w:rPr>
          <w:bCs/>
          <w:b/>
        </w:rPr>
        <w:t xml:space="preserve">RISAT-1 (2012)</w:t>
      </w:r>
      <w:r>
        <w:t xml:space="preserve"> </w:t>
      </w:r>
      <w:r>
        <w:t xml:space="preserve">— India’s first operational SAR satellites (X-band and C-band respectively), enabling all-weather crop and flood monitoring. -</w:t>
      </w:r>
      <w:r>
        <w:t xml:space="preserve"> </w:t>
      </w:r>
      <w:r>
        <w:rPr>
          <w:bCs/>
          <w:b/>
        </w:rPr>
        <w:t xml:space="preserve">INSAT-3D (2013) and INSAT-3DR (2016)</w:t>
      </w:r>
      <w:r>
        <w:t xml:space="preserve"> </w:t>
      </w:r>
      <w:r>
        <w:t xml:space="preserve">— geostationary meteorological satellites feeding agromet models. -</w:t>
      </w:r>
      <w:r>
        <w:t xml:space="preserve"> </w:t>
      </w:r>
      <w:r>
        <w:rPr>
          <w:bCs/>
          <w:b/>
        </w:rPr>
        <w:t xml:space="preserve">Resourcesat-2 (2011) and Resourcesat-2A (2016)</w:t>
      </w:r>
      <w:r>
        <w:t xml:space="preserve"> </w:t>
      </w:r>
      <w:r>
        <w:t xml:space="preserve">— continuity of the LISS/AWiFS payloads. -</w:t>
      </w:r>
      <w:r>
        <w:t xml:space="preserve"> </w:t>
      </w:r>
      <w:r>
        <w:rPr>
          <w:bCs/>
          <w:b/>
        </w:rPr>
        <w:t xml:space="preserve">HysIS (2018)</w:t>
      </w:r>
      <w:r>
        <w:t xml:space="preserve"> </w:t>
      </w:r>
      <w:r>
        <w:t xml:space="preserve">— India’s first dedicated hyperspectral imaging satellite.</w:t>
      </w:r>
    </w:p>
    <w:p>
      <w:pPr>
        <w:pStyle w:val="BodyText"/>
      </w:pPr>
      <w:r>
        <w:t xml:space="preserve">From 2020 onward, ISRO adopted a unified naming convention, designating new Earth observation satellites as</w:t>
      </w:r>
      <w:r>
        <w:t xml:space="preserve"> </w:t>
      </w:r>
      <w:r>
        <w:rPr>
          <w:bCs/>
          <w:b/>
        </w:rPr>
        <w:t xml:space="preserve">EOS</w:t>
      </w:r>
      <w:r>
        <w:t xml:space="preserve"> </w:t>
      </w:r>
      <w:r>
        <w:t xml:space="preserve">(Earth Observation Satellite) regardless of application heritage — e.g.,</w:t>
      </w:r>
      <w:r>
        <w:t xml:space="preserve"> </w:t>
      </w:r>
      <w:r>
        <w:rPr>
          <w:bCs/>
          <w:b/>
        </w:rPr>
        <w:t xml:space="preserve">EOS-01 (2020)</w:t>
      </w:r>
      <w:r>
        <w:t xml:space="preserve">, a SAR satellite continuing RISAT-2A-class capability;</w:t>
      </w:r>
      <w:r>
        <w:t xml:space="preserve"> </w:t>
      </w:r>
      <w:r>
        <w:rPr>
          <w:bCs/>
          <w:b/>
        </w:rPr>
        <w:t xml:space="preserve">EOS-04 (2022)</w:t>
      </w:r>
      <w:r>
        <w:t xml:space="preserve">, functionally RISAT-1A, a C-band SAR satellite;</w:t>
      </w:r>
      <w:r>
        <w:t xml:space="preserve"> </w:t>
      </w:r>
      <w:r>
        <w:rPr>
          <w:bCs/>
          <w:b/>
        </w:rPr>
        <w:t xml:space="preserve">EOS-06 (2022)</w:t>
      </w:r>
      <w:r>
        <w:t xml:space="preserve">, functionally Oceansat-3; and</w:t>
      </w:r>
      <w:r>
        <w:t xml:space="preserve"> </w:t>
      </w:r>
      <w:r>
        <w:rPr>
          <w:bCs/>
          <w:b/>
        </w:rPr>
        <w:t xml:space="preserve">EOS-05</w:t>
      </w:r>
      <w:r>
        <w:t xml:space="preserve"> </w:t>
      </w:r>
      <w:r>
        <w:t xml:space="preserve">and</w:t>
      </w:r>
      <w:r>
        <w:t xml:space="preserve"> </w:t>
      </w:r>
      <w:r>
        <w:rPr>
          <w:bCs/>
          <w:b/>
        </w:rPr>
        <w:t xml:space="preserve">EOS-08/09</w:t>
      </w:r>
      <w:r>
        <w:t xml:space="preserve"> </w:t>
      </w:r>
      <w:r>
        <w:t xml:space="preserve">representing further payload classes. This reflects a shift toward an integrated, continuously replenished EO constellation rather than discrete named series, though legacy names (Resourcesat, Cartosat, RISAT, Oceansat) remain in common technical use. Upcoming missions extend this into new frequency/spectral domains not previously exploited operationally by India — L/S-band SAR (NISAR), high-resolution thermal infrared (TRISHNA), and geostationary high-resolution imaging (GISAT-1A) — directly targeting gaps in irrigation/water-stress monitoring and near-real-time disaster and crop-condition observation.</w:t>
      </w:r>
    </w:p>
    <w:p>
      <w:pPr>
        <w:pStyle w:val="Heading2"/>
      </w:pPr>
      <w:r>
        <w:t xml:space="preserve">9.4 Resourcesat Series: LISS-III, LISS-IV, AWiFS</w:t>
      </w:r>
    </w:p>
    <w:p>
      <w:pPr>
        <w:pStyle w:val="FirstParagraph"/>
      </w:pPr>
      <w:r>
        <w:t xml:space="preserve">The Resourcesat series (Resourcesat-1 launched 2003, Resourcesat-2 launched</w:t>
      </w:r>
      <w:r>
        <w:t xml:space="preserve"> </w:t>
      </w:r>
      <w:r>
        <w:rPr>
          <w:bCs/>
          <w:b/>
        </w:rPr>
        <w:t xml:space="preserve">20 April 2011</w:t>
      </w:r>
      <w:r>
        <w:t xml:space="preserve">, Resourcesat-2A launched</w:t>
      </w:r>
      <w:r>
        <w:t xml:space="preserve"> </w:t>
      </w:r>
      <w:r>
        <w:rPr>
          <w:bCs/>
          <w:b/>
        </w:rPr>
        <w:t xml:space="preserve">7 December 2016</w:t>
      </w:r>
      <w:r>
        <w:t xml:space="preserve">) is the backbone of India’s operational agricultural remote sensing programme, flying in a sun-synchronous orbit at approximately 817 km altitude, 98.78° inclination. Each satellite carries three sensors tuned to different agricultural application scales, and the three-satellite constellation has been used to shorten effective revisit intervals for time-critical crop-growth-stage monitoring.</w:t>
      </w:r>
    </w:p>
    <w:p>
      <w:pPr>
        <w:pStyle w:val="Heading3"/>
      </w:pPr>
      <w:r>
        <w:t xml:space="preserve">9.4.1 AWiFS (Advanced Wide Field Sensor)</w:t>
      </w:r>
    </w:p>
    <w:p>
      <w:pPr>
        <w:pStyle w:val="Compact"/>
        <w:numPr>
          <w:ilvl w:val="0"/>
          <w:numId w:val="1053"/>
        </w:numPr>
      </w:pPr>
      <w:r>
        <w:rPr>
          <w:bCs/>
          <w:b/>
        </w:rPr>
        <w:t xml:space="preserve">Spatial resolution:</w:t>
      </w:r>
      <w:r>
        <w:t xml:space="preserve"> </w:t>
      </w:r>
      <w:r>
        <w:t xml:space="preserve">56 m at nadir (~70 m at swath edge)</w:t>
      </w:r>
    </w:p>
    <w:p>
      <w:pPr>
        <w:pStyle w:val="Compact"/>
        <w:numPr>
          <w:ilvl w:val="0"/>
          <w:numId w:val="1053"/>
        </w:numPr>
      </w:pPr>
      <w:r>
        <w:rPr>
          <w:bCs/>
          <w:b/>
        </w:rPr>
        <w:t xml:space="preserve">Swath:</w:t>
      </w:r>
      <w:r>
        <w:t xml:space="preserve"> </w:t>
      </w:r>
      <w:r>
        <w:t xml:space="preserve">740 km</w:t>
      </w:r>
    </w:p>
    <w:p>
      <w:pPr>
        <w:pStyle w:val="Compact"/>
        <w:numPr>
          <w:ilvl w:val="0"/>
          <w:numId w:val="1053"/>
        </w:numPr>
      </w:pPr>
      <w:r>
        <w:rPr>
          <w:bCs/>
          <w:b/>
        </w:rPr>
        <w:t xml:space="preserve">Spectral bands:</w:t>
      </w:r>
      <w:r>
        <w:t xml:space="preserve"> </w:t>
      </w:r>
      <w:r>
        <w:t xml:space="preserve">3 — Red (0.62–0.68 µm), NIR (0.77–0.86 µm), SWIR (1.55–1.70 µm) — plus a Green band in some configurations</w:t>
      </w:r>
    </w:p>
    <w:p>
      <w:pPr>
        <w:pStyle w:val="Compact"/>
        <w:numPr>
          <w:ilvl w:val="0"/>
          <w:numId w:val="1053"/>
        </w:numPr>
      </w:pPr>
      <w:r>
        <w:rPr>
          <w:bCs/>
          <w:b/>
        </w:rPr>
        <w:t xml:space="preserve">Revisit:</w:t>
      </w:r>
      <w:r>
        <w:t xml:space="preserve"> </w:t>
      </w:r>
      <w:r>
        <w:t xml:space="preserve">5 days (single satellite); effectively 2–3 days when the Resourcesat constellation is combined</w:t>
      </w:r>
    </w:p>
    <w:p>
      <w:pPr>
        <w:pStyle w:val="Compact"/>
        <w:numPr>
          <w:ilvl w:val="0"/>
          <w:numId w:val="1053"/>
        </w:numPr>
      </w:pPr>
      <w:r>
        <w:rPr>
          <w:bCs/>
          <w:b/>
        </w:rPr>
        <w:t xml:space="preserve">Agricultural application:</w:t>
      </w:r>
      <w:r>
        <w:t xml:space="preserve"> </w:t>
      </w:r>
      <w:r>
        <w:t xml:space="preserve">Because of its very wide swath, AWiFS is the primary sensor for synoptic, near-real-time crop acreage and condition monitoring at state/national scale under FASAL — generating NDVI/vegetation-condition time series for wheat, rice, and other major crops, drought monitoring under NADAMS, and large-area crop-type discrimination where LISS-class fine resolution is not operationally feasible due to data-volume and cost constraints.</w:t>
      </w:r>
    </w:p>
    <w:p>
      <w:pPr>
        <w:pStyle w:val="Heading3"/>
      </w:pPr>
      <w:r>
        <w:t xml:space="preserve">9.4.2 LISS-III (Linear Imaging Self-Scanning Sensor-III)</w:t>
      </w:r>
    </w:p>
    <w:p>
      <w:pPr>
        <w:pStyle w:val="Compact"/>
        <w:numPr>
          <w:ilvl w:val="0"/>
          <w:numId w:val="1054"/>
        </w:numPr>
      </w:pPr>
      <w:r>
        <w:rPr>
          <w:bCs/>
          <w:b/>
        </w:rPr>
        <w:t xml:space="preserve">Spatial resolution:</w:t>
      </w:r>
      <w:r>
        <w:t xml:space="preserve"> </w:t>
      </w:r>
      <w:r>
        <w:t xml:space="preserve">23.5 m</w:t>
      </w:r>
    </w:p>
    <w:p>
      <w:pPr>
        <w:pStyle w:val="Compact"/>
        <w:numPr>
          <w:ilvl w:val="0"/>
          <w:numId w:val="1054"/>
        </w:numPr>
      </w:pPr>
      <w:r>
        <w:rPr>
          <w:bCs/>
          <w:b/>
        </w:rPr>
        <w:t xml:space="preserve">Swath:</w:t>
      </w:r>
      <w:r>
        <w:t xml:space="preserve"> </w:t>
      </w:r>
      <w:r>
        <w:t xml:space="preserve">141 km</w:t>
      </w:r>
    </w:p>
    <w:p>
      <w:pPr>
        <w:pStyle w:val="Compact"/>
        <w:numPr>
          <w:ilvl w:val="0"/>
          <w:numId w:val="1054"/>
        </w:numPr>
      </w:pPr>
      <w:r>
        <w:rPr>
          <w:bCs/>
          <w:b/>
        </w:rPr>
        <w:t xml:space="preserve">Spectral bands:</w:t>
      </w:r>
      <w:r>
        <w:t xml:space="preserve"> </w:t>
      </w:r>
      <w:r>
        <w:t xml:space="preserve">4 — Green (0.52–0.59 µm), Red (0.62–0.68 µm), NIR (0.77–0.86 µm), SWIR (1.55–1.70 µm), 10-bit quantization</w:t>
      </w:r>
    </w:p>
    <w:p>
      <w:pPr>
        <w:pStyle w:val="Compact"/>
        <w:numPr>
          <w:ilvl w:val="0"/>
          <w:numId w:val="1054"/>
        </w:numPr>
      </w:pPr>
      <w:r>
        <w:rPr>
          <w:bCs/>
          <w:b/>
        </w:rPr>
        <w:t xml:space="preserve">Revisit:</w:t>
      </w:r>
      <w:r>
        <w:t xml:space="preserve"> </w:t>
      </w:r>
      <w:r>
        <w:t xml:space="preserve">24 days (single satellite); ~12–13 days when combined across the constellation</w:t>
      </w:r>
    </w:p>
    <w:p>
      <w:pPr>
        <w:pStyle w:val="Compact"/>
        <w:numPr>
          <w:ilvl w:val="0"/>
          <w:numId w:val="1054"/>
        </w:numPr>
      </w:pPr>
      <w:r>
        <w:rPr>
          <w:bCs/>
          <w:b/>
        </w:rPr>
        <w:t xml:space="preserve">Agricultural application:</w:t>
      </w:r>
      <w:r>
        <w:t xml:space="preserve"> </w:t>
      </w:r>
      <w:r>
        <w:t xml:space="preserve">LISS-III is the workhorse for district/block-level crop classification, cropping-pattern and cropping-intensity mapping, crop acreage estimation for major crops, and multi-date crop-growth monitoring — resolution comparable to Landsat, making it directly usable in standard vegetation-index (NDVI, NDWI) time-series workflows.</w:t>
      </w:r>
    </w:p>
    <w:p>
      <w:pPr>
        <w:pStyle w:val="Heading3"/>
      </w:pPr>
      <w:r>
        <w:t xml:space="preserve">9.4.3 LISS-IV (Linear Imaging Self-Scanning Sensor-IV)</w:t>
      </w:r>
    </w:p>
    <w:p>
      <w:pPr>
        <w:pStyle w:val="Compact"/>
        <w:numPr>
          <w:ilvl w:val="0"/>
          <w:numId w:val="1055"/>
        </w:numPr>
      </w:pPr>
      <w:r>
        <w:rPr>
          <w:bCs/>
          <w:b/>
        </w:rPr>
        <w:t xml:space="preserve">Spatial resolution:</w:t>
      </w:r>
      <w:r>
        <w:t xml:space="preserve"> </w:t>
      </w:r>
      <w:r>
        <w:t xml:space="preserve">5.8 m</w:t>
      </w:r>
    </w:p>
    <w:p>
      <w:pPr>
        <w:pStyle w:val="Compact"/>
        <w:numPr>
          <w:ilvl w:val="0"/>
          <w:numId w:val="1055"/>
        </w:numPr>
      </w:pPr>
      <w:r>
        <w:rPr>
          <w:bCs/>
          <w:b/>
        </w:rPr>
        <w:t xml:space="preserve">Swath:</w:t>
      </w:r>
      <w:r>
        <w:t xml:space="preserve"> </w:t>
      </w:r>
      <w:r>
        <w:t xml:space="preserve">70 km in mono (panchromatic-like single-band) mode; 23.9 km in multispectral (3-band) mode</w:t>
      </w:r>
    </w:p>
    <w:p>
      <w:pPr>
        <w:pStyle w:val="Compact"/>
        <w:numPr>
          <w:ilvl w:val="0"/>
          <w:numId w:val="1055"/>
        </w:numPr>
      </w:pPr>
      <w:r>
        <w:rPr>
          <w:bCs/>
          <w:b/>
        </w:rPr>
        <w:t xml:space="preserve">Spectral bands:</w:t>
      </w:r>
      <w:r>
        <w:t xml:space="preserve"> </w:t>
      </w:r>
      <w:r>
        <w:t xml:space="preserve">3 — Green (0.52–0.59 µm), Red (0.62–0.68 µm), NIR (0.77–0.86 µm)</w:t>
      </w:r>
    </w:p>
    <w:p>
      <w:pPr>
        <w:pStyle w:val="Compact"/>
        <w:numPr>
          <w:ilvl w:val="0"/>
          <w:numId w:val="1055"/>
        </w:numPr>
      </w:pPr>
      <w:r>
        <w:rPr>
          <w:bCs/>
          <w:b/>
        </w:rPr>
        <w:t xml:space="preserve">Revisit:</w:t>
      </w:r>
      <w:r>
        <w:t xml:space="preserve"> </w:t>
      </w:r>
      <w:r>
        <w:t xml:space="preserve">Nominally 24 days, improved to 5 days using ±26° cross-track steering</w:t>
      </w:r>
    </w:p>
    <w:p>
      <w:pPr>
        <w:pStyle w:val="Compact"/>
        <w:numPr>
          <w:ilvl w:val="0"/>
          <w:numId w:val="1055"/>
        </w:numPr>
      </w:pPr>
      <w:r>
        <w:rPr>
          <w:bCs/>
          <w:b/>
        </w:rPr>
        <w:t xml:space="preserve">Agricultural application:</w:t>
      </w:r>
      <w:r>
        <w:t xml:space="preserve"> </w:t>
      </w:r>
      <w:r>
        <w:t xml:space="preserve">LISS-IV’s high resolution supports field-level crop discrimination, precision agriculture applications such as within-field variability mapping, horticulture and orchard inventory (CHAMAN programme), plot-level yield estimation, small/fragmented-landholding crop mapping (critical in the Indian context where average holding size is under 1.1 ha), and crop-damage assessment for insurance (PMFBY — Pradhan Mantri Fasal Bima Yojana) applications.</w:t>
      </w:r>
    </w:p>
    <w:p>
      <w:pPr>
        <w:pStyle w:val="Heading2"/>
      </w:pPr>
      <w:r>
        <w:t xml:space="preserve">9.5 Cartosat Series: High-Resolution Infrastructure and Field Boundary Mapping</w:t>
      </w:r>
    </w:p>
    <w:p>
      <w:pPr>
        <w:pStyle w:val="FirstParagraph"/>
      </w:pPr>
      <w:r>
        <w:t xml:space="preserve">The Cartosat series (Cartosat-1, 2005; Cartosat-2 series, 2007–2018; Cartosat-2E/2F; Cartosat-3, launched</w:t>
      </w:r>
      <w:r>
        <w:t xml:space="preserve"> </w:t>
      </w:r>
      <w:r>
        <w:rPr>
          <w:bCs/>
          <w:b/>
        </w:rPr>
        <w:t xml:space="preserve">27 November 2019</w:t>
      </w:r>
      <w:r>
        <w:t xml:space="preserve">) is primarily a cartographic/mapping mission but has significant indirect agricultural relevance.</w:t>
      </w:r>
    </w:p>
    <w:p>
      <w:pPr>
        <w:pStyle w:val="Compact"/>
        <w:numPr>
          <w:ilvl w:val="0"/>
          <w:numId w:val="1056"/>
        </w:numPr>
      </w:pPr>
      <w:r>
        <w:rPr>
          <w:bCs/>
          <w:b/>
        </w:rPr>
        <w:t xml:space="preserve">Cartosat-1:</w:t>
      </w:r>
      <w:r>
        <w:t xml:space="preserve"> </w:t>
      </w:r>
      <w:r>
        <w:t xml:space="preserve">Along-track stereo panchromatic sensor (2.5 m resolution, 30 km swath) used to generate Digital Elevation Models (DEMs) — foundational for watershed delineation, irrigation command-area planning, drainage/slope analysis for soil-and-water conservation planning, and terrain correction of other satellite imagery used in agriculture.</w:t>
      </w:r>
    </w:p>
    <w:p>
      <w:pPr>
        <w:pStyle w:val="Compact"/>
        <w:numPr>
          <w:ilvl w:val="0"/>
          <w:numId w:val="1056"/>
        </w:numPr>
      </w:pPr>
      <w:r>
        <w:rPr>
          <w:bCs/>
          <w:b/>
        </w:rPr>
        <w:t xml:space="preserve">Cartosat-2 series:</w:t>
      </w:r>
      <w:r>
        <w:t xml:space="preserve"> </w:t>
      </w:r>
      <w:r>
        <w:t xml:space="preserve">Panchromatic resolution better than 1 m (0.8–1 m class), 9.6 km swath, agile pointing. Used for detailed field-boundary and farm-infrastructure mapping, irrigation-canal network delineation, farm-pond and check-dam inventory, and rural land-record/cadastral-level applications (e.g., the SVAMITVA scheme uses comparable high-resolution imagery for property demarcation).</w:t>
      </w:r>
    </w:p>
    <w:p>
      <w:pPr>
        <w:pStyle w:val="Compact"/>
        <w:numPr>
          <w:ilvl w:val="0"/>
          <w:numId w:val="1056"/>
        </w:numPr>
      </w:pPr>
      <w:r>
        <w:rPr>
          <w:bCs/>
          <w:b/>
        </w:rPr>
        <w:t xml:space="preserve">Cartosat-3:</w:t>
      </w:r>
      <w:r>
        <w:t xml:space="preserve"> </w:t>
      </w:r>
      <w:r>
        <w:t xml:space="preserve">The most advanced Indian civilian high-resolution satellite —</w:t>
      </w:r>
      <w:r>
        <w:t xml:space="preserve"> </w:t>
      </w:r>
      <w:r>
        <w:rPr>
          <w:bCs/>
          <w:b/>
        </w:rPr>
        <w:t xml:space="preserve">0.25 m panchromatic</w:t>
      </w:r>
      <w:r>
        <w:t xml:space="preserve"> </w:t>
      </w:r>
      <w:r>
        <w:t xml:space="preserve">and</w:t>
      </w:r>
      <w:r>
        <w:t xml:space="preserve"> </w:t>
      </w:r>
      <w:r>
        <w:rPr>
          <w:bCs/>
          <w:b/>
        </w:rPr>
        <w:t xml:space="preserve">1 m multispectral (4 bands)</w:t>
      </w:r>
      <w:r>
        <w:t xml:space="preserve"> </w:t>
      </w:r>
      <w:r>
        <w:t xml:space="preserve">resolution, 16 km swath. Its very high resolution enables precise field-boundary vectorization, farm-asset and micro-irrigation infrastructure auditing, and encroachment/land-use-change detection at parcel level, though its narrow swath and high per-scene cost limit it to targeted rather than synoptic agricultural monitoring.</w:t>
      </w:r>
    </w:p>
    <w:p>
      <w:pPr>
        <w:pStyle w:val="FirstParagraph"/>
      </w:pPr>
      <w:r>
        <w:t xml:space="preserve">Cartosat data are generally used in agriculture not for crop-type/condition classification (that role is filled by LISS/AWiFS) but as the geospatial base layer — accurate field boundaries, farm-level infrastructure, canal networks, and DEMs — over which crop, soil-moisture, and yield information from other sensors is integrated in GIS-based decision-support systems.</w:t>
      </w:r>
    </w:p>
    <w:p>
      <w:pPr>
        <w:pStyle w:val="Heading2"/>
      </w:pPr>
      <w:r>
        <w:t xml:space="preserve">9.6 RISAT / EOS-04 and Other SAR Missions</w:t>
      </w:r>
    </w:p>
    <w:p>
      <w:pPr>
        <w:pStyle w:val="FirstParagraph"/>
      </w:pPr>
      <w:r>
        <w:t xml:space="preserve">Synthetic Aperture Radar (SAR) is uniquely valuable in agriculture because microwave signals penetrate cloud cover and operate independent of solar illumination — critical for India, where the kharif (monsoon) cropping season coincides with heavy cloud cover that frequently blocks optical acquisition for weeks.</w:t>
      </w:r>
    </w:p>
    <w:p>
      <w:pPr>
        <w:pStyle w:val="Heading3"/>
      </w:pPr>
      <w:r>
        <w:t xml:space="preserve">9.6.1 RISAT-1 / EOS-04 lineage</w:t>
      </w:r>
    </w:p>
    <w:p>
      <w:pPr>
        <w:pStyle w:val="Compact"/>
        <w:numPr>
          <w:ilvl w:val="0"/>
          <w:numId w:val="1057"/>
        </w:numPr>
      </w:pPr>
      <w:r>
        <w:rPr>
          <w:bCs/>
          <w:b/>
        </w:rPr>
        <w:t xml:space="preserve">RISAT-2 (2009):</w:t>
      </w:r>
      <w:r>
        <w:t xml:space="preserve"> </w:t>
      </w:r>
      <w:r>
        <w:t xml:space="preserve">X-band SAR (procured from Israel), primarily for security applications but also used for flood mapping.</w:t>
      </w:r>
    </w:p>
    <w:p>
      <w:pPr>
        <w:pStyle w:val="Compact"/>
        <w:numPr>
          <w:ilvl w:val="0"/>
          <w:numId w:val="1057"/>
        </w:numPr>
      </w:pPr>
      <w:r>
        <w:rPr>
          <w:bCs/>
          <w:b/>
        </w:rPr>
        <w:t xml:space="preserve">RISAT-1 (26 April 2012):</w:t>
      </w:r>
      <w:r>
        <w:t xml:space="preserve"> </w:t>
      </w:r>
      <w:r>
        <w:t xml:space="preserve">India’s first indigenous C-band SAR, multiple resolution modes from ~1 m (fine resolution stripmap) to 50 m (coarse resolution ScanSAR), swaths from 10 km to 223 km, full polarimetric capability (HH, HV, VH, VV). Used extensively for rice-area mapping (rice’s flooded-field signature gives strong C-band backscatter contrast), soil moisture retrieval, and flood-extent mapping.</w:t>
      </w:r>
    </w:p>
    <w:p>
      <w:pPr>
        <w:pStyle w:val="Compact"/>
        <w:numPr>
          <w:ilvl w:val="0"/>
          <w:numId w:val="1057"/>
        </w:numPr>
      </w:pPr>
      <w:r>
        <w:rPr>
          <w:bCs/>
          <w:b/>
        </w:rPr>
        <w:t xml:space="preserve">EOS-04 (RISAT-1A), launched 14 February 2022</w:t>
      </w:r>
      <w:r>
        <w:t xml:space="preserve"> </w:t>
      </w:r>
      <w:r>
        <w:t xml:space="preserve">aboard</w:t>
      </w:r>
      <w:r>
        <w:t xml:space="preserve"> </w:t>
      </w:r>
      <w:r>
        <w:rPr>
          <w:bCs/>
          <w:b/>
        </w:rPr>
        <w:t xml:space="preserve">PSLV-C52</w:t>
      </w:r>
      <w:r>
        <w:t xml:space="preserve">: C-band SAR successor providing operational continuity to RISAT-1. Orbit altitude ~529 km, sun-synchronous, 97.5° inclination, ~12-day repeat cycle in most references. Resolution modes range from</w:t>
      </w:r>
      <w:r>
        <w:t xml:space="preserve"> </w:t>
      </w:r>
      <w:r>
        <w:rPr>
          <w:bCs/>
          <w:b/>
        </w:rPr>
        <w:t xml:space="preserve">1 m (Spotlight)</w:t>
      </w:r>
      <w:r>
        <w:t xml:space="preserve"> </w:t>
      </w:r>
      <w:r>
        <w:t xml:space="preserve">to</w:t>
      </w:r>
      <w:r>
        <w:t xml:space="preserve"> </w:t>
      </w:r>
      <w:r>
        <w:rPr>
          <w:bCs/>
          <w:b/>
        </w:rPr>
        <w:t xml:space="preserve">3 m (Fine Resolution Stripmap, FRS-1)</w:t>
      </w:r>
      <w:r>
        <w:t xml:space="preserve"> </w:t>
      </w:r>
      <w:r>
        <w:t xml:space="preserve">to</w:t>
      </w:r>
      <w:r>
        <w:t xml:space="preserve"> </w:t>
      </w:r>
      <w:r>
        <w:rPr>
          <w:bCs/>
          <w:b/>
        </w:rPr>
        <w:t xml:space="preserve">9–50 m (Medium/Coarse ScanSAR)</w:t>
      </w:r>
      <w:r>
        <w:t xml:space="preserve">, with swaths from 10 km up to 223 km, and hybrid/full polarimetric (compact polarimetry) capability. EOS-04 is explicitly positioned by ISRO for agriculture, soil moisture and hydrology, and flood-mapping applications, and supports an operational high-resolution (~500 m aggregated) surface soil moisture product for India generated jointly with soil moisture algorithms validated against RISAT-1A backscatter.</w:t>
      </w:r>
    </w:p>
    <w:p>
      <w:pPr>
        <w:pStyle w:val="Compact"/>
        <w:numPr>
          <w:ilvl w:val="0"/>
          <w:numId w:val="1057"/>
        </w:numPr>
      </w:pPr>
      <w:r>
        <w:rPr>
          <w:bCs/>
          <w:b/>
        </w:rPr>
        <w:t xml:space="preserve">EOS-01 (7 November 2020):</w:t>
      </w:r>
      <w:r>
        <w:t xml:space="preserve"> </w:t>
      </w:r>
      <w:r>
        <w:t xml:space="preserve">A smaller C-band SAR (RISAT-2BR2 class) intended for agriculture and forestry monitoring, complementing EOS-04.</w:t>
      </w:r>
    </w:p>
    <w:p>
      <w:pPr>
        <w:pStyle w:val="Heading3"/>
      </w:pPr>
      <w:r>
        <w:t xml:space="preserve">9.6.2 Key SAR applications in agriculture</w:t>
      </w:r>
    </w:p>
    <w:p>
      <w:pPr>
        <w:pStyle w:val="Compact"/>
        <w:numPr>
          <w:ilvl w:val="0"/>
          <w:numId w:val="1058"/>
        </w:numPr>
      </w:pPr>
      <w:r>
        <w:rPr>
          <w:bCs/>
          <w:b/>
        </w:rPr>
        <w:t xml:space="preserve">All-weather, day-night crop monitoring:</w:t>
      </w:r>
      <w:r>
        <w:t xml:space="preserve"> </w:t>
      </w:r>
      <w:r>
        <w:t xml:space="preserve">Critical during kharif season for continuous rice transplantation and growth-stage tracking when optical sensors are cloud-blocked for extended periods.</w:t>
      </w:r>
    </w:p>
    <w:p>
      <w:pPr>
        <w:pStyle w:val="Compact"/>
        <w:numPr>
          <w:ilvl w:val="0"/>
          <w:numId w:val="1058"/>
        </w:numPr>
      </w:pPr>
      <w:r>
        <w:rPr>
          <w:bCs/>
          <w:b/>
        </w:rPr>
        <w:t xml:space="preserve">Rice mapping and multi-date backscatter time series:</w:t>
      </w:r>
      <w:r>
        <w:t xml:space="preserve"> </w:t>
      </w:r>
      <w:r>
        <w:t xml:space="preserve">Flooded/transplanted rice fields produce a very distinct low-then-rising VV/VH backscatter signature usable for automated rice-area estimation, a technique now integrated into national rice acreage estimation.</w:t>
      </w:r>
    </w:p>
    <w:p>
      <w:pPr>
        <w:pStyle w:val="Compact"/>
        <w:numPr>
          <w:ilvl w:val="0"/>
          <w:numId w:val="1058"/>
        </w:numPr>
      </w:pPr>
      <w:r>
        <w:rPr>
          <w:bCs/>
          <w:b/>
        </w:rPr>
        <w:t xml:space="preserve">Soil moisture retrieval:</w:t>
      </w:r>
      <w:r>
        <w:t xml:space="preserve"> </w:t>
      </w:r>
      <w:r>
        <w:t xml:space="preserve">C-band backscatter is sensitive to surface dielectric constant (a function of soil moisture) and surface roughness; polarimetric decomposition (e.g., using HH/HV ratios or compact-pol parameters) improves soil moisture and crop-biomass separability.</w:t>
      </w:r>
    </w:p>
    <w:p>
      <w:pPr>
        <w:pStyle w:val="Compact"/>
        <w:numPr>
          <w:ilvl w:val="0"/>
          <w:numId w:val="1058"/>
        </w:numPr>
      </w:pPr>
      <w:r>
        <w:rPr>
          <w:bCs/>
          <w:b/>
        </w:rPr>
        <w:t xml:space="preserve">Flood monitoring over cropland:</w:t>
      </w:r>
      <w:r>
        <w:t xml:space="preserve"> </w:t>
      </w:r>
      <w:r>
        <w:t xml:space="preserve">Rapid flood-extent mapping over standing crops for damage assessment and crop-insurance claims (PMFBY).</w:t>
      </w:r>
    </w:p>
    <w:p>
      <w:pPr>
        <w:pStyle w:val="Compact"/>
        <w:numPr>
          <w:ilvl w:val="0"/>
          <w:numId w:val="1058"/>
        </w:numPr>
      </w:pPr>
      <w:r>
        <w:rPr>
          <w:bCs/>
          <w:b/>
        </w:rPr>
        <w:t xml:space="preserve">Polarimetric crop discrimination:</w:t>
      </w:r>
      <w:r>
        <w:t xml:space="preserve"> </w:t>
      </w:r>
      <w:r>
        <w:t xml:space="preserve">Full/compact polarimetric SAR supports crop-type classification and structural parameter retrieval (e.g., crop height, LAI proxies via radar vegetation indices) that complements optical vegetation indices, especially useful for structurally distinct crops like sugarcane versus paddy versus horticulture.</w:t>
      </w:r>
    </w:p>
    <w:p>
      <w:pPr>
        <w:pStyle w:val="Heading2"/>
      </w:pPr>
      <w:r>
        <w:t xml:space="preserve">9.7 Oceansat Series: OCM and Applications Beyond Ocean Color</w:t>
      </w:r>
    </w:p>
    <w:p>
      <w:pPr>
        <w:pStyle w:val="Compact"/>
        <w:numPr>
          <w:ilvl w:val="0"/>
          <w:numId w:val="1059"/>
        </w:numPr>
      </w:pPr>
      <w:r>
        <w:rPr>
          <w:bCs/>
          <w:b/>
        </w:rPr>
        <w:t xml:space="preserve">Oceansat-1 (1999):</w:t>
      </w:r>
      <w:r>
        <w:t xml:space="preserve"> </w:t>
      </w:r>
      <w:r>
        <w:t xml:space="preserve">First Indian ocean-color mission (OCM sensor).</w:t>
      </w:r>
    </w:p>
    <w:p>
      <w:pPr>
        <w:pStyle w:val="Compact"/>
        <w:numPr>
          <w:ilvl w:val="0"/>
          <w:numId w:val="1059"/>
        </w:numPr>
      </w:pPr>
      <w:r>
        <w:rPr>
          <w:bCs/>
          <w:b/>
        </w:rPr>
        <w:t xml:space="preserve">Oceansat-2 (2009):</w:t>
      </w:r>
      <w:r>
        <w:t xml:space="preserve"> </w:t>
      </w:r>
      <w:r>
        <w:t xml:space="preserve">OCM-2 plus a Ku-band scatterometer (OSCAT).</w:t>
      </w:r>
    </w:p>
    <w:p>
      <w:pPr>
        <w:pStyle w:val="Compact"/>
        <w:numPr>
          <w:ilvl w:val="0"/>
          <w:numId w:val="1059"/>
        </w:numPr>
      </w:pPr>
      <w:r>
        <w:rPr>
          <w:bCs/>
          <w:b/>
        </w:rPr>
        <w:t xml:space="preserve">Oceansat-3 / EOS-06, launched 26 November 2022:</w:t>
      </w:r>
      <w:r>
        <w:t xml:space="preserve"> </w:t>
      </w:r>
      <w:r>
        <w:t xml:space="preserve">Carries the</w:t>
      </w:r>
      <w:r>
        <w:t xml:space="preserve"> </w:t>
      </w:r>
      <w:r>
        <w:rPr>
          <w:bCs/>
          <w:b/>
        </w:rPr>
        <w:t xml:space="preserve">OCM-3</w:t>
      </w:r>
      <w:r>
        <w:t xml:space="preserve"> </w:t>
      </w:r>
      <w:r>
        <w:t xml:space="preserve">sensor — a 13-band sensor spanning 0.4–1.3 µm, with</w:t>
      </w:r>
      <w:r>
        <w:t xml:space="preserve"> </w:t>
      </w:r>
      <w:r>
        <w:rPr>
          <w:bCs/>
          <w:b/>
        </w:rPr>
        <w:t xml:space="preserve">360 m spatial resolution</w:t>
      </w:r>
      <w:r>
        <w:t xml:space="preserve"> </w:t>
      </w:r>
      <w:r>
        <w:t xml:space="preserve">and a very wide</w:t>
      </w:r>
      <w:r>
        <w:t xml:space="preserve"> </w:t>
      </w:r>
      <w:r>
        <w:rPr>
          <w:bCs/>
          <w:b/>
        </w:rPr>
        <w:t xml:space="preserve">swath of ~1400 km</w:t>
      </w:r>
      <w:r>
        <w:t xml:space="preserve">, providing near-daily global coverage. It also carries</w:t>
      </w:r>
      <w:r>
        <w:t xml:space="preserve"> </w:t>
      </w:r>
      <w:r>
        <w:rPr>
          <w:bCs/>
          <w:b/>
        </w:rPr>
        <w:t xml:space="preserve">OSCAT-3</w:t>
      </w:r>
      <w:r>
        <w:t xml:space="preserve">, a Ku-band (13.515 GHz) scatterometer with ~25 km resolution and 1440 km swath (primarily for ocean wind-vector retrieval), and a Sea Surface Temperature Monitor (SSTM).</w:t>
      </w:r>
    </w:p>
    <w:p>
      <w:pPr>
        <w:pStyle w:val="FirstParagraph"/>
      </w:pPr>
      <w:r>
        <w:t xml:space="preserve">Although designed for ocean-color and biogeochemical applications (chlorophyll, phytoplankton, algal blooms), OCM-3’s fine spectral sampling in the visible/NIR and very high revisit frequency make it useful for several land/agriculture-adjacent applications: -</w:t>
      </w:r>
      <w:r>
        <w:t xml:space="preserve"> </w:t>
      </w:r>
      <w:r>
        <w:rPr>
          <w:bCs/>
          <w:b/>
        </w:rPr>
        <w:t xml:space="preserve">Vegetation index and land-surface monitoring:</w:t>
      </w:r>
      <w:r>
        <w:t xml:space="preserve"> </w:t>
      </w:r>
      <w:r>
        <w:t xml:space="preserve">NDVI-type products and vegetation-growth-stage assessment at coarse (sub-kilometer) scale, complementing MODIS-class daily vegetation monitoring for large-area drought/vegetation-condition tracking. -</w:t>
      </w:r>
      <w:r>
        <w:t xml:space="preserve"> </w:t>
      </w:r>
      <w:r>
        <w:rPr>
          <w:bCs/>
          <w:b/>
        </w:rPr>
        <w:t xml:space="preserve">Land surface temperature (LST) and atmospheric parameters:</w:t>
      </w:r>
      <w:r>
        <w:t xml:space="preserve"> </w:t>
      </w:r>
      <w:r>
        <w:t xml:space="preserve">Aerosol optical depth (AOD) and air-quality-relevant parameters derived from OCM-3 support agromet and environmental-stress assessment. -</w:t>
      </w:r>
      <w:r>
        <w:t xml:space="preserve"> </w:t>
      </w:r>
      <w:r>
        <w:rPr>
          <w:bCs/>
          <w:b/>
        </w:rPr>
        <w:t xml:space="preserve">Drought and large-area crop-condition monitoring:</w:t>
      </w:r>
      <w:r>
        <w:t xml:space="preserve"> </w:t>
      </w:r>
      <w:r>
        <w:t xml:space="preserve">The near-daily revisit compensates for AWiFS’s comparatively coarser 5-day repeat, providing a denser (if coarser-resolution) time series for anomaly detection in vegetation condition during critical growth windows.</w:t>
      </w:r>
    </w:p>
    <w:p>
      <w:pPr>
        <w:pStyle w:val="Heading2"/>
      </w:pPr>
      <w:r>
        <w:t xml:space="preserve">9.8 INSAT-3D/3DR/3DS: Geostationary Meteorological Data for Agromet Applications</w:t>
      </w:r>
    </w:p>
    <w:p>
      <w:pPr>
        <w:pStyle w:val="FirstParagraph"/>
      </w:pPr>
      <w:r>
        <w:t xml:space="preserve">India’s geostationary meteorological satellites —</w:t>
      </w:r>
      <w:r>
        <w:t xml:space="preserve"> </w:t>
      </w:r>
      <w:r>
        <w:rPr>
          <w:bCs/>
          <w:b/>
        </w:rPr>
        <w:t xml:space="preserve">INSAT-3D (launched 26 July 2013)</w:t>
      </w:r>
      <w:r>
        <w:t xml:space="preserve">,</w:t>
      </w:r>
      <w:r>
        <w:t xml:space="preserve"> </w:t>
      </w:r>
      <w:r>
        <w:rPr>
          <w:bCs/>
          <w:b/>
        </w:rPr>
        <w:t xml:space="preserve">INSAT-3DR (launched 8 September 2016)</w:t>
      </w:r>
      <w:r>
        <w:t xml:space="preserve">, and</w:t>
      </w:r>
      <w:r>
        <w:t xml:space="preserve"> </w:t>
      </w:r>
      <w:r>
        <w:rPr>
          <w:bCs/>
          <w:b/>
        </w:rPr>
        <w:t xml:space="preserve">INSAT-3DS (launched 17 February 2024)</w:t>
      </w:r>
      <w:r>
        <w:t xml:space="preserve"> </w:t>
      </w:r>
      <w:r>
        <w:t xml:space="preserve">— provide continuous (every 15–30 minutes to hourly), full-disk observation over India essential for weather forecasting and agrometeorological advisories, complementing the comparatively infrequent (days-to-weeks) revisit of polar-orbiting land sensors.</w:t>
      </w:r>
    </w:p>
    <w:p>
      <w:pPr>
        <w:pStyle w:val="BodyText"/>
      </w:pPr>
      <w:r>
        <w:t xml:space="preserve">Each satellite carries two primary payloads: -</w:t>
      </w:r>
      <w:r>
        <w:t xml:space="preserve"> </w:t>
      </w:r>
      <w:r>
        <w:rPr>
          <w:bCs/>
          <w:b/>
        </w:rPr>
        <w:t xml:space="preserve">Imager:</w:t>
      </w:r>
      <w:r>
        <w:t xml:space="preserve"> </w:t>
      </w:r>
      <w:r>
        <w:t xml:space="preserve">6 spectral channels spanning 0.55–12.5 µm — Visible (0.55–0.75 µm) and Shortwave IR at</w:t>
      </w:r>
      <w:r>
        <w:t xml:space="preserve"> </w:t>
      </w:r>
      <w:r>
        <w:rPr>
          <w:bCs/>
          <w:b/>
        </w:rPr>
        <w:t xml:space="preserve">1 km</w:t>
      </w:r>
      <w:r>
        <w:t xml:space="preserve"> </w:t>
      </w:r>
      <w:r>
        <w:t xml:space="preserve">resolution; Middle Infrared (MWIR) and two Thermal Infrared (TIR-1, TIR-2) channels at</w:t>
      </w:r>
      <w:r>
        <w:t xml:space="preserve"> </w:t>
      </w:r>
      <w:r>
        <w:rPr>
          <w:bCs/>
          <w:b/>
        </w:rPr>
        <w:t xml:space="preserve">4 km</w:t>
      </w:r>
      <w:r>
        <w:t xml:space="preserve">; Water Vapour channel at</w:t>
      </w:r>
      <w:r>
        <w:t xml:space="preserve"> </w:t>
      </w:r>
      <w:r>
        <w:rPr>
          <w:bCs/>
          <w:b/>
        </w:rPr>
        <w:t xml:space="preserve">8 km</w:t>
      </w:r>
      <w:r>
        <w:t xml:space="preserve">. -</w:t>
      </w:r>
      <w:r>
        <w:t xml:space="preserve"> </w:t>
      </w:r>
      <w:r>
        <w:rPr>
          <w:bCs/>
          <w:b/>
        </w:rPr>
        <w:t xml:space="preserve">Sounder:</w:t>
      </w:r>
      <w:r>
        <w:t xml:space="preserve"> </w:t>
      </w:r>
      <w:r>
        <w:t xml:space="preserve">19 channels (18 IR + 1 visible), providing vertical atmospheric temperature/humidity profiles at</w:t>
      </w:r>
      <w:r>
        <w:t xml:space="preserve"> </w:t>
      </w:r>
      <w:r>
        <w:rPr>
          <w:bCs/>
          <w:b/>
        </w:rPr>
        <w:t xml:space="preserve">10 km × 10 km</w:t>
      </w:r>
      <w:r>
        <w:t xml:space="preserve"> </w:t>
      </w:r>
      <w:r>
        <w:t xml:space="preserve">resolution.</w:t>
      </w:r>
    </w:p>
    <w:p>
      <w:pPr>
        <w:pStyle w:val="BodyText"/>
      </w:pPr>
      <w:r>
        <w:rPr>
          <w:bCs/>
          <w:b/>
        </w:rPr>
        <w:t xml:space="preserve">Agricultural relevance:</w:t>
      </w:r>
      <w:r>
        <w:t xml:space="preserve"> </w:t>
      </w:r>
      <w:r>
        <w:t xml:space="preserve">-</w:t>
      </w:r>
      <w:r>
        <w:t xml:space="preserve"> </w:t>
      </w:r>
      <w:r>
        <w:rPr>
          <w:bCs/>
          <w:b/>
        </w:rPr>
        <w:t xml:space="preserve">Quantitative Precipitation Estimation (QPE)/rainfall products:</w:t>
      </w:r>
      <w:r>
        <w:t xml:space="preserve"> </w:t>
      </w:r>
      <w:r>
        <w:t xml:space="preserve">Half-hourly cloud imagery is used to generate rainfall estimates that feed into agromet advisories, drought early-warning, and crop-water-balance models where ground rain-gauge density is insufficient. -</w:t>
      </w:r>
      <w:r>
        <w:t xml:space="preserve"> </w:t>
      </w:r>
      <w:r>
        <w:rPr>
          <w:bCs/>
          <w:b/>
        </w:rPr>
        <w:t xml:space="preserve">Land Surface Temperature (LST):</w:t>
      </w:r>
      <w:r>
        <w:t xml:space="preserve"> </w:t>
      </w:r>
      <w:r>
        <w:t xml:space="preserve">Retrieved from the TIR channels and assimilated into Numerical Weather Prediction (NWP) and land-surface/agromet models; LST anomalies are a key input for agricultural drought indices and heat/cold-wave stress advisories for crops. -</w:t>
      </w:r>
      <w:r>
        <w:t xml:space="preserve"> </w:t>
      </w:r>
      <w:r>
        <w:rPr>
          <w:bCs/>
          <w:b/>
        </w:rPr>
        <w:t xml:space="preserve">Vegetation monitoring at low resolution:</w:t>
      </w:r>
      <w:r>
        <w:t xml:space="preserve"> </w:t>
      </w:r>
      <w:r>
        <w:t xml:space="preserve">The visible channel supports coarse vegetation-index products for continental-scale drought/vegetation-condition monitoring, complementing OCM-3/MODIS. -</w:t>
      </w:r>
      <w:r>
        <w:t xml:space="preserve"> </w:t>
      </w:r>
      <w:r>
        <w:rPr>
          <w:bCs/>
          <w:b/>
        </w:rPr>
        <w:t xml:space="preserve">Cyclone, western-disturbance, and severe-weather tracking:</w:t>
      </w:r>
      <w:r>
        <w:t xml:space="preserve"> </w:t>
      </w:r>
      <w:r>
        <w:t xml:space="preserve">Directly relevant for pre-harvest crop-damage risk warnings. -</w:t>
      </w:r>
      <w:r>
        <w:t xml:space="preserve"> </w:t>
      </w:r>
      <w:r>
        <w:rPr>
          <w:bCs/>
          <w:b/>
        </w:rPr>
        <w:t xml:space="preserve">District-level Agromet Advisory Services (AAS):</w:t>
      </w:r>
      <w:r>
        <w:t xml:space="preserve"> </w:t>
      </w:r>
      <w:r>
        <w:t xml:space="preserve">INSAT-derived meteorological parameters (rainfall, temperature, humidity, wind) are combined with IMD ground data to issue twice-weekly farmer advisories under the Gramin Krishi Mausam Sewa (GKMS) programme.</w:t>
      </w:r>
    </w:p>
    <w:p>
      <w:pPr>
        <w:pStyle w:val="BodyText"/>
      </w:pPr>
      <w:r>
        <w:t xml:space="preserve">INSAT-3DS, launched in 2024, augments and provides redundancy/continuity to INSAT-3D/3DR capability with improved imager/sounder performance, sustaining the operational agromet data stream.</w:t>
      </w:r>
    </w:p>
    <w:p>
      <w:pPr>
        <w:pStyle w:val="Heading2"/>
      </w:pPr>
      <w:r>
        <w:t xml:space="preserve">9.9 HysIS: Hyperspectral Imaging for Precision Agriculture</w:t>
      </w:r>
    </w:p>
    <w:p>
      <w:pPr>
        <w:pStyle w:val="FirstParagraph"/>
      </w:pPr>
      <w:r>
        <w:rPr>
          <w:bCs/>
          <w:b/>
        </w:rPr>
        <w:t xml:space="preserve">HysIS (Hyperspectral Imaging Satellite), launched 29 November 2018</w:t>
      </w:r>
      <w:r>
        <w:t xml:space="preserve"> </w:t>
      </w:r>
      <w:r>
        <w:t xml:space="preserve">aboard</w:t>
      </w:r>
      <w:r>
        <w:t xml:space="preserve"> </w:t>
      </w:r>
      <w:r>
        <w:rPr>
          <w:bCs/>
          <w:b/>
        </w:rPr>
        <w:t xml:space="preserve">PSLV-C43</w:t>
      </w:r>
      <w:r>
        <w:t xml:space="preserve">, was India’s first dedicated civilian hyperspectral EO satellite, built around indigenous CMOS detector-array technology.</w:t>
      </w:r>
    </w:p>
    <w:p>
      <w:pPr>
        <w:pStyle w:val="Compact"/>
        <w:numPr>
          <w:ilvl w:val="0"/>
          <w:numId w:val="1060"/>
        </w:numPr>
      </w:pPr>
      <w:r>
        <w:rPr>
          <w:bCs/>
          <w:b/>
        </w:rPr>
        <w:t xml:space="preserve">Spatial resolution:</w:t>
      </w:r>
      <w:r>
        <w:t xml:space="preserve"> </w:t>
      </w:r>
      <w:r>
        <w:t xml:space="preserve">30 m (both VNIR and SWIR)</w:t>
      </w:r>
    </w:p>
    <w:p>
      <w:pPr>
        <w:pStyle w:val="Compact"/>
        <w:numPr>
          <w:ilvl w:val="0"/>
          <w:numId w:val="1060"/>
        </w:numPr>
      </w:pPr>
      <w:r>
        <w:rPr>
          <w:bCs/>
          <w:b/>
        </w:rPr>
        <w:t xml:space="preserve">Swath:</w:t>
      </w:r>
      <w:r>
        <w:t xml:space="preserve"> </w:t>
      </w:r>
      <w:r>
        <w:t xml:space="preserve">30 km</w:t>
      </w:r>
    </w:p>
    <w:p>
      <w:pPr>
        <w:pStyle w:val="Compact"/>
        <w:numPr>
          <w:ilvl w:val="0"/>
          <w:numId w:val="1060"/>
        </w:numPr>
      </w:pPr>
      <w:r>
        <w:rPr>
          <w:bCs/>
          <w:b/>
        </w:rPr>
        <w:t xml:space="preserve">VNIR sensor:</w:t>
      </w:r>
      <w:r>
        <w:t xml:space="preserve"> </w:t>
      </w:r>
      <w:r>
        <w:t xml:space="preserve">0.4–0.95 µm, 55–60 narrow contiguous bands at ~10 nm spectral sampling</w:t>
      </w:r>
    </w:p>
    <w:p>
      <w:pPr>
        <w:pStyle w:val="Compact"/>
        <w:numPr>
          <w:ilvl w:val="0"/>
          <w:numId w:val="1060"/>
        </w:numPr>
      </w:pPr>
      <w:r>
        <w:rPr>
          <w:bCs/>
          <w:b/>
        </w:rPr>
        <w:t xml:space="preserve">SWIR sensor:</w:t>
      </w:r>
      <w:r>
        <w:t xml:space="preserve"> </w:t>
      </w:r>
      <w:r>
        <w:t xml:space="preserve">0.85–2.4/2.5 µm, ~256 narrow contiguous bands at ~10 nm spectral sampling</w:t>
      </w:r>
    </w:p>
    <w:p>
      <w:pPr>
        <w:pStyle w:val="Compact"/>
        <w:numPr>
          <w:ilvl w:val="0"/>
          <w:numId w:val="1060"/>
        </w:numPr>
      </w:pPr>
      <w:r>
        <w:rPr>
          <w:bCs/>
          <w:b/>
        </w:rPr>
        <w:t xml:space="preserve">Orbit:</w:t>
      </w:r>
      <w:r>
        <w:t xml:space="preserve"> </w:t>
      </w:r>
      <w:r>
        <w:t xml:space="preserve">Sun-synchronous, ~630–636 km altitude</w:t>
      </w:r>
    </w:p>
    <w:p>
      <w:pPr>
        <w:pStyle w:val="FirstParagraph"/>
      </w:pPr>
      <w:r>
        <w:t xml:space="preserve">Unlike multispectral sensors (LISS, AWiFS, Landsat, Sentinel-2) that sample a handful of broad spectral bands, HysIS’s contiguous fine-spectral-resolution data enable retrieval of subtle biochemical and biophysical vegetation properties not resolvable with broadband indices:</w:t>
      </w:r>
    </w:p>
    <w:p>
      <w:pPr>
        <w:pStyle w:val="Compact"/>
        <w:numPr>
          <w:ilvl w:val="0"/>
          <w:numId w:val="1061"/>
        </w:numPr>
      </w:pPr>
      <w:r>
        <w:rPr>
          <w:bCs/>
          <w:b/>
        </w:rPr>
        <w:t xml:space="preserve">Crop stress detection:</w:t>
      </w:r>
      <w:r>
        <w:t xml:space="preserve"> </w:t>
      </w:r>
      <w:r>
        <w:t xml:space="preserve">Narrow-band indices sensitive to chlorophyll content, water content, and pigment ratios (e.g., red-edge position shifts) allow earlier detection of nutrient deficiency, water stress, and disease/pest stress than broadband NDVI, which tends to saturate and respond only after visible canopy damage.</w:t>
      </w:r>
    </w:p>
    <w:p>
      <w:pPr>
        <w:pStyle w:val="Compact"/>
        <w:numPr>
          <w:ilvl w:val="0"/>
          <w:numId w:val="1061"/>
        </w:numPr>
      </w:pPr>
      <w:r>
        <w:rPr>
          <w:bCs/>
          <w:b/>
        </w:rPr>
        <w:t xml:space="preserve">Species/variety-level discrimination:</w:t>
      </w:r>
      <w:r>
        <w:t xml:space="preserve"> </w:t>
      </w:r>
      <w:r>
        <w:t xml:space="preserve">Full reflectance spectra allow finer discrimination between crop varieties and between crops and weeds — relevant to precision-agriculture management-zone delineation.</w:t>
      </w:r>
    </w:p>
    <w:p>
      <w:pPr>
        <w:pStyle w:val="Compact"/>
        <w:numPr>
          <w:ilvl w:val="0"/>
          <w:numId w:val="1061"/>
        </w:numPr>
      </w:pPr>
      <w:r>
        <w:rPr>
          <w:bCs/>
          <w:b/>
        </w:rPr>
        <w:t xml:space="preserve">Soil property mapping:</w:t>
      </w:r>
      <w:r>
        <w:t xml:space="preserve"> </w:t>
      </w:r>
      <w:r>
        <w:t xml:space="preserve">SWIR bands support soil organic matter, mineral composition, and soil moisture-related spectral feature retrieval, useful for site-specific nutrient management.</w:t>
      </w:r>
    </w:p>
    <w:p>
      <w:pPr>
        <w:pStyle w:val="Compact"/>
        <w:numPr>
          <w:ilvl w:val="0"/>
          <w:numId w:val="1061"/>
        </w:numPr>
      </w:pPr>
      <w:r>
        <w:rPr>
          <w:bCs/>
          <w:b/>
        </w:rPr>
        <w:t xml:space="preserve">Biochemical parameter retrieval:</w:t>
      </w:r>
      <w:r>
        <w:t xml:space="preserve"> </w:t>
      </w:r>
      <w:r>
        <w:t xml:space="preserve">Leaf Area Index (LAI), canopy chlorophyll content, and nitrogen-status proxies can be modeled from hyperspectral vegetation indices with greater sensitivity than multispectral equivalents.</w:t>
      </w:r>
    </w:p>
    <w:p>
      <w:pPr>
        <w:pStyle w:val="FirstParagraph"/>
      </w:pPr>
      <w:r>
        <w:t xml:space="preserve">HysIS’s operational limitations for agriculture are its narrow 30 km swath and 30 m resolution, which constrain it to research and targeted precision-agriculture studies rather than routine national-scale crop monitoring; it nonetheless represents the technology pathway ISRO is expected to scale up in future hyperspectral missions.</w:t>
      </w:r>
    </w:p>
    <w:p>
      <w:pPr>
        <w:pStyle w:val="Heading2"/>
      </w:pPr>
      <w:r>
        <w:t xml:space="preserve">9.10 Recent and Upcoming EOS-Series Missions Relevant to Agriculture</w:t>
      </w:r>
    </w:p>
    <w:p>
      <w:pPr>
        <w:pStyle w:val="FirstParagraph"/>
      </w:pPr>
      <w:r>
        <w:t xml:space="preserve">Under the unified EOS naming convention, several recent/upcoming missions extend agricultural-relevant capability:</w:t>
      </w:r>
    </w:p>
    <w:p>
      <w:pPr>
        <w:pStyle w:val="Compact"/>
        <w:numPr>
          <w:ilvl w:val="0"/>
          <w:numId w:val="1062"/>
        </w:numPr>
      </w:pPr>
      <w:r>
        <w:rPr>
          <w:bCs/>
          <w:b/>
        </w:rPr>
        <w:t xml:space="preserve">EOS-01 (2020):</w:t>
      </w:r>
      <w:r>
        <w:t xml:space="preserve"> </w:t>
      </w:r>
      <w:r>
        <w:t xml:space="preserve">C-band SAR for agriculture and forestry, RISAT-2BR2 heritage.</w:t>
      </w:r>
    </w:p>
    <w:p>
      <w:pPr>
        <w:pStyle w:val="Compact"/>
        <w:numPr>
          <w:ilvl w:val="0"/>
          <w:numId w:val="1062"/>
        </w:numPr>
      </w:pPr>
      <w:r>
        <w:rPr>
          <w:bCs/>
          <w:b/>
        </w:rPr>
        <w:t xml:space="preserve">EOS-04 (2022):</w:t>
      </w:r>
      <w:r>
        <w:t xml:space="preserve"> </w:t>
      </w:r>
      <w:r>
        <w:t xml:space="preserve">C-band SAR (RISAT-1A heritage) — described in the relevant chapter.</w:t>
      </w:r>
    </w:p>
    <w:p>
      <w:pPr>
        <w:pStyle w:val="Compact"/>
        <w:numPr>
          <w:ilvl w:val="0"/>
          <w:numId w:val="1062"/>
        </w:numPr>
      </w:pPr>
      <w:r>
        <w:rPr>
          <w:bCs/>
          <w:b/>
        </w:rPr>
        <w:t xml:space="preserve">EOS-06 (2022):</w:t>
      </w:r>
      <w:r>
        <w:t xml:space="preserve"> </w:t>
      </w:r>
      <w:r>
        <w:t xml:space="preserve">Oceansat-3 — described in the relevant chapter.</w:t>
      </w:r>
    </w:p>
    <w:p>
      <w:pPr>
        <w:pStyle w:val="Compact"/>
        <w:numPr>
          <w:ilvl w:val="0"/>
          <w:numId w:val="1062"/>
        </w:numPr>
      </w:pPr>
      <w:r>
        <w:rPr>
          <w:bCs/>
          <w:b/>
        </w:rPr>
        <w:t xml:space="preserve">EOS-05 / GISAT-1A:</w:t>
      </w:r>
      <w:r>
        <w:t xml:space="preserve"> </w:t>
      </w:r>
      <w:r>
        <w:t xml:space="preserve">A geostationary high-resolution imaging satellite intended to provide near-real-time (frequent, intra-day) imaging over the Indian subcontinent for disaster monitoring, cloud tracking, and rapid-revisit vegetation/agriculture observation — a capability gap not filled by polar-orbiting sensors. The original GISAT-1 mission was lost in the failed GSLV-F10 launch of August 2021; the rebuilt satellite,</w:t>
      </w:r>
      <w:r>
        <w:t xml:space="preserve"> </w:t>
      </w:r>
      <w:r>
        <w:rPr>
          <w:bCs/>
          <w:b/>
        </w:rPr>
        <w:t xml:space="preserve">GISAT-1A</w:t>
      </w:r>
      <w:r>
        <w:t xml:space="preserve">, is targeted for launch around</w:t>
      </w:r>
      <w:r>
        <w:t xml:space="preserve"> </w:t>
      </w:r>
      <w:r>
        <w:rPr>
          <w:bCs/>
          <w:b/>
        </w:rPr>
        <w:t xml:space="preserve">September 2026</w:t>
      </w:r>
      <w:r>
        <w:t xml:space="preserve"> </w:t>
      </w:r>
      <w:r>
        <w:t xml:space="preserve">aboard a GSLV Mk II. Once operational, its high-resolution geostationary imaging would enable multiple-times-per-day monitoring of crop-relevant events such as flash floods, cyclone damage, and rapid vegetation-condition change — complementing the twice-daily overpass limitations of polar orbiters.</w:t>
      </w:r>
    </w:p>
    <w:p>
      <w:pPr>
        <w:pStyle w:val="Compact"/>
        <w:numPr>
          <w:ilvl w:val="0"/>
          <w:numId w:val="1062"/>
        </w:numPr>
      </w:pPr>
      <w:r>
        <w:rPr>
          <w:bCs/>
          <w:b/>
        </w:rPr>
        <w:t xml:space="preserve">EOS-08, EOS-09</w:t>
      </w:r>
      <w:r>
        <w:t xml:space="preserve"> </w:t>
      </w:r>
      <w:r>
        <w:t xml:space="preserve">and further EOS-series satellites continue to expand SAR, optical, and technology-demonstration payload capacity, with agriculture, disaster management, and natural-resource monitoring listed among ISRO’s stated application objectives for the series.</w:t>
      </w:r>
    </w:p>
    <w:p>
      <w:pPr>
        <w:pStyle w:val="Heading2"/>
      </w:pPr>
      <w:r>
        <w:t xml:space="preserve">9.11 Upcoming Flagship Missions</w:t>
      </w:r>
    </w:p>
    <w:p>
      <w:pPr>
        <w:pStyle w:val="Heading3"/>
      </w:pPr>
      <w:r>
        <w:t xml:space="preserve">9.11.1 NISAR (NASA-ISRO Synthetic Aperture Radar)</w:t>
      </w:r>
    </w:p>
    <w:p>
      <w:pPr>
        <w:pStyle w:val="FirstParagraph"/>
      </w:pPr>
      <w:r>
        <w:t xml:space="preserve">NISAR, a joint NASA-ISRO mission,</w:t>
      </w:r>
      <w:r>
        <w:t xml:space="preserve"> </w:t>
      </w:r>
      <w:r>
        <w:rPr>
          <w:bCs/>
          <w:b/>
        </w:rPr>
        <w:t xml:space="preserve">launched 30 July 2025</w:t>
      </w:r>
      <w:r>
        <w:t xml:space="preserve"> </w:t>
      </w:r>
      <w:r>
        <w:t xml:space="preserve">from Satish Dhawan Space Centre aboard a</w:t>
      </w:r>
      <w:r>
        <w:t xml:space="preserve"> </w:t>
      </w:r>
      <w:r>
        <w:rPr>
          <w:bCs/>
          <w:b/>
        </w:rPr>
        <w:t xml:space="preserve">GSLV Mk II (GSLV-F16)</w:t>
      </w:r>
      <w:r>
        <w:t xml:space="preserve">, is the first satellite to carry both</w:t>
      </w:r>
      <w:r>
        <w:t xml:space="preserve"> </w:t>
      </w:r>
      <w:r>
        <w:rPr>
          <w:bCs/>
          <w:b/>
        </w:rPr>
        <w:t xml:space="preserve">L-band (1.257 GHz, ~24 cm wavelength)</w:t>
      </w:r>
      <w:r>
        <w:t xml:space="preserve"> </w:t>
      </w:r>
      <w:r>
        <w:t xml:space="preserve">and</w:t>
      </w:r>
      <w:r>
        <w:t xml:space="preserve"> </w:t>
      </w:r>
      <w:r>
        <w:rPr>
          <w:bCs/>
          <w:b/>
        </w:rPr>
        <w:t xml:space="preserve">S-band (3.2 GHz, ~12 cm wavelength)</w:t>
      </w:r>
      <w:r>
        <w:t xml:space="preserve"> </w:t>
      </w:r>
      <w:r>
        <w:t xml:space="preserve">SAR on a single platform (NASA supplying the L-band SAR and spacecraft bus elements, ISRO supplying the S-band SAR and launch vehicle).</w:t>
      </w:r>
    </w:p>
    <w:p>
      <w:pPr>
        <w:pStyle w:val="Compact"/>
        <w:numPr>
          <w:ilvl w:val="0"/>
          <w:numId w:val="1063"/>
        </w:numPr>
      </w:pPr>
      <w:r>
        <w:rPr>
          <w:bCs/>
          <w:b/>
        </w:rPr>
        <w:t xml:space="preserve">Resolution:</w:t>
      </w:r>
      <w:r>
        <w:t xml:space="preserve"> </w:t>
      </w:r>
      <w:r>
        <w:t xml:space="preserve">~3–48 m depending on mode (both bands); ~7 m azimuth resolution in standard modes</w:t>
      </w:r>
    </w:p>
    <w:p>
      <w:pPr>
        <w:pStyle w:val="Compact"/>
        <w:numPr>
          <w:ilvl w:val="0"/>
          <w:numId w:val="1063"/>
        </w:numPr>
      </w:pPr>
      <w:r>
        <w:rPr>
          <w:bCs/>
          <w:b/>
        </w:rPr>
        <w:t xml:space="preserve">Swath:</w:t>
      </w:r>
      <w:r>
        <w:t xml:space="preserve"> </w:t>
      </w:r>
      <w:r>
        <w:t xml:space="preserve">&gt;240 km (both frequencies)</w:t>
      </w:r>
    </w:p>
    <w:p>
      <w:pPr>
        <w:pStyle w:val="Compact"/>
        <w:numPr>
          <w:ilvl w:val="0"/>
          <w:numId w:val="1063"/>
        </w:numPr>
      </w:pPr>
      <w:r>
        <w:rPr>
          <w:bCs/>
          <w:b/>
        </w:rPr>
        <w:t xml:space="preserve">Orbit:</w:t>
      </w:r>
      <w:r>
        <w:t xml:space="preserve"> </w:t>
      </w:r>
      <w:r>
        <w:t xml:space="preserve">Sun-synchronous, ~747 km altitude, 98.4° inclination</w:t>
      </w:r>
    </w:p>
    <w:p>
      <w:pPr>
        <w:pStyle w:val="Compact"/>
        <w:numPr>
          <w:ilvl w:val="0"/>
          <w:numId w:val="1063"/>
        </w:numPr>
      </w:pPr>
      <w:r>
        <w:rPr>
          <w:bCs/>
          <w:b/>
        </w:rPr>
        <w:t xml:space="preserve">Repeat cycle:</w:t>
      </w:r>
      <w:r>
        <w:t xml:space="preserve"> </w:t>
      </w:r>
      <w:r>
        <w:t xml:space="preserve">12 days (global coverage)</w:t>
      </w:r>
    </w:p>
    <w:p>
      <w:pPr>
        <w:pStyle w:val="Compact"/>
        <w:numPr>
          <w:ilvl w:val="0"/>
          <w:numId w:val="1063"/>
        </w:numPr>
      </w:pPr>
      <w:r>
        <w:rPr>
          <w:bCs/>
          <w:b/>
        </w:rPr>
        <w:t xml:space="preserve">Mission life:</w:t>
      </w:r>
      <w:r>
        <w:t xml:space="preserve"> </w:t>
      </w:r>
      <w:r>
        <w:t xml:space="preserve">3 years nominal, with extended-mission fuel reserve</w:t>
      </w:r>
    </w:p>
    <w:p>
      <w:pPr>
        <w:pStyle w:val="FirstParagraph"/>
      </w:pPr>
      <w:r>
        <w:rPr>
          <w:bCs/>
          <w:b/>
        </w:rPr>
        <w:t xml:space="preserve">Agricultural relevance:</w:t>
      </w:r>
      <w:r>
        <w:t xml:space="preserve"> </w:t>
      </w:r>
      <w:r>
        <w:t xml:space="preserve">NISAR’s dual-frequency, fully polarimetric SAR is designed explicitly for biomass and vegetation structure change detection (L-band penetrates deeper into canopy, sensitive to woody biomass and larger vegetation structures, while S-band — closer to C-band — is more sensitive to leafy/agricultural canopies and is particularly useful for soil moisture retrieval). Its consistent 12-day global repeat with sub-centimeter interferometric precision supports: above-ground biomass estimation, crop-type and crop-structure classification via dual-frequency/dual-polarization synergy, soil moisture time series at moderate resolution, surface-water extent and flood mapping over cropland, and land-surface deformation monitoring (relevant to groundwater-extraction-linked subsidence in intensively irrigated regions). This represents a major capability leap for India — S-band SAR data at this systematic global-repeat scale has not previously been available operationally.</w:t>
      </w:r>
    </w:p>
    <w:p>
      <w:pPr>
        <w:pStyle w:val="Heading3"/>
      </w:pPr>
      <w:r>
        <w:t xml:space="preserve">9.11.2 TRISHNA (Thermal infraRed Imaging Satellite for High-resolution Natural resource Assessment)</w:t>
      </w:r>
    </w:p>
    <w:p>
      <w:pPr>
        <w:pStyle w:val="FirstParagraph"/>
      </w:pPr>
      <w:r>
        <w:t xml:space="preserve">TRISHNA is a joint</w:t>
      </w:r>
      <w:r>
        <w:t xml:space="preserve"> </w:t>
      </w:r>
      <w:r>
        <w:rPr>
          <w:bCs/>
          <w:b/>
        </w:rPr>
        <w:t xml:space="preserve">ISRO-CNES (France)</w:t>
      </w:r>
      <w:r>
        <w:t xml:space="preserve"> </w:t>
      </w:r>
      <w:r>
        <w:t xml:space="preserve">mission dedicated to high-resolution thermal infrared Earth observation, with a stated launch window currently targeting around 2027.</w:t>
      </w:r>
    </w:p>
    <w:p>
      <w:pPr>
        <w:pStyle w:val="Compact"/>
        <w:numPr>
          <w:ilvl w:val="0"/>
          <w:numId w:val="1064"/>
        </w:numPr>
      </w:pPr>
      <w:r>
        <w:rPr>
          <w:bCs/>
          <w:b/>
        </w:rPr>
        <w:t xml:space="preserve">Thermal bands:</w:t>
      </w:r>
      <w:r>
        <w:t xml:space="preserve"> </w:t>
      </w:r>
      <w:r>
        <w:t xml:space="preserve">4 TIR channels in the 8–12 µm range (central wavelengths ~8.65, 9.0, 10.6, 11.6 µm)</w:t>
      </w:r>
    </w:p>
    <w:p>
      <w:pPr>
        <w:pStyle w:val="Compact"/>
        <w:numPr>
          <w:ilvl w:val="0"/>
          <w:numId w:val="1064"/>
        </w:numPr>
      </w:pPr>
      <w:r>
        <w:rPr>
          <w:bCs/>
          <w:b/>
        </w:rPr>
        <w:t xml:space="preserve">Spatial resolution:</w:t>
      </w:r>
      <w:r>
        <w:t xml:space="preserve"> </w:t>
      </w:r>
      <w:r>
        <w:t xml:space="preserve">~57 m at nadir over land (up to 90 m off-nadir); ~1 km over ocean</w:t>
      </w:r>
    </w:p>
    <w:p>
      <w:pPr>
        <w:pStyle w:val="Compact"/>
        <w:numPr>
          <w:ilvl w:val="0"/>
          <w:numId w:val="1064"/>
        </w:numPr>
      </w:pPr>
      <w:r>
        <w:rPr>
          <w:bCs/>
          <w:b/>
        </w:rPr>
        <w:t xml:space="preserve">Swath:</w:t>
      </w:r>
      <w:r>
        <w:t xml:space="preserve"> </w:t>
      </w:r>
      <w:r>
        <w:t xml:space="preserve">~1026 km, ±34° scan angle</w:t>
      </w:r>
    </w:p>
    <w:p>
      <w:pPr>
        <w:pStyle w:val="Compact"/>
        <w:numPr>
          <w:ilvl w:val="0"/>
          <w:numId w:val="1064"/>
        </w:numPr>
      </w:pPr>
      <w:r>
        <w:rPr>
          <w:bCs/>
          <w:b/>
        </w:rPr>
        <w:t xml:space="preserve">Revisit:</w:t>
      </w:r>
      <w:r>
        <w:t xml:space="preserve"> </w:t>
      </w:r>
      <w:r>
        <w:t xml:space="preserve">3 passes per 8-day orbital repeat cycle (multiple viewing geometries), giving global revisit at least every 3 days</w:t>
      </w:r>
    </w:p>
    <w:p>
      <w:pPr>
        <w:pStyle w:val="FirstParagraph"/>
      </w:pPr>
      <w:r>
        <w:rPr>
          <w:bCs/>
          <w:b/>
        </w:rPr>
        <w:t xml:space="preserve">Agricultural relevance:</w:t>
      </w:r>
      <w:r>
        <w:t xml:space="preserve"> </w:t>
      </w:r>
      <w:r>
        <w:t xml:space="preserve">TRISHNA is explicitly designed to fill the gap in high-spatial/high-temporal-resolution Land Surface Temperature (LST) data. Existing thermal sensors offer either high resolution but poor revisit (Landsat TIRS: 100 m, 16-day) or high revisit but coarse resolution (MODIS LST: 1 km, daily). TRISHNA’s combination of ~57 m resolution and sub-weekly revisit is intended to enable field-scale evapotranspiration (ET) mapping (using energy-balance models such as SEBAL/METRIC/SEBS driven by LST), crop water-stress detection, irrigation-scheduling support and irrigation-efficiency auditing, and drought/water-resource assessment — directly addressing the stated mission objective of improving water-use efficiency in agriculture, which consumes roughly 70% of freshwater withdrawal in India and globally.</w:t>
      </w:r>
    </w:p>
    <w:p>
      <w:pPr>
        <w:pStyle w:val="Heading3"/>
      </w:pPr>
      <w:r>
        <w:t xml:space="preserve">9.11.3 GISAT-1A / INSAT-3DS Context</w:t>
      </w:r>
    </w:p>
    <w:p>
      <w:pPr>
        <w:pStyle w:val="FirstParagraph"/>
      </w:pPr>
      <w:r>
        <w:t xml:space="preserve">As noted in the relevant chapter, GISAT-1A (geostationary high-resolution imaging) is ISRO’s answer to near-real-time, multiple-times-daily monitoring — valuable for rapidly evolving agricultural risk events (flash floods, hailstorms, cyclone impact on standing crops) that polar-orbiting satellites, with their fixed once- or twice-daily overpass times, cannot capture promptly. INSAT-3DS (2024) continues to provide the geostationary meteorological backbone (rainfall, LST, atmospheric profiles) feeding agromet advisory services, pending GISAT-1A’s operational high-resolution imaging capability.</w:t>
      </w:r>
    </w:p>
    <w:p>
      <w:pPr>
        <w:pStyle w:val="Heading2"/>
      </w:pPr>
      <w:r>
        <w:t xml:space="preserve">9.12 Complementary International Missions</w:t>
      </w:r>
    </w:p>
    <w:p>
      <w:pPr>
        <w:pStyle w:val="FirstParagraph"/>
      </w:pPr>
      <w:r>
        <w:t xml:space="preserve">ISRO data is routinely used alongside international EO missions in Indian crop-monitoring and research workflows, both for cross-calibration/validation and to fill temporal/spectral gaps:</w:t>
      </w:r>
    </w:p>
    <w:p>
      <w:pPr>
        <w:pStyle w:val="Compact"/>
        <w:numPr>
          <w:ilvl w:val="0"/>
          <w:numId w:val="1065"/>
        </w:numPr>
      </w:pPr>
      <w:r>
        <w:rPr>
          <w:bCs/>
          <w:b/>
        </w:rPr>
        <w:t xml:space="preserve">Landsat 8/9 (OLI/TIRS, NASA-USGS):</w:t>
      </w:r>
      <w:r>
        <w:t xml:space="preserve"> </w:t>
      </w:r>
      <w:r>
        <w:t xml:space="preserve">30 m multispectral (11 bands), 15 m panchromatic, 100 m thermal (resampled to 30 m); 16-day revisit per satellite, 8-day combined. Long historical archive (since Landsat 1, 1972) makes it invaluable for multi-decadal land-use/cropland-change analysis, often fused with Resourcesat LISS data given similar resolution class.</w:t>
      </w:r>
    </w:p>
    <w:p>
      <w:pPr>
        <w:pStyle w:val="Compact"/>
        <w:numPr>
          <w:ilvl w:val="0"/>
          <w:numId w:val="1065"/>
        </w:numPr>
      </w:pPr>
      <w:r>
        <w:rPr>
          <w:bCs/>
          <w:b/>
        </w:rPr>
        <w:t xml:space="preserve">Sentinel-2 (MSI, ESA/Copernicus):</w:t>
      </w:r>
      <w:r>
        <w:t xml:space="preserve"> </w:t>
      </w:r>
      <w:r>
        <w:t xml:space="preserve">13 spectral bands at 10 m (visible/NIR), 20 m (red-edge/SWIR), and 60 m (atmospheric) resolution; 5-day revisit with the twin-satellite constellation. Its red-edge bands (705, 740, 783 nm) are particularly valuable for crop chlorophyll/nitrogen-status estimation, complementing LISS-IV/AWiFS which lack red-edge channels.</w:t>
      </w:r>
    </w:p>
    <w:p>
      <w:pPr>
        <w:pStyle w:val="Compact"/>
        <w:numPr>
          <w:ilvl w:val="0"/>
          <w:numId w:val="1065"/>
        </w:numPr>
      </w:pPr>
      <w:r>
        <w:rPr>
          <w:bCs/>
          <w:b/>
        </w:rPr>
        <w:t xml:space="preserve">Sentinel-1 (C-band SAR, ESA/Copernicus):</w:t>
      </w:r>
      <w:r>
        <w:t xml:space="preserve"> </w:t>
      </w:r>
      <w:r>
        <w:t xml:space="preserve">~5 m × 20 m (Interferometric Wide swath mode) resolution, 250 km swath; historically 6-day revisit with the Sentinel-1A/1B pair, degraded to 12 days after Sentinel-1B’s loss in 2021, and being restored toward the twin-satellite cadence with Sentinel-1C and Sentinel-1D now operational. Sentinel-1 data are widely fused with RISAT/EOS-04 C-band data for rice mapping and soil moisture retrieval, given comparable frequency band.</w:t>
      </w:r>
    </w:p>
    <w:p>
      <w:pPr>
        <w:pStyle w:val="Compact"/>
        <w:numPr>
          <w:ilvl w:val="0"/>
          <w:numId w:val="1065"/>
        </w:numPr>
      </w:pPr>
      <w:r>
        <w:rPr>
          <w:bCs/>
          <w:b/>
        </w:rPr>
        <w:t xml:space="preserve">MODIS (Terra/Aqua, NASA):</w:t>
      </w:r>
      <w:r>
        <w:t xml:space="preserve"> </w:t>
      </w:r>
      <w:r>
        <w:t xml:space="preserve">250 m/500 m/1000 m resolution, daily global revisit; the standard source for coarse-resolution, high-frequency vegetation index (NDVI/EVI) and land surface temperature products used in large-area drought monitoring, often used to benchmark or gap-fill AWiFS/OCM-3 products.</w:t>
      </w:r>
    </w:p>
    <w:p>
      <w:pPr>
        <w:pStyle w:val="Compact"/>
        <w:numPr>
          <w:ilvl w:val="0"/>
          <w:numId w:val="1065"/>
        </w:numPr>
      </w:pPr>
      <w:r>
        <w:rPr>
          <w:bCs/>
          <w:b/>
        </w:rPr>
        <w:t xml:space="preserve">SMAP (Soil Moisture Active Passive, NASA) and SMOS (ESA):</w:t>
      </w:r>
      <w:r>
        <w:t xml:space="preserve"> </w:t>
      </w:r>
      <w:r>
        <w:t xml:space="preserve">L-band radiometers (SMAP additionally had an L-band radar, now defunct) retrieving surface soil moisture at ~9–36 km (SMAP) and ~35–50 km (SMOS) resolution with 2–3 day revisit; used to validate and downscale the finer-resolution but less frequent SAR-derived (EOS-04, Sentinel-1, NISAR) soil moisture products.</w:t>
      </w:r>
    </w:p>
    <w:p>
      <w:pPr>
        <w:pStyle w:val="FirstParagraph"/>
      </w:pPr>
      <w:r>
        <w:t xml:space="preserve">The general pattern in Indian agricultural remote sensing practice is: ISRO’s Resourcesat/EOS series and INSAT provide the primary, continuous, sovereign operational data stream for national programmes (FASAL, NADAMS, GKMS), while Sentinel-1/2, Landsat, and MODIS are used for methodological cross-validation, gap-filling during data outages, higher-frequency or longer-historical-baseline analysis, and in research contexts requiring capabilities not present on the equivalent-resolution Indian sensor.</w:t>
      </w:r>
    </w:p>
    <w:p>
      <w:pPr>
        <w:pStyle w:val="Heading2"/>
      </w:pPr>
      <w:r>
        <w:t xml:space="preserve">9.13 Comparative Summary Tables</w:t>
      </w:r>
    </w:p>
    <w:p>
      <w:pPr>
        <w:pStyle w:val="Heading3"/>
      </w:pPr>
      <w:r>
        <w:t xml:space="preserve">9.13.1 Table 1: ISRO Optical and Hyperspectral Sensors for Agriculture</w:t>
      </w:r>
    </w:p>
    <w:tbl>
      <w:tblPr>
        <w:tblStyle w:val="Table"/>
        <w:tblW w:type="pct" w:w="4962"/>
        <w:jc w:val="left"/>
        <w:tblLook w:firstRow="1" w:lastRow="0" w:firstColumn="0" w:lastColumn="0" w:noHBand="0" w:noVBand="0" w:val="0020"/>
      </w:tblPr>
      <w:tblGrid>
        <w:gridCol w:w="967"/>
        <w:gridCol w:w="513"/>
        <w:gridCol w:w="937"/>
        <w:gridCol w:w="906"/>
        <w:gridCol w:w="1209"/>
        <w:gridCol w:w="1239"/>
        <w:gridCol w:w="2085"/>
      </w:tblGrid>
      <w:tr>
        <w:trPr>
          <w:tblHeader w:val="true"/>
        </w:trPr>
        <w:tc>
          <w:tcPr/>
          <w:p>
            <w:pPr>
              <w:pStyle w:val="Compact"/>
              <w:jc w:val="left"/>
            </w:pPr>
            <w:r>
              <w:t xml:space="preserve">Mission / Sensor</w:t>
            </w:r>
          </w:p>
        </w:tc>
        <w:tc>
          <w:tcPr/>
          <w:p>
            <w:pPr>
              <w:pStyle w:val="Compact"/>
              <w:jc w:val="left"/>
            </w:pPr>
            <w:r>
              <w:t xml:space="preserve">Launch</w:t>
            </w:r>
          </w:p>
        </w:tc>
        <w:tc>
          <w:tcPr/>
          <w:p>
            <w:pPr>
              <w:pStyle w:val="Compact"/>
              <w:jc w:val="left"/>
            </w:pPr>
            <w:r>
              <w:t xml:space="preserve">Spatial Resolution</w:t>
            </w:r>
          </w:p>
        </w:tc>
        <w:tc>
          <w:tcPr/>
          <w:p>
            <w:pPr>
              <w:pStyle w:val="Compact"/>
              <w:jc w:val="left"/>
            </w:pPr>
            <w:r>
              <w:t xml:space="preserve">Swath</w:t>
            </w:r>
          </w:p>
        </w:tc>
        <w:tc>
          <w:tcPr/>
          <w:p>
            <w:pPr>
              <w:pStyle w:val="Compact"/>
              <w:jc w:val="left"/>
            </w:pPr>
            <w:r>
              <w:t xml:space="preserve">Revisit</w:t>
            </w:r>
          </w:p>
        </w:tc>
        <w:tc>
          <w:tcPr/>
          <w:p>
            <w:pPr>
              <w:pStyle w:val="Compact"/>
              <w:jc w:val="left"/>
            </w:pPr>
            <w:r>
              <w:t xml:space="preserve">Spectral Bands</w:t>
            </w:r>
          </w:p>
        </w:tc>
        <w:tc>
          <w:tcPr/>
          <w:p>
            <w:pPr>
              <w:pStyle w:val="Compact"/>
              <w:jc w:val="left"/>
            </w:pPr>
            <w:r>
              <w:t xml:space="preserve">Key Agricultural Application</w:t>
            </w:r>
          </w:p>
        </w:tc>
      </w:tr>
      <w:tr>
        <w:tc>
          <w:tcPr/>
          <w:p>
            <w:pPr>
              <w:pStyle w:val="Compact"/>
              <w:jc w:val="left"/>
            </w:pPr>
            <w:r>
              <w:t xml:space="preserve">Resourcesat-2/2A — AWiFS</w:t>
            </w:r>
          </w:p>
        </w:tc>
        <w:tc>
          <w:tcPr/>
          <w:p>
            <w:pPr>
              <w:pStyle w:val="Compact"/>
              <w:jc w:val="left"/>
            </w:pPr>
            <w:r>
              <w:t xml:space="preserve">2011 / 2016</w:t>
            </w:r>
          </w:p>
        </w:tc>
        <w:tc>
          <w:tcPr/>
          <w:p>
            <w:pPr>
              <w:pStyle w:val="Compact"/>
              <w:jc w:val="left"/>
            </w:pPr>
            <w:r>
              <w:t xml:space="preserve">56 m (70 m edge)</w:t>
            </w:r>
          </w:p>
        </w:tc>
        <w:tc>
          <w:tcPr/>
          <w:p>
            <w:pPr>
              <w:pStyle w:val="Compact"/>
              <w:jc w:val="left"/>
            </w:pPr>
            <w:r>
              <w:t xml:space="preserve">740 km</w:t>
            </w:r>
          </w:p>
        </w:tc>
        <w:tc>
          <w:tcPr/>
          <w:p>
            <w:pPr>
              <w:pStyle w:val="Compact"/>
              <w:jc w:val="left"/>
            </w:pPr>
            <w:r>
              <w:t xml:space="preserve">5 days (~2–3 days constellation)</w:t>
            </w:r>
          </w:p>
        </w:tc>
        <w:tc>
          <w:tcPr/>
          <w:p>
            <w:pPr>
              <w:pStyle w:val="Compact"/>
              <w:jc w:val="left"/>
            </w:pPr>
            <w:r>
              <w:t xml:space="preserve">3–4 (VIS–SWIR)</w:t>
            </w:r>
          </w:p>
        </w:tc>
        <w:tc>
          <w:tcPr/>
          <w:p>
            <w:pPr>
              <w:pStyle w:val="Compact"/>
              <w:jc w:val="left"/>
            </w:pPr>
            <w:r>
              <w:t xml:space="preserve">National/state crop acreage &amp; condition monitoring (FASAL, NADAMS)</w:t>
            </w:r>
          </w:p>
        </w:tc>
      </w:tr>
      <w:tr>
        <w:tc>
          <w:tcPr/>
          <w:p>
            <w:pPr>
              <w:pStyle w:val="Compact"/>
              <w:jc w:val="left"/>
            </w:pPr>
            <w:r>
              <w:t xml:space="preserve">Resourcesat-2/2A — LISS-III</w:t>
            </w:r>
          </w:p>
        </w:tc>
        <w:tc>
          <w:tcPr/>
          <w:p>
            <w:pPr>
              <w:pStyle w:val="Compact"/>
              <w:jc w:val="left"/>
            </w:pPr>
            <w:r>
              <w:t xml:space="preserve">2011 / 2016</w:t>
            </w:r>
          </w:p>
        </w:tc>
        <w:tc>
          <w:tcPr/>
          <w:p>
            <w:pPr>
              <w:pStyle w:val="Compact"/>
              <w:jc w:val="left"/>
            </w:pPr>
            <w:r>
              <w:t xml:space="preserve">23.5 m</w:t>
            </w:r>
          </w:p>
        </w:tc>
        <w:tc>
          <w:tcPr/>
          <w:p>
            <w:pPr>
              <w:pStyle w:val="Compact"/>
              <w:jc w:val="left"/>
            </w:pPr>
            <w:r>
              <w:t xml:space="preserve">141 km</w:t>
            </w:r>
          </w:p>
        </w:tc>
        <w:tc>
          <w:tcPr/>
          <w:p>
            <w:pPr>
              <w:pStyle w:val="Compact"/>
              <w:jc w:val="left"/>
            </w:pPr>
            <w:r>
              <w:t xml:space="preserve">24 days (~12–13 days constellation)</w:t>
            </w:r>
          </w:p>
        </w:tc>
        <w:tc>
          <w:tcPr/>
          <w:p>
            <w:pPr>
              <w:pStyle w:val="Compact"/>
              <w:jc w:val="left"/>
            </w:pPr>
            <w:r>
              <w:t xml:space="preserve">4 (Green–SWIR)</w:t>
            </w:r>
          </w:p>
        </w:tc>
        <w:tc>
          <w:tcPr/>
          <w:p>
            <w:pPr>
              <w:pStyle w:val="Compact"/>
              <w:jc w:val="left"/>
            </w:pPr>
            <w:r>
              <w:t xml:space="preserve">District/block crop classification, cropping intensity</w:t>
            </w:r>
          </w:p>
        </w:tc>
      </w:tr>
      <w:tr>
        <w:tc>
          <w:tcPr/>
          <w:p>
            <w:pPr>
              <w:pStyle w:val="Compact"/>
              <w:jc w:val="left"/>
            </w:pPr>
            <w:r>
              <w:t xml:space="preserve">Resourcesat-2/2A — LISS-IV</w:t>
            </w:r>
          </w:p>
        </w:tc>
        <w:tc>
          <w:tcPr/>
          <w:p>
            <w:pPr>
              <w:pStyle w:val="Compact"/>
              <w:jc w:val="left"/>
            </w:pPr>
            <w:r>
              <w:t xml:space="preserve">2011 / 2016</w:t>
            </w:r>
          </w:p>
        </w:tc>
        <w:tc>
          <w:tcPr/>
          <w:p>
            <w:pPr>
              <w:pStyle w:val="Compact"/>
              <w:jc w:val="left"/>
            </w:pPr>
            <w:r>
              <w:t xml:space="preserve">5.8 m</w:t>
            </w:r>
          </w:p>
        </w:tc>
        <w:tc>
          <w:tcPr/>
          <w:p>
            <w:pPr>
              <w:pStyle w:val="Compact"/>
              <w:jc w:val="left"/>
            </w:pPr>
            <w:r>
              <w:t xml:space="preserve">70 km (mono) / 23.9 km (MX)</w:t>
            </w:r>
          </w:p>
        </w:tc>
        <w:tc>
          <w:tcPr/>
          <w:p>
            <w:pPr>
              <w:pStyle w:val="Compact"/>
              <w:jc w:val="left"/>
            </w:pPr>
            <w:r>
              <w:t xml:space="preserve">24 days (5 days with steering)</w:t>
            </w:r>
          </w:p>
        </w:tc>
        <w:tc>
          <w:tcPr/>
          <w:p>
            <w:pPr>
              <w:pStyle w:val="Compact"/>
              <w:jc w:val="left"/>
            </w:pPr>
            <w:r>
              <w:t xml:space="preserve">3 (Green–NIR)</w:t>
            </w:r>
          </w:p>
        </w:tc>
        <w:tc>
          <w:tcPr/>
          <w:p>
            <w:pPr>
              <w:pStyle w:val="Compact"/>
              <w:jc w:val="left"/>
            </w:pPr>
            <w:r>
              <w:t xml:space="preserve">Field-level crop discrimination, horticulture, crop insurance</w:t>
            </w:r>
          </w:p>
        </w:tc>
      </w:tr>
      <w:tr>
        <w:tc>
          <w:tcPr/>
          <w:p>
            <w:pPr>
              <w:pStyle w:val="Compact"/>
              <w:jc w:val="left"/>
            </w:pPr>
            <w:r>
              <w:t xml:space="preserve">Cartosat-1</w:t>
            </w:r>
          </w:p>
        </w:tc>
        <w:tc>
          <w:tcPr/>
          <w:p>
            <w:pPr>
              <w:pStyle w:val="Compact"/>
              <w:jc w:val="left"/>
            </w:pPr>
            <w:r>
              <w:t xml:space="preserve">2005</w:t>
            </w:r>
          </w:p>
        </w:tc>
        <w:tc>
          <w:tcPr/>
          <w:p>
            <w:pPr>
              <w:pStyle w:val="Compact"/>
              <w:jc w:val="left"/>
            </w:pPr>
            <w:r>
              <w:t xml:space="preserve">2.5 m (stereo)</w:t>
            </w:r>
          </w:p>
        </w:tc>
        <w:tc>
          <w:tcPr/>
          <w:p>
            <w:pPr>
              <w:pStyle w:val="Compact"/>
              <w:jc w:val="left"/>
            </w:pPr>
            <w:r>
              <w:t xml:space="preserve">30 km</w:t>
            </w:r>
          </w:p>
        </w:tc>
        <w:tc>
          <w:tcPr/>
          <w:p>
            <w:pPr>
              <w:pStyle w:val="Compact"/>
              <w:jc w:val="left"/>
            </w:pPr>
            <w:r>
              <w:t xml:space="preserve">~5 days</w:t>
            </w:r>
          </w:p>
        </w:tc>
        <w:tc>
          <w:tcPr/>
          <w:p>
            <w:pPr>
              <w:pStyle w:val="Compact"/>
              <w:jc w:val="left"/>
            </w:pPr>
            <w:r>
              <w:t xml:space="preserve">Panchromatic</w:t>
            </w:r>
          </w:p>
        </w:tc>
        <w:tc>
          <w:tcPr/>
          <w:p>
            <w:pPr>
              <w:pStyle w:val="Compact"/>
              <w:jc w:val="left"/>
            </w:pPr>
            <w:r>
              <w:t xml:space="preserve">DEM for watershed/irrigation planning</w:t>
            </w:r>
          </w:p>
        </w:tc>
      </w:tr>
      <w:tr>
        <w:tc>
          <w:tcPr/>
          <w:p>
            <w:pPr>
              <w:pStyle w:val="Compact"/>
              <w:jc w:val="left"/>
            </w:pPr>
            <w:r>
              <w:t xml:space="preserve">Cartosat-2 series</w:t>
            </w:r>
          </w:p>
        </w:tc>
        <w:tc>
          <w:tcPr/>
          <w:p>
            <w:pPr>
              <w:pStyle w:val="Compact"/>
              <w:jc w:val="left"/>
            </w:pPr>
            <w:r>
              <w:t xml:space="preserve">2007–2018</w:t>
            </w:r>
          </w:p>
        </w:tc>
        <w:tc>
          <w:tcPr/>
          <w:p>
            <w:pPr>
              <w:pStyle w:val="Compact"/>
              <w:jc w:val="left"/>
            </w:pPr>
            <w:r>
              <w:t xml:space="preserve">~0.8–1 m</w:t>
            </w:r>
          </w:p>
        </w:tc>
        <w:tc>
          <w:tcPr/>
          <w:p>
            <w:pPr>
              <w:pStyle w:val="Compact"/>
              <w:jc w:val="left"/>
            </w:pPr>
            <w:r>
              <w:t xml:space="preserve">9.6 km</w:t>
            </w:r>
          </w:p>
        </w:tc>
        <w:tc>
          <w:tcPr/>
          <w:p>
            <w:pPr>
              <w:pStyle w:val="Compact"/>
              <w:jc w:val="left"/>
            </w:pPr>
            <w:r>
              <w:t xml:space="preserve">Agile, ~4–5 days</w:t>
            </w:r>
          </w:p>
        </w:tc>
        <w:tc>
          <w:tcPr/>
          <w:p>
            <w:pPr>
              <w:pStyle w:val="Compact"/>
              <w:jc w:val="left"/>
            </w:pPr>
            <w:r>
              <w:t xml:space="preserve">Panchromatic</w:t>
            </w:r>
          </w:p>
        </w:tc>
        <w:tc>
          <w:tcPr/>
          <w:p>
            <w:pPr>
              <w:pStyle w:val="Compact"/>
              <w:jc w:val="left"/>
            </w:pPr>
            <w:r>
              <w:t xml:space="preserve">Field boundary, farm infrastructure mapping</w:t>
            </w:r>
          </w:p>
        </w:tc>
      </w:tr>
      <w:tr>
        <w:tc>
          <w:tcPr/>
          <w:p>
            <w:pPr>
              <w:pStyle w:val="Compact"/>
              <w:jc w:val="left"/>
            </w:pPr>
            <w:r>
              <w:t xml:space="preserve">Cartosat-3</w:t>
            </w:r>
          </w:p>
        </w:tc>
        <w:tc>
          <w:tcPr/>
          <w:p>
            <w:pPr>
              <w:pStyle w:val="Compact"/>
              <w:jc w:val="left"/>
            </w:pPr>
            <w:r>
              <w:t xml:space="preserve">2019</w:t>
            </w:r>
          </w:p>
        </w:tc>
        <w:tc>
          <w:tcPr/>
          <w:p>
            <w:pPr>
              <w:pStyle w:val="Compact"/>
              <w:jc w:val="left"/>
            </w:pPr>
            <w:r>
              <w:t xml:space="preserve">0.25 m (PAN) / 1 m (MX)</w:t>
            </w:r>
          </w:p>
        </w:tc>
        <w:tc>
          <w:tcPr/>
          <w:p>
            <w:pPr>
              <w:pStyle w:val="Compact"/>
              <w:jc w:val="left"/>
            </w:pPr>
            <w:r>
              <w:t xml:space="preserve">16 km</w:t>
            </w:r>
          </w:p>
        </w:tc>
        <w:tc>
          <w:tcPr/>
          <w:p>
            <w:pPr>
              <w:pStyle w:val="Compact"/>
              <w:jc w:val="left"/>
            </w:pPr>
            <w:r>
              <w:t xml:space="preserve">Agile</w:t>
            </w:r>
          </w:p>
        </w:tc>
        <w:tc>
          <w:tcPr/>
          <w:p>
            <w:pPr>
              <w:pStyle w:val="Compact"/>
              <w:jc w:val="left"/>
            </w:pPr>
            <w:r>
              <w:t xml:space="preserve">PAN + 4 (MX)</w:t>
            </w:r>
          </w:p>
        </w:tc>
        <w:tc>
          <w:tcPr/>
          <w:p>
            <w:pPr>
              <w:pStyle w:val="Compact"/>
              <w:jc w:val="left"/>
            </w:pPr>
            <w:r>
              <w:t xml:space="preserve">Cadastral/parcel-level infrastructure audit</w:t>
            </w:r>
          </w:p>
        </w:tc>
      </w:tr>
      <w:tr>
        <w:tc>
          <w:tcPr/>
          <w:p>
            <w:pPr>
              <w:pStyle w:val="Compact"/>
              <w:jc w:val="left"/>
            </w:pPr>
            <w:r>
              <w:t xml:space="preserve">HysIS</w:t>
            </w:r>
          </w:p>
        </w:tc>
        <w:tc>
          <w:tcPr/>
          <w:p>
            <w:pPr>
              <w:pStyle w:val="Compact"/>
              <w:jc w:val="left"/>
            </w:pPr>
            <w:r>
              <w:t xml:space="preserve">2018</w:t>
            </w:r>
          </w:p>
        </w:tc>
        <w:tc>
          <w:tcPr/>
          <w:p>
            <w:pPr>
              <w:pStyle w:val="Compact"/>
              <w:jc w:val="left"/>
            </w:pPr>
            <w:r>
              <w:t xml:space="preserve">30 m</w:t>
            </w:r>
          </w:p>
        </w:tc>
        <w:tc>
          <w:tcPr/>
          <w:p>
            <w:pPr>
              <w:pStyle w:val="Compact"/>
              <w:jc w:val="left"/>
            </w:pPr>
            <w:r>
              <w:t xml:space="preserve">30 km</w:t>
            </w:r>
          </w:p>
        </w:tc>
        <w:tc>
          <w:tcPr/>
          <w:p>
            <w:pPr>
              <w:pStyle w:val="Compact"/>
              <w:jc w:val="left"/>
            </w:pPr>
            <w:r>
              <w:t xml:space="preserve">~ few days (targeted)</w:t>
            </w:r>
          </w:p>
        </w:tc>
        <w:tc>
          <w:tcPr/>
          <w:p>
            <w:pPr>
              <w:pStyle w:val="Compact"/>
              <w:jc w:val="left"/>
            </w:pPr>
            <w:r>
              <w:t xml:space="preserve">~55 VNIR + ~256 SWIR (hyperspectral)</w:t>
            </w:r>
          </w:p>
        </w:tc>
        <w:tc>
          <w:tcPr/>
          <w:p>
            <w:pPr>
              <w:pStyle w:val="Compact"/>
              <w:jc w:val="left"/>
            </w:pPr>
            <w:r>
              <w:t xml:space="preserve">Crop stress/nutrient detection, precision agriculture</w:t>
            </w:r>
          </w:p>
        </w:tc>
      </w:tr>
      <w:tr>
        <w:tc>
          <w:tcPr/>
          <w:p>
            <w:pPr>
              <w:pStyle w:val="Compact"/>
              <w:jc w:val="left"/>
            </w:pPr>
            <w:r>
              <w:t xml:space="preserve">Oceansat-3 (EOS-06) — OCM-3</w:t>
            </w:r>
          </w:p>
        </w:tc>
        <w:tc>
          <w:tcPr/>
          <w:p>
            <w:pPr>
              <w:pStyle w:val="Compact"/>
              <w:jc w:val="left"/>
            </w:pPr>
            <w:r>
              <w:t xml:space="preserve">2022</w:t>
            </w:r>
          </w:p>
        </w:tc>
        <w:tc>
          <w:tcPr/>
          <w:p>
            <w:pPr>
              <w:pStyle w:val="Compact"/>
              <w:jc w:val="left"/>
            </w:pPr>
            <w:r>
              <w:t xml:space="preserve">360 m</w:t>
            </w:r>
          </w:p>
        </w:tc>
        <w:tc>
          <w:tcPr/>
          <w:p>
            <w:pPr>
              <w:pStyle w:val="Compact"/>
              <w:jc w:val="left"/>
            </w:pPr>
            <w:r>
              <w:t xml:space="preserve">1400 km</w:t>
            </w:r>
          </w:p>
        </w:tc>
        <w:tc>
          <w:tcPr/>
          <w:p>
            <w:pPr>
              <w:pStyle w:val="Compact"/>
              <w:jc w:val="left"/>
            </w:pPr>
            <w:r>
              <w:t xml:space="preserve">Near-daily</w:t>
            </w:r>
          </w:p>
        </w:tc>
        <w:tc>
          <w:tcPr/>
          <w:p>
            <w:pPr>
              <w:pStyle w:val="Compact"/>
              <w:jc w:val="left"/>
            </w:pPr>
            <w:r>
              <w:t xml:space="preserve">13 (VIS–NIR)</w:t>
            </w:r>
          </w:p>
        </w:tc>
        <w:tc>
          <w:tcPr/>
          <w:p>
            <w:pPr>
              <w:pStyle w:val="Compact"/>
              <w:jc w:val="left"/>
            </w:pPr>
            <w:r>
              <w:t xml:space="preserve">Large-area vegetation/drought, AOD, LST</w:t>
            </w:r>
          </w:p>
        </w:tc>
      </w:tr>
      <w:tr>
        <w:tc>
          <w:tcPr/>
          <w:p>
            <w:pPr>
              <w:pStyle w:val="Compact"/>
              <w:jc w:val="left"/>
            </w:pPr>
            <w:r>
              <w:t xml:space="preserve">INSAT-3D/3DR/3DS Imager</w:t>
            </w:r>
          </w:p>
        </w:tc>
        <w:tc>
          <w:tcPr/>
          <w:p>
            <w:pPr>
              <w:pStyle w:val="Compact"/>
              <w:jc w:val="left"/>
            </w:pPr>
            <w:r>
              <w:t xml:space="preserve">2013/2016/2024</w:t>
            </w:r>
          </w:p>
        </w:tc>
        <w:tc>
          <w:tcPr/>
          <w:p>
            <w:pPr>
              <w:pStyle w:val="Compact"/>
              <w:jc w:val="left"/>
            </w:pPr>
            <w:r>
              <w:t xml:space="preserve">1 km (VIS/SWIR) – 8 km (WV)</w:t>
            </w:r>
          </w:p>
        </w:tc>
        <w:tc>
          <w:tcPr/>
          <w:p>
            <w:pPr>
              <w:pStyle w:val="Compact"/>
              <w:jc w:val="left"/>
            </w:pPr>
            <w:r>
              <w:t xml:space="preserve">Full disk</w:t>
            </w:r>
          </w:p>
        </w:tc>
        <w:tc>
          <w:tcPr/>
          <w:p>
            <w:pPr>
              <w:pStyle w:val="Compact"/>
              <w:jc w:val="left"/>
            </w:pPr>
            <w:r>
              <w:t xml:space="preserve">15–30 min</w:t>
            </w:r>
          </w:p>
        </w:tc>
        <w:tc>
          <w:tcPr/>
          <w:p>
            <w:pPr>
              <w:pStyle w:val="Compact"/>
              <w:jc w:val="left"/>
            </w:pPr>
            <w:r>
              <w:t xml:space="preserve">6 (VIS–TIR)</w:t>
            </w:r>
          </w:p>
        </w:tc>
        <w:tc>
          <w:tcPr/>
          <w:p>
            <w:pPr>
              <w:pStyle w:val="Compact"/>
              <w:jc w:val="left"/>
            </w:pPr>
            <w:r>
              <w:t xml:space="preserve">Rainfall estimation, LST for agromet advisories</w:t>
            </w:r>
          </w:p>
        </w:tc>
      </w:tr>
    </w:tbl>
    <w:p>
      <w:pPr>
        <w:pStyle w:val="Heading3"/>
      </w:pPr>
      <w:r>
        <w:t xml:space="preserve">9.13.2 Table 2: SAR and Upcoming Missions</w:t>
      </w:r>
    </w:p>
    <w:tbl>
      <w:tblPr>
        <w:tblStyle w:val="Table"/>
        <w:tblW w:type="pct" w:w="4960"/>
        <w:jc w:val="left"/>
        <w:tblLook w:firstRow="1" w:lastRow="0" w:firstColumn="0" w:lastColumn="0" w:noHBand="0" w:noVBand="0" w:val="0020"/>
      </w:tblPr>
      <w:tblGrid>
        <w:gridCol w:w="851"/>
        <w:gridCol w:w="788"/>
        <w:gridCol w:w="725"/>
        <w:gridCol w:w="1483"/>
        <w:gridCol w:w="725"/>
        <w:gridCol w:w="1293"/>
        <w:gridCol w:w="1987"/>
      </w:tblGrid>
      <w:tr>
        <w:trPr>
          <w:tblHeader w:val="true"/>
        </w:trPr>
        <w:tc>
          <w:tcPr/>
          <w:p>
            <w:pPr>
              <w:pStyle w:val="Compact"/>
              <w:jc w:val="left"/>
            </w:pPr>
            <w:r>
              <w:t xml:space="preserve">Mission</w:t>
            </w:r>
          </w:p>
        </w:tc>
        <w:tc>
          <w:tcPr/>
          <w:p>
            <w:pPr>
              <w:pStyle w:val="Compact"/>
              <w:jc w:val="left"/>
            </w:pPr>
            <w:r>
              <w:t xml:space="preserve">Band</w:t>
            </w:r>
          </w:p>
        </w:tc>
        <w:tc>
          <w:tcPr/>
          <w:p>
            <w:pPr>
              <w:pStyle w:val="Compact"/>
              <w:jc w:val="left"/>
            </w:pPr>
            <w:r>
              <w:t xml:space="preserve">Launch</w:t>
            </w:r>
          </w:p>
        </w:tc>
        <w:tc>
          <w:tcPr/>
          <w:p>
            <w:pPr>
              <w:pStyle w:val="Compact"/>
              <w:jc w:val="left"/>
            </w:pPr>
            <w:r>
              <w:t xml:space="preserve">Resolution</w:t>
            </w:r>
          </w:p>
        </w:tc>
        <w:tc>
          <w:tcPr/>
          <w:p>
            <w:pPr>
              <w:pStyle w:val="Compact"/>
              <w:jc w:val="left"/>
            </w:pPr>
            <w:r>
              <w:t xml:space="preserve">Swath</w:t>
            </w:r>
          </w:p>
        </w:tc>
        <w:tc>
          <w:tcPr/>
          <w:p>
            <w:pPr>
              <w:pStyle w:val="Compact"/>
              <w:jc w:val="left"/>
            </w:pPr>
            <w:r>
              <w:t xml:space="preserve">Revisit</w:t>
            </w:r>
          </w:p>
        </w:tc>
        <w:tc>
          <w:tcPr/>
          <w:p>
            <w:pPr>
              <w:pStyle w:val="Compact"/>
              <w:jc w:val="left"/>
            </w:pPr>
            <w:r>
              <w:t xml:space="preserve">Key Agricultural Application</w:t>
            </w:r>
          </w:p>
        </w:tc>
      </w:tr>
      <w:tr>
        <w:tc>
          <w:tcPr/>
          <w:p>
            <w:pPr>
              <w:pStyle w:val="Compact"/>
              <w:jc w:val="left"/>
            </w:pPr>
            <w:r>
              <w:t xml:space="preserve">RISAT-1</w:t>
            </w:r>
          </w:p>
        </w:tc>
        <w:tc>
          <w:tcPr/>
          <w:p>
            <w:pPr>
              <w:pStyle w:val="Compact"/>
              <w:jc w:val="left"/>
            </w:pPr>
            <w:r>
              <w:t xml:space="preserve">C-band</w:t>
            </w:r>
          </w:p>
        </w:tc>
        <w:tc>
          <w:tcPr/>
          <w:p>
            <w:pPr>
              <w:pStyle w:val="Compact"/>
              <w:jc w:val="left"/>
            </w:pPr>
            <w:r>
              <w:t xml:space="preserve">2012</w:t>
            </w:r>
          </w:p>
        </w:tc>
        <w:tc>
          <w:tcPr/>
          <w:p>
            <w:pPr>
              <w:pStyle w:val="Compact"/>
              <w:jc w:val="left"/>
            </w:pPr>
            <w:r>
              <w:t xml:space="preserve">1–50 m</w:t>
            </w:r>
          </w:p>
        </w:tc>
        <w:tc>
          <w:tcPr/>
          <w:p>
            <w:pPr>
              <w:pStyle w:val="Compact"/>
              <w:jc w:val="left"/>
            </w:pPr>
            <w:r>
              <w:t xml:space="preserve">10–223 km</w:t>
            </w:r>
          </w:p>
        </w:tc>
        <w:tc>
          <w:tcPr/>
          <w:p>
            <w:pPr>
              <w:pStyle w:val="Compact"/>
              <w:jc w:val="left"/>
            </w:pPr>
            <w:r>
              <w:t xml:space="preserve">Variable, ~25 days</w:t>
            </w:r>
          </w:p>
        </w:tc>
        <w:tc>
          <w:tcPr/>
          <w:p>
            <w:pPr>
              <w:pStyle w:val="Compact"/>
              <w:jc w:val="left"/>
            </w:pPr>
            <w:r>
              <w:t xml:space="preserve">Rice mapping, soil moisture, flood mapping</w:t>
            </w:r>
          </w:p>
        </w:tc>
      </w:tr>
      <w:tr>
        <w:tc>
          <w:tcPr/>
          <w:p>
            <w:pPr>
              <w:pStyle w:val="Compact"/>
              <w:jc w:val="left"/>
            </w:pPr>
            <w:r>
              <w:t xml:space="preserve">EOS-04 (RISAT-1A)</w:t>
            </w:r>
          </w:p>
        </w:tc>
        <w:tc>
          <w:tcPr/>
          <w:p>
            <w:pPr>
              <w:pStyle w:val="Compact"/>
              <w:jc w:val="left"/>
            </w:pPr>
            <w:r>
              <w:t xml:space="preserve">C-band</w:t>
            </w:r>
          </w:p>
        </w:tc>
        <w:tc>
          <w:tcPr/>
          <w:p>
            <w:pPr>
              <w:pStyle w:val="Compact"/>
              <w:jc w:val="left"/>
            </w:pPr>
            <w:r>
              <w:t xml:space="preserve">2022</w:t>
            </w:r>
          </w:p>
        </w:tc>
        <w:tc>
          <w:tcPr/>
          <w:p>
            <w:pPr>
              <w:pStyle w:val="Compact"/>
              <w:jc w:val="left"/>
            </w:pPr>
            <w:r>
              <w:t xml:space="preserve">1–50 m (modes)</w:t>
            </w:r>
          </w:p>
        </w:tc>
        <w:tc>
          <w:tcPr/>
          <w:p>
            <w:pPr>
              <w:pStyle w:val="Compact"/>
              <w:jc w:val="left"/>
            </w:pPr>
            <w:r>
              <w:t xml:space="preserve">10–223 km</w:t>
            </w:r>
          </w:p>
        </w:tc>
        <w:tc>
          <w:tcPr/>
          <w:p>
            <w:pPr>
              <w:pStyle w:val="Compact"/>
              <w:jc w:val="left"/>
            </w:pPr>
            <w:r>
              <w:t xml:space="preserve">12 days (mission repeat)</w:t>
            </w:r>
          </w:p>
        </w:tc>
        <w:tc>
          <w:tcPr/>
          <w:p>
            <w:pPr>
              <w:pStyle w:val="Compact"/>
              <w:jc w:val="left"/>
            </w:pPr>
            <w:r>
              <w:t xml:space="preserve">Operational agriculture SAR, soil moisture, flood</w:t>
            </w:r>
          </w:p>
        </w:tc>
      </w:tr>
      <w:tr>
        <w:tc>
          <w:tcPr/>
          <w:p>
            <w:pPr>
              <w:pStyle w:val="Compact"/>
              <w:jc w:val="left"/>
            </w:pPr>
            <w:r>
              <w:t xml:space="preserve">Sentinel-1 (ESA)</w:t>
            </w:r>
          </w:p>
        </w:tc>
        <w:tc>
          <w:tcPr/>
          <w:p>
            <w:pPr>
              <w:pStyle w:val="Compact"/>
              <w:jc w:val="left"/>
            </w:pPr>
            <w:r>
              <w:t xml:space="preserve">C-band</w:t>
            </w:r>
          </w:p>
        </w:tc>
        <w:tc>
          <w:tcPr/>
          <w:p>
            <w:pPr>
              <w:pStyle w:val="Compact"/>
              <w:jc w:val="left"/>
            </w:pPr>
            <w:r>
              <w:t xml:space="preserve">2014/2016/2024/2025</w:t>
            </w:r>
          </w:p>
        </w:tc>
        <w:tc>
          <w:tcPr/>
          <w:p>
            <w:pPr>
              <w:pStyle w:val="Compact"/>
              <w:jc w:val="left"/>
            </w:pPr>
            <w:r>
              <w:t xml:space="preserve">~5 × 20 m (IW)</w:t>
            </w:r>
          </w:p>
        </w:tc>
        <w:tc>
          <w:tcPr/>
          <w:p>
            <w:pPr>
              <w:pStyle w:val="Compact"/>
              <w:jc w:val="left"/>
            </w:pPr>
            <w:r>
              <w:t xml:space="preserve">250 km</w:t>
            </w:r>
          </w:p>
        </w:tc>
        <w:tc>
          <w:tcPr/>
          <w:p>
            <w:pPr>
              <w:pStyle w:val="Compact"/>
              <w:jc w:val="left"/>
            </w:pPr>
            <w:r>
              <w:t xml:space="preserve">6–12 days (constellation-dependent)</w:t>
            </w:r>
          </w:p>
        </w:tc>
        <w:tc>
          <w:tcPr/>
          <w:p>
            <w:pPr>
              <w:pStyle w:val="Compact"/>
              <w:jc w:val="left"/>
            </w:pPr>
            <w:r>
              <w:t xml:space="preserve">Rice/crop mapping, soil moisture (fused with EOS-04)</w:t>
            </w:r>
          </w:p>
        </w:tc>
      </w:tr>
      <w:tr>
        <w:tc>
          <w:tcPr/>
          <w:p>
            <w:pPr>
              <w:pStyle w:val="Compact"/>
              <w:jc w:val="left"/>
            </w:pPr>
            <w:r>
              <w:t xml:space="preserve">NISAR (NASA-ISRO)</w:t>
            </w:r>
          </w:p>
        </w:tc>
        <w:tc>
          <w:tcPr/>
          <w:p>
            <w:pPr>
              <w:pStyle w:val="Compact"/>
              <w:jc w:val="left"/>
            </w:pPr>
            <w:r>
              <w:t xml:space="preserve">L-band + S-band</w:t>
            </w:r>
          </w:p>
        </w:tc>
        <w:tc>
          <w:tcPr/>
          <w:p>
            <w:pPr>
              <w:pStyle w:val="Compact"/>
              <w:jc w:val="left"/>
            </w:pPr>
            <w:r>
              <w:t xml:space="preserve">2025</w:t>
            </w:r>
          </w:p>
        </w:tc>
        <w:tc>
          <w:tcPr/>
          <w:p>
            <w:pPr>
              <w:pStyle w:val="Compact"/>
              <w:jc w:val="left"/>
            </w:pPr>
            <w:r>
              <w:t xml:space="preserve">3–48 m (7 m azimuth)</w:t>
            </w:r>
          </w:p>
        </w:tc>
        <w:tc>
          <w:tcPr/>
          <w:p>
            <w:pPr>
              <w:pStyle w:val="Compact"/>
              <w:jc w:val="left"/>
            </w:pPr>
            <w:r>
              <w:t xml:space="preserve">&gt;240 km (each band)</w:t>
            </w:r>
          </w:p>
        </w:tc>
        <w:tc>
          <w:tcPr/>
          <w:p>
            <w:pPr>
              <w:pStyle w:val="Compact"/>
              <w:jc w:val="left"/>
            </w:pPr>
            <w:r>
              <w:t xml:space="preserve">12 days</w:t>
            </w:r>
          </w:p>
        </w:tc>
        <w:tc>
          <w:tcPr/>
          <w:p>
            <w:pPr>
              <w:pStyle w:val="Compact"/>
              <w:jc w:val="left"/>
            </w:pPr>
            <w:r>
              <w:t xml:space="preserve">Biomass, dual-frequency crop structure, soil moisture, flood</w:t>
            </w:r>
          </w:p>
        </w:tc>
      </w:tr>
      <w:tr>
        <w:tc>
          <w:tcPr/>
          <w:p>
            <w:pPr>
              <w:pStyle w:val="Compact"/>
              <w:jc w:val="left"/>
            </w:pPr>
            <w:r>
              <w:t xml:space="preserve">TRISHNA (ISRO-CNES)</w:t>
            </w:r>
          </w:p>
        </w:tc>
        <w:tc>
          <w:tcPr/>
          <w:p>
            <w:pPr>
              <w:pStyle w:val="Compact"/>
              <w:jc w:val="left"/>
            </w:pPr>
            <w:r>
              <w:t xml:space="preserve">Thermal IR (8–12 µm)</w:t>
            </w:r>
          </w:p>
        </w:tc>
        <w:tc>
          <w:tcPr/>
          <w:p>
            <w:pPr>
              <w:pStyle w:val="Compact"/>
              <w:jc w:val="left"/>
            </w:pPr>
            <w:r>
              <w:t xml:space="preserve">~2027 (planned)</w:t>
            </w:r>
          </w:p>
        </w:tc>
        <w:tc>
          <w:tcPr/>
          <w:p>
            <w:pPr>
              <w:pStyle w:val="Compact"/>
              <w:jc w:val="left"/>
            </w:pPr>
            <w:r>
              <w:t xml:space="preserve">57 m (nadir), up to 90 m</w:t>
            </w:r>
          </w:p>
        </w:tc>
        <w:tc>
          <w:tcPr/>
          <w:p>
            <w:pPr>
              <w:pStyle w:val="Compact"/>
              <w:jc w:val="left"/>
            </w:pPr>
            <w:r>
              <w:t xml:space="preserve">1026 km</w:t>
            </w:r>
          </w:p>
        </w:tc>
        <w:tc>
          <w:tcPr/>
          <w:p>
            <w:pPr>
              <w:pStyle w:val="Compact"/>
              <w:jc w:val="left"/>
            </w:pPr>
            <w:r>
              <w:t xml:space="preserve">≤3 days (8-day exact repeat, 3 passes)</w:t>
            </w:r>
          </w:p>
        </w:tc>
        <w:tc>
          <w:tcPr/>
          <w:p>
            <w:pPr>
              <w:pStyle w:val="Compact"/>
              <w:jc w:val="left"/>
            </w:pPr>
            <w:r>
              <w:t xml:space="preserve">Field-scale ET, crop water stress, irrigation scheduling</w:t>
            </w:r>
          </w:p>
        </w:tc>
      </w:tr>
      <w:tr>
        <w:tc>
          <w:tcPr/>
          <w:p>
            <w:pPr>
              <w:pStyle w:val="Compact"/>
              <w:jc w:val="left"/>
            </w:pPr>
            <w:r>
              <w:t xml:space="preserve">GISAT-1A (EOS-05)</w:t>
            </w:r>
          </w:p>
        </w:tc>
        <w:tc>
          <w:tcPr/>
          <w:p>
            <w:pPr>
              <w:pStyle w:val="Compact"/>
              <w:jc w:val="left"/>
            </w:pPr>
            <w:r>
              <w:t xml:space="preserve">Optical, geostationary</w:t>
            </w:r>
          </w:p>
        </w:tc>
        <w:tc>
          <w:tcPr/>
          <w:p>
            <w:pPr>
              <w:pStyle w:val="Compact"/>
              <w:jc w:val="left"/>
            </w:pPr>
            <w:r>
              <w:t xml:space="preserve">~Sep 2026 (planned)</w:t>
            </w:r>
          </w:p>
        </w:tc>
        <w:tc>
          <w:tcPr/>
          <w:p>
            <w:pPr>
              <w:pStyle w:val="Compact"/>
              <w:jc w:val="left"/>
            </w:pPr>
            <w:r>
              <w:t xml:space="preserve">High-resolution (sub-continental, intra-day)</w:t>
            </w:r>
          </w:p>
        </w:tc>
        <w:tc>
          <w:tcPr/>
          <w:p>
            <w:pPr>
              <w:pStyle w:val="Compact"/>
              <w:jc w:val="left"/>
            </w:pPr>
            <w:r>
              <w:t xml:space="preserve">Full-disk (regional)</w:t>
            </w:r>
          </w:p>
        </w:tc>
        <w:tc>
          <w:tcPr/>
          <w:p>
            <w:pPr>
              <w:pStyle w:val="Compact"/>
              <w:jc w:val="left"/>
            </w:pPr>
            <w:r>
              <w:t xml:space="preserve">Multiple times/day</w:t>
            </w:r>
          </w:p>
        </w:tc>
        <w:tc>
          <w:tcPr/>
          <w:p>
            <w:pPr>
              <w:pStyle w:val="Compact"/>
              <w:jc w:val="left"/>
            </w:pPr>
            <w:r>
              <w:t xml:space="preserve">Near-real-time flood/cyclone/crop-damage monitoring</w:t>
            </w:r>
          </w:p>
        </w:tc>
      </w:tr>
      <w:tr>
        <w:tc>
          <w:tcPr/>
          <w:p>
            <w:pPr>
              <w:pStyle w:val="Compact"/>
              <w:jc w:val="left"/>
            </w:pPr>
            <w:r>
              <w:t xml:space="preserve">Landsat 8/9 (NASA-USGS)</w:t>
            </w:r>
          </w:p>
        </w:tc>
        <w:tc>
          <w:tcPr/>
          <w:p>
            <w:pPr>
              <w:pStyle w:val="Compact"/>
              <w:jc w:val="left"/>
            </w:pPr>
            <w:r>
              <w:t xml:space="preserve">Optical + TIR</w:t>
            </w:r>
          </w:p>
        </w:tc>
        <w:tc>
          <w:tcPr/>
          <w:p>
            <w:pPr>
              <w:pStyle w:val="Compact"/>
              <w:jc w:val="left"/>
            </w:pPr>
            <w:r>
              <w:t xml:space="preserve">2013/2021</w:t>
            </w:r>
          </w:p>
        </w:tc>
        <w:tc>
          <w:tcPr/>
          <w:p>
            <w:pPr>
              <w:pStyle w:val="Compact"/>
              <w:jc w:val="left"/>
            </w:pPr>
            <w:r>
              <w:t xml:space="preserve">30 m (MS), 100 m (TIR)</w:t>
            </w:r>
          </w:p>
        </w:tc>
        <w:tc>
          <w:tcPr/>
          <w:p>
            <w:pPr>
              <w:pStyle w:val="Compact"/>
              <w:jc w:val="left"/>
            </w:pPr>
            <w:r>
              <w:t xml:space="preserve">185 km</w:t>
            </w:r>
          </w:p>
        </w:tc>
        <w:tc>
          <w:tcPr/>
          <w:p>
            <w:pPr>
              <w:pStyle w:val="Compact"/>
              <w:jc w:val="left"/>
            </w:pPr>
            <w:r>
              <w:t xml:space="preserve">16 days (8 days combined)</w:t>
            </w:r>
          </w:p>
        </w:tc>
        <w:tc>
          <w:tcPr/>
          <w:p>
            <w:pPr>
              <w:pStyle w:val="Compact"/>
              <w:jc w:val="left"/>
            </w:pPr>
            <w:r>
              <w:t xml:space="preserve">Long-term cropland change, LST</w:t>
            </w:r>
          </w:p>
        </w:tc>
      </w:tr>
      <w:tr>
        <w:tc>
          <w:tcPr/>
          <w:p>
            <w:pPr>
              <w:pStyle w:val="Compact"/>
              <w:jc w:val="left"/>
            </w:pPr>
            <w:r>
              <w:t xml:space="preserve">Sentinel-2 (ESA)</w:t>
            </w:r>
          </w:p>
        </w:tc>
        <w:tc>
          <w:tcPr/>
          <w:p>
            <w:pPr>
              <w:pStyle w:val="Compact"/>
              <w:jc w:val="left"/>
            </w:pPr>
            <w:r>
              <w:t xml:space="preserve">Optical</w:t>
            </w:r>
          </w:p>
        </w:tc>
        <w:tc>
          <w:tcPr/>
          <w:p>
            <w:pPr>
              <w:pStyle w:val="Compact"/>
              <w:jc w:val="left"/>
            </w:pPr>
            <w:r>
              <w:t xml:space="preserve">2015/2017</w:t>
            </w:r>
          </w:p>
        </w:tc>
        <w:tc>
          <w:tcPr/>
          <w:p>
            <w:pPr>
              <w:pStyle w:val="Compact"/>
              <w:jc w:val="left"/>
            </w:pPr>
            <w:r>
              <w:t xml:space="preserve">10–60 m</w:t>
            </w:r>
          </w:p>
        </w:tc>
        <w:tc>
          <w:tcPr/>
          <w:p>
            <w:pPr>
              <w:pStyle w:val="Compact"/>
              <w:jc w:val="left"/>
            </w:pPr>
            <w:r>
              <w:t xml:space="preserve">290 km</w:t>
            </w:r>
          </w:p>
        </w:tc>
        <w:tc>
          <w:tcPr/>
          <w:p>
            <w:pPr>
              <w:pStyle w:val="Compact"/>
              <w:jc w:val="left"/>
            </w:pPr>
            <w:r>
              <w:t xml:space="preserve">5 days (twin)</w:t>
            </w:r>
          </w:p>
        </w:tc>
        <w:tc>
          <w:tcPr/>
          <w:p>
            <w:pPr>
              <w:pStyle w:val="Compact"/>
              <w:jc w:val="left"/>
            </w:pPr>
            <w:r>
              <w:t xml:space="preserve">Chlorophyll/nitrogen status via red-edge bands</w:t>
            </w:r>
          </w:p>
        </w:tc>
      </w:tr>
      <w:tr>
        <w:tc>
          <w:tcPr/>
          <w:p>
            <w:pPr>
              <w:pStyle w:val="Compact"/>
              <w:jc w:val="left"/>
            </w:pPr>
            <w:r>
              <w:t xml:space="preserve">SMAP (NASA) / SMOS (ESA)</w:t>
            </w:r>
          </w:p>
        </w:tc>
        <w:tc>
          <w:tcPr/>
          <w:p>
            <w:pPr>
              <w:pStyle w:val="Compact"/>
              <w:jc w:val="left"/>
            </w:pPr>
            <w:r>
              <w:t xml:space="preserve">L-band radiometer</w:t>
            </w:r>
          </w:p>
        </w:tc>
        <w:tc>
          <w:tcPr/>
          <w:p>
            <w:pPr>
              <w:pStyle w:val="Compact"/>
              <w:jc w:val="left"/>
            </w:pPr>
            <w:r>
              <w:t xml:space="preserve">2015 / 2009</w:t>
            </w:r>
          </w:p>
        </w:tc>
        <w:tc>
          <w:tcPr/>
          <w:p>
            <w:pPr>
              <w:pStyle w:val="Compact"/>
              <w:jc w:val="left"/>
            </w:pPr>
            <w:r>
              <w:t xml:space="preserve">9–36 km / 35–50 km</w:t>
            </w:r>
          </w:p>
        </w:tc>
        <w:tc>
          <w:tcPr/>
          <w:p>
            <w:pPr>
              <w:pStyle w:val="Compact"/>
              <w:jc w:val="left"/>
            </w:pPr>
            <w:r>
              <w:t xml:space="preserve">Wide</w:t>
            </w:r>
          </w:p>
        </w:tc>
        <w:tc>
          <w:tcPr/>
          <w:p>
            <w:pPr>
              <w:pStyle w:val="Compact"/>
              <w:jc w:val="left"/>
            </w:pPr>
            <w:r>
              <w:t xml:space="preserve">2–3 days</w:t>
            </w:r>
          </w:p>
        </w:tc>
        <w:tc>
          <w:tcPr/>
          <w:p>
            <w:pPr>
              <w:pStyle w:val="Compact"/>
              <w:jc w:val="left"/>
            </w:pPr>
            <w:r>
              <w:t xml:space="preserve">Coarse soil-moisture validation/downscaling reference</w:t>
            </w:r>
          </w:p>
        </w:tc>
      </w:tr>
    </w:tbl>
    <w:p>
      <w:pPr>
        <w:pStyle w:val="Heading2"/>
      </w:pPr>
      <w:r>
        <w:t xml:space="preserve">9.14 PROBA-V</w:t>
      </w:r>
    </w:p>
    <w:p>
      <w:pPr>
        <w:pStyle w:val="FirstParagraph"/>
      </w:pPr>
      <w:r>
        <w:t xml:space="preserve">PROBA-V (Project for On-Board Autonomy – Vegetation; ESA, launched May 2013, decommissioned 2020/mission extended into a</w:t>
      </w:r>
      <w:r>
        <w:t xml:space="preserve"> </w:t>
      </w:r>
      <w:r>
        <w:t xml:space="preserve">“</w:t>
      </w:r>
      <w:r>
        <w:t xml:space="preserve">PROBA-V Companion CubeSat</w:t>
      </w:r>
      <w:r>
        <w:t xml:space="preserve">”</w:t>
      </w:r>
      <w:r>
        <w:t xml:space="preserve"> </w:t>
      </w:r>
      <w:r>
        <w:t xml:space="preserve">era thereafter) was designed explicitly to bridge the data-continuity gap between the French SPOT-4/5 Vegetation instrument and Europe’s Sentinel-3 OLCI/SLSTR, for global daily vegetation monitoring.</w:t>
      </w:r>
    </w:p>
    <w:p>
      <w:pPr>
        <w:pStyle w:val="Compact"/>
        <w:numPr>
          <w:ilvl w:val="0"/>
          <w:numId w:val="1066"/>
        </w:numPr>
      </w:pPr>
      <w:r>
        <w:rPr>
          <w:bCs/>
          <w:b/>
        </w:rPr>
        <w:t xml:space="preserve">Orbit:</w:t>
      </w:r>
      <w:r>
        <w:t xml:space="preserve"> </w:t>
      </w:r>
      <w:r>
        <w:t xml:space="preserve">sun-synchronous, ~820 km altitude, 98.64° inclination.</w:t>
      </w:r>
    </w:p>
    <w:p>
      <w:pPr>
        <w:pStyle w:val="Compact"/>
        <w:numPr>
          <w:ilvl w:val="0"/>
          <w:numId w:val="1066"/>
        </w:numPr>
      </w:pPr>
      <w:r>
        <w:rPr>
          <w:bCs/>
          <w:b/>
        </w:rPr>
        <w:t xml:space="preserve">Sensor (VGT-P):</w:t>
      </w:r>
      <w:r>
        <w:t xml:space="preserve"> </w:t>
      </w:r>
      <w:r>
        <w:t xml:space="preserve">four spectral bands — Blue (460 nm), Red (658 nm), NIR (834 nm), SWIR (1610 nm) — using three identical wide-field telescopes.</w:t>
      </w:r>
    </w:p>
    <w:p>
      <w:pPr>
        <w:pStyle w:val="Compact"/>
        <w:numPr>
          <w:ilvl w:val="0"/>
          <w:numId w:val="1066"/>
        </w:numPr>
      </w:pPr>
      <w:r>
        <w:rPr>
          <w:bCs/>
          <w:b/>
        </w:rPr>
        <w:t xml:space="preserve">Spatial resolution:</w:t>
      </w:r>
      <w:r>
        <w:t xml:space="preserve"> </w:t>
      </w:r>
      <w:r>
        <w:t xml:space="preserve">100 m (nadir, VNIR bands) degrading to 300 m baseline product resolution and further at swath edges (~360 m VNIR, ~600 m SWIR).</w:t>
      </w:r>
    </w:p>
    <w:p>
      <w:pPr>
        <w:pStyle w:val="Compact"/>
        <w:numPr>
          <w:ilvl w:val="0"/>
          <w:numId w:val="1066"/>
        </w:numPr>
      </w:pPr>
      <w:r>
        <w:rPr>
          <w:bCs/>
          <w:b/>
        </w:rPr>
        <w:t xml:space="preserve">Swath:</w:t>
      </w:r>
      <w:r>
        <w:t xml:space="preserve"> </w:t>
      </w:r>
      <w:r>
        <w:t xml:space="preserve">2285 km, giving near-daily global coverage between 35°N and 75°N and complete global coverage every ~2 days.</w:t>
      </w:r>
    </w:p>
    <w:p>
      <w:pPr>
        <w:pStyle w:val="Compact"/>
        <w:numPr>
          <w:ilvl w:val="0"/>
          <w:numId w:val="1066"/>
        </w:numPr>
      </w:pPr>
      <w:r>
        <w:rPr>
          <w:bCs/>
          <w:b/>
        </w:rPr>
        <w:t xml:space="preserve">Applications:</w:t>
      </w:r>
      <w:r>
        <w:t xml:space="preserve"> </w:t>
      </w:r>
      <w:r>
        <w:t xml:space="preserve">global vegetation/NDVI monitoring, land-cover change, disaster/agricultural-drought early warning at continental/global scale — its data record is used as an internationally cross-referenced long-term vegetation-index continuity dataset alongside AVHRR/MODIS/VIIRS in FAO/global crop-monitoring initiatives that ISRO’s Global Crop Programme work also engages with.</w:t>
      </w:r>
    </w:p>
    <w:p>
      <w:pPr>
        <w:pStyle w:val="Heading2"/>
      </w:pPr>
      <w:r>
        <w:t xml:space="preserve">9.15 SARAL (Satellite with ARgos and ALtiKa)</w:t>
      </w:r>
    </w:p>
    <w:p>
      <w:pPr>
        <w:pStyle w:val="FirstParagraph"/>
      </w:pPr>
      <w:r>
        <w:t xml:space="preserve">A joint ISRO–CNES altimetry mission (launched 2013) carrying the</w:t>
      </w:r>
      <w:r>
        <w:t xml:space="preserve"> </w:t>
      </w:r>
      <w:r>
        <w:rPr>
          <w:bCs/>
          <w:b/>
        </w:rPr>
        <w:t xml:space="preserve">AltiKa</w:t>
      </w:r>
      <w:r>
        <w:t xml:space="preserve"> </w:t>
      </w:r>
      <w:r>
        <w:t xml:space="preserve">Ka-band (35.75 GHz) radar altimeter — a higher frequency than conventional Ku-band altimeters, giving finer footprint and better performance over small water bodies/coastal zones — plus an ARGOS data-collection payload. Used for sea-surface-height/ocean-circulation studies and, of agricultural-hydrology relevance, for inland-water-body/reservoir level monitoring feeding into command-area water-resources assessment.</w:t>
      </w:r>
    </w:p>
    <w:p>
      <w:pPr>
        <w:pStyle w:val="Heading2"/>
      </w:pPr>
      <w:r>
        <w:t xml:space="preserve">9.16 INSAT-3D / 3DR / 3DS — Payload and Products</w:t>
      </w:r>
    </w:p>
    <w:p>
      <w:pPr>
        <w:pStyle w:val="FirstParagraph"/>
      </w:pPr>
      <w:r>
        <w:t xml:space="preserve">The INSAT-3D-series meteorological payload comprises an Imager (visible, shortwave-IR, mid-wave-IR/water-vapour, and two thermal-IR split-window channels, plus a dedicated high-resolution visible channel) and a 19-channel Sounder spanning the longwave-IR, midwave-IR and shortwave/visible for temperature and humidity profiling, complemented by a Data Relay Transponder that collects data from automatic weather stations and other in-situ platforms across the region, and a Satellite-Aided Search and Rescue payload supporting the international Cospas-Sarsat system.</w:t>
      </w:r>
    </w:p>
    <w:tbl>
      <w:tblPr>
        <w:tblStyle w:val="Table"/>
        <w:tblW w:type="pct" w:w="4935"/>
        <w:jc w:val="left"/>
        <w:tblLook w:firstRow="1" w:lastRow="0" w:firstColumn="0" w:lastColumn="0" w:noHBand="0" w:noVBand="0" w:val="0020"/>
      </w:tblPr>
      <w:tblGrid>
        <w:gridCol w:w="2018"/>
        <w:gridCol w:w="2898"/>
        <w:gridCol w:w="2898"/>
      </w:tblGrid>
      <w:tr>
        <w:trPr>
          <w:tblHeader w:val="true"/>
        </w:trPr>
        <w:tc>
          <w:tcPr/>
          <w:p>
            <w:pPr>
              <w:pStyle w:val="Compact"/>
              <w:jc w:val="left"/>
            </w:pPr>
            <w:r>
              <w:rPr>
                <w:bCs/>
                <w:b/>
              </w:rPr>
              <w:t xml:space="preserve">Geophysical Parameter</w:t>
            </w:r>
          </w:p>
        </w:tc>
        <w:tc>
          <w:tcPr/>
          <w:p>
            <w:pPr>
              <w:pStyle w:val="Compact"/>
              <w:jc w:val="left"/>
            </w:pPr>
            <w:r>
              <w:rPr>
                <w:bCs/>
                <w:b/>
              </w:rPr>
              <w:t xml:space="preserve">Primary Payload / Channel(s)</w:t>
            </w:r>
          </w:p>
        </w:tc>
        <w:tc>
          <w:tcPr/>
          <w:p>
            <w:pPr>
              <w:pStyle w:val="Compact"/>
              <w:jc w:val="left"/>
            </w:pPr>
            <w:r>
              <w:rPr>
                <w:bCs/>
                <w:b/>
              </w:rPr>
              <w:t xml:space="preserve">Typical Application</w:t>
            </w:r>
          </w:p>
        </w:tc>
      </w:tr>
      <w:tr>
        <w:tc>
          <w:tcPr/>
          <w:p>
            <w:pPr>
              <w:pStyle w:val="Compact"/>
              <w:jc w:val="left"/>
            </w:pPr>
            <w:r>
              <w:t xml:space="preserve">Cloud imagery &amp; Cloud Motion Vectors</w:t>
            </w:r>
          </w:p>
        </w:tc>
        <w:tc>
          <w:tcPr/>
          <w:p>
            <w:pPr>
              <w:pStyle w:val="Compact"/>
              <w:jc w:val="left"/>
            </w:pPr>
            <w:r>
              <w:t xml:space="preserve">Imager — VIS, SWIR, TIR</w:t>
            </w:r>
          </w:p>
        </w:tc>
        <w:tc>
          <w:tcPr/>
          <w:p>
            <w:pPr>
              <w:pStyle w:val="Compact"/>
              <w:jc w:val="left"/>
            </w:pPr>
            <w:r>
              <w:t xml:space="preserve">Nowcasting, cyclone tracking, NWP wind assimilation</w:t>
            </w:r>
          </w:p>
        </w:tc>
      </w:tr>
      <w:tr>
        <w:tc>
          <w:tcPr/>
          <w:p>
            <w:pPr>
              <w:pStyle w:val="Compact"/>
              <w:jc w:val="left"/>
            </w:pPr>
            <w:r>
              <w:t xml:space="preserve">Sea Surface Temperature</w:t>
            </w:r>
          </w:p>
        </w:tc>
        <w:tc>
          <w:tcPr/>
          <w:p>
            <w:pPr>
              <w:pStyle w:val="Compact"/>
              <w:jc w:val="left"/>
            </w:pPr>
            <w:r>
              <w:t xml:space="preserve">Imager — Split-window TIR (Eq. 3.1)</w:t>
            </w:r>
          </w:p>
        </w:tc>
        <w:tc>
          <w:tcPr/>
          <w:p>
            <w:pPr>
              <w:pStyle w:val="Compact"/>
              <w:jc w:val="left"/>
            </w:pPr>
            <w:r>
              <w:t xml:space="preserve">Ocean state monitoring, cyclogenesis potential</w:t>
            </w:r>
          </w:p>
        </w:tc>
      </w:tr>
      <w:tr>
        <w:tc>
          <w:tcPr/>
          <w:p>
            <w:pPr>
              <w:pStyle w:val="Compact"/>
              <w:jc w:val="left"/>
            </w:pPr>
            <w:r>
              <w:t xml:space="preserve">Land Surface Temperature</w:t>
            </w:r>
          </w:p>
        </w:tc>
        <w:tc>
          <w:tcPr/>
          <w:p>
            <w:pPr>
              <w:pStyle w:val="Compact"/>
              <w:jc w:val="left"/>
            </w:pPr>
            <w:r>
              <w:t xml:space="preserve">Imager — Split-window TIR + emissivity</w:t>
            </w:r>
          </w:p>
        </w:tc>
        <w:tc>
          <w:tcPr/>
          <w:p>
            <w:pPr>
              <w:pStyle w:val="Compact"/>
              <w:jc w:val="left"/>
            </w:pPr>
            <w:r>
              <w:t xml:space="preserve">Heatwave monitoring, agromet advisory</w:t>
            </w:r>
          </w:p>
        </w:tc>
      </w:tr>
      <w:tr>
        <w:tc>
          <w:tcPr/>
          <w:p>
            <w:pPr>
              <w:pStyle w:val="Compact"/>
              <w:jc w:val="left"/>
            </w:pPr>
            <w:r>
              <w:t xml:space="preserve">Outgoing Longwave Radiation</w:t>
            </w:r>
          </w:p>
        </w:tc>
        <w:tc>
          <w:tcPr/>
          <w:p>
            <w:pPr>
              <w:pStyle w:val="Compact"/>
              <w:jc w:val="left"/>
            </w:pPr>
            <w:r>
              <w:t xml:space="preserve">Imager — TIR window, narrow-to-broadband regression</w:t>
            </w:r>
          </w:p>
        </w:tc>
        <w:tc>
          <w:tcPr/>
          <w:p>
            <w:pPr>
              <w:pStyle w:val="Compact"/>
              <w:jc w:val="left"/>
            </w:pPr>
            <w:r>
              <w:t xml:space="preserve">Monsoon/MJO monitoring, convection tracking</w:t>
            </w:r>
          </w:p>
        </w:tc>
      </w:tr>
      <w:tr>
        <w:tc>
          <w:tcPr/>
          <w:p>
            <w:pPr>
              <w:pStyle w:val="Compact"/>
              <w:jc w:val="left"/>
            </w:pPr>
            <w:r>
              <w:t xml:space="preserve">Quantitative Precipitation Estimate</w:t>
            </w:r>
          </w:p>
        </w:tc>
        <w:tc>
          <w:tcPr/>
          <w:p>
            <w:pPr>
              <w:pStyle w:val="Compact"/>
              <w:jc w:val="left"/>
            </w:pPr>
            <w:r>
              <w:t xml:space="preserve">Imager — TIR + WV (IMSRA/M-IMSRA, Eq. 3.3)</w:t>
            </w:r>
          </w:p>
        </w:tc>
        <w:tc>
          <w:tcPr/>
          <w:p>
            <w:pPr>
              <w:pStyle w:val="Compact"/>
              <w:jc w:val="left"/>
            </w:pPr>
            <w:r>
              <w:t xml:space="preserve">Flood early-warning, hydrology</w:t>
            </w:r>
          </w:p>
        </w:tc>
      </w:tr>
      <w:tr>
        <w:tc>
          <w:tcPr/>
          <w:p>
            <w:pPr>
              <w:pStyle w:val="Compact"/>
              <w:jc w:val="left"/>
            </w:pPr>
            <w:r>
              <w:t xml:space="preserve">Temperature &amp; Humidity Profiles</w:t>
            </w:r>
          </w:p>
        </w:tc>
        <w:tc>
          <w:tcPr/>
          <w:p>
            <w:pPr>
              <w:pStyle w:val="Compact"/>
              <w:jc w:val="left"/>
            </w:pPr>
            <w:r>
              <w:t xml:space="preserve">Sounder — 19 channels (Eq. 3.4)</w:t>
            </w:r>
          </w:p>
        </w:tc>
        <w:tc>
          <w:tcPr/>
          <w:p>
            <w:pPr>
              <w:pStyle w:val="Compact"/>
              <w:jc w:val="left"/>
            </w:pPr>
            <w:r>
              <w:t xml:space="preserve">NWP data assimilation, instability indices</w:t>
            </w:r>
          </w:p>
        </w:tc>
      </w:tr>
      <w:tr>
        <w:tc>
          <w:tcPr/>
          <w:p>
            <w:pPr>
              <w:pStyle w:val="Compact"/>
              <w:jc w:val="left"/>
            </w:pPr>
            <w:r>
              <w:t xml:space="preserve">Upper Tropospheric Humidity</w:t>
            </w:r>
          </w:p>
        </w:tc>
        <w:tc>
          <w:tcPr/>
          <w:p>
            <w:pPr>
              <w:pStyle w:val="Compact"/>
              <w:jc w:val="left"/>
            </w:pPr>
            <w:r>
              <w:t xml:space="preserve">Imager — Water-vapour channel</w:t>
            </w:r>
          </w:p>
        </w:tc>
        <w:tc>
          <w:tcPr/>
          <w:p>
            <w:pPr>
              <w:pStyle w:val="Compact"/>
              <w:jc w:val="left"/>
            </w:pPr>
            <w:r>
              <w:t xml:space="preserve">Convective potential, jet-stream analysis</w:t>
            </w:r>
          </w:p>
        </w:tc>
      </w:tr>
      <w:tr>
        <w:tc>
          <w:tcPr/>
          <w:p>
            <w:pPr>
              <w:pStyle w:val="Compact"/>
              <w:jc w:val="left"/>
            </w:pPr>
            <w:r>
              <w:t xml:space="preserve">Fog, Snow, Fire/Smoke, Aerosol</w:t>
            </w:r>
          </w:p>
        </w:tc>
        <w:tc>
          <w:tcPr/>
          <w:p>
            <w:pPr>
              <w:pStyle w:val="Compact"/>
              <w:jc w:val="left"/>
            </w:pPr>
            <w:r>
              <w:t xml:space="preserve">Imager — multi-channel contextual algorithms</w:t>
            </w:r>
          </w:p>
        </w:tc>
        <w:tc>
          <w:tcPr/>
          <w:p>
            <w:pPr>
              <w:pStyle w:val="Compact"/>
              <w:jc w:val="left"/>
            </w:pPr>
            <w:r>
              <w:t xml:space="preserve">Aviation, disaster management</w:t>
            </w:r>
          </w:p>
        </w:tc>
      </w:tr>
      <w:tr>
        <w:tc>
          <w:tcPr/>
          <w:p>
            <w:pPr>
              <w:pStyle w:val="Compact"/>
              <w:jc w:val="left"/>
            </w:pPr>
            <w:r>
              <w:t xml:space="preserve">In-situ Data Relay</w:t>
            </w:r>
          </w:p>
        </w:tc>
        <w:tc>
          <w:tcPr/>
          <w:p>
            <w:pPr>
              <w:pStyle w:val="Compact"/>
              <w:jc w:val="left"/>
            </w:pPr>
            <w:r>
              <w:t xml:space="preserve">Data Relay Transponder</w:t>
            </w:r>
          </w:p>
        </w:tc>
        <w:tc>
          <w:tcPr/>
          <w:p>
            <w:pPr>
              <w:pStyle w:val="Compact"/>
              <w:jc w:val="left"/>
            </w:pPr>
            <w:r>
              <w:t xml:space="preserve">AWS / buoy / river-gauge telemetry</w:t>
            </w:r>
          </w:p>
        </w:tc>
      </w:tr>
      <w:tr>
        <w:tc>
          <w:tcPr/>
          <w:p>
            <w:pPr>
              <w:pStyle w:val="Compact"/>
              <w:jc w:val="left"/>
            </w:pPr>
            <w:r>
              <w:t xml:space="preserve">Distress Beacon Relay</w:t>
            </w:r>
          </w:p>
        </w:tc>
        <w:tc>
          <w:tcPr/>
          <w:p>
            <w:pPr>
              <w:pStyle w:val="Compact"/>
              <w:jc w:val="left"/>
            </w:pPr>
            <w:r>
              <w:t xml:space="preserve">Satellite-Aided Search &amp; Rescue</w:t>
            </w:r>
          </w:p>
        </w:tc>
        <w:tc>
          <w:tcPr/>
          <w:p>
            <w:pPr>
              <w:pStyle w:val="Compact"/>
              <w:jc w:val="left"/>
            </w:pPr>
            <w:r>
              <w:t xml:space="preserve">Cospas-Sarsat emergency response</w:t>
            </w:r>
          </w:p>
        </w:tc>
      </w:tr>
    </w:tbl>
    <w:p>
      <w:pPr>
        <w:pStyle w:val="BodyText"/>
      </w:pPr>
      <w:r>
        <w:rPr>
          <w:iCs/>
          <w:i/>
        </w:rPr>
        <w:t xml:space="preserve">Table 5.1 — Principal INSAT-3D/3DR/3DS meteorological products and their payload origin.</w:t>
      </w:r>
    </w:p>
    <w:p>
      <w:pPr>
        <w:pStyle w:val="BodyText"/>
      </w:pPr>
      <w:r>
        <w:t xml:space="preserve">The 19-channel Sounder illustrates the weighting-function principle underlying atmospheric profiling: channels are placed at varying distances from the centre of the strong CO₂ absorption band at ~15 µm and the O₂ absorption band at ~4.3 µm/60 GHz-equivalent, so that channels closer to the band centre are opaque high in the atmosphere (sensing upper-tropospheric/stratospheric layers) while channels in the band wings are more transparent and sense progressively lower, warmer layers down to the surface — an ensemble of channels therefore samples the full atmospheric column.</w:t>
      </w:r>
    </w:p>
    <w:tbl>
      <w:tblPr>
        <w:tblStyle w:val="Table"/>
        <w:tblW w:type="pct" w:w="4929"/>
        <w:jc w:val="left"/>
        <w:tblLook w:firstRow="1" w:lastRow="0" w:firstColumn="0" w:lastColumn="0" w:noHBand="0" w:noVBand="0" w:val="0020"/>
      </w:tblPr>
      <w:tblGrid>
        <w:gridCol w:w="1810"/>
        <w:gridCol w:w="2036"/>
        <w:gridCol w:w="3960"/>
      </w:tblGrid>
      <w:tr>
        <w:trPr>
          <w:tblHeader w:val="true"/>
        </w:trPr>
        <w:tc>
          <w:tcPr/>
          <w:p>
            <w:pPr>
              <w:pStyle w:val="Compact"/>
              <w:jc w:val="left"/>
            </w:pPr>
            <w:r>
              <w:rPr>
                <w:bCs/>
                <w:b/>
              </w:rPr>
              <w:t xml:space="preserve">Spectral Region</w:t>
            </w:r>
          </w:p>
        </w:tc>
        <w:tc>
          <w:tcPr/>
          <w:p>
            <w:pPr>
              <w:pStyle w:val="Compact"/>
              <w:jc w:val="left"/>
            </w:pPr>
            <w:r>
              <w:rPr>
                <w:bCs/>
                <w:b/>
              </w:rPr>
              <w:t xml:space="preserve">Representative Channels</w:t>
            </w:r>
          </w:p>
        </w:tc>
        <w:tc>
          <w:tcPr/>
          <w:p>
            <w:pPr>
              <w:pStyle w:val="Compact"/>
              <w:jc w:val="left"/>
            </w:pPr>
            <w:r>
              <w:rPr>
                <w:bCs/>
                <w:b/>
              </w:rPr>
              <w:t xml:space="preserve">Primary Sensitivity</w:t>
            </w:r>
          </w:p>
        </w:tc>
      </w:tr>
      <w:tr>
        <w:tc>
          <w:tcPr/>
          <w:p>
            <w:pPr>
              <w:pStyle w:val="Compact"/>
              <w:jc w:val="left"/>
            </w:pPr>
            <w:r>
              <w:t xml:space="preserve">Longwave IR (CO₂ band)</w:t>
            </w:r>
          </w:p>
        </w:tc>
        <w:tc>
          <w:tcPr/>
          <w:p>
            <w:pPr>
              <w:pStyle w:val="Compact"/>
              <w:jc w:val="left"/>
            </w:pPr>
            <w:r>
              <w:t xml:space="preserve">~14.7, 14.4, 14.0, 13.7, 13.4 µm</w:t>
            </w:r>
          </w:p>
        </w:tc>
        <w:tc>
          <w:tcPr/>
          <w:p>
            <w:pPr>
              <w:pStyle w:val="Compact"/>
              <w:jc w:val="left"/>
            </w:pPr>
            <w:r>
              <w:t xml:space="preserve">Stratospheric to upper-tropospheric temperature</w:t>
            </w:r>
          </w:p>
        </w:tc>
      </w:tr>
      <w:tr>
        <w:tc>
          <w:tcPr/>
          <w:p>
            <w:pPr>
              <w:pStyle w:val="Compact"/>
              <w:jc w:val="left"/>
            </w:pPr>
            <w:r>
              <w:t xml:space="preserve">Longwave IR (window/CO₂ wing)</w:t>
            </w:r>
          </w:p>
        </w:tc>
        <w:tc>
          <w:tcPr/>
          <w:p>
            <w:pPr>
              <w:pStyle w:val="Compact"/>
              <w:jc w:val="left"/>
            </w:pPr>
            <w:r>
              <w:t xml:space="preserve">~13.0, 12.7, 12.0, 11.0 µm</w:t>
            </w:r>
          </w:p>
        </w:tc>
        <w:tc>
          <w:tcPr/>
          <w:p>
            <w:pPr>
              <w:pStyle w:val="Compact"/>
              <w:jc w:val="left"/>
            </w:pPr>
            <w:r>
              <w:t xml:space="preserve">Mid- to lower-tropospheric temperature, surface</w:t>
            </w:r>
          </w:p>
        </w:tc>
      </w:tr>
      <w:tr>
        <w:tc>
          <w:tcPr/>
          <w:p>
            <w:pPr>
              <w:pStyle w:val="Compact"/>
              <w:jc w:val="left"/>
            </w:pPr>
            <w:r>
              <w:t xml:space="preserve">Midwave IR (H₂O band)</w:t>
            </w:r>
          </w:p>
        </w:tc>
        <w:tc>
          <w:tcPr/>
          <w:p>
            <w:pPr>
              <w:pStyle w:val="Compact"/>
              <w:jc w:val="left"/>
            </w:pPr>
            <w:r>
              <w:t xml:space="preserve">~7.4, 7.0, 6.5 µm</w:t>
            </w:r>
          </w:p>
        </w:tc>
        <w:tc>
          <w:tcPr/>
          <w:p>
            <w:pPr>
              <w:pStyle w:val="Compact"/>
              <w:jc w:val="left"/>
            </w:pPr>
            <w:r>
              <w:t xml:space="preserve">Upper/mid-tropospheric humidity</w:t>
            </w:r>
          </w:p>
        </w:tc>
      </w:tr>
      <w:tr>
        <w:tc>
          <w:tcPr/>
          <w:p>
            <w:pPr>
              <w:pStyle w:val="Compact"/>
              <w:jc w:val="left"/>
            </w:pPr>
            <w:r>
              <w:t xml:space="preserve">Shortwave IR / visible</w:t>
            </w:r>
          </w:p>
        </w:tc>
        <w:tc>
          <w:tcPr/>
          <w:p>
            <w:pPr>
              <w:pStyle w:val="Compact"/>
              <w:jc w:val="left"/>
            </w:pPr>
            <w:r>
              <w:t xml:space="preserve">~4.5, 4.4, 4.1, 3.9 µm, 0.7 µm</w:t>
            </w:r>
          </w:p>
        </w:tc>
        <w:tc>
          <w:tcPr/>
          <w:p>
            <w:pPr>
              <w:pStyle w:val="Compact"/>
              <w:jc w:val="left"/>
            </w:pPr>
            <w:r>
              <w:t xml:space="preserve">Lower-tropospheric temperature, surface reflectance, cloud clearing</w:t>
            </w:r>
          </w:p>
        </w:tc>
      </w:tr>
    </w:tbl>
    <w:p>
      <w:pPr>
        <w:pStyle w:val="BodyText"/>
      </w:pPr>
      <w:r>
        <w:rPr>
          <w:iCs/>
          <w:i/>
        </w:rPr>
        <w:t xml:space="preserve">Table 5.2 — Illustrative INSAT-3D/3DR/3DS Sounder channel grouping and the atmospheric layer each is most sensitive to.</w:t>
      </w:r>
    </w:p>
    <w:p>
      <w:pPr>
        <w:pStyle w:val="Heading2"/>
      </w:pPr>
      <w:r>
        <w:t xml:space="preserve">9.17 Ground Segment and Data Dissemination</w:t>
      </w:r>
    </w:p>
    <w:p>
      <w:pPr>
        <w:pStyle w:val="FirstParagraph"/>
      </w:pPr>
      <w:r>
        <w:t xml:space="preserve">Raw satellite data is received at dedicated ground stations — the IMD Meteorological Data Processing System (IMDPS) centres at New Delhi, Chennai and Guwahati, and NRSC's Shadnagar facility — where it undergoes Level-1 processing (radiometric calibration, Earth-location/navigation, quality control) followed by Level-2/3 geophysical retrieval using the algorithms described in the relevant chapter. Processed products are archived and disseminated through the Meteorological and Oceanographic Satellite Data Archival Centre (MOSDAC), operated by ISRO's Space Applications Centre, which serves as the primary public and research portal for Indian meteorological/oceanographic satellite data, complemented by ISRO's Bhuvan geoportal for land and agricultural products. Operational products feed into NWP data assimilation at NCMRWF, into IMD's forecasting offices via the WMO Global Telecommunication System (GTS), and into the agromet and ocean-state advisory services described in Sections 4 and 6.</w:t>
      </w:r>
    </w:p>
    <w:p>
      <w:pPr>
        <w:pStyle w:val="BodyText"/>
      </w:pPr>
      <w:r>
        <w:drawing>
          <wp:inline>
            <wp:extent cx="5286375" cy="3695700"/>
            <wp:effectExtent b="0" l="0" r="0" t="0"/>
            <wp:docPr descr="" title="" id="45" name="Picture"/>
            <a:graphic>
              <a:graphicData uri="http://schemas.openxmlformats.org/drawingml/2006/picture">
                <pic:pic>
                  <pic:nvPicPr>
                    <pic:cNvPr descr="up/media/media/image18.png" id="46" name="Picture"/>
                    <pic:cNvPicPr>
                      <a:picLocks noChangeArrowheads="1" noChangeAspect="1"/>
                    </pic:cNvPicPr>
                  </pic:nvPicPr>
                  <pic:blipFill>
                    <a:blip r:embed="rId44"/>
                    <a:stretch>
                      <a:fillRect/>
                    </a:stretch>
                  </pic:blipFill>
                  <pic:spPr bwMode="auto">
                    <a:xfrm>
                      <a:off x="0" y="0"/>
                      <a:ext cx="5286375" cy="3695700"/>
                    </a:xfrm>
                    <a:prstGeom prst="rect">
                      <a:avLst/>
                    </a:prstGeom>
                    <a:noFill/>
                    <a:ln w="9525">
                      <a:noFill/>
                      <a:headEnd/>
                      <a:tailEnd/>
                    </a:ln>
                  </pic:spPr>
                </pic:pic>
              </a:graphicData>
            </a:graphic>
          </wp:inline>
        </w:drawing>
      </w:r>
    </w:p>
    <w:p>
      <w:pPr>
        <w:pStyle w:val="BodyText"/>
      </w:pPr>
      <w:r>
        <w:rPr>
          <w:iCs/>
          <w:i/>
        </w:rPr>
        <w:t xml:space="preserve">Figure:1 — Ground-segment data flow from Indian meteorological/remote-sensing satellites to operational end-users.</w:t>
      </w:r>
    </w:p>
    <w:p>
      <w:pPr>
        <w:pStyle w:val="Heading2"/>
      </w:pPr>
      <w:r>
        <w:t xml:space="preserve">9.18 Meteorological Satellite Systems and the WMO Space Programme</w:t>
      </w:r>
    </w:p>
    <w:p>
      <w:pPr>
        <w:pStyle w:val="Heading3"/>
      </w:pPr>
      <w:r>
        <w:t xml:space="preserve">9.18.1 Why meteorological satellites are unique</w:t>
      </w:r>
    </w:p>
    <w:p>
      <w:pPr>
        <w:pStyle w:val="Compact"/>
        <w:numPr>
          <w:ilvl w:val="0"/>
          <w:numId w:val="1067"/>
        </w:numPr>
      </w:pPr>
      <w:r>
        <w:rPr>
          <w:bCs/>
          <w:b/>
        </w:rPr>
        <w:t xml:space="preserve">High vantage point and broad view:</w:t>
      </w:r>
      <w:r>
        <w:t xml:space="preserve"> </w:t>
      </w:r>
      <w:r>
        <w:t xml:space="preserve">they supply regular data from oceans, deserts, mountains and polar regions that have few conventional observations (about 70% of the Earth is ocean).</w:t>
      </w:r>
    </w:p>
    <w:p>
      <w:pPr>
        <w:pStyle w:val="Compact"/>
        <w:numPr>
          <w:ilvl w:val="0"/>
          <w:numId w:val="1067"/>
        </w:numPr>
      </w:pPr>
      <w:r>
        <w:rPr>
          <w:bCs/>
          <w:b/>
        </w:rPr>
        <w:t xml:space="preserve">Synoptic view:</w:t>
      </w:r>
      <w:r>
        <w:t xml:space="preserve"> </w:t>
      </w:r>
      <w:r>
        <w:t xml:space="preserve">large-scale systems (monsoon trough, cyclones, western disturbances) are seen in one image.</w:t>
      </w:r>
    </w:p>
    <w:p>
      <w:pPr>
        <w:pStyle w:val="Compact"/>
        <w:numPr>
          <w:ilvl w:val="0"/>
          <w:numId w:val="1067"/>
        </w:numPr>
      </w:pPr>
      <w:r>
        <w:rPr>
          <w:bCs/>
          <w:b/>
        </w:rPr>
        <w:t xml:space="preserve">Continuous viewing from geostationary orbit:</w:t>
      </w:r>
      <w:r>
        <w:t xml:space="preserve"> </w:t>
      </w:r>
      <w:r>
        <w:t xml:space="preserve">short-lived phenomena (thunderstorms lasting a few hours) are detected early. Warning capability is the main justification for geostationary satellites.</w:t>
      </w:r>
    </w:p>
    <w:p>
      <w:pPr>
        <w:pStyle w:val="Compact"/>
        <w:numPr>
          <w:ilvl w:val="0"/>
          <w:numId w:val="1067"/>
        </w:numPr>
      </w:pPr>
      <w:r>
        <w:rPr>
          <w:bCs/>
          <w:b/>
        </w:rPr>
        <w:t xml:space="preserve">Integrated communication:</w:t>
      </w:r>
      <w:r>
        <w:t xml:space="preserve"> </w:t>
      </w:r>
      <w:r>
        <w:t xml:space="preserve">rapid relay of imagery and of data from unattended</w:t>
      </w:r>
      <w:r>
        <w:t xml:space="preserve"> </w:t>
      </w:r>
      <w:r>
        <w:rPr>
          <w:bCs/>
          <w:b/>
        </w:rPr>
        <w:t xml:space="preserve">Data Collection Platforms (DCPs)</w:t>
      </w:r>
      <w:r>
        <w:t xml:space="preserve">, plus direct broadcast to user stations.</w:t>
      </w:r>
    </w:p>
    <w:p>
      <w:pPr>
        <w:pStyle w:val="FirstParagraph"/>
      </w:pPr>
      <w:r>
        <w:t xml:space="preserve">A meteorological satellite serves three functions:</w:t>
      </w:r>
    </w:p>
    <w:p>
      <w:pPr>
        <w:pStyle w:val="Compact"/>
        <w:numPr>
          <w:ilvl w:val="0"/>
          <w:numId w:val="1068"/>
        </w:numPr>
      </w:pPr>
      <w:r>
        <w:t xml:space="preserve">Remote sensing of radiation, converted into cloud cover, cloud-motion winds, surface temperature, temperature and humidity profiles, ozone, snow and ice, and radiation budget.</w:t>
      </w:r>
    </w:p>
    <w:p>
      <w:pPr>
        <w:pStyle w:val="Compact"/>
        <w:numPr>
          <w:ilvl w:val="0"/>
          <w:numId w:val="1068"/>
        </w:numPr>
      </w:pPr>
      <w:r>
        <w:t xml:space="preserve">Collection of in-situ data from remote fixed or mobile platforms (DCPs, AWS, buoys).</w:t>
      </w:r>
    </w:p>
    <w:p>
      <w:pPr>
        <w:pStyle w:val="Compact"/>
        <w:numPr>
          <w:ilvl w:val="0"/>
          <w:numId w:val="1068"/>
        </w:numPr>
      </w:pPr>
      <w:r>
        <w:t xml:space="preserve">Direct broadcast of images and products to users (HRPT/LRIT/HRIT reception).</w:t>
      </w:r>
    </w:p>
    <w:p>
      <w:pPr>
        <w:pStyle w:val="Heading3"/>
      </w:pPr>
      <w:r>
        <w:t xml:space="preserve">9.18.2 Evolution of the global system</w:t>
      </w:r>
    </w:p>
    <w:p>
      <w:pPr>
        <w:pStyle w:val="Compact"/>
        <w:numPr>
          <w:ilvl w:val="0"/>
          <w:numId w:val="1069"/>
        </w:numPr>
      </w:pPr>
      <w:r>
        <w:rPr>
          <w:bCs/>
          <w:b/>
        </w:rPr>
        <w:t xml:space="preserve">1950s:</w:t>
      </w:r>
      <w:r>
        <w:t xml:space="preserve"> </w:t>
      </w:r>
      <w:r>
        <w:t xml:space="preserve">first views of the Earth from converted rockets.</w:t>
      </w:r>
    </w:p>
    <w:p>
      <w:pPr>
        <w:pStyle w:val="Compact"/>
        <w:numPr>
          <w:ilvl w:val="0"/>
          <w:numId w:val="1069"/>
        </w:numPr>
      </w:pPr>
      <w:r>
        <w:rPr>
          <w:bCs/>
          <w:b/>
        </w:rPr>
        <w:t xml:space="preserve">1 April 1960:</w:t>
      </w:r>
      <w:r>
        <w:t xml:space="preserve"> </w:t>
      </w:r>
      <w:r>
        <w:t xml:space="preserve">TIROS-1 (USA), the first operational meteorological satellite (cloud imagery).</w:t>
      </w:r>
    </w:p>
    <w:p>
      <w:pPr>
        <w:pStyle w:val="Compact"/>
        <w:numPr>
          <w:ilvl w:val="0"/>
          <w:numId w:val="1069"/>
        </w:numPr>
      </w:pPr>
      <w:r>
        <w:rPr>
          <w:bCs/>
          <w:b/>
        </w:rPr>
        <w:t xml:space="preserve">1966:</w:t>
      </w:r>
      <w:r>
        <w:t xml:space="preserve"> </w:t>
      </w:r>
      <w:r>
        <w:t xml:space="preserve">US operational polar series and the first geostationary meteorological imaging.</w:t>
      </w:r>
    </w:p>
    <w:p>
      <w:pPr>
        <w:pStyle w:val="Compact"/>
        <w:numPr>
          <w:ilvl w:val="0"/>
          <w:numId w:val="1069"/>
        </w:numPr>
      </w:pPr>
      <w:r>
        <w:rPr>
          <w:bCs/>
          <w:b/>
        </w:rPr>
        <w:t xml:space="preserve">1969:</w:t>
      </w:r>
      <w:r>
        <w:t xml:space="preserve"> </w:t>
      </w:r>
      <w:r>
        <w:t xml:space="preserve">USSR polar series (Meteor).</w:t>
      </w:r>
    </w:p>
    <w:p>
      <w:pPr>
        <w:pStyle w:val="Compact"/>
        <w:numPr>
          <w:ilvl w:val="0"/>
          <w:numId w:val="1069"/>
        </w:numPr>
      </w:pPr>
      <w:r>
        <w:rPr>
          <w:bCs/>
          <w:b/>
        </w:rPr>
        <w:t xml:space="preserve">1977:</w:t>
      </w:r>
      <w:r>
        <w:t xml:space="preserve"> </w:t>
      </w:r>
      <w:r>
        <w:t xml:space="preserve">Japan (GMS) and ESA (Meteosat) geostationary satellites. By 1978 the space-based</w:t>
      </w:r>
      <w:r>
        <w:t xml:space="preserve"> </w:t>
      </w:r>
      <w:r>
        <w:rPr>
          <w:bCs/>
          <w:b/>
        </w:rPr>
        <w:t xml:space="preserve">Global Observing System (GOS)</w:t>
      </w:r>
      <w:r>
        <w:t xml:space="preserve"> </w:t>
      </w:r>
      <w:r>
        <w:t xml:space="preserve">of the World Weather Watch existed, about 18 years after TIROS-1.</w:t>
      </w:r>
    </w:p>
    <w:p>
      <w:pPr>
        <w:pStyle w:val="Compact"/>
        <w:numPr>
          <w:ilvl w:val="0"/>
          <w:numId w:val="1069"/>
        </w:numPr>
      </w:pPr>
      <w:r>
        <w:rPr>
          <w:bCs/>
          <w:b/>
        </w:rPr>
        <w:t xml:space="preserve">1980s:</w:t>
      </w:r>
      <w:r>
        <w:t xml:space="preserve"> </w:t>
      </w:r>
      <w:r>
        <w:t xml:space="preserve">INSAT-1 series (India), combining communication and meteorology.</w:t>
      </w:r>
    </w:p>
    <w:p>
      <w:pPr>
        <w:pStyle w:val="Compact"/>
        <w:numPr>
          <w:ilvl w:val="0"/>
          <w:numId w:val="1069"/>
        </w:numPr>
      </w:pPr>
      <w:r>
        <w:rPr>
          <w:bCs/>
          <w:b/>
        </w:rPr>
        <w:t xml:space="preserve">2000s:</w:t>
      </w:r>
      <w:r>
        <w:t xml:space="preserve"> </w:t>
      </w:r>
      <w:r>
        <w:t xml:space="preserve">the GOS includes six or more geostationary satellites (covering about 75% of the globe, 70°N–70°S) and polar orbiters (NOAA, Meteor, FY). The USA (NOAA) and Europe (EUMETSAT) agreed on the</w:t>
      </w:r>
      <w:r>
        <w:t xml:space="preserve"> </w:t>
      </w:r>
      <w:r>
        <w:rPr>
          <w:bCs/>
          <w:b/>
        </w:rPr>
        <w:t xml:space="preserve">Initial Joint Polar System</w:t>
      </w:r>
      <w:r>
        <w:t xml:space="preserve"> </w:t>
      </w:r>
      <w:r>
        <w:t xml:space="preserve">(Metop from 2006).</w:t>
      </w:r>
    </w:p>
    <w:p>
      <w:pPr>
        <w:pStyle w:val="Compact"/>
        <w:numPr>
          <w:ilvl w:val="0"/>
          <w:numId w:val="1069"/>
        </w:numPr>
      </w:pPr>
      <w:r>
        <w:rPr>
          <w:bCs/>
          <w:b/>
        </w:rPr>
        <w:t xml:space="preserve">2003:</w:t>
      </w:r>
      <w:r>
        <w:t xml:space="preserve"> </w:t>
      </w:r>
      <w:r>
        <w:t xml:space="preserve">WMO’s 14th Congress created the</w:t>
      </w:r>
      <w:r>
        <w:t xml:space="preserve"> </w:t>
      </w:r>
      <w:r>
        <w:rPr>
          <w:bCs/>
          <w:b/>
        </w:rPr>
        <w:t xml:space="preserve">WMO Space Programme</w:t>
      </w:r>
      <w:r>
        <w:t xml:space="preserve">, expanding the GOS to include</w:t>
      </w:r>
      <w:r>
        <w:t xml:space="preserve"> </w:t>
      </w:r>
      <w:r>
        <w:rPr>
          <w:bCs/>
          <w:b/>
        </w:rPr>
        <w:t xml:space="preserve">R&amp;D satellites</w:t>
      </w:r>
      <w:r>
        <w:t xml:space="preserve"> </w:t>
      </w:r>
      <w:r>
        <w:t xml:space="preserve">(Terra, Aqua, TRMM, QuikSCAT, ENVISAT, ADEOS-II, Jason-1).</w:t>
      </w:r>
    </w:p>
    <w:p>
      <w:pPr>
        <w:pStyle w:val="Heading3"/>
      </w:pPr>
      <w:r>
        <w:t xml:space="preserve">9.18.3 WMO, CAgM and CGMS</w:t>
      </w:r>
    </w:p>
    <w:p>
      <w:pPr>
        <w:pStyle w:val="Compact"/>
        <w:numPr>
          <w:ilvl w:val="0"/>
          <w:numId w:val="1070"/>
        </w:numPr>
      </w:pPr>
      <w:r>
        <w:rPr>
          <w:bCs/>
          <w:b/>
        </w:rPr>
        <w:t xml:space="preserve">WMO Commission for Agricultural Meteorology (CAgM):</w:t>
      </w:r>
      <w:r>
        <w:t xml:space="preserve"> </w:t>
      </w:r>
      <w:r>
        <w:t xml:space="preserve">founded under the International Meteorological Organization in 1913 and under WMO from 1951. From its 6th session (Washington, 1974) it included remote sensing in agrometeorology, and later published technical notes on satellite applications. It emphasises</w:t>
      </w:r>
      <w:r>
        <w:t xml:space="preserve"> </w:t>
      </w:r>
      <w:r>
        <w:rPr>
          <w:bCs/>
          <w:b/>
        </w:rPr>
        <w:t xml:space="preserve">training</w:t>
      </w:r>
      <w:r>
        <w:t xml:space="preserve"> </w:t>
      </w:r>
      <w:r>
        <w:t xml:space="preserve">because data interpretation, not data acquisition, is the bottleneck.</w:t>
      </w:r>
    </w:p>
    <w:p>
      <w:pPr>
        <w:pStyle w:val="Compact"/>
        <w:numPr>
          <w:ilvl w:val="0"/>
          <w:numId w:val="1070"/>
        </w:numPr>
      </w:pPr>
      <w:r>
        <w:rPr>
          <w:bCs/>
          <w:b/>
        </w:rPr>
        <w:t xml:space="preserve">Coordination Group for Meteorological Satellites (CGMS):</w:t>
      </w:r>
      <w:r>
        <w:t xml:space="preserve"> </w:t>
      </w:r>
      <w:r>
        <w:t xml:space="preserve">formed in 1972 as the Co-ordination of Geostationary Meteorological Satellites, and broadened in the early 1990s to include polar orbiters. It coordinates orbits, inter-calibration, data formats, frequencies and products.</w:t>
      </w:r>
      <w:r>
        <w:t xml:space="preserve"> </w:t>
      </w:r>
      <w:r>
        <w:rPr>
          <w:bCs/>
          <w:b/>
        </w:rPr>
        <w:t xml:space="preserve">India Meteorological Department (IMD) has been a member since 1979.</w:t>
      </w:r>
      <w:r>
        <w:t xml:space="preserve"> </w:t>
      </w:r>
      <w:r>
        <w:t xml:space="preserve">Other members include EUMETSAT, JMA, CMA, NOAA/NESDIS, Roshydromet and WMO, and later NASA, ESA, JAXA and IOC.</w:t>
      </w:r>
    </w:p>
    <w:p>
      <w:pPr>
        <w:pStyle w:val="Compact"/>
        <w:numPr>
          <w:ilvl w:val="0"/>
          <w:numId w:val="1070"/>
        </w:numPr>
      </w:pPr>
      <w:r>
        <w:t xml:space="preserve">Satellite data reach national centres through the</w:t>
      </w:r>
      <w:r>
        <w:t xml:space="preserve"> </w:t>
      </w:r>
      <w:r>
        <w:rPr>
          <w:bCs/>
          <w:b/>
        </w:rPr>
        <w:t xml:space="preserve">Global Telecommunication System (GTS)</w:t>
      </w:r>
      <w:r>
        <w:t xml:space="preserve"> </w:t>
      </w:r>
      <w:r>
        <w:t xml:space="preserve">in near real time.</w:t>
      </w:r>
    </w:p>
    <w:p>
      <w:pPr>
        <w:pStyle w:val="Heading3"/>
      </w:pPr>
      <w:r>
        <w:t xml:space="preserve">9.18.4 Polar and geostationary meteorological satellites compared</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Polar orbiting</w:t>
            </w:r>
          </w:p>
        </w:tc>
        <w:tc>
          <w:tcPr/>
          <w:p>
            <w:pPr>
              <w:pStyle w:val="Compact"/>
              <w:jc w:val="left"/>
            </w:pPr>
            <w:r>
              <w:t xml:space="preserve">Geostationary</w:t>
            </w:r>
          </w:p>
        </w:tc>
      </w:tr>
      <w:tr>
        <w:tc>
          <w:tcPr/>
          <w:p>
            <w:pPr>
              <w:pStyle w:val="Compact"/>
              <w:jc w:val="left"/>
            </w:pPr>
            <w:r>
              <w:t xml:space="preserve">Altitude</w:t>
            </w:r>
          </w:p>
        </w:tc>
        <w:tc>
          <w:tcPr/>
          <w:p>
            <w:pPr>
              <w:pStyle w:val="Compact"/>
              <w:jc w:val="left"/>
            </w:pPr>
            <w:r>
              <w:t xml:space="preserve">~800–850 km</w:t>
            </w:r>
          </w:p>
        </w:tc>
        <w:tc>
          <w:tcPr/>
          <w:p>
            <w:pPr>
              <w:pStyle w:val="Compact"/>
              <w:jc w:val="left"/>
            </w:pPr>
            <w:r>
              <w:t xml:space="preserve">~35,786 km</w:t>
            </w:r>
          </w:p>
        </w:tc>
      </w:tr>
      <w:tr>
        <w:tc>
          <w:tcPr/>
          <w:p>
            <w:pPr>
              <w:pStyle w:val="Compact"/>
              <w:jc w:val="left"/>
            </w:pPr>
            <w:r>
              <w:t xml:space="preserve">Coverage</w:t>
            </w:r>
          </w:p>
        </w:tc>
        <w:tc>
          <w:tcPr/>
          <w:p>
            <w:pPr>
              <w:pStyle w:val="Compact"/>
              <w:jc w:val="left"/>
            </w:pPr>
            <w:r>
              <w:t xml:space="preserve">Whole globe, twice daily per satellite; swath ~2600–3000 km; about 14 orbits per day</w:t>
            </w:r>
          </w:p>
        </w:tc>
        <w:tc>
          <w:tcPr/>
          <w:p>
            <w:pPr>
              <w:pStyle w:val="Compact"/>
              <w:jc w:val="left"/>
            </w:pPr>
            <w:r>
              <w:t xml:space="preserve">Fixed disc (one-third of the globe), 70°N–70°S</w:t>
            </w:r>
          </w:p>
        </w:tc>
      </w:tr>
      <w:tr>
        <w:tc>
          <w:tcPr/>
          <w:p>
            <w:pPr>
              <w:pStyle w:val="Compact"/>
              <w:jc w:val="left"/>
            </w:pPr>
            <w:r>
              <w:t xml:space="preserve">Repeat</w:t>
            </w:r>
          </w:p>
        </w:tc>
        <w:tc>
          <w:tcPr/>
          <w:p>
            <w:pPr>
              <w:pStyle w:val="Compact"/>
              <w:jc w:val="left"/>
            </w:pPr>
            <w:r>
              <w:t xml:space="preserve">12-hourly per satellite</w:t>
            </w:r>
          </w:p>
        </w:tc>
        <w:tc>
          <w:tcPr/>
          <w:p>
            <w:pPr>
              <w:pStyle w:val="Compact"/>
              <w:jc w:val="left"/>
            </w:pPr>
            <w:r>
              <w:t xml:space="preserve">15–30 min (rapid-scan 5 min)</w:t>
            </w:r>
          </w:p>
        </w:tc>
      </w:tr>
      <w:tr>
        <w:tc>
          <w:tcPr/>
          <w:p>
            <w:pPr>
              <w:pStyle w:val="Compact"/>
              <w:jc w:val="left"/>
            </w:pPr>
            <w:r>
              <w:t xml:space="preserve">Resolution</w:t>
            </w:r>
          </w:p>
        </w:tc>
        <w:tc>
          <w:tcPr/>
          <w:p>
            <w:pPr>
              <w:pStyle w:val="Compact"/>
              <w:jc w:val="left"/>
            </w:pPr>
            <w:r>
              <w:t xml:space="preserve">Higher (1 km AVHRR)</w:t>
            </w:r>
          </w:p>
        </w:tc>
        <w:tc>
          <w:tcPr/>
          <w:p>
            <w:pPr>
              <w:pStyle w:val="Compact"/>
              <w:jc w:val="left"/>
            </w:pPr>
            <w:r>
              <w:t xml:space="preserve">Coarser (1–8 km)</w:t>
            </w:r>
          </w:p>
        </w:tc>
      </w:tr>
      <w:tr>
        <w:tc>
          <w:tcPr/>
          <w:p>
            <w:pPr>
              <w:pStyle w:val="Compact"/>
              <w:jc w:val="left"/>
            </w:pPr>
            <w:r>
              <w:t xml:space="preserve">Strengths</w:t>
            </w:r>
          </w:p>
        </w:tc>
        <w:tc>
          <w:tcPr/>
          <w:p>
            <w:pPr>
              <w:pStyle w:val="Compact"/>
              <w:jc w:val="left"/>
            </w:pPr>
            <w:r>
              <w:t xml:space="preserve">Quantitative SST, temperature and humidity soundings, polar coverage, NDVI</w:t>
            </w:r>
          </w:p>
        </w:tc>
        <w:tc>
          <w:tcPr/>
          <w:p>
            <w:pPr>
              <w:pStyle w:val="Compact"/>
              <w:jc w:val="left"/>
            </w:pPr>
            <w:r>
              <w:t xml:space="preserve">Diurnal cycle, nowcasting, cyclone tracking, cloud-motion winds</w:t>
            </w:r>
          </w:p>
        </w:tc>
      </w:tr>
      <w:tr>
        <w:tc>
          <w:tcPr/>
          <w:p>
            <w:pPr>
              <w:pStyle w:val="Compact"/>
              <w:jc w:val="left"/>
            </w:pPr>
            <w:r>
              <w:t xml:space="preserve">Examples</w:t>
            </w:r>
          </w:p>
        </w:tc>
        <w:tc>
          <w:tcPr/>
          <w:p>
            <w:pPr>
              <w:pStyle w:val="Compact"/>
              <w:jc w:val="left"/>
            </w:pPr>
            <w:r>
              <w:t xml:space="preserve">NOAA (AVHRR, HIRS, AMSU), Metop, FY-3, DMSP (SSM/I), Suomi-NPP and NOAA-20 (VIIRS)</w:t>
            </w:r>
          </w:p>
        </w:tc>
        <w:tc>
          <w:tcPr/>
          <w:p>
            <w:pPr>
              <w:pStyle w:val="Compact"/>
              <w:jc w:val="left"/>
            </w:pPr>
            <w:r>
              <w:t xml:space="preserve">INSAT-3D/3DR/3DS, Kalpana-1, Meteosat, GOES, Himawari, FY-4</w:t>
            </w:r>
          </w:p>
        </w:tc>
      </w:tr>
    </w:tbl>
    <w:p>
      <w:pPr>
        <w:pStyle w:val="Heading3"/>
      </w:pPr>
      <w:r>
        <w:t xml:space="preserve">9.18.5 NOAA AVHRR: the workhorse of early agrometeorology</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Band (µm)</w:t>
            </w:r>
          </w:p>
        </w:tc>
        <w:tc>
          <w:tcPr/>
          <w:p>
            <w:pPr>
              <w:pStyle w:val="Compact"/>
              <w:jc w:val="left"/>
            </w:pPr>
            <w:r>
              <w:t xml:space="preserve">Use</w:t>
            </w:r>
          </w:p>
        </w:tc>
      </w:tr>
      <w:tr>
        <w:tc>
          <w:tcPr/>
          <w:p>
            <w:pPr>
              <w:pStyle w:val="Compact"/>
              <w:jc w:val="left"/>
            </w:pPr>
            <w:r>
              <w:t xml:space="preserve">1</w:t>
            </w:r>
          </w:p>
        </w:tc>
        <w:tc>
          <w:tcPr/>
          <w:p>
            <w:pPr>
              <w:pStyle w:val="Compact"/>
              <w:jc w:val="left"/>
            </w:pPr>
            <w:r>
              <w:t xml:space="preserve">0.58–0.68 (red)</w:t>
            </w:r>
          </w:p>
        </w:tc>
        <w:tc>
          <w:tcPr/>
          <w:p>
            <w:pPr>
              <w:pStyle w:val="Compact"/>
              <w:jc w:val="left"/>
            </w:pPr>
            <w:r>
              <w:t xml:space="preserve">Clouds, snow; NDVI (red)</w:t>
            </w:r>
          </w:p>
        </w:tc>
      </w:tr>
      <w:tr>
        <w:tc>
          <w:tcPr/>
          <w:p>
            <w:pPr>
              <w:pStyle w:val="Compact"/>
              <w:jc w:val="left"/>
            </w:pPr>
            <w:r>
              <w:t xml:space="preserve">2</w:t>
            </w:r>
          </w:p>
        </w:tc>
        <w:tc>
          <w:tcPr/>
          <w:p>
            <w:pPr>
              <w:pStyle w:val="Compact"/>
              <w:jc w:val="left"/>
            </w:pPr>
            <w:r>
              <w:t xml:space="preserve">0.725–1.10 (NIR)</w:t>
            </w:r>
          </w:p>
        </w:tc>
        <w:tc>
          <w:tcPr/>
          <w:p>
            <w:pPr>
              <w:pStyle w:val="Compact"/>
              <w:jc w:val="left"/>
            </w:pPr>
            <w:r>
              <w:t xml:space="preserve">Water boundaries; NDVI (NIR)</w:t>
            </w:r>
          </w:p>
        </w:tc>
      </w:tr>
      <w:tr>
        <w:tc>
          <w:tcPr/>
          <w:p>
            <w:pPr>
              <w:pStyle w:val="Compact"/>
              <w:jc w:val="left"/>
            </w:pPr>
            <w:r>
              <w:t xml:space="preserve">3 (3A/3B)</w:t>
            </w:r>
          </w:p>
        </w:tc>
        <w:tc>
          <w:tcPr/>
          <w:p>
            <w:pPr>
              <w:pStyle w:val="Compact"/>
              <w:jc w:val="left"/>
            </w:pPr>
            <w:r>
              <w:t xml:space="preserve">1.58–1.64 / 3.55–3.93</w:t>
            </w:r>
          </w:p>
        </w:tc>
        <w:tc>
          <w:tcPr/>
          <w:p>
            <w:pPr>
              <w:pStyle w:val="Compact"/>
              <w:jc w:val="left"/>
            </w:pPr>
            <w:r>
              <w:t xml:space="preserve">Snow/ice;</w:t>
            </w:r>
            <w:r>
              <w:t xml:space="preserve"> </w:t>
            </w:r>
            <w:r>
              <w:rPr>
                <w:bCs/>
                <w:b/>
              </w:rPr>
              <w:t xml:space="preserve">fires, night-time cloud</w:t>
            </w:r>
          </w:p>
        </w:tc>
      </w:tr>
      <w:tr>
        <w:tc>
          <w:tcPr/>
          <w:p>
            <w:pPr>
              <w:pStyle w:val="Compact"/>
              <w:jc w:val="left"/>
            </w:pPr>
            <w:r>
              <w:t xml:space="preserve">4</w:t>
            </w:r>
          </w:p>
        </w:tc>
        <w:tc>
          <w:tcPr/>
          <w:p>
            <w:pPr>
              <w:pStyle w:val="Compact"/>
              <w:jc w:val="left"/>
            </w:pPr>
            <w:r>
              <w:t xml:space="preserve">10.3–11.3</w:t>
            </w:r>
          </w:p>
        </w:tc>
        <w:tc>
          <w:tcPr/>
          <w:p>
            <w:pPr>
              <w:pStyle w:val="Compact"/>
              <w:jc w:val="left"/>
            </w:pPr>
            <w:r>
              <w:t xml:space="preserve">Cloud-top temperature, SST, LST (split window)</w:t>
            </w:r>
          </w:p>
        </w:tc>
      </w:tr>
      <w:tr>
        <w:tc>
          <w:tcPr/>
          <w:p>
            <w:pPr>
              <w:pStyle w:val="Compact"/>
              <w:jc w:val="left"/>
            </w:pPr>
            <w:r>
              <w:t xml:space="preserve">5</w:t>
            </w:r>
          </w:p>
        </w:tc>
        <w:tc>
          <w:tcPr/>
          <w:p>
            <w:pPr>
              <w:pStyle w:val="Compact"/>
              <w:jc w:val="left"/>
            </w:pPr>
            <w:r>
              <w:t xml:space="preserve">11.5–12.5</w:t>
            </w:r>
          </w:p>
        </w:tc>
        <w:tc>
          <w:tcPr/>
          <w:p>
            <w:pPr>
              <w:pStyle w:val="Compact"/>
              <w:jc w:val="left"/>
            </w:pPr>
            <w:r>
              <w:t xml:space="preserve">Water-vapour correction for SST and LST (split window)</w:t>
            </w:r>
          </w:p>
        </w:tc>
      </w:tr>
    </w:tbl>
    <w:p>
      <w:pPr>
        <w:pStyle w:val="BodyText"/>
      </w:pPr>
      <w:r>
        <w:t xml:space="preserve">Resolution is 1.1 km (LAC/HRPT); GAC is resampled to about 4 km. The</w:t>
      </w:r>
      <w:r>
        <w:t xml:space="preserve"> </w:t>
      </w:r>
      <w:r>
        <w:rPr>
          <w:bCs/>
          <w:b/>
        </w:rPr>
        <w:t xml:space="preserve">TIROS Operational Vertical Sounder (TOVS)</w:t>
      </w:r>
      <w:r>
        <w:t xml:space="preserve"> </w:t>
      </w:r>
      <w:r>
        <w:t xml:space="preserve">= HIRS (20 IR channels; 15 µm and 4.3 µm CO₂ bands for temperature, 6.3 µm for moisture, 9.7 µm for ozone) + MSU (microwave, temperature below clouds) + SSU (stratosphere). It was later replaced by ATOVS (AMSU-A at ~50 GHz O₂ for temperature, AMSU-B/MHS at 183 GHz for humidity). The</w:t>
      </w:r>
      <w:r>
        <w:t xml:space="preserve"> </w:t>
      </w:r>
      <w:r>
        <w:rPr>
          <w:bCs/>
          <w:b/>
        </w:rPr>
        <w:t xml:space="preserve">Earth Radiation Budget Experiment (ERBE)</w:t>
      </w:r>
      <w:r>
        <w:t xml:space="preserve"> </w:t>
      </w:r>
      <w:r>
        <w:t xml:space="preserve">measures incident, reflected and emitted radiation to about 1%.</w:t>
      </w:r>
    </w:p>
    <w:p>
      <w:pPr>
        <w:pStyle w:val="Heading3"/>
      </w:pPr>
      <w:r>
        <w:t xml:space="preserve">9.18.6 The INSAT meteorological component</w:t>
      </w:r>
    </w:p>
    <w:p>
      <w:pPr>
        <w:pStyle w:val="Compact"/>
        <w:numPr>
          <w:ilvl w:val="0"/>
          <w:numId w:val="1071"/>
        </w:numPr>
      </w:pPr>
      <w:r>
        <w:rPr>
          <w:bCs/>
          <w:b/>
        </w:rPr>
        <w:t xml:space="preserve">INSAT-1 VHRR:</w:t>
      </w:r>
      <w:r>
        <w:t xml:space="preserve"> </w:t>
      </w:r>
      <w:r>
        <w:t xml:space="preserve">VIS (0.55–0.75 µm, 2.75 km) and TIR (10.5–12.5 µm, 11 km), every 3 hours (half-hourly for cyclones).</w:t>
      </w:r>
    </w:p>
    <w:p>
      <w:pPr>
        <w:pStyle w:val="Compact"/>
        <w:numPr>
          <w:ilvl w:val="0"/>
          <w:numId w:val="1071"/>
        </w:numPr>
      </w:pPr>
      <w:r>
        <w:rPr>
          <w:bCs/>
          <w:b/>
        </w:rPr>
        <w:t xml:space="preserve">INSAT-2 VHRR:</w:t>
      </w:r>
      <w:r>
        <w:t xml:space="preserve"> </w:t>
      </w:r>
      <w:r>
        <w:t xml:space="preserve">2 km VIS and 8 km TIR.</w:t>
      </w:r>
      <w:r>
        <w:t xml:space="preserve"> </w:t>
      </w:r>
      <w:r>
        <w:rPr>
          <w:bCs/>
          <w:b/>
        </w:rPr>
        <w:t xml:space="preserve">INSAT-2E</w:t>
      </w:r>
      <w:r>
        <w:t xml:space="preserve"> </w:t>
      </w:r>
      <w:r>
        <w:t xml:space="preserve">(1999) added a</w:t>
      </w:r>
      <w:r>
        <w:t xml:space="preserve"> </w:t>
      </w:r>
      <w:r>
        <w:rPr>
          <w:bCs/>
          <w:b/>
        </w:rPr>
        <w:t xml:space="preserve">water-vapour channel (5.7–7.1 µm)</w:t>
      </w:r>
      <w:r>
        <w:t xml:space="preserve"> </w:t>
      </w:r>
      <w:r>
        <w:t xml:space="preserve">and a</w:t>
      </w:r>
      <w:r>
        <w:t xml:space="preserve"> </w:t>
      </w:r>
      <w:r>
        <w:rPr>
          <w:bCs/>
          <w:b/>
        </w:rPr>
        <w:t xml:space="preserve">CCD camera</w:t>
      </w:r>
      <w:r>
        <w:t xml:space="preserve"> </w:t>
      </w:r>
      <w:r>
        <w:t xml:space="preserve">(1 km; red, NIR and SWIR) for vegetation.</w:t>
      </w:r>
    </w:p>
    <w:p>
      <w:pPr>
        <w:pStyle w:val="Compact"/>
        <w:numPr>
          <w:ilvl w:val="0"/>
          <w:numId w:val="1071"/>
        </w:numPr>
      </w:pPr>
      <w:r>
        <w:rPr>
          <w:bCs/>
          <w:b/>
        </w:rPr>
        <w:t xml:space="preserve">Kalpana-1 (METSAT, 2002):</w:t>
      </w:r>
      <w:r>
        <w:t xml:space="preserve"> </w:t>
      </w:r>
      <w:r>
        <w:t xml:space="preserve">the first dedicated Indian meteorological satellite.</w:t>
      </w:r>
    </w:p>
    <w:p>
      <w:pPr>
        <w:pStyle w:val="Compact"/>
        <w:numPr>
          <w:ilvl w:val="0"/>
          <w:numId w:val="1071"/>
        </w:numPr>
      </w:pPr>
      <w:r>
        <w:rPr>
          <w:bCs/>
          <w:b/>
        </w:rPr>
        <w:t xml:space="preserve">INSAT-3D (2013), 3DR (2016) and 3DS (2024):</w:t>
      </w:r>
      <w:r>
        <w:t xml:space="preserve"> </w:t>
      </w:r>
      <w:r>
        <w:t xml:space="preserve">a 6-channel imager plus a 19-channel sounder, giving LST, insolation, rainfall (HEM, IMSRA), OLR, fog, snow, AMVs, UTH and temperature/humidity profiles. The products are described later in this book.</w:t>
      </w:r>
    </w:p>
    <w:p>
      <w:pPr>
        <w:pStyle w:val="Compact"/>
        <w:numPr>
          <w:ilvl w:val="0"/>
          <w:numId w:val="1071"/>
        </w:numPr>
      </w:pPr>
      <w:r>
        <w:rPr>
          <w:bCs/>
          <w:b/>
        </w:rPr>
        <w:t xml:space="preserve">Services:</w:t>
      </w:r>
      <w:r>
        <w:t xml:space="preserve"> </w:t>
      </w:r>
      <w:r>
        <w:t xml:space="preserve">round-the-clock imaging, DCP data relay,</w:t>
      </w:r>
      <w:r>
        <w:t xml:space="preserve"> </w:t>
      </w:r>
      <w:r>
        <w:rPr>
          <w:bCs/>
          <w:b/>
        </w:rPr>
        <w:t xml:space="preserve">Cyclone Warning Dissemination System (CWDS)</w:t>
      </w:r>
      <w:r>
        <w:t xml:space="preserve">, and</w:t>
      </w:r>
      <w:r>
        <w:t xml:space="preserve"> </w:t>
      </w:r>
      <w:r>
        <w:rPr>
          <w:bCs/>
          <w:b/>
        </w:rPr>
        <w:t xml:space="preserve">Meteorological Data Dissemination (MDD)</w:t>
      </w:r>
      <w:r>
        <w:t xml:space="preserve"> </w:t>
      </w:r>
      <w:r>
        <w:t xml:space="preserve">to forecasting offices.</w:t>
      </w:r>
    </w:p>
    <w:p>
      <w:pPr>
        <w:pStyle w:val="Heading3"/>
      </w:pPr>
      <w:r>
        <w:t xml:space="preserve">9.18.7 Microwave meteorological payloads</w:t>
      </w:r>
    </w:p>
    <w:p>
      <w:pPr>
        <w:pStyle w:val="Compact"/>
        <w:numPr>
          <w:ilvl w:val="0"/>
          <w:numId w:val="1072"/>
        </w:numPr>
      </w:pPr>
      <w:r>
        <w:rPr>
          <w:bCs/>
          <w:b/>
        </w:rPr>
        <w:t xml:space="preserve">SSM/I</w:t>
      </w:r>
      <w:r>
        <w:t xml:space="preserve"> </w:t>
      </w:r>
      <w:r>
        <w:t xml:space="preserve">(DMSP, 1987–): 19.35, 22.235, 37 and 85.5 GHz, ~1400 km swath. It gives precipitable water, ocean wind speed, cloud liquid water and rain rate (mostly over oceans). The 85 GHz channel (15 km) gives radar-like views of cyclone eyes through cirrus.</w:t>
      </w:r>
    </w:p>
    <w:p>
      <w:pPr>
        <w:pStyle w:val="Compact"/>
        <w:numPr>
          <w:ilvl w:val="0"/>
          <w:numId w:val="1072"/>
        </w:numPr>
      </w:pPr>
      <w:r>
        <w:rPr>
          <w:bCs/>
          <w:b/>
        </w:rPr>
        <w:t xml:space="preserve">TRMM</w:t>
      </w:r>
      <w:r>
        <w:t xml:space="preserve"> </w:t>
      </w:r>
      <w:r>
        <w:t xml:space="preserve">(1997–2015, 35° inclination, ~350–400 km): the</w:t>
      </w:r>
      <w:r>
        <w:t xml:space="preserve"> </w:t>
      </w:r>
      <w:r>
        <w:rPr>
          <w:bCs/>
          <w:b/>
        </w:rPr>
        <w:t xml:space="preserve">Precipitation Radar (13.8 GHz)</w:t>
      </w:r>
      <w:r>
        <w:t xml:space="preserve"> </w:t>
      </w:r>
      <w:r>
        <w:t xml:space="preserve">was the first spaceborne rain radar.</w:t>
      </w:r>
      <w:r>
        <w:t xml:space="preserve"> </w:t>
      </w:r>
      <w:r>
        <w:rPr>
          <w:bCs/>
          <w:b/>
        </w:rPr>
        <w:t xml:space="preserve">TMI</w:t>
      </w:r>
      <w:r>
        <w:t xml:space="preserve"> </w:t>
      </w:r>
      <w:r>
        <w:t xml:space="preserve">added a 10.7 GHz channel for SST through clouds (accuracy about 0.5 K).</w:t>
      </w:r>
    </w:p>
    <w:p>
      <w:pPr>
        <w:pStyle w:val="Compact"/>
        <w:numPr>
          <w:ilvl w:val="0"/>
          <w:numId w:val="1072"/>
        </w:numPr>
      </w:pPr>
      <w:r>
        <w:rPr>
          <w:bCs/>
          <w:b/>
        </w:rPr>
        <w:t xml:space="preserve">IRS-P4 Oceansat-1 MSMR</w:t>
      </w:r>
      <w:r>
        <w:t xml:space="preserve"> </w:t>
      </w:r>
      <w:r>
        <w:t xml:space="preserve">(1999): 6.6, 10.65, 18 and 21 GHz, dual polarisation, giving SST, wind speed, water vapour and cloud liquid water.</w:t>
      </w:r>
    </w:p>
    <w:p>
      <w:pPr>
        <w:pStyle w:val="Compact"/>
        <w:numPr>
          <w:ilvl w:val="0"/>
          <w:numId w:val="1072"/>
        </w:numPr>
      </w:pPr>
      <w:r>
        <w:rPr>
          <w:bCs/>
          <w:b/>
        </w:rPr>
        <w:t xml:space="preserve">Scatterometers:</w:t>
      </w:r>
      <w:r>
        <w:t xml:space="preserve"> </w:t>
      </w:r>
      <w:r>
        <w:t xml:space="preserve">ERS (C-band), QuikSCAT (Ku, 1800 km swath), OSCAT and SCATSAT-1. They give ocean wind vectors at about 25 km. Cyclone analysts use them for the radius of 34-kt winds and closed circulations.</w:t>
      </w:r>
    </w:p>
    <w:p>
      <w:pPr>
        <w:pStyle w:val="Compact"/>
        <w:numPr>
          <w:ilvl w:val="0"/>
          <w:numId w:val="1072"/>
        </w:numPr>
      </w:pPr>
      <w:r>
        <w:rPr>
          <w:bCs/>
          <w:b/>
        </w:rPr>
        <w:t xml:space="preserve">Altimeters:</w:t>
      </w:r>
      <w:r>
        <w:t xml:space="preserve"> </w:t>
      </w:r>
      <w:r>
        <w:t xml:space="preserve">sea-surface height, ocean heat content and cyclone intensification potential.</w:t>
      </w:r>
    </w:p>
    <w:p>
      <w:pPr>
        <w:pStyle w:val="KeyPoint"/>
      </w:pPr>
      <w:r>
        <w:rPr>
          <w:bCs/>
          <w:b/>
        </w:rPr>
        <w:t xml:space="preserve">Why microwaves for weather:</w:t>
      </w:r>
      <w:r>
        <w:t xml:space="preserve"> </w:t>
      </w:r>
      <w:r>
        <w:t xml:space="preserve">clouds are opaque at VIS/IR, so VIS/IR rain estimates are</w:t>
      </w:r>
      <w:r>
        <w:t xml:space="preserve"> </w:t>
      </w:r>
      <w:r>
        <w:rPr>
          <w:iCs/>
          <w:i/>
        </w:rPr>
        <w:t xml:space="preserve">inferential</w:t>
      </w:r>
      <w:r>
        <w:t xml:space="preserve"> </w:t>
      </w:r>
      <w:r>
        <w:t xml:space="preserve">(they use cloud-top temperature and brightness). Microwaves interact directly with rain:</w:t>
      </w:r>
      <w:r>
        <w:t xml:space="preserve"> </w:t>
      </w:r>
      <w:r>
        <w:rPr>
          <w:bCs/>
          <w:b/>
        </w:rPr>
        <w:t xml:space="preserve">emission</w:t>
      </w:r>
      <w:r>
        <w:t xml:space="preserve"> </w:t>
      </w:r>
      <w:r>
        <w:t xml:space="preserve">at low frequencies (~19 GHz, over oceans only) and</w:t>
      </w:r>
      <w:r>
        <w:t xml:space="preserve"> </w:t>
      </w:r>
      <w:r>
        <w:rPr>
          <w:bCs/>
          <w:b/>
        </w:rPr>
        <w:t xml:space="preserve">ice scattering</w:t>
      </w:r>
      <w:r>
        <w:t xml:space="preserve"> </w:t>
      </w:r>
      <w:r>
        <w:t xml:space="preserve">at high frequencies (~85 GHz, over land and ocean). Microwave rain estimates are therefore more</w:t>
      </w:r>
      <w:r>
        <w:t xml:space="preserve"> </w:t>
      </w:r>
      <w:r>
        <w:rPr>
          <w:iCs/>
          <w:i/>
        </w:rPr>
        <w:t xml:space="preserve">direct</w:t>
      </w:r>
      <w:r>
        <w:t xml:space="preserve">, though spatially coarse and infrequent.</w:t>
      </w:r>
    </w:p>
    <w:p>
      <w:pPr>
        <w:pStyle w:val="Heading3"/>
      </w:pPr>
      <w:r>
        <w:t xml:space="preserve">9.18.8 Likely interview questions</w:t>
      </w:r>
    </w:p>
    <w:p>
      <w:pPr>
        <w:pStyle w:val="FirstParagraph"/>
      </w:pPr>
      <w:r>
        <w:rPr>
          <w:bCs/>
          <w:b/>
        </w:rPr>
        <w:t xml:space="preserve">Q. Why are both polar and geostationary meteorological satellites needed?</w:t>
      </w:r>
      <w:r>
        <w:t xml:space="preserve"> </w:t>
      </w:r>
      <w:r>
        <w:t xml:space="preserve">Geostationary satellites give continuous monitoring for nowcasting and warnings. Polar satellites give global coverage, higher resolution and quantitative soundings, including the polar regions.</w:t>
      </w:r>
    </w:p>
    <w:p>
      <w:pPr>
        <w:pStyle w:val="BodyText"/>
      </w:pPr>
      <w:r>
        <w:rPr>
          <w:bCs/>
          <w:b/>
        </w:rPr>
        <w:t xml:space="preserve">Q. What is CGMS and is India a member?</w:t>
      </w:r>
      <w:r>
        <w:t xml:space="preserve"> </w:t>
      </w:r>
      <w:r>
        <w:t xml:space="preserve">The Coordination Group for Meteorological Satellites, formed in 1972. IMD has been a member since 1979.</w:t>
      </w:r>
    </w:p>
    <w:p>
      <w:pPr>
        <w:pStyle w:val="BodyText"/>
      </w:pPr>
      <w:r>
        <w:rPr>
          <w:bCs/>
          <w:b/>
        </w:rPr>
        <w:t xml:space="preserve">Q. Which INSAT satellite first carried a water-vapour channel?</w:t>
      </w:r>
      <w:r>
        <w:t xml:space="preserve"> </w:t>
      </w:r>
      <w:r>
        <w:t xml:space="preserve">INSAT-2E (1999), at 5.7–7.1 µm.</w:t>
      </w:r>
    </w:p>
    <w:p>
      <w:pPr>
        <w:pStyle w:val="BodyText"/>
      </w:pPr>
      <w:r>
        <w:rPr>
          <w:bCs/>
          <w:b/>
        </w:rPr>
        <w:t xml:space="preserve">Q. What are the five AVHRR channels used for?</w:t>
      </w:r>
      <w:r>
        <w:t xml:space="preserve"> </w:t>
      </w:r>
      <w:r>
        <w:t xml:space="preserve">Red and NIR for clouds and NDVI; 3.7 µm for fire and night cloud; 11 and 12 µm for SST and LST (split window).</w:t>
      </w:r>
    </w:p>
    <w:p>
      <w:pPr>
        <w:pStyle w:val="PartTitle"/>
      </w:pPr>
      <w:r>
        <w:t xml:space="preserve">Part II</w:t>
      </w:r>
      <w:r>
        <w:br/>
      </w:r>
      <w:r>
        <w:t xml:space="preserve">GIS, GNSS and Spatial Statistics</w:t>
      </w:r>
    </w:p>
    <w:p>
      <w:pPr>
        <w:pStyle w:val="PartSub"/>
      </w:pPr>
      <w:r>
        <w:t xml:space="preserve">Geographic information systems, spatial analysis, satellite navigation and geostatistics</w:t>
      </w:r>
    </w:p>
    <w:p>
      <w:pPr>
        <w:pStyle w:val="Heading1"/>
      </w:pPr>
      <w:r>
        <w:t xml:space="preserve">Chapter 10. Geographic Information System Fundamentals</w:t>
      </w:r>
    </w:p>
    <w:p>
      <w:pPr>
        <w:pStyle w:val="Heading2"/>
      </w:pPr>
      <w:r>
        <w:t xml:space="preserve">10.1 What a GIS Is</w:t>
      </w:r>
    </w:p>
    <w:p>
      <w:pPr>
        <w:pStyle w:val="FirstParagraph"/>
      </w:pPr>
      <w:r>
        <w:t xml:space="preserve">A</w:t>
      </w:r>
      <w:r>
        <w:t xml:space="preserve"> </w:t>
      </w:r>
      <w:r>
        <w:rPr>
          <w:bCs/>
          <w:b/>
        </w:rPr>
        <w:t xml:space="preserve">Geographic Information System (GIS)</w:t>
      </w:r>
      <w:r>
        <w:t xml:space="preserve"> </w:t>
      </w:r>
      <w:r>
        <w:t xml:space="preserve">is a computer-based system for</w:t>
      </w:r>
      <w:r>
        <w:t xml:space="preserve"> </w:t>
      </w:r>
      <w:r>
        <w:rPr>
          <w:bCs/>
          <w:b/>
        </w:rPr>
        <w:t xml:space="preserve">capturing, storing, checking, managing, analysing and displaying data that are spatially referenced to the Earth</w:t>
      </w:r>
      <w:r>
        <w:t xml:space="preserve">. Several classical definitions are worth quoting in an interview:</w:t>
      </w:r>
    </w:p>
    <w:p>
      <w:pPr>
        <w:pStyle w:val="Compact"/>
        <w:numPr>
          <w:ilvl w:val="0"/>
          <w:numId w:val="1073"/>
        </w:numPr>
      </w:pPr>
      <w:r>
        <w:t xml:space="preserve">“</w:t>
      </w:r>
      <w:r>
        <w:t xml:space="preserve">A powerful set of tools for collecting, storing, retrieving at will, transforming and displaying spatial data from the real world for a particular set of purposes</w:t>
      </w:r>
      <w:r>
        <w:t xml:space="preserve">”</w:t>
      </w:r>
      <w:r>
        <w:t xml:space="preserve"> </w:t>
      </w:r>
      <w:r>
        <w:t xml:space="preserve">(Burrough, 1986/1998).</w:t>
      </w:r>
    </w:p>
    <w:p>
      <w:pPr>
        <w:pStyle w:val="Compact"/>
        <w:numPr>
          <w:ilvl w:val="0"/>
          <w:numId w:val="1073"/>
        </w:numPr>
      </w:pPr>
      <w:r>
        <w:t xml:space="preserve">“</w:t>
      </w:r>
      <w:r>
        <w:t xml:space="preserve">A computer-based system that provides four sets of capabilities to handle geo-referenced data:</w:t>
      </w:r>
      <w:r>
        <w:t xml:space="preserve"> </w:t>
      </w:r>
      <w:r>
        <w:rPr>
          <w:bCs/>
          <w:b/>
        </w:rPr>
        <w:t xml:space="preserve">input, data management (storage and retrieval), manipulation and analysis, and output</w:t>
      </w:r>
      <w:r>
        <w:t xml:space="preserve">”</w:t>
      </w:r>
      <w:r>
        <w:t xml:space="preserve"> </w:t>
      </w:r>
      <w:r>
        <w:t xml:space="preserve">(Aronoff, 1989).</w:t>
      </w:r>
    </w:p>
    <w:p>
      <w:pPr>
        <w:pStyle w:val="Compact"/>
        <w:numPr>
          <w:ilvl w:val="0"/>
          <w:numId w:val="1073"/>
        </w:numPr>
      </w:pPr>
      <w:r>
        <w:t xml:space="preserve">“</w:t>
      </w:r>
      <w:r>
        <w:t xml:space="preserve">A decision support system involving the integration of spatially referenced data in a problem-solving environment.</w:t>
      </w:r>
      <w:r>
        <w:t xml:space="preserve">”</w:t>
      </w:r>
    </w:p>
    <w:p>
      <w:pPr>
        <w:pStyle w:val="FirstParagraph"/>
      </w:pPr>
      <w:r>
        <w:rPr>
          <w:bCs/>
          <w:b/>
        </w:rPr>
        <w:t xml:space="preserve">Geoinformatics</w:t>
      </w:r>
      <w:r>
        <w:t xml:space="preserve"> </w:t>
      </w:r>
      <w:r>
        <w:t xml:space="preserve">(or geomatics) is the wider discipline integrating remote sensing, GIS, GNSS, photogrammetry, cartography and spatial statistics:</w:t>
      </w:r>
      <w:r>
        <w:t xml:space="preserve"> </w:t>
      </w:r>
      <w:r>
        <w:t xml:space="preserve">“</w:t>
      </w:r>
      <w:r>
        <w:t xml:space="preserve">the science and technology dealing with the structure and character of spatial information, its capture, classification, storage, processing, portrayal and dissemination</w:t>
      </w:r>
      <w:r>
        <w:t xml:space="preserve">”</w:t>
      </w:r>
      <w:r>
        <w:t xml:space="preserve">. Related terms include Spatial Information System (SIS), Land Information System (LIS), Spatial Decision Support System (SDSS) and multipurpose cadastre.</w:t>
      </w:r>
    </w:p>
    <w:p>
      <w:pPr>
        <w:pStyle w:val="Heading3"/>
      </w:pPr>
      <w:r>
        <w:t xml:space="preserve">10.1.1 Data, information and knowledge</w:t>
      </w:r>
    </w:p>
    <w:p>
      <w:pPr>
        <w:pStyle w:val="FirstParagraph"/>
      </w:pPr>
      <w:r>
        <w:t xml:space="preserve">Raw</w:t>
      </w:r>
      <w:r>
        <w:t xml:space="preserve"> </w:t>
      </w:r>
      <w:r>
        <w:rPr>
          <w:bCs/>
          <w:b/>
        </w:rPr>
        <w:t xml:space="preserve">data</w:t>
      </w:r>
      <w:r>
        <w:t xml:space="preserve"> </w:t>
      </w:r>
      <w:r>
        <w:t xml:space="preserve">(rain-gauge readings, DNs) become</w:t>
      </w:r>
      <w:r>
        <w:t xml:space="preserve"> </w:t>
      </w:r>
      <w:r>
        <w:rPr>
          <w:bCs/>
          <w:b/>
        </w:rPr>
        <w:t xml:space="preserve">information</w:t>
      </w:r>
      <w:r>
        <w:t xml:space="preserve"> </w:t>
      </w:r>
      <w:r>
        <w:t xml:space="preserve">when organised and interpreted (a rainfall map), and</w:t>
      </w:r>
      <w:r>
        <w:t xml:space="preserve"> </w:t>
      </w:r>
      <w:r>
        <w:rPr>
          <w:bCs/>
          <w:b/>
        </w:rPr>
        <w:t xml:space="preserve">knowledge</w:t>
      </w:r>
      <w:r>
        <w:t xml:space="preserve"> </w:t>
      </w:r>
      <w:r>
        <w:t xml:space="preserve">when understood in context (this district faces drought risk). A GIS database is a model of the real world at a point in time. Data can be</w:t>
      </w:r>
      <w:r>
        <w:t xml:space="preserve"> </w:t>
      </w:r>
      <w:r>
        <w:rPr>
          <w:bCs/>
          <w:b/>
        </w:rPr>
        <w:t xml:space="preserve">real</w:t>
      </w:r>
      <w:r>
        <w:t xml:space="preserve"> </w:t>
      </w:r>
      <w:r>
        <w:t xml:space="preserve">(terrain),</w:t>
      </w:r>
      <w:r>
        <w:t xml:space="preserve"> </w:t>
      </w:r>
      <w:r>
        <w:rPr>
          <w:bCs/>
          <w:b/>
        </w:rPr>
        <w:t xml:space="preserve">captured</w:t>
      </w:r>
      <w:r>
        <w:t xml:space="preserve"> </w:t>
      </w:r>
      <w:r>
        <w:t xml:space="preserve">(satellite images),</w:t>
      </w:r>
      <w:r>
        <w:t xml:space="preserve"> </w:t>
      </w:r>
      <w:r>
        <w:rPr>
          <w:bCs/>
          <w:b/>
        </w:rPr>
        <w:t xml:space="preserve">interpreted</w:t>
      </w:r>
      <w:r>
        <w:t xml:space="preserve"> </w:t>
      </w:r>
      <w:r>
        <w:t xml:space="preserve">(a land-use map from an image),</w:t>
      </w:r>
      <w:r>
        <w:t xml:space="preserve"> </w:t>
      </w:r>
      <w:r>
        <w:rPr>
          <w:bCs/>
          <w:b/>
        </w:rPr>
        <w:t xml:space="preserve">encoded</w:t>
      </w:r>
      <w:r>
        <w:t xml:space="preserve"> </w:t>
      </w:r>
      <w:r>
        <w:t xml:space="preserve">(rain-gauge records) or</w:t>
      </w:r>
      <w:r>
        <w:t xml:space="preserve"> </w:t>
      </w:r>
      <w:r>
        <w:rPr>
          <w:bCs/>
          <w:b/>
        </w:rPr>
        <w:t xml:space="preserve">structured</w:t>
      </w:r>
      <w:r>
        <w:t xml:space="preserve"> </w:t>
      </w:r>
      <w:r>
        <w:t xml:space="preserve">(watershed tables).</w:t>
      </w:r>
    </w:p>
    <w:p>
      <w:pPr>
        <w:pStyle w:val="Heading3"/>
      </w:pPr>
      <w:r>
        <w:t xml:space="preserve">10.1.2 Why GIS? The motivation</w:t>
      </w:r>
    </w:p>
    <w:p>
      <w:pPr>
        <w:pStyle w:val="FirstParagraph"/>
      </w:pPr>
      <w:r>
        <w:t xml:space="preserve">In the analogue workflow, a planner collects maps from different agencies (Survey of India, soil survey, forest survey, census), at different scales and projections, converts them manually to a common scale, and overlays them on a light table. A GIS stores all layers digitally in world coordinates, so scale changes and reprojection become trivial, and analysis can be repeated or modified instantly.</w:t>
      </w:r>
    </w:p>
    <w:p>
      <w:pPr>
        <w:pStyle w:val="Heading3"/>
      </w:pPr>
      <w:r>
        <w:t xml:space="preserve">10.1.3 The five generic questions a GIS answers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Type</w:t>
            </w:r>
          </w:p>
        </w:tc>
        <w:tc>
          <w:tcPr/>
          <w:p>
            <w:pPr>
              <w:pStyle w:val="Compact"/>
              <w:jc w:val="left"/>
            </w:pPr>
            <w:r>
              <w:t xml:space="preserve">Example</w:t>
            </w:r>
          </w:p>
        </w:tc>
      </w:tr>
      <w:tr>
        <w:tc>
          <w:tcPr/>
          <w:p>
            <w:pPr>
              <w:pStyle w:val="Compact"/>
              <w:jc w:val="left"/>
            </w:pPr>
            <w:r>
              <w:t xml:space="preserve">What is at …?</w:t>
            </w:r>
          </w:p>
        </w:tc>
        <w:tc>
          <w:tcPr/>
          <w:p>
            <w:pPr>
              <w:pStyle w:val="Compact"/>
              <w:jc w:val="left"/>
            </w:pPr>
            <w:r>
              <w:rPr>
                <w:bCs/>
                <w:b/>
              </w:rPr>
              <w:t xml:space="preserve">Location</w:t>
            </w:r>
          </w:p>
        </w:tc>
        <w:tc>
          <w:tcPr/>
          <w:p>
            <w:pPr>
              <w:pStyle w:val="Compact"/>
              <w:jc w:val="left"/>
            </w:pPr>
            <w:r>
              <w:t xml:space="preserve">Which soil and crop are at this GPS point?</w:t>
            </w:r>
          </w:p>
        </w:tc>
      </w:tr>
      <w:tr>
        <w:tc>
          <w:tcPr/>
          <w:p>
            <w:pPr>
              <w:pStyle w:val="Compact"/>
              <w:jc w:val="left"/>
            </w:pPr>
            <w:r>
              <w:t xml:space="preserve">Where is it …?</w:t>
            </w:r>
          </w:p>
        </w:tc>
        <w:tc>
          <w:tcPr/>
          <w:p>
            <w:pPr>
              <w:pStyle w:val="Compact"/>
              <w:jc w:val="left"/>
            </w:pPr>
            <w:r>
              <w:rPr>
                <w:bCs/>
                <w:b/>
              </w:rPr>
              <w:t xml:space="preserve">Condition</w:t>
            </w:r>
          </w:p>
        </w:tc>
        <w:tc>
          <w:tcPr/>
          <w:p>
            <w:pPr>
              <w:pStyle w:val="Compact"/>
              <w:jc w:val="left"/>
            </w:pPr>
            <w:r>
              <w:t xml:space="preserve">Where are slopes &lt; 3%, soils deep and rainfall &gt; 800 mm?</w:t>
            </w:r>
          </w:p>
        </w:tc>
      </w:tr>
      <w:tr>
        <w:tc>
          <w:tcPr/>
          <w:p>
            <w:pPr>
              <w:pStyle w:val="Compact"/>
              <w:jc w:val="left"/>
            </w:pPr>
            <w:r>
              <w:t xml:space="preserve">What has changed since …?</w:t>
            </w:r>
          </w:p>
        </w:tc>
        <w:tc>
          <w:tcPr/>
          <w:p>
            <w:pPr>
              <w:pStyle w:val="Compact"/>
              <w:jc w:val="left"/>
            </w:pPr>
            <w:r>
              <w:rPr>
                <w:bCs/>
                <w:b/>
              </w:rPr>
              <w:t xml:space="preserve">Trend</w:t>
            </w:r>
          </w:p>
        </w:tc>
        <w:tc>
          <w:tcPr/>
          <w:p>
            <w:pPr>
              <w:pStyle w:val="Compact"/>
              <w:jc w:val="left"/>
            </w:pPr>
            <w:r>
              <w:t xml:space="preserve">How much cropland has turned built-up since 2005?</w:t>
            </w:r>
          </w:p>
        </w:tc>
      </w:tr>
      <w:tr>
        <w:tc>
          <w:tcPr/>
          <w:p>
            <w:pPr>
              <w:pStyle w:val="Compact"/>
              <w:jc w:val="left"/>
            </w:pPr>
            <w:r>
              <w:t xml:space="preserve">What spatial pattern exists?</w:t>
            </w:r>
          </w:p>
        </w:tc>
        <w:tc>
          <w:tcPr/>
          <w:p>
            <w:pPr>
              <w:pStyle w:val="Compact"/>
              <w:jc w:val="left"/>
            </w:pPr>
            <w:r>
              <w:rPr>
                <w:bCs/>
                <w:b/>
              </w:rPr>
              <w:t xml:space="preserve">Pattern</w:t>
            </w:r>
          </w:p>
        </w:tc>
        <w:tc>
          <w:tcPr/>
          <w:p>
            <w:pPr>
              <w:pStyle w:val="Compact"/>
              <w:jc w:val="left"/>
            </w:pPr>
            <w:r>
              <w:t xml:space="preserve">Are pest outbreaks clustered near irrigated pockets?</w:t>
            </w:r>
          </w:p>
        </w:tc>
      </w:tr>
      <w:tr>
        <w:tc>
          <w:tcPr/>
          <w:p>
            <w:pPr>
              <w:pStyle w:val="Compact"/>
              <w:jc w:val="left"/>
            </w:pPr>
            <w:r>
              <w:t xml:space="preserve">What if …?</w:t>
            </w:r>
          </w:p>
        </w:tc>
        <w:tc>
          <w:tcPr/>
          <w:p>
            <w:pPr>
              <w:pStyle w:val="Compact"/>
              <w:jc w:val="left"/>
            </w:pPr>
            <w:r>
              <w:rPr>
                <w:bCs/>
                <w:b/>
              </w:rPr>
              <w:t xml:space="preserve">Modelling</w:t>
            </w:r>
          </w:p>
        </w:tc>
        <w:tc>
          <w:tcPr/>
          <w:p>
            <w:pPr>
              <w:pStyle w:val="Compact"/>
              <w:jc w:val="left"/>
            </w:pPr>
            <w:r>
              <w:t xml:space="preserve">What happens to runoff if 20% of the forest is cleared?</w:t>
            </w:r>
          </w:p>
        </w:tc>
      </w:tr>
    </w:tbl>
    <w:p>
      <w:pPr>
        <w:pStyle w:val="Heading2"/>
      </w:pPr>
      <w:r>
        <w:t xml:space="preserve">10.2 Components of a GIS</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Details</w:t>
            </w:r>
          </w:p>
        </w:tc>
      </w:tr>
      <w:tr>
        <w:tc>
          <w:tcPr/>
          <w:p>
            <w:pPr>
              <w:pStyle w:val="Compact"/>
              <w:jc w:val="left"/>
            </w:pPr>
            <w:r>
              <w:rPr>
                <w:bCs/>
                <w:b/>
              </w:rPr>
              <w:t xml:space="preserve">Hardware</w:t>
            </w:r>
          </w:p>
        </w:tc>
        <w:tc>
          <w:tcPr/>
          <w:p>
            <w:pPr>
              <w:pStyle w:val="Compact"/>
              <w:jc w:val="left"/>
            </w:pPr>
            <w:r>
              <w:t xml:space="preserve">Computers (PCs, workstations, servers, cloud); input devices (digitisers, scanners, GNSS receivers); output devices (plotters, printers); storage</w:t>
            </w:r>
          </w:p>
        </w:tc>
      </w:tr>
      <w:tr>
        <w:tc>
          <w:tcPr/>
          <w:p>
            <w:pPr>
              <w:pStyle w:val="Compact"/>
              <w:jc w:val="left"/>
            </w:pPr>
            <w:r>
              <w:rPr>
                <w:bCs/>
                <w:b/>
              </w:rPr>
              <w:t xml:space="preserve">Software</w:t>
            </w:r>
          </w:p>
        </w:tc>
        <w:tc>
          <w:tcPr/>
          <w:p>
            <w:pPr>
              <w:pStyle w:val="Compact"/>
              <w:jc w:val="left"/>
            </w:pPr>
            <w:r>
              <w:t xml:space="preserve">Input/editing, database management, analysis and modelling, display and output modules (ArcGIS, QGIS, GRASS, ERDAS, ILWIS, PostGIS, Google Earth Engine)</w:t>
            </w:r>
          </w:p>
        </w:tc>
      </w:tr>
      <w:tr>
        <w:tc>
          <w:tcPr/>
          <w:p>
            <w:pPr>
              <w:pStyle w:val="Compact"/>
              <w:jc w:val="left"/>
            </w:pPr>
            <w:r>
              <w:rPr>
                <w:bCs/>
                <w:b/>
              </w:rPr>
              <w:t xml:space="preserve">Data</w:t>
            </w:r>
          </w:p>
        </w:tc>
        <w:tc>
          <w:tcPr/>
          <w:p>
            <w:pPr>
              <w:pStyle w:val="Compact"/>
              <w:jc w:val="left"/>
            </w:pPr>
            <w:r>
              <w:t xml:space="preserve">Spatial (geometry and location), attribute (non-spatial descriptors), remote sensing images, global and national databases</w:t>
            </w:r>
          </w:p>
        </w:tc>
      </w:tr>
      <w:tr>
        <w:tc>
          <w:tcPr/>
          <w:p>
            <w:pPr>
              <w:pStyle w:val="Compact"/>
              <w:jc w:val="left"/>
            </w:pPr>
            <w:r>
              <w:rPr>
                <w:bCs/>
                <w:b/>
              </w:rPr>
              <w:t xml:space="preserve">Liveware (people)</w:t>
            </w:r>
          </w:p>
        </w:tc>
        <w:tc>
          <w:tcPr/>
          <w:p>
            <w:pPr>
              <w:pStyle w:val="Compact"/>
              <w:jc w:val="left"/>
            </w:pPr>
            <w:r>
              <w:t xml:space="preserve">Trained personnel who design, digitise, analyse and interpret</w:t>
            </w:r>
          </w:p>
        </w:tc>
      </w:tr>
      <w:tr>
        <w:tc>
          <w:tcPr/>
          <w:p>
            <w:pPr>
              <w:pStyle w:val="Compact"/>
              <w:jc w:val="left"/>
            </w:pPr>
            <w:r>
              <w:rPr>
                <w:bCs/>
                <w:b/>
              </w:rPr>
              <w:t xml:space="preserve">Methods / procedures</w:t>
            </w:r>
          </w:p>
        </w:tc>
        <w:tc>
          <w:tcPr/>
          <w:p>
            <w:pPr>
              <w:pStyle w:val="Compact"/>
              <w:jc w:val="left"/>
            </w:pPr>
            <w:r>
              <w:t xml:space="preserve">Standards, workflows, quality control, metadata (often counted as the fifth component)</w:t>
            </w:r>
          </w:p>
        </w:tc>
      </w:tr>
    </w:tbl>
    <w:p>
      <w:pPr>
        <w:pStyle w:val="CaptionedFigure"/>
      </w:pPr>
      <w:r>
        <w:drawing>
          <wp:inline>
            <wp:extent cx="5334000" cy="2266949"/>
            <wp:effectExtent b="0" l="0" r="0" t="0"/>
            <wp:docPr descr="Functional flow of a GIS" title="" id="48" name="Picture"/>
            <a:graphic>
              <a:graphicData uri="http://schemas.openxmlformats.org/drawingml/2006/picture">
                <pic:pic>
                  <pic:nvPicPr>
                    <pic:cNvPr descr="/tmp/claude-0/-home-user-sonu/ab07c29a-21cd-5a4a-9d2d-68ad72d07153/scratchpad/build/../flows/flow_008.png" id="49" name="Picture"/>
                    <pic:cNvPicPr>
                      <a:picLocks noChangeArrowheads="1" noChangeAspect="1"/>
                    </pic:cNvPicPr>
                  </pic:nvPicPr>
                  <pic:blipFill>
                    <a:blip r:embed="rId47"/>
                    <a:stretch>
                      <a:fillRect/>
                    </a:stretch>
                  </pic:blipFill>
                  <pic:spPr bwMode="auto">
                    <a:xfrm>
                      <a:off x="0" y="0"/>
                      <a:ext cx="5334000" cy="2266949"/>
                    </a:xfrm>
                    <a:prstGeom prst="rect">
                      <a:avLst/>
                    </a:prstGeom>
                    <a:noFill/>
                    <a:ln w="9525">
                      <a:noFill/>
                      <a:headEnd/>
                      <a:tailEnd/>
                    </a:ln>
                  </pic:spPr>
                </pic:pic>
              </a:graphicData>
            </a:graphic>
          </wp:inline>
        </w:drawing>
      </w:r>
    </w:p>
    <w:p>
      <w:pPr>
        <w:pStyle w:val="ImageCaption"/>
      </w:pPr>
      <w:r>
        <w:t xml:space="preserve">Functional flow of a GIS</w:t>
      </w:r>
    </w:p>
    <w:p>
      <w:pPr>
        <w:pStyle w:val="Heading2"/>
      </w:pPr>
      <w:r>
        <w:t xml:space="preserve">10.3 Spatial Data: Concepts of Space and Time</w:t>
      </w:r>
    </w:p>
    <w:p>
      <w:pPr>
        <w:pStyle w:val="Compact"/>
        <w:numPr>
          <w:ilvl w:val="0"/>
          <w:numId w:val="1074"/>
        </w:numPr>
      </w:pPr>
      <w:r>
        <w:rPr>
          <w:bCs/>
          <w:b/>
        </w:rPr>
        <w:t xml:space="preserve">Geographic (large-scale) space</w:t>
      </w:r>
      <w:r>
        <w:t xml:space="preserve"> </w:t>
      </w:r>
      <w:r>
        <w:t xml:space="preserve">is the space beyond the human body: landscapes, cities, watersheds. GIS deals with this, not</w:t>
      </w:r>
      <w:r>
        <w:t xml:space="preserve"> </w:t>
      </w:r>
      <w:r>
        <w:t xml:space="preserve">“</w:t>
      </w:r>
      <w:r>
        <w:t xml:space="preserve">table-top</w:t>
      </w:r>
      <w:r>
        <w:t xml:space="preserve">”</w:t>
      </w:r>
      <w:r>
        <w:t xml:space="preserve"> </w:t>
      </w:r>
      <w:r>
        <w:t xml:space="preserve">space.</w:t>
      </w:r>
    </w:p>
    <w:p>
      <w:pPr>
        <w:pStyle w:val="Compact"/>
        <w:numPr>
          <w:ilvl w:val="0"/>
          <w:numId w:val="1074"/>
        </w:numPr>
      </w:pPr>
      <w:r>
        <w:rPr>
          <w:bCs/>
          <w:b/>
        </w:rPr>
        <w:t xml:space="preserve">Entities</w:t>
      </w:r>
      <w:r>
        <w:t xml:space="preserve"> </w:t>
      </w:r>
      <w:r>
        <w:t xml:space="preserve">(discrete objects such as wells, roads, fields) versus</w:t>
      </w:r>
      <w:r>
        <w:t xml:space="preserve"> </w:t>
      </w:r>
      <w:r>
        <w:rPr>
          <w:bCs/>
          <w:b/>
        </w:rPr>
        <w:t xml:space="preserve">fields</w:t>
      </w:r>
      <w:r>
        <w:t xml:space="preserve"> </w:t>
      </w:r>
      <w:r>
        <w:t xml:space="preserve">(continuous phenomena such as elevation, temperature, rainfall).</w:t>
      </w:r>
    </w:p>
    <w:p>
      <w:pPr>
        <w:pStyle w:val="Compact"/>
        <w:numPr>
          <w:ilvl w:val="0"/>
          <w:numId w:val="1074"/>
        </w:numPr>
      </w:pPr>
      <w:r>
        <w:t xml:space="preserve">Every spatial datum has</w:t>
      </w:r>
      <w:r>
        <w:t xml:space="preserve"> </w:t>
      </w:r>
      <w:r>
        <w:rPr>
          <w:bCs/>
          <w:b/>
        </w:rPr>
        <w:t xml:space="preserve">location</w:t>
      </w:r>
      <w:r>
        <w:t xml:space="preserve"> </w:t>
      </w:r>
      <w:r>
        <w:t xml:space="preserve">(where),</w:t>
      </w:r>
      <w:r>
        <w:t xml:space="preserve"> </w:t>
      </w:r>
      <w:r>
        <w:rPr>
          <w:bCs/>
          <w:b/>
        </w:rPr>
        <w:t xml:space="preserve">attributes</w:t>
      </w:r>
      <w:r>
        <w:t xml:space="preserve"> </w:t>
      </w:r>
      <w:r>
        <w:t xml:space="preserve">(what) and</w:t>
      </w:r>
      <w:r>
        <w:t xml:space="preserve"> </w:t>
      </w:r>
      <w:r>
        <w:rPr>
          <w:bCs/>
          <w:b/>
        </w:rPr>
        <w:t xml:space="preserve">time</w:t>
      </w:r>
      <w:r>
        <w:t xml:space="preserve"> </w:t>
      </w:r>
      <w:r>
        <w:t xml:space="preserve">(when). Spatio-temporal GIS handles change.</w:t>
      </w:r>
    </w:p>
    <w:p>
      <w:pPr>
        <w:pStyle w:val="Heading2"/>
      </w:pPr>
      <w:r>
        <w:t xml:space="preserve">10.4 Data Models: Raster and Vector</w:t>
      </w:r>
    </w:p>
    <w:p>
      <w:pPr>
        <w:pStyle w:val="FirstParagraph"/>
      </w:pPr>
      <w:r>
        <w:rPr>
          <w:bCs/>
          <w:b/>
        </w:rPr>
        <w:t xml:space="preserve">Data models</w:t>
      </w:r>
      <w:r>
        <w:t xml:space="preserve"> </w:t>
      </w:r>
      <w:r>
        <w:t xml:space="preserve">translate real-world geographic variation into discrete computer representations.</w:t>
      </w:r>
    </w:p>
    <w:p>
      <w:pPr>
        <w:pStyle w:val="Heading3"/>
      </w:pPr>
      <w:r>
        <w:t xml:space="preserve">10.4.1 Raster model</w:t>
      </w:r>
    </w:p>
    <w:p>
      <w:pPr>
        <w:pStyle w:val="FirstParagraph"/>
      </w:pPr>
      <w:r>
        <w:t xml:space="preserve">Space is divided into a regular grid of</w:t>
      </w:r>
      <w:r>
        <w:t xml:space="preserve"> </w:t>
      </w:r>
      <w:r>
        <w:rPr>
          <w:bCs/>
          <w:b/>
        </w:rPr>
        <w:t xml:space="preserve">cells (pixels)</w:t>
      </w:r>
      <w:r>
        <w:t xml:space="preserve">. Each cell holds one value. One set of cells and values is a</w:t>
      </w:r>
      <w:r>
        <w:t xml:space="preserve"> </w:t>
      </w:r>
      <w:r>
        <w:rPr>
          <w:bCs/>
          <w:b/>
        </w:rPr>
        <w:t xml:space="preserve">layer</w:t>
      </w:r>
      <w:r>
        <w:t xml:space="preserve">.</w:t>
      </w:r>
    </w:p>
    <w:p>
      <w:pPr>
        <w:pStyle w:val="Compact"/>
        <w:numPr>
          <w:ilvl w:val="0"/>
          <w:numId w:val="1075"/>
        </w:numPr>
      </w:pPr>
      <w:r>
        <w:rPr>
          <w:bCs/>
          <w:b/>
        </w:rPr>
        <w:t xml:space="preserve">Advantages:</w:t>
      </w:r>
      <w:r>
        <w:t xml:space="preserve"> </w:t>
      </w:r>
      <w:r>
        <w:t xml:space="preserve">simple data structure; easy overlay and map algebra; suits continuous data (DEM, NDVI, LST) and remote sensing; easy simulation (fire spread, diffusion); efficient multi-layer processing.</w:t>
      </w:r>
    </w:p>
    <w:p>
      <w:pPr>
        <w:pStyle w:val="Compact"/>
        <w:numPr>
          <w:ilvl w:val="0"/>
          <w:numId w:val="1075"/>
        </w:numPr>
      </w:pPr>
      <w:r>
        <w:rPr>
          <w:bCs/>
          <w:b/>
        </w:rPr>
        <w:t xml:space="preserve">Disadvantages:</w:t>
      </w:r>
      <w:r>
        <w:t xml:space="preserve"> </w:t>
      </w:r>
      <w:r>
        <w:t xml:space="preserve">large data volumes (redundancy); spatial precision limited by cell size;</w:t>
      </w:r>
      <w:r>
        <w:t xml:space="preserve"> </w:t>
      </w:r>
      <w:r>
        <w:t xml:space="preserve">“</w:t>
      </w:r>
      <w:r>
        <w:t xml:space="preserve">blocky</w:t>
      </w:r>
      <w:r>
        <w:t xml:space="preserve">”</w:t>
      </w:r>
      <w:r>
        <w:t xml:space="preserve"> </w:t>
      </w:r>
      <w:r>
        <w:t xml:space="preserve">output; area and length estimates depend on resolution; projection changes need resampling.</w:t>
      </w:r>
    </w:p>
    <w:p>
      <w:pPr>
        <w:pStyle w:val="Compact"/>
        <w:numPr>
          <w:ilvl w:val="0"/>
          <w:numId w:val="1075"/>
        </w:numPr>
      </w:pPr>
      <w:r>
        <w:rPr>
          <w:bCs/>
          <w:b/>
        </w:rPr>
        <w:t xml:space="preserve">Compression:</w:t>
      </w:r>
      <w:r>
        <w:t xml:space="preserve"> </w:t>
      </w:r>
      <w:r>
        <w:rPr>
          <w:bCs/>
          <w:b/>
        </w:rPr>
        <w:t xml:space="preserve">run-length encoding</w:t>
      </w:r>
      <w:r>
        <w:t xml:space="preserve"> </w:t>
      </w:r>
      <w:r>
        <w:t xml:space="preserve">(store value and run length along a row),</w:t>
      </w:r>
      <w:r>
        <w:t xml:space="preserve"> </w:t>
      </w:r>
      <w:r>
        <w:rPr>
          <w:bCs/>
          <w:b/>
        </w:rPr>
        <w:t xml:space="preserve">chain codes</w:t>
      </w:r>
      <w:r>
        <w:t xml:space="preserve">,</w:t>
      </w:r>
      <w:r>
        <w:t xml:space="preserve"> </w:t>
      </w:r>
      <w:r>
        <w:rPr>
          <w:bCs/>
          <w:b/>
        </w:rPr>
        <w:t xml:space="preserve">block codes</w:t>
      </w:r>
      <w:r>
        <w:t xml:space="preserve"> </w:t>
      </w:r>
      <w:r>
        <w:t xml:space="preserve">and</w:t>
      </w:r>
      <w:r>
        <w:t xml:space="preserve"> </w:t>
      </w:r>
      <w:r>
        <w:rPr>
          <w:bCs/>
          <w:b/>
        </w:rPr>
        <w:t xml:space="preserve">quadtrees</w:t>
      </w:r>
      <w:r>
        <w:t xml:space="preserve"> </w:t>
      </w:r>
      <w:r>
        <w:t xml:space="preserve">(recursively subdivide into quadrants until each is homogeneous).</w:t>
      </w:r>
    </w:p>
    <w:p>
      <w:pPr>
        <w:pStyle w:val="Heading3"/>
      </w:pPr>
      <w:r>
        <w:t xml:space="preserve">10.4.2 Vector model</w:t>
      </w:r>
    </w:p>
    <w:p>
      <w:pPr>
        <w:pStyle w:val="FirstParagraph"/>
      </w:pPr>
      <w:r>
        <w:t xml:space="preserve">Features are stored as</w:t>
      </w:r>
      <w:r>
        <w:t xml:space="preserve"> </w:t>
      </w:r>
      <w:r>
        <w:rPr>
          <w:bCs/>
          <w:b/>
        </w:rPr>
        <w:t xml:space="preserve">points</w:t>
      </w:r>
      <w:r>
        <w:t xml:space="preserve"> </w:t>
      </w:r>
      <w:r>
        <w:t xml:space="preserve">(x, y),</w:t>
      </w:r>
      <w:r>
        <w:t xml:space="preserve"> </w:t>
      </w:r>
      <w:r>
        <w:rPr>
          <w:bCs/>
          <w:b/>
        </w:rPr>
        <w:t xml:space="preserve">lines/arcs</w:t>
      </w:r>
      <w:r>
        <w:t xml:space="preserve"> </w:t>
      </w:r>
      <w:r>
        <w:t xml:space="preserve">(ordered vertices) and</w:t>
      </w:r>
      <w:r>
        <w:t xml:space="preserve"> </w:t>
      </w:r>
      <w:r>
        <w:rPr>
          <w:bCs/>
          <w:b/>
        </w:rPr>
        <w:t xml:space="preserve">polygons/areas</w:t>
      </w:r>
      <w:r>
        <w:t xml:space="preserve"> </w:t>
      </w:r>
      <w:r>
        <w:t xml:space="preserve">(closed rings), with explicit coordinates.</w:t>
      </w:r>
    </w:p>
    <w:p>
      <w:pPr>
        <w:pStyle w:val="Compact"/>
        <w:numPr>
          <w:ilvl w:val="0"/>
          <w:numId w:val="1076"/>
        </w:numPr>
      </w:pPr>
      <w:r>
        <w:rPr>
          <w:bCs/>
          <w:b/>
        </w:rPr>
        <w:t xml:space="preserve">Advantages:</w:t>
      </w:r>
      <w:r>
        <w:t xml:space="preserve"> </w:t>
      </w:r>
      <w:r>
        <w:t xml:space="preserve">compact storage; precise geometry and accurate area and perimeter; attractive cartographic output; explicit</w:t>
      </w:r>
      <w:r>
        <w:t xml:space="preserve"> </w:t>
      </w:r>
      <w:r>
        <w:rPr>
          <w:bCs/>
          <w:b/>
        </w:rPr>
        <w:t xml:space="preserve">topology</w:t>
      </w:r>
      <w:r>
        <w:t xml:space="preserve">; good for discrete features (parcels, roads, boundaries, wells); efficient network analysis.</w:t>
      </w:r>
    </w:p>
    <w:p>
      <w:pPr>
        <w:pStyle w:val="Compact"/>
        <w:numPr>
          <w:ilvl w:val="0"/>
          <w:numId w:val="1076"/>
        </w:numPr>
      </w:pPr>
      <w:r>
        <w:rPr>
          <w:bCs/>
          <w:b/>
        </w:rPr>
        <w:t xml:space="preserve">Disadvantages:</w:t>
      </w:r>
      <w:r>
        <w:t xml:space="preserve"> </w:t>
      </w:r>
      <w:r>
        <w:t xml:space="preserve">complex data structure; overlay is computationally intensive (polygon intersection creates sliver polygons); poor for continuous variation; simulation is harder.</w:t>
      </w:r>
    </w:p>
    <w:tbl>
      <w:tblPr>
        <w:tblStyle w:val="Table"/>
        <w:tblW w:type="auto" w:w="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Raster</w:t>
            </w:r>
          </w:p>
        </w:tc>
        <w:tc>
          <w:tcPr/>
          <w:p>
            <w:pPr>
              <w:pStyle w:val="Compact"/>
              <w:jc w:val="left"/>
            </w:pPr>
            <w:r>
              <w:t xml:space="preserve">Vector</w:t>
            </w:r>
          </w:p>
        </w:tc>
      </w:tr>
      <w:tr>
        <w:tc>
          <w:tcPr/>
          <w:p>
            <w:pPr>
              <w:pStyle w:val="Compact"/>
              <w:jc w:val="left"/>
            </w:pPr>
            <w:r>
              <w:t xml:space="preserve">Structure</w:t>
            </w:r>
          </w:p>
        </w:tc>
        <w:tc>
          <w:tcPr/>
          <w:p>
            <w:pPr>
              <w:pStyle w:val="Compact"/>
              <w:jc w:val="left"/>
            </w:pPr>
            <w:r>
              <w:t xml:space="preserve">Simple grid</w:t>
            </w:r>
          </w:p>
        </w:tc>
        <w:tc>
          <w:tcPr/>
          <w:p>
            <w:pPr>
              <w:pStyle w:val="Compact"/>
              <w:jc w:val="left"/>
            </w:pPr>
            <w:r>
              <w:t xml:space="preserve">Complex (coordinates + topology)</w:t>
            </w:r>
          </w:p>
        </w:tc>
      </w:tr>
      <w:tr>
        <w:tc>
          <w:tcPr/>
          <w:p>
            <w:pPr>
              <w:pStyle w:val="Compact"/>
              <w:jc w:val="left"/>
            </w:pPr>
            <w:r>
              <w:t xml:space="preserve">Volume</w:t>
            </w:r>
          </w:p>
        </w:tc>
        <w:tc>
          <w:tcPr/>
          <w:p>
            <w:pPr>
              <w:pStyle w:val="Compact"/>
              <w:jc w:val="left"/>
            </w:pPr>
            <w:r>
              <w:t xml:space="preserve">Large</w:t>
            </w:r>
          </w:p>
        </w:tc>
        <w:tc>
          <w:tcPr/>
          <w:p>
            <w:pPr>
              <w:pStyle w:val="Compact"/>
              <w:jc w:val="left"/>
            </w:pPr>
            <w:r>
              <w:t xml:space="preserve">Small</w:t>
            </w:r>
          </w:p>
        </w:tc>
      </w:tr>
      <w:tr>
        <w:tc>
          <w:tcPr/>
          <w:p>
            <w:pPr>
              <w:pStyle w:val="Compact"/>
              <w:jc w:val="left"/>
            </w:pPr>
            <w:r>
              <w:t xml:space="preserve">Overlay</w:t>
            </w:r>
          </w:p>
        </w:tc>
        <w:tc>
          <w:tcPr/>
          <w:p>
            <w:pPr>
              <w:pStyle w:val="Compact"/>
              <w:jc w:val="left"/>
            </w:pPr>
            <w:r>
              <w:t xml:space="preserve">Easy, fast</w:t>
            </w:r>
          </w:p>
        </w:tc>
        <w:tc>
          <w:tcPr/>
          <w:p>
            <w:pPr>
              <w:pStyle w:val="Compact"/>
              <w:jc w:val="left"/>
            </w:pPr>
            <w:r>
              <w:t xml:space="preserve">Hard, slow</w:t>
            </w:r>
          </w:p>
        </w:tc>
      </w:tr>
      <w:tr>
        <w:tc>
          <w:tcPr/>
          <w:p>
            <w:pPr>
              <w:pStyle w:val="Compact"/>
              <w:jc w:val="left"/>
            </w:pPr>
            <w:r>
              <w:t xml:space="preserve">Continuous data</w:t>
            </w:r>
          </w:p>
        </w:tc>
        <w:tc>
          <w:tcPr/>
          <w:p>
            <w:pPr>
              <w:pStyle w:val="Compact"/>
              <w:jc w:val="left"/>
            </w:pPr>
            <w:r>
              <w:t xml:space="preserve">Natural</w:t>
            </w:r>
          </w:p>
        </w:tc>
        <w:tc>
          <w:tcPr/>
          <w:p>
            <w:pPr>
              <w:pStyle w:val="Compact"/>
              <w:jc w:val="left"/>
            </w:pPr>
            <w:r>
              <w:t xml:space="preserve">Awkward (needs TIN or contours)</w:t>
            </w:r>
          </w:p>
        </w:tc>
      </w:tr>
      <w:tr>
        <w:tc>
          <w:tcPr/>
          <w:p>
            <w:pPr>
              <w:pStyle w:val="Compact"/>
              <w:jc w:val="left"/>
            </w:pPr>
            <w:r>
              <w:t xml:space="preserve">Precision</w:t>
            </w:r>
          </w:p>
        </w:tc>
        <w:tc>
          <w:tcPr/>
          <w:p>
            <w:pPr>
              <w:pStyle w:val="Compact"/>
              <w:jc w:val="left"/>
            </w:pPr>
            <w:r>
              <w:t xml:space="preserve">Cell-size limited</w:t>
            </w:r>
          </w:p>
        </w:tc>
        <w:tc>
          <w:tcPr/>
          <w:p>
            <w:pPr>
              <w:pStyle w:val="Compact"/>
              <w:jc w:val="left"/>
            </w:pPr>
            <w:r>
              <w:t xml:space="preserve">High</w:t>
            </w:r>
          </w:p>
        </w:tc>
      </w:tr>
      <w:tr>
        <w:tc>
          <w:tcPr/>
          <w:p>
            <w:pPr>
              <w:pStyle w:val="Compact"/>
              <w:jc w:val="left"/>
            </w:pPr>
            <w:r>
              <w:t xml:space="preserve">Output quality</w:t>
            </w:r>
          </w:p>
        </w:tc>
        <w:tc>
          <w:tcPr/>
          <w:p>
            <w:pPr>
              <w:pStyle w:val="Compact"/>
              <w:jc w:val="left"/>
            </w:pPr>
            <w:r>
              <w:t xml:space="preserve">Blocky</w:t>
            </w:r>
          </w:p>
        </w:tc>
        <w:tc>
          <w:tcPr/>
          <w:p>
            <w:pPr>
              <w:pStyle w:val="Compact"/>
              <w:jc w:val="left"/>
            </w:pPr>
            <w:r>
              <w:t xml:space="preserve">Map-like</w:t>
            </w:r>
          </w:p>
        </w:tc>
      </w:tr>
      <w:tr>
        <w:tc>
          <w:tcPr/>
          <w:p>
            <w:pPr>
              <w:pStyle w:val="Compact"/>
              <w:jc w:val="left"/>
            </w:pPr>
            <w:r>
              <w:t xml:space="preserve">Network analysis</w:t>
            </w:r>
          </w:p>
        </w:tc>
        <w:tc>
          <w:tcPr/>
          <w:p>
            <w:pPr>
              <w:pStyle w:val="Compact"/>
              <w:jc w:val="left"/>
            </w:pPr>
            <w:r>
              <w:t xml:space="preserve">Hard</w:t>
            </w:r>
          </w:p>
        </w:tc>
        <w:tc>
          <w:tcPr/>
          <w:p>
            <w:pPr>
              <w:pStyle w:val="Compact"/>
              <w:jc w:val="left"/>
            </w:pPr>
            <w:r>
              <w:t xml:space="preserve">Natural</w:t>
            </w:r>
          </w:p>
        </w:tc>
      </w:tr>
      <w:tr>
        <w:tc>
          <w:tcPr/>
          <w:p>
            <w:pPr>
              <w:pStyle w:val="Compact"/>
              <w:jc w:val="left"/>
            </w:pPr>
            <w:r>
              <w:t xml:space="preserve">Remote sensing integration</w:t>
            </w:r>
          </w:p>
        </w:tc>
        <w:tc>
          <w:tcPr/>
          <w:p>
            <w:pPr>
              <w:pStyle w:val="Compact"/>
              <w:jc w:val="left"/>
            </w:pPr>
            <w:r>
              <w:t xml:space="preserve">Direct</w:t>
            </w:r>
          </w:p>
        </w:tc>
        <w:tc>
          <w:tcPr/>
          <w:p>
            <w:pPr>
              <w:pStyle w:val="Compact"/>
              <w:jc w:val="left"/>
            </w:pPr>
            <w:r>
              <w:t xml:space="preserve">Needs conversion</w:t>
            </w:r>
          </w:p>
        </w:tc>
      </w:tr>
    </w:tbl>
    <w:p>
      <w:pPr>
        <w:pStyle w:val="BodyText"/>
      </w:pPr>
      <w:r>
        <w:rPr>
          <w:bCs/>
          <w:b/>
        </w:rPr>
        <w:t xml:space="preserve">Conversion:</w:t>
      </w:r>
      <w:r>
        <w:t xml:space="preserve"> </w:t>
      </w:r>
      <w:r>
        <w:t xml:space="preserve">vector to raster is</w:t>
      </w:r>
      <w:r>
        <w:t xml:space="preserve"> </w:t>
      </w:r>
      <w:r>
        <w:rPr>
          <w:iCs/>
          <w:i/>
        </w:rPr>
        <w:t xml:space="preserve">rasterisation</w:t>
      </w:r>
      <w:r>
        <w:t xml:space="preserve"> </w:t>
      </w:r>
      <w:r>
        <w:t xml:space="preserve">(assign cell values from polygons). Raster to vector is</w:t>
      </w:r>
      <w:r>
        <w:t xml:space="preserve"> </w:t>
      </w:r>
      <w:r>
        <w:rPr>
          <w:iCs/>
          <w:i/>
        </w:rPr>
        <w:t xml:space="preserve">vectorisation</w:t>
      </w:r>
      <w:r>
        <w:t xml:space="preserve"> </w:t>
      </w:r>
      <w:r>
        <w:t xml:space="preserve">(boundary tracing, then smoothing). Every conversion loses some information.</w:t>
      </w:r>
    </w:p>
    <w:p>
      <w:pPr>
        <w:pStyle w:val="BodyText"/>
      </w:pPr>
      <w:r>
        <w:rPr>
          <w:bCs/>
          <w:b/>
        </w:rPr>
        <w:t xml:space="preserve">Other representations of surfaces:</w:t>
      </w:r>
    </w:p>
    <w:p>
      <w:pPr>
        <w:pStyle w:val="Compact"/>
        <w:numPr>
          <w:ilvl w:val="0"/>
          <w:numId w:val="1077"/>
        </w:numPr>
      </w:pPr>
      <w:r>
        <w:rPr>
          <w:bCs/>
          <w:b/>
        </w:rPr>
        <w:t xml:space="preserve">TIN</w:t>
      </w:r>
      <w:r>
        <w:t xml:space="preserve"> </w:t>
      </w:r>
      <w:r>
        <w:t xml:space="preserve">(Triangulated Irregular Network): Delaunay triangles from irregular points. Efficient for variable terrain.</w:t>
      </w:r>
    </w:p>
    <w:p>
      <w:pPr>
        <w:pStyle w:val="Compact"/>
        <w:numPr>
          <w:ilvl w:val="0"/>
          <w:numId w:val="1077"/>
        </w:numPr>
      </w:pPr>
      <w:r>
        <w:rPr>
          <w:bCs/>
          <w:b/>
        </w:rPr>
        <w:t xml:space="preserve">Contours</w:t>
      </w:r>
      <w:r>
        <w:t xml:space="preserve"> </w:t>
      </w:r>
      <w:r>
        <w:t xml:space="preserve">(isolines).</w:t>
      </w:r>
    </w:p>
    <w:p>
      <w:pPr>
        <w:pStyle w:val="Compact"/>
        <w:numPr>
          <w:ilvl w:val="0"/>
          <w:numId w:val="1077"/>
        </w:numPr>
      </w:pPr>
      <w:r>
        <w:rPr>
          <w:bCs/>
          <w:b/>
        </w:rPr>
        <w:t xml:space="preserve">Lattice / DEM</w:t>
      </w:r>
      <w:r>
        <w:t xml:space="preserve"> </w:t>
      </w:r>
      <w:r>
        <w:t xml:space="preserve">grids.</w:t>
      </w:r>
    </w:p>
    <w:p>
      <w:pPr>
        <w:pStyle w:val="Heading3"/>
      </w:pPr>
      <w:r>
        <w:t xml:space="preserve">10.4.3 Topology</w:t>
      </w:r>
    </w:p>
    <w:p>
      <w:pPr>
        <w:pStyle w:val="FirstParagraph"/>
      </w:pPr>
      <w:r>
        <w:rPr>
          <w:bCs/>
          <w:b/>
        </w:rPr>
        <w:t xml:space="preserve">Topology</w:t>
      </w:r>
      <w:r>
        <w:t xml:space="preserve"> </w:t>
      </w:r>
      <w:r>
        <w:t xml:space="preserve">is the explicit recording of spatial relationships that do not change under continuous deformation:</w:t>
      </w:r>
    </w:p>
    <w:p>
      <w:pPr>
        <w:pStyle w:val="Compact"/>
        <w:numPr>
          <w:ilvl w:val="0"/>
          <w:numId w:val="1078"/>
        </w:numPr>
      </w:pPr>
      <w:r>
        <w:rPr>
          <w:bCs/>
          <w:b/>
        </w:rPr>
        <w:t xml:space="preserve">Connectivity:</w:t>
      </w:r>
      <w:r>
        <w:t xml:space="preserve"> </w:t>
      </w:r>
      <w:r>
        <w:t xml:space="preserve">arcs connect at nodes (needed for network tracing).</w:t>
      </w:r>
    </w:p>
    <w:p>
      <w:pPr>
        <w:pStyle w:val="Compact"/>
        <w:numPr>
          <w:ilvl w:val="0"/>
          <w:numId w:val="1078"/>
        </w:numPr>
      </w:pPr>
      <w:r>
        <w:rPr>
          <w:bCs/>
          <w:b/>
        </w:rPr>
        <w:t xml:space="preserve">Area definition / containment:</w:t>
      </w:r>
      <w:r>
        <w:t xml:space="preserve"> </w:t>
      </w:r>
      <w:r>
        <w:t xml:space="preserve">arcs that connect to surround an area define a polygon.</w:t>
      </w:r>
    </w:p>
    <w:p>
      <w:pPr>
        <w:pStyle w:val="Compact"/>
        <w:numPr>
          <w:ilvl w:val="0"/>
          <w:numId w:val="1078"/>
        </w:numPr>
      </w:pPr>
      <w:r>
        <w:rPr>
          <w:bCs/>
          <w:b/>
        </w:rPr>
        <w:t xml:space="preserve">Contiguity / adjacency:</w:t>
      </w:r>
      <w:r>
        <w:t xml:space="preserve"> </w:t>
      </w:r>
      <w:r>
        <w:t xml:space="preserve">arcs have direction and left/right polygons.</w:t>
      </w:r>
    </w:p>
    <w:p>
      <w:pPr>
        <w:pStyle w:val="FirstParagraph"/>
      </w:pPr>
      <w:r>
        <w:t xml:space="preserve">The</w:t>
      </w:r>
      <w:r>
        <w:t xml:space="preserve"> </w:t>
      </w:r>
      <w:r>
        <w:rPr>
          <w:bCs/>
          <w:b/>
        </w:rPr>
        <w:t xml:space="preserve">arc–node structure</w:t>
      </w:r>
      <w:r>
        <w:t xml:space="preserve"> </w:t>
      </w:r>
      <w:r>
        <w:t xml:space="preserve">(ARC/INFO coverage) stores, for each arc, its from-node, to-node, left polygon and right polygon. Topology enables error checking (undershoots, overshoots, dangling arcs, unclosed polygons, sliver polygons) and efficient adjacency and network queries. Topological consistency was introduced into GIS in the early 1970s and became a cornerstone.</w:t>
      </w:r>
    </w:p>
    <w:p>
      <w:pPr>
        <w:pStyle w:val="Heading2"/>
      </w:pPr>
      <w:r>
        <w:t xml:space="preserve">10.5 Layers, Coverages and Data Structures</w:t>
      </w:r>
    </w:p>
    <w:p>
      <w:pPr>
        <w:pStyle w:val="FirstParagraph"/>
      </w:pPr>
      <w:r>
        <w:t xml:space="preserve">Data of a particular class (roads, rivers, soils, crops) are grouped into</w:t>
      </w:r>
      <w:r>
        <w:t xml:space="preserve"> </w:t>
      </w:r>
      <w:r>
        <w:rPr>
          <w:bCs/>
          <w:b/>
        </w:rPr>
        <w:t xml:space="preserve">layers</w:t>
      </w:r>
      <w:r>
        <w:t xml:space="preserve"> </w:t>
      </w:r>
      <w:r>
        <w:t xml:space="preserve">(thematic overlays) or</w:t>
      </w:r>
      <w:r>
        <w:t xml:space="preserve"> </w:t>
      </w:r>
      <w:r>
        <w:rPr>
          <w:bCs/>
          <w:b/>
        </w:rPr>
        <w:t xml:space="preserve">coverages</w:t>
      </w:r>
      <w:r>
        <w:t xml:space="preserve">. All locations in a layer belong to one areal unit (polygon or cell), which may carry several attributes. Layers combine to make new layers.</w:t>
      </w:r>
    </w:p>
    <w:p>
      <w:pPr>
        <w:pStyle w:val="BodyText"/>
      </w:pPr>
      <w:r>
        <w:t xml:space="preserve">Three classical</w:t>
      </w:r>
      <w:r>
        <w:t xml:space="preserve"> </w:t>
      </w:r>
      <w:r>
        <w:rPr>
          <w:bCs/>
          <w:b/>
        </w:rPr>
        <w:t xml:space="preserve">database structures</w:t>
      </w:r>
      <w:r>
        <w:t xml:space="preserve"> </w:t>
      </w:r>
      <w:r>
        <w:t xml:space="preserve">store attributes: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Structure</w:t>
            </w:r>
          </w:p>
        </w:tc>
        <w:tc>
          <w:tcPr/>
          <w:p>
            <w:pPr>
              <w:pStyle w:val="Compact"/>
              <w:jc w:val="left"/>
            </w:pPr>
            <w:r>
              <w:t xml:space="preserve">Organisation</w:t>
            </w:r>
          </w:p>
        </w:tc>
        <w:tc>
          <w:tcPr/>
          <w:p>
            <w:pPr>
              <w:pStyle w:val="Compact"/>
              <w:jc w:val="left"/>
            </w:pPr>
            <w:r>
              <w:t xml:space="preserve">Pros</w:t>
            </w:r>
          </w:p>
        </w:tc>
        <w:tc>
          <w:tcPr/>
          <w:p>
            <w:pPr>
              <w:pStyle w:val="Compact"/>
              <w:jc w:val="left"/>
            </w:pPr>
            <w:r>
              <w:t xml:space="preserve">Cons</w:t>
            </w:r>
          </w:p>
        </w:tc>
      </w:tr>
      <w:tr>
        <w:tc>
          <w:tcPr/>
          <w:p>
            <w:pPr>
              <w:pStyle w:val="Compact"/>
              <w:jc w:val="left"/>
            </w:pPr>
            <w:r>
              <w:rPr>
                <w:bCs/>
                <w:b/>
              </w:rPr>
              <w:t xml:space="preserve">Hierarchical</w:t>
            </w:r>
          </w:p>
        </w:tc>
        <w:tc>
          <w:tcPr/>
          <w:p>
            <w:pPr>
              <w:pStyle w:val="Compact"/>
              <w:jc w:val="left"/>
            </w:pPr>
            <w:r>
              <w:t xml:space="preserve">Tree, parent–child (one parent per node)</w:t>
            </w:r>
          </w:p>
        </w:tc>
        <w:tc>
          <w:tcPr/>
          <w:p>
            <w:pPr>
              <w:pStyle w:val="Compact"/>
              <w:jc w:val="left"/>
            </w:pPr>
            <w:r>
              <w:t xml:space="preserve">Fast for predefined queries</w:t>
            </w:r>
          </w:p>
        </w:tc>
        <w:tc>
          <w:tcPr/>
          <w:p>
            <w:pPr>
              <w:pStyle w:val="Compact"/>
              <w:jc w:val="left"/>
            </w:pPr>
            <w:r>
              <w:t xml:space="preserve">Rigid; redundancy; hard to add relationships</w:t>
            </w:r>
          </w:p>
        </w:tc>
      </w:tr>
      <w:tr>
        <w:tc>
          <w:tcPr/>
          <w:p>
            <w:pPr>
              <w:pStyle w:val="Compact"/>
              <w:jc w:val="left"/>
            </w:pPr>
            <w:r>
              <w:rPr>
                <w:bCs/>
                <w:b/>
              </w:rPr>
              <w:t xml:space="preserve">Network</w:t>
            </w:r>
          </w:p>
        </w:tc>
        <w:tc>
          <w:tcPr/>
          <w:p>
            <w:pPr>
              <w:pStyle w:val="Compact"/>
              <w:jc w:val="left"/>
            </w:pPr>
            <w:r>
              <w:t xml:space="preserve">Nodes may have many parents (pointers)</w:t>
            </w:r>
          </w:p>
        </w:tc>
        <w:tc>
          <w:tcPr/>
          <w:p>
            <w:pPr>
              <w:pStyle w:val="Compact"/>
              <w:jc w:val="left"/>
            </w:pPr>
            <w:r>
              <w:t xml:space="preserve">Flexible relationships</w:t>
            </w:r>
          </w:p>
        </w:tc>
        <w:tc>
          <w:tcPr/>
          <w:p>
            <w:pPr>
              <w:pStyle w:val="Compact"/>
              <w:jc w:val="left"/>
            </w:pPr>
            <w:r>
              <w:t xml:space="preserve">Pointers must be updated with every change, which is a heavy overhead</w:t>
            </w:r>
          </w:p>
        </w:tc>
      </w:tr>
      <w:tr>
        <w:tc>
          <w:tcPr/>
          <w:p>
            <w:pPr>
              <w:pStyle w:val="Compact"/>
              <w:jc w:val="left"/>
            </w:pPr>
            <w:r>
              <w:rPr>
                <w:bCs/>
                <w:b/>
              </w:rPr>
              <w:t xml:space="preserve">Relational</w:t>
            </w:r>
          </w:p>
        </w:tc>
        <w:tc>
          <w:tcPr/>
          <w:p>
            <w:pPr>
              <w:pStyle w:val="Compact"/>
              <w:jc w:val="left"/>
            </w:pPr>
            <w:r>
              <w:t xml:space="preserve">Two-dimensional</w:t>
            </w:r>
            <w:r>
              <w:t xml:space="preserve"> </w:t>
            </w:r>
            <w:r>
              <w:rPr>
                <w:bCs/>
                <w:b/>
              </w:rPr>
              <w:t xml:space="preserve">tables</w:t>
            </w:r>
            <w:r>
              <w:t xml:space="preserve"> </w:t>
            </w:r>
            <w:r>
              <w:t xml:space="preserve">(relations); rows are records, columns are attributes; tables linked by a common</w:t>
            </w:r>
            <w:r>
              <w:t xml:space="preserve"> </w:t>
            </w:r>
            <w:r>
              <w:rPr>
                <w:bCs/>
                <w:b/>
              </w:rPr>
              <w:t xml:space="preserve">key</w:t>
            </w:r>
          </w:p>
        </w:tc>
        <w:tc>
          <w:tcPr/>
          <w:p>
            <w:pPr>
              <w:pStyle w:val="Compact"/>
              <w:jc w:val="left"/>
            </w:pPr>
            <w:r>
              <w:t xml:space="preserve">Flexible ad-hoc queries (SQL), simple; the dominant standard</w:t>
            </w:r>
          </w:p>
        </w:tc>
        <w:tc>
          <w:tcPr/>
          <w:p>
            <w:pPr>
              <w:pStyle w:val="Compact"/>
              <w:jc w:val="left"/>
            </w:pPr>
            <w:r>
              <w:t xml:space="preserve">Can be slower for very complex joins</w:t>
            </w:r>
          </w:p>
        </w:tc>
      </w:tr>
    </w:tbl>
    <w:p>
      <w:pPr>
        <w:pStyle w:val="BodyText"/>
      </w:pPr>
      <w:r>
        <w:rPr>
          <w:bCs/>
          <w:b/>
        </w:rPr>
        <w:t xml:space="preserve">Georelational model:</w:t>
      </w:r>
      <w:r>
        <w:t xml:space="preserve"> </w:t>
      </w:r>
      <w:r>
        <w:t xml:space="preserve">geometry is stored in spatial files and attributes in relational tables, linked by a feature ID (shapefile + DBF; coverage + INFO). The</w:t>
      </w:r>
      <w:r>
        <w:t xml:space="preserve"> </w:t>
      </w:r>
      <w:r>
        <w:rPr>
          <w:bCs/>
          <w:b/>
        </w:rPr>
        <w:t xml:space="preserve">object-relational / geodatabase</w:t>
      </w:r>
      <w:r>
        <w:t xml:space="preserve"> </w:t>
      </w:r>
      <w:r>
        <w:t xml:space="preserve">model stores geometry as a data type within the DBMS (PostGIS, Oracle Spatial, ArcGIS geodatabase), with spatial indexing (R-tree, quadtree).</w:t>
      </w:r>
    </w:p>
    <w:p>
      <w:pPr>
        <w:pStyle w:val="Heading2"/>
      </w:pPr>
      <w:r>
        <w:t xml:space="preserve">10.6 History of GIS in Brief</w:t>
      </w:r>
    </w:p>
    <w:p>
      <w:pPr>
        <w:pStyle w:val="Compact"/>
        <w:numPr>
          <w:ilvl w:val="0"/>
          <w:numId w:val="1079"/>
        </w:numPr>
      </w:pPr>
      <w:r>
        <w:rPr>
          <w:bCs/>
          <w:b/>
        </w:rPr>
        <w:t xml:space="preserve">1960s:</w:t>
      </w:r>
      <w:r>
        <w:t xml:space="preserve"> </w:t>
      </w:r>
      <w:r>
        <w:t xml:space="preserve">the</w:t>
      </w:r>
      <w:r>
        <w:t xml:space="preserve"> </w:t>
      </w:r>
      <w:r>
        <w:rPr>
          <w:bCs/>
          <w:b/>
        </w:rPr>
        <w:t xml:space="preserve">Canada Geographic Information System (CGIS)</w:t>
      </w:r>
      <w:r>
        <w:t xml:space="preserve">, led by Roger Tomlinson (</w:t>
      </w:r>
      <w:r>
        <w:t xml:space="preserve">“</w:t>
      </w:r>
      <w:r>
        <w:t xml:space="preserve">father of GIS</w:t>
      </w:r>
      <w:r>
        <w:t xml:space="preserve">”</w:t>
      </w:r>
      <w:r>
        <w:t xml:space="preserve">), for the Canada Land Inventory. Harvard Laboratory for Computer Graphics and Spatial Analysis (SYMAP), US Census Bureau (DIME files), USGS.</w:t>
      </w:r>
    </w:p>
    <w:p>
      <w:pPr>
        <w:pStyle w:val="Compact"/>
        <w:numPr>
          <w:ilvl w:val="0"/>
          <w:numId w:val="1079"/>
        </w:numPr>
      </w:pPr>
      <w:r>
        <w:rPr>
          <w:bCs/>
          <w:b/>
        </w:rPr>
        <w:t xml:space="preserve">1970s:</w:t>
      </w:r>
      <w:r>
        <w:t xml:space="preserve"> </w:t>
      </w:r>
      <w:r>
        <w:t xml:space="preserve">topological data structures; ESRI founded (1969); commercial software begins (ESRI, Intergraph, Laser-Scan).</w:t>
      </w:r>
    </w:p>
    <w:p>
      <w:pPr>
        <w:pStyle w:val="Compact"/>
        <w:numPr>
          <w:ilvl w:val="0"/>
          <w:numId w:val="1079"/>
        </w:numPr>
      </w:pPr>
      <w:r>
        <w:rPr>
          <w:bCs/>
          <w:b/>
        </w:rPr>
        <w:t xml:space="preserve">1980s:</w:t>
      </w:r>
      <w:r>
        <w:t xml:space="preserve"> </w:t>
      </w:r>
      <w:r>
        <w:t xml:space="preserve">personal computers and workstations, relational DBMS; ARC/INFO (1982).</w:t>
      </w:r>
    </w:p>
    <w:p>
      <w:pPr>
        <w:pStyle w:val="Compact"/>
        <w:numPr>
          <w:ilvl w:val="0"/>
          <w:numId w:val="1079"/>
        </w:numPr>
      </w:pPr>
      <w:r>
        <w:rPr>
          <w:bCs/>
          <w:b/>
        </w:rPr>
        <w:t xml:space="preserve">1990s:</w:t>
      </w:r>
      <w:r>
        <w:t xml:space="preserve"> </w:t>
      </w:r>
      <w:r>
        <w:t xml:space="preserve">object orientation, desktop GIS (ArcView), spatial information theory as a discipline, Internet GIS.</w:t>
      </w:r>
    </w:p>
    <w:p>
      <w:pPr>
        <w:pStyle w:val="Compact"/>
        <w:numPr>
          <w:ilvl w:val="0"/>
          <w:numId w:val="1079"/>
        </w:numPr>
      </w:pPr>
      <w:r>
        <w:rPr>
          <w:bCs/>
          <w:b/>
        </w:rPr>
        <w:t xml:space="preserve">2000s–present:</w:t>
      </w:r>
      <w:r>
        <w:t xml:space="preserve"> </w:t>
      </w:r>
      <w:r>
        <w:t xml:space="preserve">web GIS, open-source GIS (QGIS, GRASS, PostGIS), spatial data infrastructures, cloud platforms (Google Earth Engine), mobile GIS.</w:t>
      </w:r>
    </w:p>
    <w:p>
      <w:pPr>
        <w:pStyle w:val="Compact"/>
        <w:numPr>
          <w:ilvl w:val="0"/>
          <w:numId w:val="1079"/>
        </w:numPr>
      </w:pPr>
      <w:r>
        <w:rPr>
          <w:bCs/>
          <w:b/>
        </w:rPr>
        <w:t xml:space="preserve">India:</w:t>
      </w:r>
      <w:r>
        <w:t xml:space="preserve"> </w:t>
      </w:r>
      <w:r>
        <w:t xml:space="preserve">the Department of Space led with the</w:t>
      </w:r>
      <w:r>
        <w:t xml:space="preserve"> </w:t>
      </w:r>
      <w:r>
        <w:rPr>
          <w:bCs/>
          <w:b/>
        </w:rPr>
        <w:t xml:space="preserve">Natural Resources Information System (NRIS)</w:t>
      </w:r>
      <w:r>
        <w:t xml:space="preserve">, the</w:t>
      </w:r>
      <w:r>
        <w:t xml:space="preserve"> </w:t>
      </w:r>
      <w:r>
        <w:rPr>
          <w:bCs/>
          <w:b/>
        </w:rPr>
        <w:t xml:space="preserve">Integrated Mission for Sustainable Development (IMSD)</w:t>
      </w:r>
      <w:r>
        <w:t xml:space="preserve">, biodiversity characterisation at landscape level, Bhuvan (2009), the National Spatial Data Infrastructure (NSDI), and the Geospatial Data Guidelines and Policy (2021–22). IIRS provides national and international training (CSSTEAP).</w:t>
      </w:r>
    </w:p>
    <w:p>
      <w:pPr>
        <w:pStyle w:val="Heading2"/>
      </w:pPr>
      <w:r>
        <w:t xml:space="preserve">10.7 Errors and Uncertainty in GIS</w:t>
      </w:r>
    </w:p>
    <w:p>
      <w:pPr>
        <w:pStyle w:val="FirstParagraph"/>
      </w:pPr>
      <w:r>
        <w:t xml:space="preserve">Data accuracy has</w:t>
      </w:r>
      <w:r>
        <w:t xml:space="preserve"> </w:t>
      </w:r>
      <w:r>
        <w:rPr>
          <w:bCs/>
          <w:b/>
        </w:rPr>
        <w:t xml:space="preserve">positional</w:t>
      </w:r>
      <w:r>
        <w:t xml:space="preserve">,</w:t>
      </w:r>
      <w:r>
        <w:t xml:space="preserve"> </w:t>
      </w:r>
      <w:r>
        <w:rPr>
          <w:bCs/>
          <w:b/>
        </w:rPr>
        <w:t xml:space="preserve">thematic (attribute)</w:t>
      </w:r>
      <w:r>
        <w:t xml:space="preserve"> </w:t>
      </w:r>
      <w:r>
        <w:t xml:space="preserve">and</w:t>
      </w:r>
      <w:r>
        <w:t xml:space="preserve"> </w:t>
      </w:r>
      <w:r>
        <w:rPr>
          <w:bCs/>
          <w:b/>
        </w:rPr>
        <w:t xml:space="preserve">temporal</w:t>
      </w:r>
      <w:r>
        <w:t xml:space="preserve"> </w:t>
      </w:r>
      <w:r>
        <w:t xml:space="preserve">components, plus completeness and logical consistency.</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Source of error</w:t>
            </w:r>
          </w:p>
        </w:tc>
        <w:tc>
          <w:tcPr/>
          <w:p>
            <w:pPr>
              <w:pStyle w:val="Compact"/>
              <w:jc w:val="left"/>
            </w:pPr>
            <w:r>
              <w:t xml:space="preserve">Examples</w:t>
            </w:r>
          </w:p>
        </w:tc>
      </w:tr>
      <w:tr>
        <w:tc>
          <w:tcPr/>
          <w:p>
            <w:pPr>
              <w:pStyle w:val="Compact"/>
              <w:jc w:val="left"/>
            </w:pPr>
            <w:r>
              <w:rPr>
                <w:bCs/>
                <w:b/>
              </w:rPr>
              <w:t xml:space="preserve">Data age</w:t>
            </w:r>
          </w:p>
        </w:tc>
        <w:tc>
          <w:tcPr/>
          <w:p>
            <w:pPr>
              <w:pStyle w:val="Compact"/>
              <w:jc w:val="left"/>
            </w:pPr>
            <w:r>
              <w:t xml:space="preserve">Old land-use maps; reliability decreases with time</w:t>
            </w:r>
          </w:p>
        </w:tc>
      </w:tr>
      <w:tr>
        <w:tc>
          <w:tcPr/>
          <w:p>
            <w:pPr>
              <w:pStyle w:val="Compact"/>
              <w:jc w:val="left"/>
            </w:pPr>
            <w:r>
              <w:rPr>
                <w:bCs/>
                <w:b/>
              </w:rPr>
              <w:t xml:space="preserve">Map scale</w:t>
            </w:r>
          </w:p>
        </w:tc>
        <w:tc>
          <w:tcPr/>
          <w:p>
            <w:pPr>
              <w:pStyle w:val="Compact"/>
              <w:jc w:val="left"/>
            </w:pPr>
            <w:r>
              <w:t xml:space="preserve">Data at inappropriate scales; mixing 1:250,000 and 1:10,000</w:t>
            </w:r>
          </w:p>
        </w:tc>
      </w:tr>
      <w:tr>
        <w:tc>
          <w:tcPr/>
          <w:p>
            <w:pPr>
              <w:pStyle w:val="Compact"/>
              <w:jc w:val="left"/>
            </w:pPr>
            <w:r>
              <w:rPr>
                <w:bCs/>
                <w:b/>
              </w:rPr>
              <w:t xml:space="preserve">Density of observations</w:t>
            </w:r>
          </w:p>
        </w:tc>
        <w:tc>
          <w:tcPr/>
          <w:p>
            <w:pPr>
              <w:pStyle w:val="Compact"/>
              <w:jc w:val="left"/>
            </w:pPr>
            <w:r>
              <w:t xml:space="preserve">Sparse rain gauges, so unreliable interpolation</w:t>
            </w:r>
          </w:p>
        </w:tc>
      </w:tr>
      <w:tr>
        <w:tc>
          <w:tcPr/>
          <w:p>
            <w:pPr>
              <w:pStyle w:val="Compact"/>
              <w:jc w:val="left"/>
            </w:pPr>
            <w:r>
              <w:rPr>
                <w:bCs/>
                <w:b/>
              </w:rPr>
              <w:t xml:space="preserve">Relevance (surrogate data)</w:t>
            </w:r>
          </w:p>
        </w:tc>
        <w:tc>
          <w:tcPr/>
          <w:p>
            <w:pPr>
              <w:pStyle w:val="Compact"/>
              <w:jc w:val="left"/>
            </w:pPr>
            <w:r>
              <w:t xml:space="preserve">Using NDVI as a proxy for biomass</w:t>
            </w:r>
          </w:p>
        </w:tc>
      </w:tr>
      <w:tr>
        <w:tc>
          <w:tcPr/>
          <w:p>
            <w:pPr>
              <w:pStyle w:val="Compact"/>
              <w:jc w:val="left"/>
            </w:pPr>
            <w:r>
              <w:rPr>
                <w:bCs/>
                <w:b/>
              </w:rPr>
              <w:t xml:space="preserve">Positional inaccuracy</w:t>
            </w:r>
          </w:p>
        </w:tc>
        <w:tc>
          <w:tcPr/>
          <w:p>
            <w:pPr>
              <w:pStyle w:val="Compact"/>
              <w:jc w:val="left"/>
            </w:pPr>
            <w:r>
              <w:t xml:space="preserve">Digitising errors, GCP errors, minimum mappable unit</w:t>
            </w:r>
          </w:p>
        </w:tc>
      </w:tr>
      <w:tr>
        <w:tc>
          <w:tcPr/>
          <w:p>
            <w:pPr>
              <w:pStyle w:val="Compact"/>
              <w:jc w:val="left"/>
            </w:pPr>
            <w:r>
              <w:rPr>
                <w:bCs/>
                <w:b/>
              </w:rPr>
              <w:t xml:space="preserve">Attribute inaccuracy</w:t>
            </w:r>
          </w:p>
        </w:tc>
        <w:tc>
          <w:tcPr/>
          <w:p>
            <w:pPr>
              <w:pStyle w:val="Compact"/>
              <w:jc w:val="left"/>
            </w:pPr>
            <w:r>
              <w:t xml:space="preserve">Wrong labels attached to polygons</w:t>
            </w:r>
          </w:p>
        </w:tc>
      </w:tr>
      <w:tr>
        <w:tc>
          <w:tcPr/>
          <w:p>
            <w:pPr>
              <w:pStyle w:val="Compact"/>
              <w:jc w:val="left"/>
            </w:pPr>
            <w:r>
              <w:rPr>
                <w:bCs/>
                <w:b/>
              </w:rPr>
              <w:t xml:space="preserve">Processing errors</w:t>
            </w:r>
          </w:p>
        </w:tc>
        <w:tc>
          <w:tcPr/>
          <w:p>
            <w:pPr>
              <w:pStyle w:val="Compact"/>
              <w:jc w:val="left"/>
            </w:pPr>
            <w:r>
              <w:t xml:space="preserve">Digitising (boundary location), rasterisation (topological mismatch), spatial integration (</w:t>
            </w:r>
            <w:r>
              <w:rPr>
                <w:bCs/>
                <w:b/>
              </w:rPr>
              <w:t xml:space="preserve">spurious sliver polygons</w:t>
            </w:r>
            <w:r>
              <w:t xml:space="preserve"> </w:t>
            </w:r>
            <w:r>
              <w:t xml:space="preserve">from overlay), generalisation (aggregation to smaller scale), attribute mismatch, misuse of logic</w:t>
            </w:r>
          </w:p>
        </w:tc>
      </w:tr>
    </w:tbl>
    <w:p>
      <w:pPr>
        <w:pStyle w:val="BodyText"/>
      </w:pPr>
      <w:r>
        <w:t xml:space="preserve">Error</w:t>
      </w:r>
      <w:r>
        <w:t xml:space="preserve"> </w:t>
      </w:r>
      <w:r>
        <w:rPr>
          <w:bCs/>
          <w:b/>
        </w:rPr>
        <w:t xml:space="preserve">propagates</w:t>
      </w:r>
      <w:r>
        <w:t xml:space="preserve"> </w:t>
      </w:r>
      <w:r>
        <w:t xml:space="preserve">through overlay. The accuracy of a composite map is roughly the product of the layer accuracies (for example three layers each 90% accurate give about 73%). Metadata should state accuracy quantitatively.</w:t>
      </w:r>
    </w:p>
    <w:p>
      <w:pPr>
        <w:pStyle w:val="Heading2"/>
      </w:pPr>
      <w:r>
        <w:t xml:space="preserve">10.8 Map Scale and Minimum Mappable Unit</w:t>
      </w:r>
    </w:p>
    <w:p>
      <w:pPr>
        <w:pStyle w:val="Compact"/>
        <w:numPr>
          <w:ilvl w:val="0"/>
          <w:numId w:val="1080"/>
        </w:numPr>
      </w:pPr>
      <w:r>
        <w:rPr>
          <w:bCs/>
          <w:b/>
        </w:rPr>
        <w:t xml:space="preserve">Scale</w:t>
      </w:r>
      <w:r>
        <w:t xml:space="preserve"> </w:t>
      </w:r>
      <w:r>
        <w:t xml:space="preserve">= map distance : ground distance (1:50,000 means 1 cm = 500 m).</w:t>
      </w:r>
    </w:p>
    <w:p>
      <w:pPr>
        <w:pStyle w:val="Compact"/>
        <w:numPr>
          <w:ilvl w:val="0"/>
          <w:numId w:val="1080"/>
        </w:numPr>
      </w:pPr>
      <w:r>
        <w:rPr>
          <w:bCs/>
          <w:b/>
        </w:rPr>
        <w:t xml:space="preserve">Minimum mappable unit (MMU):</w:t>
      </w:r>
      <w:r>
        <w:t xml:space="preserve"> </w:t>
      </w:r>
      <w:r>
        <w:t xml:space="preserve">the smallest area that can be shown legibly. As a rule of thumb, about 3 mm × 3 mm at map scale (≈ 2.25 ha at 1:50,000; ≈ 56 ha at 1:250,000).</w:t>
      </w:r>
    </w:p>
    <w:p>
      <w:pPr>
        <w:pStyle w:val="Compact"/>
        <w:numPr>
          <w:ilvl w:val="0"/>
          <w:numId w:val="1080"/>
        </w:numPr>
      </w:pPr>
      <w:r>
        <w:rPr>
          <w:bCs/>
          <w:b/>
        </w:rPr>
        <w:t xml:space="preserve">Indian scales:</w:t>
      </w:r>
      <w:r>
        <w:t xml:space="preserve"> </w:t>
      </w:r>
      <w:r>
        <w:t xml:space="preserve">1:1 M / 1:250k (national and state), 1:50k (district; NRC LULC), 1:10k (SIS-DP, panchayat planning), 1:4k and larger (cadastral).</w:t>
      </w:r>
    </w:p>
    <w:p>
      <w:pPr>
        <w:pStyle w:val="Heading2"/>
      </w:pPr>
      <w:r>
        <w:t xml:space="preserve">10.9 GIS Applications in Agriculture and Agrometeorology</w:t>
      </w:r>
    </w:p>
    <w:p>
      <w:pPr>
        <w:pStyle w:val="Compact"/>
        <w:numPr>
          <w:ilvl w:val="0"/>
          <w:numId w:val="1081"/>
        </w:numPr>
      </w:pPr>
      <w:r>
        <w:rPr>
          <w:bCs/>
          <w:b/>
        </w:rPr>
        <w:t xml:space="preserve">Agro-climatic and agro-ecological zoning:</w:t>
      </w:r>
      <w:r>
        <w:t xml:space="preserve"> </w:t>
      </w:r>
      <w:r>
        <w:t xml:space="preserve">overlaying climate, soil, terrain and land use.</w:t>
      </w:r>
    </w:p>
    <w:p>
      <w:pPr>
        <w:pStyle w:val="Compact"/>
        <w:numPr>
          <w:ilvl w:val="0"/>
          <w:numId w:val="1081"/>
        </w:numPr>
      </w:pPr>
      <w:r>
        <w:rPr>
          <w:bCs/>
          <w:b/>
        </w:rPr>
        <w:t xml:space="preserve">Land suitability and crop zoning:</w:t>
      </w:r>
      <w:r>
        <w:t xml:space="preserve"> </w:t>
      </w:r>
      <w:r>
        <w:t xml:space="preserve">for example, where to grow a cash crop, using soils, slope and rainfall, then refined with ownership, transport, labour and market distance.</w:t>
      </w:r>
    </w:p>
    <w:p>
      <w:pPr>
        <w:pStyle w:val="Compact"/>
        <w:numPr>
          <w:ilvl w:val="0"/>
          <w:numId w:val="1081"/>
        </w:numPr>
      </w:pPr>
      <w:r>
        <w:rPr>
          <w:bCs/>
          <w:b/>
        </w:rPr>
        <w:t xml:space="preserve">Climatic risk evaluation:</w:t>
      </w:r>
      <w:r>
        <w:t xml:space="preserve"> </w:t>
      </w:r>
      <w:r>
        <w:t xml:space="preserve">frost, drought and hail risk maps.</w:t>
      </w:r>
    </w:p>
    <w:p>
      <w:pPr>
        <w:pStyle w:val="Compact"/>
        <w:numPr>
          <w:ilvl w:val="0"/>
          <w:numId w:val="1081"/>
        </w:numPr>
      </w:pPr>
      <w:r>
        <w:rPr>
          <w:bCs/>
          <w:b/>
        </w:rPr>
        <w:t xml:space="preserve">Crop monitoring and early warning systems:</w:t>
      </w:r>
      <w:r>
        <w:t xml:space="preserve"> </w:t>
      </w:r>
      <w:r>
        <w:t xml:space="preserve">combining rainfall series, crop models, NDVI and Meteosat rainfall estimates, as in the Italian</w:t>
      </w:r>
      <w:r>
        <w:t xml:space="preserve"> </w:t>
      </w:r>
      <w:r>
        <w:rPr>
          <w:bCs/>
          <w:b/>
        </w:rPr>
        <w:t xml:space="preserve">SISP</w:t>
      </w:r>
      <w:r>
        <w:t xml:space="preserve"> </w:t>
      </w:r>
      <w:r>
        <w:t xml:space="preserve">system for millet in Niger, which gave productivity indices by administrative unit.</w:t>
      </w:r>
    </w:p>
    <w:p>
      <w:pPr>
        <w:pStyle w:val="Compact"/>
        <w:numPr>
          <w:ilvl w:val="0"/>
          <w:numId w:val="1081"/>
        </w:numPr>
      </w:pPr>
      <w:r>
        <w:rPr>
          <w:bCs/>
          <w:b/>
        </w:rPr>
        <w:t xml:space="preserve">Fire-risk mapping:</w:t>
      </w:r>
      <w:r>
        <w:t xml:space="preserve"> </w:t>
      </w:r>
      <w:r>
        <w:t xml:space="preserve">vegetation flammability, roads, settlements, slope and aspect. The Tuscany model integrated satellite and territorial layers to map forest fire risk.</w:t>
      </w:r>
    </w:p>
    <w:p>
      <w:pPr>
        <w:pStyle w:val="Compact"/>
        <w:numPr>
          <w:ilvl w:val="0"/>
          <w:numId w:val="1081"/>
        </w:numPr>
      </w:pPr>
      <w:r>
        <w:rPr>
          <w:bCs/>
          <w:b/>
        </w:rPr>
        <w:t xml:space="preserve">Watershed planning, soil erosion modelling, command-area management, precision farming and decision support</w:t>
      </w:r>
      <w:r>
        <w:t xml:space="preserve"> </w:t>
      </w:r>
      <w:r>
        <w:t xml:space="preserve">(Krishi-DSS, Bhuvan).</w:t>
      </w:r>
    </w:p>
    <w:p>
      <w:pPr>
        <w:pStyle w:val="Heading3"/>
      </w:pPr>
      <w:r>
        <w:t xml:space="preserve">10.9.1 Likely interview questions</w:t>
      </w:r>
    </w:p>
    <w:p>
      <w:pPr>
        <w:pStyle w:val="FirstParagraph"/>
      </w:pPr>
      <w:r>
        <w:rPr>
          <w:bCs/>
          <w:b/>
        </w:rPr>
        <w:t xml:space="preserve">Q. Define GIS and list its components.</w:t>
      </w:r>
      <w:r>
        <w:t xml:space="preserve"> </w:t>
      </w:r>
      <w:r>
        <w:t xml:space="preserve">A computer-based system for input, storage, analysis and output of geo-referenced data. Its components are hardware, software, data, people and methods.</w:t>
      </w:r>
    </w:p>
    <w:p>
      <w:pPr>
        <w:pStyle w:val="BodyText"/>
      </w:pPr>
      <w:r>
        <w:rPr>
          <w:bCs/>
          <w:b/>
        </w:rPr>
        <w:t xml:space="preserve">Q. Compare raster and vector data models.</w:t>
      </w:r>
      <w:r>
        <w:t xml:space="preserve"> </w:t>
      </w:r>
      <w:r>
        <w:t xml:space="preserve">See the comparison table: raster is simple, fast for overlay and good for continuous data but voluminous. Vector is precise, compact, has topology and suits discrete and network data.</w:t>
      </w:r>
    </w:p>
    <w:p>
      <w:pPr>
        <w:pStyle w:val="BodyText"/>
      </w:pPr>
      <w:r>
        <w:rPr>
          <w:bCs/>
          <w:b/>
        </w:rPr>
        <w:t xml:space="preserve">Q. What is topology and why is it important?</w:t>
      </w:r>
      <w:r>
        <w:t xml:space="preserve"> </w:t>
      </w:r>
      <w:r>
        <w:t xml:space="preserve">Explicit storage of connectivity, adjacency and containment. It enables error checking and network and adjacency analysis.</w:t>
      </w:r>
    </w:p>
    <w:p>
      <w:pPr>
        <w:pStyle w:val="BodyText"/>
      </w:pPr>
      <w:r>
        <w:rPr>
          <w:bCs/>
          <w:b/>
        </w:rPr>
        <w:t xml:space="preserve">Q. What are sliver polygons?</w:t>
      </w:r>
      <w:r>
        <w:t xml:space="preserve"> </w:t>
      </w:r>
      <w:r>
        <w:t xml:space="preserve">Thin spurious polygons created when overlaying layers whose shared boundaries were digitised slightly differently.</w:t>
      </w:r>
    </w:p>
    <w:p>
      <w:pPr>
        <w:pStyle w:val="BodyText"/>
      </w:pPr>
      <w:r>
        <w:rPr>
          <w:bCs/>
          <w:b/>
        </w:rPr>
        <w:t xml:space="preserve">Q. Name the database models used in GIS.</w:t>
      </w:r>
      <w:r>
        <w:t xml:space="preserve"> </w:t>
      </w:r>
      <w:r>
        <w:t xml:space="preserve">Hierarchical, network and relational. The relational model, with tables linked by keys, dominates.</w:t>
      </w:r>
    </w:p>
    <w:p>
      <w:pPr>
        <w:pStyle w:val="Heading2"/>
      </w:pPr>
      <w:r>
        <w:t xml:space="preserve">10.10 Core GIS Spatial Analysis Operations Referenced Throughout This Manual</w:t>
      </w:r>
    </w:p>
    <w:p>
      <w:pPr>
        <w:pStyle w:val="Compact"/>
        <w:numPr>
          <w:ilvl w:val="0"/>
          <w:numId w:val="1082"/>
        </w:numPr>
      </w:pPr>
      <w:r>
        <w:rPr>
          <w:bCs/>
          <w:b/>
        </w:rPr>
        <w:t xml:space="preserve">Overlay analysis</w:t>
      </w:r>
      <w:r>
        <w:t xml:space="preserve"> </w:t>
      </w:r>
      <w:r>
        <w:t xml:space="preserve">(union, intersection, weighted overlay) — combining multiple thematic layers (soil, slope, land-cover, rainfall) to derive a composite output, the operational basis of land-capability classification, landslide/forest-fire susceptibility mapping, and watershed-prioritisation planning.</w:t>
      </w:r>
    </w:p>
    <w:p>
      <w:pPr>
        <w:pStyle w:val="Compact"/>
        <w:numPr>
          <w:ilvl w:val="0"/>
          <w:numId w:val="1082"/>
        </w:numPr>
      </w:pPr>
      <w:r>
        <w:rPr>
          <w:bCs/>
          <w:b/>
        </w:rPr>
        <w:t xml:space="preserve">Buffer analysis</w:t>
      </w:r>
      <w:r>
        <w:t xml:space="preserve"> </w:t>
      </w:r>
      <w:r>
        <w:t xml:space="preserve">— generating a zone of specified distance around a feature (e.g., a river, for floodplain-risk buffering, or a road, for accessibility analysis).</w:t>
      </w:r>
    </w:p>
    <w:p>
      <w:pPr>
        <w:pStyle w:val="Compact"/>
        <w:numPr>
          <w:ilvl w:val="0"/>
          <w:numId w:val="1082"/>
        </w:numPr>
      </w:pPr>
      <w:r>
        <w:rPr>
          <w:bCs/>
          <w:b/>
        </w:rPr>
        <w:t xml:space="preserve">Terrain analysis from a DEM</w:t>
      </w:r>
      <w:r>
        <w:t xml:space="preserve"> </w:t>
      </w:r>
      <w:r>
        <w:t xml:space="preserve">— deriving slope, aspect, curvature, flow direction/accumulation (for automated drainage-network and watershed-boundary delineation, Chapter 11, Section 11.1), and hillshade, all foundational inputs to the soil, erosion, landslide and hydrological applications described throughout this manual.</w:t>
      </w:r>
    </w:p>
    <w:p>
      <w:pPr>
        <w:pStyle w:val="Compact"/>
        <w:numPr>
          <w:ilvl w:val="0"/>
          <w:numId w:val="1082"/>
        </w:numPr>
      </w:pPr>
      <w:r>
        <w:rPr>
          <w:bCs/>
          <w:b/>
        </w:rPr>
        <w:t xml:space="preserve">Network analysis</w:t>
      </w:r>
      <w:r>
        <w:t xml:space="preserve"> </w:t>
      </w:r>
      <w:r>
        <w:t xml:space="preserve">— least-cost-path and connectivity modelling, and road-network-based accessibility/routing analysis (e.g., PMGSY road-planning use of 1:10,000-scale LULC, Chapter 10, Section 10.1.2).</w:t>
      </w:r>
    </w:p>
    <w:p>
      <w:pPr>
        <w:pStyle w:val="Compact"/>
        <w:numPr>
          <w:ilvl w:val="0"/>
          <w:numId w:val="1082"/>
        </w:numPr>
      </w:pPr>
      <w:r>
        <w:rPr>
          <w:bCs/>
          <w:b/>
        </w:rPr>
        <w:t xml:space="preserve">Geostatistical interpolation</w:t>
      </w:r>
      <w:r>
        <w:t xml:space="preserve"> </w:t>
      </w:r>
      <w:r>
        <w:t xml:space="preserve">— kriging as the statistically rigorous spatial-interpolation operation within the broader GIS analytical toolkit.</w:t>
      </w:r>
    </w:p>
    <w:p>
      <w:pPr>
        <w:pStyle w:val="Heading2"/>
      </w:pPr>
      <w:r>
        <w:t xml:space="preserve">10.11 GIS and Decision Support Systems</w:t>
      </w:r>
    </w:p>
    <w:p>
      <w:pPr>
        <w:pStyle w:val="FirstParagraph"/>
      </w:pPr>
      <w:r>
        <w:t xml:space="preserve">Geographic Information Systems (GIS) provide the spatial integration layer tying together satellite-derived layers (NDVI, LST, rainfall, soil moisture), administrative boundaries (district/block), soil maps, and crop-calendar data into map-based decision-support tools. ISRO's Bhuvan geoportal is the principal Indian example, offering public access to thematic layers spanning agriculture, water resources, and disaster management, and increasingly serving as the visualisation/dissemination backbone for programmes like NADAMS and FASAL-derived products. Decision-support systems (DSS) built on this GIS foundation allow district administrators and extension agents to query localized weather-crop risk information rather than relying solely on generic bulletins.</w:t>
      </w:r>
    </w:p>
    <w:p>
      <w:pPr>
        <w:pStyle w:val="Heading1"/>
      </w:pPr>
      <w:r>
        <w:t xml:space="preserve">Chapter 11. Spatial Data Analysis and Map Algebra</w:t>
      </w:r>
    </w:p>
    <w:p>
      <w:pPr>
        <w:pStyle w:val="Heading2"/>
      </w:pPr>
      <w:r>
        <w:t xml:space="preserve">11.1 Why Spatial Analysis Is the Heart of GIS</w:t>
      </w:r>
    </w:p>
    <w:p>
      <w:pPr>
        <w:pStyle w:val="FirstParagraph"/>
      </w:pPr>
      <w:r>
        <w:t xml:space="preserve">Map making and tabular reports can be produced by simpler cartographic or database packages. What justifies a GIS is</w:t>
      </w:r>
      <w:r>
        <w:t xml:space="preserve"> </w:t>
      </w:r>
      <w:r>
        <w:rPr>
          <w:bCs/>
          <w:b/>
        </w:rPr>
        <w:t xml:space="preserve">spatial analysis</w:t>
      </w:r>
      <w:r>
        <w:t xml:space="preserve">: the logical connection between attributes and geometry, and operations built on spatial relationships. Spatial analysis involves three kinds of operation:</w:t>
      </w:r>
    </w:p>
    <w:p>
      <w:pPr>
        <w:pStyle w:val="Compact"/>
        <w:numPr>
          <w:ilvl w:val="0"/>
          <w:numId w:val="1083"/>
        </w:numPr>
      </w:pPr>
      <w:r>
        <w:rPr>
          <w:bCs/>
          <w:b/>
        </w:rPr>
        <w:t xml:space="preserve">Attribute (non-spatial) query:</w:t>
      </w:r>
      <w:r>
        <w:t xml:space="preserve"> </w:t>
      </w:r>
      <w:r>
        <w:t xml:space="preserve">selecting records by logical conditions on the attribute table alone. Example: list all parcels with land use =</w:t>
      </w:r>
      <w:r>
        <w:t xml:space="preserve"> </w:t>
      </w:r>
      <w:r>
        <w:t xml:space="preserve">“</w:t>
      </w:r>
      <w:r>
        <w:t xml:space="preserve">commercial</w:t>
      </w:r>
      <w:r>
        <w:t xml:space="preserve">”</w:t>
      </w:r>
      <w:r>
        <w:t xml:space="preserve">.</w:t>
      </w:r>
    </w:p>
    <w:p>
      <w:pPr>
        <w:pStyle w:val="Compact"/>
        <w:numPr>
          <w:ilvl w:val="0"/>
          <w:numId w:val="1083"/>
        </w:numPr>
      </w:pPr>
      <w:r>
        <w:rPr>
          <w:bCs/>
          <w:b/>
        </w:rPr>
        <w:t xml:space="preserve">Spatial query:</w:t>
      </w:r>
      <w:r>
        <w:t xml:space="preserve"> </w:t>
      </w:r>
      <w:r>
        <w:t xml:space="preserve">selecting features by location or spatial relationship. Example: all parcels within 100 m of a parcel proposed for rezoning, whose owners must be notified. This cannot be answered from the table alone.</w:t>
      </w:r>
    </w:p>
    <w:p>
      <w:pPr>
        <w:pStyle w:val="Compact"/>
        <w:numPr>
          <w:ilvl w:val="0"/>
          <w:numId w:val="1083"/>
        </w:numPr>
      </w:pPr>
      <w:r>
        <w:rPr>
          <w:bCs/>
          <w:b/>
        </w:rPr>
        <w:t xml:space="preserve">Generation of new data sets</w:t>
      </w:r>
      <w:r>
        <w:t xml:space="preserve"> </w:t>
      </w:r>
      <w:r>
        <w:t xml:space="preserve">from existing ones: buffers, overlays, derived surfaces, models.</w:t>
      </w:r>
    </w:p>
    <w:p>
      <w:pPr>
        <w:pStyle w:val="FirstParagraph"/>
      </w:pPr>
      <w:r>
        <w:t xml:space="preserve">Complex analyses chain many such operations. Good spatial analysis selects the right operation for each step and the right sequence for the purpose.</w:t>
      </w:r>
    </w:p>
    <w:p>
      <w:pPr>
        <w:pStyle w:val="Heading2"/>
      </w:pPr>
      <w:r>
        <w:t xml:space="preserve">11.2 Single-Layer Operations</w:t>
      </w:r>
    </w:p>
    <w:p>
      <w:pPr>
        <w:pStyle w:val="Compact"/>
        <w:numPr>
          <w:ilvl w:val="0"/>
          <w:numId w:val="1084"/>
        </w:numPr>
      </w:pPr>
      <w:r>
        <w:rPr>
          <w:bCs/>
          <w:b/>
        </w:rPr>
        <w:t xml:space="preserve">Reclassification:</w:t>
      </w:r>
      <w:r>
        <w:t xml:space="preserve"> </w:t>
      </w:r>
      <w:r>
        <w:t xml:space="preserve">grouping attribute values (e.g. 12 soil series → 4 drainage classes).</w:t>
      </w:r>
    </w:p>
    <w:p>
      <w:pPr>
        <w:pStyle w:val="Compact"/>
        <w:numPr>
          <w:ilvl w:val="0"/>
          <w:numId w:val="1084"/>
        </w:numPr>
      </w:pPr>
      <w:r>
        <w:rPr>
          <w:bCs/>
          <w:b/>
        </w:rPr>
        <w:t xml:space="preserve">Dissolve / merge:</w:t>
      </w:r>
      <w:r>
        <w:t xml:space="preserve"> </w:t>
      </w:r>
      <w:r>
        <w:t xml:space="preserve">removing boundaries between polygons with the same value.</w:t>
      </w:r>
    </w:p>
    <w:p>
      <w:pPr>
        <w:pStyle w:val="Compact"/>
        <w:numPr>
          <w:ilvl w:val="0"/>
          <w:numId w:val="1084"/>
        </w:numPr>
      </w:pPr>
      <w:r>
        <w:rPr>
          <w:bCs/>
          <w:b/>
        </w:rPr>
        <w:t xml:space="preserve">Buffering:</w:t>
      </w:r>
      <w:r>
        <w:t xml:space="preserve"> </w:t>
      </w:r>
      <w:r>
        <w:t xml:space="preserve">creating zones at a specified distance around points, lines or polygons (e.g. 500 m on either side of canals, 1 km around villages for fire risk). Buffers can be fixed-width or variable-width (by attribute), and single or multiple rings.</w:t>
      </w:r>
    </w:p>
    <w:p>
      <w:pPr>
        <w:pStyle w:val="Compact"/>
        <w:numPr>
          <w:ilvl w:val="0"/>
          <w:numId w:val="1084"/>
        </w:numPr>
      </w:pPr>
      <w:r>
        <w:rPr>
          <w:bCs/>
          <w:b/>
        </w:rPr>
        <w:t xml:space="preserve">Geometric measurement:</w:t>
      </w:r>
      <w:r>
        <w:t xml:space="preserve"> </w:t>
      </w:r>
      <w:r>
        <w:t xml:space="preserve">distance, length, perimeter, area, centroid.</w:t>
      </w:r>
    </w:p>
    <w:p>
      <w:pPr>
        <w:pStyle w:val="Compact"/>
        <w:numPr>
          <w:ilvl w:val="0"/>
          <w:numId w:val="1084"/>
        </w:numPr>
      </w:pPr>
      <w:r>
        <w:rPr>
          <w:bCs/>
          <w:b/>
        </w:rPr>
        <w:t xml:space="preserve">Spatial interpolation</w:t>
      </w:r>
      <w:r>
        <w:t xml:space="preserve"> </w:t>
      </w:r>
      <w:r>
        <w:t xml:space="preserve">(from point layers): IDW, Thiessen polygons, trend surfaces, splines, kriging.</w:t>
      </w:r>
    </w:p>
    <w:p>
      <w:pPr>
        <w:pStyle w:val="Heading2"/>
      </w:pPr>
      <w:r>
        <w:t xml:space="preserve">11.3 Multi-Layer Operations: Overlay</w:t>
      </w:r>
    </w:p>
    <w:p>
      <w:pPr>
        <w:pStyle w:val="FirstParagraph"/>
      </w:pPr>
      <w:r>
        <w:rPr>
          <w:bCs/>
          <w:b/>
        </w:rPr>
        <w:t xml:space="preserve">Topological overlay</w:t>
      </w:r>
      <w:r>
        <w:t xml:space="preserve"> </w:t>
      </w:r>
      <w:r>
        <w:t xml:space="preserve">combines features from two or more layers into a new layer whose attributes come from both. It yields information that was in neither input.</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Overlay type</w:t>
            </w:r>
          </w:p>
        </w:tc>
        <w:tc>
          <w:tcPr/>
          <w:p>
            <w:pPr>
              <w:pStyle w:val="Compact"/>
              <w:jc w:val="left"/>
            </w:pPr>
            <w:r>
              <w:t xml:space="preserve">Output</w:t>
            </w:r>
          </w:p>
        </w:tc>
        <w:tc>
          <w:tcPr/>
          <w:p>
            <w:pPr>
              <w:pStyle w:val="Compact"/>
              <w:jc w:val="left"/>
            </w:pPr>
            <w:r>
              <w:t xml:space="preserve">Notes</w:t>
            </w:r>
          </w:p>
        </w:tc>
      </w:tr>
      <w:tr>
        <w:tc>
          <w:tcPr/>
          <w:p>
            <w:pPr>
              <w:pStyle w:val="Compact"/>
              <w:jc w:val="left"/>
            </w:pPr>
            <w:r>
              <w:rPr>
                <w:bCs/>
                <w:b/>
              </w:rPr>
              <w:t xml:space="preserve">Polygon-in-polygon</w:t>
            </w:r>
          </w:p>
        </w:tc>
        <w:tc>
          <w:tcPr/>
          <w:p>
            <w:pPr>
              <w:pStyle w:val="Compact"/>
              <w:jc w:val="left"/>
            </w:pPr>
            <w:r>
              <w:t xml:space="preserve">Polygon layer</w:t>
            </w:r>
          </w:p>
        </w:tc>
        <w:tc>
          <w:tcPr/>
          <w:p>
            <w:pPr>
              <w:pStyle w:val="Compact"/>
              <w:jc w:val="left"/>
            </w:pPr>
            <w:r>
              <w:t xml:space="preserve">Layers overlaid two at a time; no limit on the number of layers; a new attribute table is created for every new polygon</w:t>
            </w:r>
          </w:p>
        </w:tc>
      </w:tr>
      <w:tr>
        <w:tc>
          <w:tcPr/>
          <w:p>
            <w:pPr>
              <w:pStyle w:val="Compact"/>
              <w:jc w:val="left"/>
            </w:pPr>
            <w:r>
              <w:rPr>
                <w:bCs/>
                <w:b/>
              </w:rPr>
              <w:t xml:space="preserve">Line-in-polygon</w:t>
            </w:r>
          </w:p>
        </w:tc>
        <w:tc>
          <w:tcPr/>
          <w:p>
            <w:pPr>
              <w:pStyle w:val="Compact"/>
              <w:jc w:val="left"/>
            </w:pPr>
            <w:r>
              <w:t xml:space="preserve">Line layer with polygon attributes</w:t>
            </w:r>
          </w:p>
        </w:tc>
        <w:tc>
          <w:tcPr/>
          <w:p>
            <w:pPr>
              <w:pStyle w:val="Compact"/>
              <w:jc w:val="left"/>
            </w:pPr>
            <w:r>
              <w:t xml:space="preserve">No polygon boundaries copied; new arc–node topology (e.g. road segments by district)</w:t>
            </w:r>
          </w:p>
        </w:tc>
      </w:tr>
      <w:tr>
        <w:tc>
          <w:tcPr/>
          <w:p>
            <w:pPr>
              <w:pStyle w:val="Compact"/>
              <w:jc w:val="left"/>
            </w:pPr>
            <w:r>
              <w:rPr>
                <w:bCs/>
                <w:b/>
              </w:rPr>
              <w:t xml:space="preserve">Point-in-polygon</w:t>
            </w:r>
          </w:p>
        </w:tc>
        <w:tc>
          <w:tcPr/>
          <w:p>
            <w:pPr>
              <w:pStyle w:val="Compact"/>
              <w:jc w:val="left"/>
            </w:pPr>
            <w:r>
              <w:t xml:space="preserve">Point layer with polygon attributes</w:t>
            </w:r>
          </w:p>
        </w:tc>
        <w:tc>
          <w:tcPr/>
          <w:p>
            <w:pPr>
              <w:pStyle w:val="Compact"/>
              <w:jc w:val="left"/>
            </w:pPr>
            <w:r>
              <w:t xml:space="preserve">No new points created (e.g. which soil unit each well lies in)</w:t>
            </w:r>
          </w:p>
        </w:tc>
      </w:tr>
    </w:tbl>
    <w:p>
      <w:pPr>
        <w:pStyle w:val="Heading3"/>
      </w:pPr>
      <w:r>
        <w:t xml:space="preserve">11.3.1 Boolean logic in overlay</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w:t>
            </w:r>
          </w:p>
        </w:tc>
        <w:tc>
          <w:tcPr/>
          <w:p>
            <w:pPr>
              <w:pStyle w:val="Compact"/>
              <w:jc w:val="left"/>
            </w:pPr>
            <w:r>
              <w:t xml:space="preserve">B</w:t>
            </w:r>
          </w:p>
        </w:tc>
        <w:tc>
          <w:tcPr/>
          <w:p>
            <w:pPr>
              <w:pStyle w:val="Compact"/>
              <w:jc w:val="left"/>
            </w:pPr>
            <w:r>
              <w:t xml:space="preserve">A AND B</w:t>
            </w:r>
          </w:p>
        </w:tc>
        <w:tc>
          <w:tcPr/>
          <w:p>
            <w:pPr>
              <w:pStyle w:val="Compact"/>
              <w:jc w:val="left"/>
            </w:pPr>
            <w:r>
              <w:t xml:space="preserve">A OR B</w:t>
            </w:r>
          </w:p>
        </w:tc>
        <w:tc>
          <w:tcPr/>
          <w:p>
            <w:pPr>
              <w:pStyle w:val="Compact"/>
              <w:jc w:val="left"/>
            </w:pPr>
            <w:r>
              <w:t xml:space="preserve">A NOT B</w:t>
            </w:r>
          </w:p>
        </w:tc>
        <w:tc>
          <w:tcPr/>
          <w:p>
            <w:pPr>
              <w:pStyle w:val="Compact"/>
              <w:jc w:val="left"/>
            </w:pPr>
            <w:r>
              <w:t xml:space="preserve">A XOR B</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bl>
    <w:p>
      <w:pPr>
        <w:pStyle w:val="Heading3"/>
      </w:pPr>
      <w:r>
        <w:t xml:space="preserve">11.3.2 Vector overlay operations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Boolean</w:t>
            </w:r>
          </w:p>
        </w:tc>
        <w:tc>
          <w:tcPr/>
          <w:p>
            <w:pPr>
              <w:pStyle w:val="Compact"/>
              <w:jc w:val="left"/>
            </w:pPr>
            <w:r>
              <w:t xml:space="preserve">Result keeps</w:t>
            </w:r>
          </w:p>
        </w:tc>
      </w:tr>
      <w:tr>
        <w:tc>
          <w:tcPr/>
          <w:p>
            <w:pPr>
              <w:pStyle w:val="Compact"/>
              <w:jc w:val="left"/>
            </w:pPr>
            <w:r>
              <w:rPr>
                <w:bCs/>
                <w:b/>
              </w:rPr>
              <w:t xml:space="preserve">Intersect</w:t>
            </w:r>
          </w:p>
        </w:tc>
        <w:tc>
          <w:tcPr/>
          <w:p>
            <w:pPr>
              <w:pStyle w:val="Compact"/>
              <w:jc w:val="left"/>
            </w:pPr>
            <w:r>
              <w:t xml:space="preserve">AND</w:t>
            </w:r>
          </w:p>
        </w:tc>
        <w:tc>
          <w:tcPr/>
          <w:p>
            <w:pPr>
              <w:pStyle w:val="Compact"/>
              <w:jc w:val="left"/>
            </w:pPr>
            <w:r>
              <w:t xml:space="preserve">Only areas common to both layers, with attributes of both</w:t>
            </w:r>
          </w:p>
        </w:tc>
      </w:tr>
      <w:tr>
        <w:tc>
          <w:tcPr/>
          <w:p>
            <w:pPr>
              <w:pStyle w:val="Compact"/>
              <w:jc w:val="left"/>
            </w:pPr>
            <w:r>
              <w:rPr>
                <w:bCs/>
                <w:b/>
              </w:rPr>
              <w:t xml:space="preserve">Union</w:t>
            </w:r>
          </w:p>
        </w:tc>
        <w:tc>
          <w:tcPr/>
          <w:p>
            <w:pPr>
              <w:pStyle w:val="Compact"/>
              <w:jc w:val="left"/>
            </w:pPr>
            <w:r>
              <w:t xml:space="preserve">OR</w:t>
            </w:r>
          </w:p>
        </w:tc>
        <w:tc>
          <w:tcPr/>
          <w:p>
            <w:pPr>
              <w:pStyle w:val="Compact"/>
              <w:jc w:val="left"/>
            </w:pPr>
            <w:r>
              <w:t xml:space="preserve">All areas of both layers, with attributes of both</w:t>
            </w:r>
          </w:p>
        </w:tc>
      </w:tr>
      <w:tr>
        <w:tc>
          <w:tcPr/>
          <w:p>
            <w:pPr>
              <w:pStyle w:val="Compact"/>
              <w:jc w:val="left"/>
            </w:pPr>
            <w:r>
              <w:rPr>
                <w:bCs/>
                <w:b/>
              </w:rPr>
              <w:t xml:space="preserve">Identity</w:t>
            </w:r>
          </w:p>
        </w:tc>
        <w:tc>
          <w:tcPr/>
          <w:p>
            <w:pPr>
              <w:pStyle w:val="Compact"/>
              <w:jc w:val="left"/>
            </w:pPr>
            <w:r>
              <w:t xml:space="preserve">—</w:t>
            </w:r>
          </w:p>
        </w:tc>
        <w:tc>
          <w:tcPr/>
          <w:p>
            <w:pPr>
              <w:pStyle w:val="Compact"/>
              <w:jc w:val="left"/>
            </w:pPr>
            <w:r>
              <w:t xml:space="preserve">All of the input layer, split by and attributed with the identity layer</w:t>
            </w:r>
          </w:p>
        </w:tc>
      </w:tr>
      <w:tr>
        <w:tc>
          <w:tcPr/>
          <w:p>
            <w:pPr>
              <w:pStyle w:val="Compact"/>
              <w:jc w:val="left"/>
            </w:pPr>
            <w:r>
              <w:rPr>
                <w:bCs/>
                <w:b/>
              </w:rPr>
              <w:t xml:space="preserve">Clip</w:t>
            </w:r>
          </w:p>
        </w:tc>
        <w:tc>
          <w:tcPr/>
          <w:p>
            <w:pPr>
              <w:pStyle w:val="Compact"/>
              <w:jc w:val="left"/>
            </w:pPr>
            <w:r>
              <w:t xml:space="preserve">(AND, geometry only)</w:t>
            </w:r>
          </w:p>
        </w:tc>
        <w:tc>
          <w:tcPr/>
          <w:p>
            <w:pPr>
              <w:pStyle w:val="Compact"/>
              <w:jc w:val="left"/>
            </w:pPr>
            <w:r>
              <w:t xml:space="preserve">Input features inside the clip layer, with input attributes only</w:t>
            </w:r>
          </w:p>
        </w:tc>
      </w:tr>
      <w:tr>
        <w:tc>
          <w:tcPr/>
          <w:p>
            <w:pPr>
              <w:pStyle w:val="Compact"/>
              <w:jc w:val="left"/>
            </w:pPr>
            <w:r>
              <w:rPr>
                <w:bCs/>
                <w:b/>
              </w:rPr>
              <w:t xml:space="preserve">Erase</w:t>
            </w:r>
          </w:p>
        </w:tc>
        <w:tc>
          <w:tcPr/>
          <w:p>
            <w:pPr>
              <w:pStyle w:val="Compact"/>
              <w:jc w:val="left"/>
            </w:pPr>
            <w:r>
              <w:t xml:space="preserve">NOT</w:t>
            </w:r>
          </w:p>
        </w:tc>
        <w:tc>
          <w:tcPr/>
          <w:p>
            <w:pPr>
              <w:pStyle w:val="Compact"/>
              <w:jc w:val="left"/>
            </w:pPr>
            <w:r>
              <w:t xml:space="preserve">Input features outside the erase layer</w:t>
            </w:r>
          </w:p>
        </w:tc>
      </w:tr>
      <w:tr>
        <w:tc>
          <w:tcPr/>
          <w:p>
            <w:pPr>
              <w:pStyle w:val="Compact"/>
              <w:jc w:val="left"/>
            </w:pPr>
            <w:r>
              <w:rPr>
                <w:bCs/>
                <w:b/>
              </w:rPr>
              <w:t xml:space="preserve">Split</w:t>
            </w:r>
          </w:p>
        </w:tc>
        <w:tc>
          <w:tcPr/>
          <w:p>
            <w:pPr>
              <w:pStyle w:val="Compact"/>
              <w:jc w:val="left"/>
            </w:pPr>
            <w:r>
              <w:t xml:space="preserve">—</w:t>
            </w:r>
          </w:p>
        </w:tc>
        <w:tc>
          <w:tcPr/>
          <w:p>
            <w:pPr>
              <w:pStyle w:val="Compact"/>
              <w:jc w:val="left"/>
            </w:pPr>
            <w:r>
              <w:t xml:space="preserve">Input divided into separate outputs by zones</w:t>
            </w:r>
          </w:p>
        </w:tc>
      </w:tr>
      <w:tr>
        <w:tc>
          <w:tcPr/>
          <w:p>
            <w:pPr>
              <w:pStyle w:val="Compact"/>
              <w:jc w:val="left"/>
            </w:pPr>
            <w:r>
              <w:rPr>
                <w:bCs/>
                <w:b/>
              </w:rPr>
              <w:t xml:space="preserve">Symmetrical difference</w:t>
            </w:r>
          </w:p>
        </w:tc>
        <w:tc>
          <w:tcPr/>
          <w:p>
            <w:pPr>
              <w:pStyle w:val="Compact"/>
              <w:jc w:val="left"/>
            </w:pPr>
            <w:r>
              <w:t xml:space="preserve">XOR</w:t>
            </w:r>
          </w:p>
        </w:tc>
        <w:tc>
          <w:tcPr/>
          <w:p>
            <w:pPr>
              <w:pStyle w:val="Compact"/>
              <w:jc w:val="left"/>
            </w:pPr>
            <w:r>
              <w:t xml:space="preserve">Areas in one layer but not both</w:t>
            </w:r>
          </w:p>
        </w:tc>
      </w:tr>
    </w:tbl>
    <w:p>
      <w:pPr>
        <w:pStyle w:val="BodyText"/>
      </w:pPr>
      <w:r>
        <w:rPr>
          <w:bCs/>
          <w:b/>
        </w:rPr>
        <w:t xml:space="preserve">Weighted overlay / index overlay (multi-criteria evaluation):</w:t>
      </w:r>
    </w:p>
    <w:p>
      <w:pPr>
        <w:pStyle w:val="BodyText"/>
      </w:pPr>
      <m:oMathPara>
        <m:oMathParaPr>
          <m:jc m:val="center"/>
        </m:oMathParaPr>
        <m:oMath>
          <m:r>
            <m:t>S</m:t>
          </m:r>
          <m:r>
            <m:rPr>
              <m:sty m:val="p"/>
            </m:rPr>
            <m:t>=</m:t>
          </m:r>
          <m:f>
            <m:fPr>
              <m:type m:val="bar"/>
            </m:fPr>
            <m:num>
              <m:nary>
                <m:naryPr>
                  <m:chr m:val="∑"/>
                  <m:limLoc m:val="undOvr"/>
                  <m:subHide m:val="off"/>
                  <m:supHide m:val="on"/>
                </m:naryPr>
                <m:sub>
                  <m:r>
                    <m:t>i</m:t>
                  </m:r>
                </m:sub>
                <m:sup>
                  <m:r>
                    <m:t>​</m:t>
                  </m:r>
                </m:sup>
                <m:e>
                  <m:sSub>
                    <m:e>
                      <m:r>
                        <m:t>W</m:t>
                      </m:r>
                    </m:e>
                    <m:sub>
                      <m:r>
                        <m:t>i</m:t>
                      </m:r>
                    </m:sub>
                  </m:sSub>
                </m:e>
              </m:nary>
              <m:r>
                <m:t> </m:t>
              </m:r>
              <m:sSub>
                <m:e>
                  <m:r>
                    <m:t>S</m:t>
                  </m:r>
                </m:e>
                <m:sub>
                  <m:r>
                    <m:t>i</m:t>
                  </m:r>
                  <m:r>
                    <m:t>j</m:t>
                  </m:r>
                </m:sub>
              </m:sSub>
            </m:num>
            <m:den>
              <m:nary>
                <m:naryPr>
                  <m:chr m:val="∑"/>
                  <m:limLoc m:val="undOvr"/>
                  <m:subHide m:val="off"/>
                  <m:supHide m:val="on"/>
                </m:naryPr>
                <m:sub>
                  <m:r>
                    <m:t>i</m:t>
                  </m:r>
                </m:sub>
                <m:sup>
                  <m:r>
                    <m:t>​</m:t>
                  </m:r>
                </m:sup>
                <m:e>
                  <m:sSub>
                    <m:e>
                      <m:r>
                        <m:t>W</m:t>
                      </m:r>
                    </m:e>
                    <m:sub>
                      <m:r>
                        <m:t>i</m:t>
                      </m:r>
                    </m:sub>
                  </m:sSub>
                </m:e>
              </m:nary>
            </m:den>
          </m:f>
        </m:oMath>
      </m:oMathPara>
    </w:p>
    <w:p>
      <w:pPr>
        <w:pStyle w:val="FirstParagraph"/>
      </w:pPr>
      <w:r>
        <w:t xml:space="preserve">where</w:t>
      </w:r>
      <w:r>
        <w:t xml:space="preserve"> </w:t>
      </w:r>
      <m:oMath>
        <m:sSub>
          <m:e>
            <m:r>
              <m:t>S</m:t>
            </m:r>
          </m:e>
          <m:sub>
            <m:r>
              <m:t>i</m:t>
            </m:r>
            <m:r>
              <m:t>j</m:t>
            </m:r>
          </m:sub>
        </m:sSub>
      </m:oMath>
      <w:r>
        <w:t xml:space="preserve"> </w:t>
      </w:r>
      <w:r>
        <w:t xml:space="preserve">is the score of class</w:t>
      </w:r>
      <w:r>
        <w:t xml:space="preserve"> </w:t>
      </w:r>
      <m:oMath>
        <m:r>
          <m:t>j</m:t>
        </m:r>
      </m:oMath>
      <w:r>
        <w:t xml:space="preserve"> </w:t>
      </w:r>
      <w:r>
        <w:t xml:space="preserve">in layer</w:t>
      </w:r>
      <w:r>
        <w:t xml:space="preserve"> </w:t>
      </w:r>
      <m:oMath>
        <m:r>
          <m:t>i</m:t>
        </m:r>
      </m:oMath>
      <w:r>
        <w:t xml:space="preserve"> </w:t>
      </w:r>
      <w:r>
        <w:t xml:space="preserve">and</w:t>
      </w:r>
      <w:r>
        <w:t xml:space="preserve"> </w:t>
      </w:r>
      <m:oMath>
        <m:sSub>
          <m:e>
            <m:r>
              <m:t>W</m:t>
            </m:r>
          </m:e>
          <m:sub>
            <m:r>
              <m:t>i</m:t>
            </m:r>
          </m:sub>
        </m:sSub>
      </m:oMath>
      <w:r>
        <w:t xml:space="preserve"> </w:t>
      </w:r>
      <w:r>
        <w:t xml:space="preserve">the layer weight. Weights can come from expert opinion or from the</w:t>
      </w:r>
      <w:r>
        <w:t xml:space="preserve"> </w:t>
      </w:r>
      <w:r>
        <w:rPr>
          <w:bCs/>
          <w:b/>
        </w:rPr>
        <w:t xml:space="preserve">Analytic Hierarchy Process (AHP)</w:t>
      </w:r>
      <w:r>
        <w:t xml:space="preserve">, which uses pairwise comparison matrices with a consistency ratio below 0.1. This is used for land suitability, fire risk, groundwater prospects and erosion risk.</w:t>
      </w:r>
    </w:p>
    <w:p>
      <w:pPr>
        <w:pStyle w:val="Heading2"/>
      </w:pPr>
      <w:r>
        <w:t xml:space="preserve">11.4 Raster Analysis and Map Algebra</w:t>
      </w:r>
    </w:p>
    <w:p>
      <w:pPr>
        <w:pStyle w:val="FirstParagraph"/>
      </w:pPr>
      <w:r>
        <w:t xml:space="preserve">In a raster, geographic units are equal-sized cells referenced by row and column. Every cell must hold a value (integer or floating point). A</w:t>
      </w:r>
      <w:r>
        <w:t xml:space="preserve"> </w:t>
      </w:r>
      <w:r>
        <w:rPr>
          <w:bCs/>
          <w:b/>
        </w:rPr>
        <w:t xml:space="preserve">NoData</w:t>
      </w:r>
      <w:r>
        <w:t xml:space="preserve"> </w:t>
      </w:r>
      <w:r>
        <w:t xml:space="preserve">cell is different from a cell holding zero, because zero is data.</w:t>
      </w:r>
    </w:p>
    <w:p>
      <w:pPr>
        <w:pStyle w:val="BodyText"/>
      </w:pPr>
      <w:r>
        <w:rPr>
          <w:bCs/>
          <w:b/>
        </w:rPr>
        <w:t xml:space="preserve">Advantages of raster analysis:</w:t>
      </w:r>
      <w:r>
        <w:t xml:space="preserve"> </w:t>
      </w:r>
      <w:r>
        <w:t xml:space="preserve">efficient multi-layer processing; numerous data sources (images, scanned photos, DEMs); point, line and area features can coexist in one layer as different values.</w:t>
      </w:r>
    </w:p>
    <w:p>
      <w:pPr>
        <w:pStyle w:val="BodyText"/>
      </w:pPr>
      <w:r>
        <w:rPr>
          <w:bCs/>
          <w:b/>
        </w:rPr>
        <w:t xml:space="preserve">Disadvantages:</w:t>
      </w:r>
      <w:r>
        <w:t xml:space="preserve"> </w:t>
      </w:r>
      <w:r>
        <w:t xml:space="preserve">redundancy (every cell stored, and compressed data must be decompressed to process); resolution dependence (spatial statistics change with cell size, the</w:t>
      </w:r>
      <w:r>
        <w:t xml:space="preserve"> </w:t>
      </w:r>
      <w:r>
        <w:rPr>
          <w:bCs/>
          <w:b/>
        </w:rPr>
        <w:t xml:space="preserve">modifiable areal unit / scale problem</w:t>
      </w:r>
      <w:r>
        <w:t xml:space="preserve">); and different cell-value assignment rules (centre-of-cell, dominant area, most important class) give different patterns.</w:t>
      </w:r>
    </w:p>
    <w:p>
      <w:pPr>
        <w:pStyle w:val="BodyText"/>
      </w:pPr>
      <w:r>
        <w:rPr>
          <w:bCs/>
          <w:b/>
        </w:rPr>
        <w:t xml:space="preserve">Map algebra</w:t>
      </w:r>
      <w:r>
        <w:t xml:space="preserve"> </w:t>
      </w:r>
      <w:r>
        <w:t xml:space="preserve">(C. Dana Tomlin’s cartographic modelling language) treats layers as variables in algebraic expressions. Its four function classes: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Output cell depends on</w:t>
            </w:r>
          </w:p>
        </w:tc>
        <w:tc>
          <w:tcPr/>
          <w:p>
            <w:pPr>
              <w:pStyle w:val="Compact"/>
              <w:jc w:val="left"/>
            </w:pPr>
            <w:r>
              <w:t xml:space="preserve">Examples</w:t>
            </w:r>
          </w:p>
        </w:tc>
      </w:tr>
      <w:tr>
        <w:tc>
          <w:tcPr/>
          <w:p>
            <w:pPr>
              <w:pStyle w:val="Compact"/>
              <w:jc w:val="left"/>
            </w:pPr>
            <w:r>
              <w:rPr>
                <w:bCs/>
                <w:b/>
              </w:rPr>
              <w:t xml:space="preserve">Local</w:t>
            </w:r>
          </w:p>
        </w:tc>
        <w:tc>
          <w:tcPr/>
          <w:p>
            <w:pPr>
              <w:pStyle w:val="Compact"/>
              <w:jc w:val="left"/>
            </w:pPr>
            <w:r>
              <w:t xml:space="preserve">The value(s) of the</w:t>
            </w:r>
            <w:r>
              <w:t xml:space="preserve"> </w:t>
            </w:r>
            <w:r>
              <w:rPr>
                <w:iCs/>
                <w:i/>
              </w:rPr>
              <w:t xml:space="preserve">same cell</w:t>
            </w:r>
            <w:r>
              <w:t xml:space="preserve"> </w:t>
            </w:r>
            <w:r>
              <w:t xml:space="preserve">in one or more input layers</w:t>
            </w:r>
          </w:p>
        </w:tc>
        <w:tc>
          <w:tcPr/>
          <w:p>
            <w:pPr>
              <w:pStyle w:val="Compact"/>
              <w:jc w:val="left"/>
            </w:pPr>
            <w:r>
              <w:t xml:space="preserve">Multiply a grid by 3; add layers; NDVI = (NIR − R)/(NIR + R); reclassify; log, trig and logical expressions; RUSLE A = R·K·LS·C·P</w:t>
            </w:r>
          </w:p>
        </w:tc>
      </w:tr>
      <w:tr>
        <w:tc>
          <w:tcPr/>
          <w:p>
            <w:pPr>
              <w:pStyle w:val="Compact"/>
              <w:jc w:val="left"/>
            </w:pPr>
            <w:r>
              <w:rPr>
                <w:bCs/>
                <w:b/>
              </w:rPr>
              <w:t xml:space="preserve">Focal (neighbourhood)</w:t>
            </w:r>
          </w:p>
        </w:tc>
        <w:tc>
          <w:tcPr/>
          <w:p>
            <w:pPr>
              <w:pStyle w:val="Compact"/>
              <w:jc w:val="left"/>
            </w:pPr>
            <w:r>
              <w:t xml:space="preserve">Values within a</w:t>
            </w:r>
            <w:r>
              <w:t xml:space="preserve"> </w:t>
            </w:r>
            <w:r>
              <w:rPr>
                <w:bCs/>
                <w:b/>
              </w:rPr>
              <w:t xml:space="preserve">neighbourhood</w:t>
            </w:r>
            <w:r>
              <w:t xml:space="preserve"> </w:t>
            </w:r>
            <w:r>
              <w:t xml:space="preserve">(window) of each cell</w:t>
            </w:r>
          </w:p>
        </w:tc>
        <w:tc>
          <w:tcPr/>
          <w:p>
            <w:pPr>
              <w:pStyle w:val="Compact"/>
              <w:jc w:val="left"/>
            </w:pPr>
            <w:r>
              <w:t xml:space="preserve">Focal sum, mean (moving average, smoothing), max, min, SD, range; slope and aspect from a DEM</w:t>
            </w:r>
          </w:p>
        </w:tc>
      </w:tr>
      <w:tr>
        <w:tc>
          <w:tcPr/>
          <w:p>
            <w:pPr>
              <w:pStyle w:val="Compact"/>
              <w:jc w:val="left"/>
            </w:pPr>
            <w:r>
              <w:rPr>
                <w:bCs/>
                <w:b/>
              </w:rPr>
              <w:t xml:space="preserve">Zonal</w:t>
            </w:r>
          </w:p>
        </w:tc>
        <w:tc>
          <w:tcPr/>
          <w:p>
            <w:pPr>
              <w:pStyle w:val="Compact"/>
              <w:jc w:val="left"/>
            </w:pPr>
            <w:r>
              <w:t xml:space="preserve">All cells belonging to the same</w:t>
            </w:r>
            <w:r>
              <w:t xml:space="preserve"> </w:t>
            </w:r>
            <w:r>
              <w:rPr>
                <w:bCs/>
                <w:b/>
              </w:rPr>
              <w:t xml:space="preserve">zone</w:t>
            </w:r>
            <w:r>
              <w:t xml:space="preserve"> </w:t>
            </w:r>
            <w:r>
              <w:t xml:space="preserve">(defined in a zone grid)</w:t>
            </w:r>
          </w:p>
        </w:tc>
        <w:tc>
          <w:tcPr/>
          <w:p>
            <w:pPr>
              <w:pStyle w:val="Compact"/>
              <w:jc w:val="left"/>
            </w:pPr>
            <w:r>
              <w:t xml:space="preserve">Zonal mean NDVI per district; zonal max; zonal sum; zonal area and perimeter</w:t>
            </w:r>
          </w:p>
        </w:tc>
      </w:tr>
      <w:tr>
        <w:tc>
          <w:tcPr/>
          <w:p>
            <w:pPr>
              <w:pStyle w:val="Compact"/>
              <w:jc w:val="left"/>
            </w:pPr>
            <w:r>
              <w:rPr>
                <w:bCs/>
                <w:b/>
              </w:rPr>
              <w:t xml:space="preserve">Global</w:t>
            </w:r>
          </w:p>
        </w:tc>
        <w:tc>
          <w:tcPr/>
          <w:p>
            <w:pPr>
              <w:pStyle w:val="Compact"/>
              <w:jc w:val="left"/>
            </w:pPr>
            <w:r>
              <w:t xml:space="preserve">The</w:t>
            </w:r>
            <w:r>
              <w:t xml:space="preserve"> </w:t>
            </w:r>
            <w:r>
              <w:rPr>
                <w:bCs/>
                <w:b/>
              </w:rPr>
              <w:t xml:space="preserve">entire grid</w:t>
            </w:r>
          </w:p>
        </w:tc>
        <w:tc>
          <w:tcPr/>
          <w:p>
            <w:pPr>
              <w:pStyle w:val="Compact"/>
              <w:jc w:val="left"/>
            </w:pPr>
            <w:r>
              <w:t xml:space="preserve">Euclidean distance from source cells; cost distance; viewshed; flow accumulation</w:t>
            </w:r>
          </w:p>
        </w:tc>
      </w:tr>
    </w:tbl>
    <w:p>
      <w:pPr>
        <w:pStyle w:val="BodyText"/>
      </w:pPr>
      <w:r>
        <w:rPr>
          <w:bCs/>
          <w:b/>
        </w:rPr>
        <w:t xml:space="preserve">Worked focal example.</w:t>
      </w:r>
      <w:r>
        <w:t xml:space="preserve"> </w:t>
      </w:r>
      <w:r>
        <w:t xml:space="preserve">With a 3×3</w:t>
      </w:r>
      <w:r>
        <w:t xml:space="preserve"> </w:t>
      </w:r>
      <w:r>
        <w:rPr>
          <w:iCs/>
          <w:i/>
        </w:rPr>
        <w:t xml:space="preserve">focal sum</w:t>
      </w:r>
      <w:r>
        <w:t xml:space="preserve">, an interior cell’s value becomes the sum of its nine neighbourhood values. At the corner the kernel shrinks to 2×2, so the sum of four values (e.g. 2+0+2+3 = 7) is used. The</w:t>
      </w:r>
      <w:r>
        <w:t xml:space="preserve"> </w:t>
      </w:r>
      <w:r>
        <w:rPr>
          <w:iCs/>
          <w:i/>
        </w:rPr>
        <w:t xml:space="preserve">focal mean</w:t>
      </w:r>
      <w:r>
        <w:t xml:space="preserve"> </w:t>
      </w:r>
      <w:r>
        <w:t xml:space="preserve">gives a moving average.</w:t>
      </w:r>
    </w:p>
    <w:p>
      <w:pPr>
        <w:pStyle w:val="BodyText"/>
      </w:pPr>
      <w:r>
        <w:rPr>
          <w:bCs/>
          <w:b/>
        </w:rPr>
        <w:t xml:space="preserve">Worked zonal example.</w:t>
      </w:r>
      <w:r>
        <w:t xml:space="preserve"> </w:t>
      </w:r>
      <w:r>
        <w:t xml:space="preserve">A zone grid with three zones (1, 2, 3) and a value grid.</w:t>
      </w:r>
      <w:r>
        <w:t xml:space="preserve"> </w:t>
      </w:r>
      <w:r>
        <w:rPr>
          <w:iCs/>
          <w:i/>
        </w:rPr>
        <w:t xml:space="preserve">Zonal maximum</w:t>
      </w:r>
      <w:r>
        <w:t xml:space="preserve"> </w:t>
      </w:r>
      <w:r>
        <w:t xml:space="preserve">writes, into every cell of zone 1, the maximum of the value-grid cells falling in zone 1, wherever they are. Zones need not be contiguous.</w:t>
      </w:r>
    </w:p>
    <w:p>
      <w:pPr>
        <w:pStyle w:val="Heading3"/>
      </w:pPr>
      <w:r>
        <w:t xml:space="preserve">11.4.1 Distance, cost and path analysis</w:t>
      </w:r>
    </w:p>
    <w:p>
      <w:pPr>
        <w:pStyle w:val="Compact"/>
        <w:numPr>
          <w:ilvl w:val="0"/>
          <w:numId w:val="1085"/>
        </w:numPr>
      </w:pPr>
      <w:r>
        <w:rPr>
          <w:bCs/>
          <w:b/>
        </w:rPr>
        <w:t xml:space="preserve">Euclidean distance:</w:t>
      </w:r>
      <w:r>
        <w:t xml:space="preserve"> </w:t>
      </w:r>
      <w:r>
        <w:t xml:space="preserve">distance from each cell to the nearest source cell. Orthogonal neighbours are one cell apart and diagonal neighbours</w:t>
      </w:r>
      <w:r>
        <w:t xml:space="preserve"> </w:t>
      </w:r>
      <m:oMath>
        <m:rad>
          <m:radPr>
            <m:degHide m:val="on"/>
          </m:radPr>
          <m:deg/>
          <m:e>
            <m:r>
              <m:t>2</m:t>
            </m:r>
          </m:e>
        </m:rad>
      </m:oMath>
      <w:r>
        <w:t xml:space="preserve"> </w:t>
      </w:r>
      <w:r>
        <w:t xml:space="preserve">cell sizes.</w:t>
      </w:r>
    </w:p>
    <w:p>
      <w:pPr>
        <w:pStyle w:val="Compact"/>
        <w:numPr>
          <w:ilvl w:val="0"/>
          <w:numId w:val="1085"/>
        </w:numPr>
      </w:pPr>
      <w:r>
        <w:rPr>
          <w:bCs/>
          <w:b/>
        </w:rPr>
        <w:t xml:space="preserve">Cost distance:</w:t>
      </w:r>
      <w:r>
        <w:t xml:space="preserve"> </w:t>
      </w:r>
      <w:r>
        <w:t xml:space="preserve">accumulated travel cost through a</w:t>
      </w:r>
      <w:r>
        <w:t xml:space="preserve"> </w:t>
      </w:r>
      <w:r>
        <w:rPr>
          <w:bCs/>
          <w:b/>
        </w:rPr>
        <w:t xml:space="preserve">cost (friction) surface</w:t>
      </w:r>
      <w:r>
        <w:t xml:space="preserve">. Moving from one cell to an orthogonal neighbour costs ½(cost₁ + cost₂) × cell size, and diagonal moves use ×</w:t>
      </w:r>
      <w:r>
        <w:t xml:space="preserve"> </w:t>
      </w:r>
      <m:oMath>
        <m:rad>
          <m:radPr>
            <m:degHide m:val="on"/>
          </m:radPr>
          <m:deg/>
          <m:e>
            <m:r>
              <m:t>2</m:t>
            </m:r>
          </m:e>
        </m:rad>
      </m:oMath>
      <w:r>
        <w:t xml:space="preserve">.</w:t>
      </w:r>
    </w:p>
    <w:p>
      <w:pPr>
        <w:pStyle w:val="Compact"/>
        <w:numPr>
          <w:ilvl w:val="0"/>
          <w:numId w:val="1085"/>
        </w:numPr>
      </w:pPr>
      <w:r>
        <w:rPr>
          <w:bCs/>
          <w:b/>
        </w:rPr>
        <w:t xml:space="preserve">Cost-path / optimal path:</w:t>
      </w:r>
      <w:r>
        <w:t xml:space="preserve"> </w:t>
      </w:r>
      <w:r>
        <w:t xml:space="preserve">traces the least-accumulated-cost route back from any cell to the nearest source. It is the cheapest path, not necessarily the straightest.</w:t>
      </w:r>
    </w:p>
    <w:p>
      <w:pPr>
        <w:pStyle w:val="Compact"/>
        <w:numPr>
          <w:ilvl w:val="0"/>
          <w:numId w:val="1085"/>
        </w:numPr>
      </w:pPr>
      <w:r>
        <w:rPr>
          <w:bCs/>
          <w:b/>
        </w:rPr>
        <w:t xml:space="preserve">Proximity search:</w:t>
      </w:r>
      <w:r>
        <w:t xml:space="preserve"> </w:t>
      </w:r>
      <w:r>
        <w:t xml:space="preserve">finding cells of a target value within a distance or number of cells of origin cells.</w:t>
      </w:r>
    </w:p>
    <w:p>
      <w:pPr>
        <w:pStyle w:val="Compact"/>
        <w:numPr>
          <w:ilvl w:val="0"/>
          <w:numId w:val="1085"/>
        </w:numPr>
      </w:pPr>
      <w:r>
        <w:rPr>
          <w:bCs/>
          <w:b/>
        </w:rPr>
        <w:t xml:space="preserve">Area numbering (region grouping):</w:t>
      </w:r>
      <w:r>
        <w:t xml:space="preserve"> </w:t>
      </w:r>
      <w:r>
        <w:t xml:space="preserve">labelling contiguous groups of equal-value cells using</w:t>
      </w:r>
      <w:r>
        <w:t xml:space="preserve"> </w:t>
      </w:r>
      <w:r>
        <w:rPr>
          <w:bCs/>
          <w:b/>
        </w:rPr>
        <w:t xml:space="preserve">4-connectivity</w:t>
      </w:r>
      <w:r>
        <w:t xml:space="preserve"> </w:t>
      </w:r>
      <w:r>
        <w:t xml:space="preserve">(horizontal and vertical neighbours) or</w:t>
      </w:r>
      <w:r>
        <w:t xml:space="preserve"> </w:t>
      </w:r>
      <w:r>
        <w:rPr>
          <w:bCs/>
          <w:b/>
        </w:rPr>
        <w:t xml:space="preserve">8-connectivity</w:t>
      </w:r>
      <w:r>
        <w:t xml:space="preserve"> </w:t>
      </w:r>
      <w:r>
        <w:t xml:space="preserve">(diagonals too). The two give different region counts.</w:t>
      </w:r>
    </w:p>
    <w:p>
      <w:pPr>
        <w:pStyle w:val="Heading3"/>
      </w:pPr>
      <w:r>
        <w:t xml:space="preserve">11.4.2 Grid-based modelling</w:t>
      </w:r>
    </w:p>
    <w:p>
      <w:pPr>
        <w:pStyle w:val="Compact"/>
        <w:numPr>
          <w:ilvl w:val="0"/>
          <w:numId w:val="1086"/>
        </w:numPr>
      </w:pPr>
      <w:r>
        <w:rPr>
          <w:bCs/>
          <w:b/>
        </w:rPr>
        <w:t xml:space="preserve">Diffusion modelling:</w:t>
      </w:r>
      <w:r>
        <w:t xml:space="preserve"> </w:t>
      </w:r>
      <w:r>
        <w:t xml:space="preserve">simulates spread from cell to cell at consistent rates, e.g. forest fire progression under wind and slope, disease or pest spread, innovation diffusion.</w:t>
      </w:r>
    </w:p>
    <w:p>
      <w:pPr>
        <w:pStyle w:val="Compact"/>
        <w:numPr>
          <w:ilvl w:val="0"/>
          <w:numId w:val="1086"/>
        </w:numPr>
      </w:pPr>
      <w:r>
        <w:rPr>
          <w:bCs/>
          <w:b/>
        </w:rPr>
        <w:t xml:space="preserve">Connectivity analysis:</w:t>
      </w:r>
      <w:r>
        <w:t xml:space="preserve"> </w:t>
      </w:r>
      <w:r>
        <w:t xml:space="preserve">how well habitat patches connect (wildlife corridors, forest fragmentation).</w:t>
      </w:r>
    </w:p>
    <w:p>
      <w:pPr>
        <w:pStyle w:val="Heading2"/>
      </w:pPr>
      <w:r>
        <w:t xml:space="preserve">11.5 Network Analysis</w:t>
      </w:r>
    </w:p>
    <w:p>
      <w:pPr>
        <w:pStyle w:val="FirstParagraph"/>
      </w:pPr>
      <w:r>
        <w:t xml:space="preserve">Line features organised as connected networks (roads, canals, power lines) with impedance (time, distance, cost):</w:t>
      </w:r>
    </w:p>
    <w:p>
      <w:pPr>
        <w:pStyle w:val="Compact"/>
        <w:numPr>
          <w:ilvl w:val="0"/>
          <w:numId w:val="1087"/>
        </w:numPr>
      </w:pPr>
      <w:r>
        <w:rPr>
          <w:bCs/>
          <w:b/>
        </w:rPr>
        <w:t xml:space="preserve">Shortest / optimal route</w:t>
      </w:r>
      <w:r>
        <w:t xml:space="preserve"> </w:t>
      </w:r>
      <w:r>
        <w:t xml:space="preserve">(Dijkstra’s algorithm): e.g. a delivery route linking five pickup points, or the best route to a fire.</w:t>
      </w:r>
    </w:p>
    <w:p>
      <w:pPr>
        <w:pStyle w:val="Compact"/>
        <w:numPr>
          <w:ilvl w:val="0"/>
          <w:numId w:val="1087"/>
        </w:numPr>
      </w:pPr>
      <w:r>
        <w:rPr>
          <w:bCs/>
          <w:b/>
        </w:rPr>
        <w:t xml:space="preserve">Service area / allocation:</w:t>
      </w:r>
      <w:r>
        <w:t xml:space="preserve"> </w:t>
      </w:r>
      <w:r>
        <w:t xml:space="preserve">the area reachable from a mandi or warehouse within 30 minutes.</w:t>
      </w:r>
    </w:p>
    <w:p>
      <w:pPr>
        <w:pStyle w:val="Compact"/>
        <w:numPr>
          <w:ilvl w:val="0"/>
          <w:numId w:val="1087"/>
        </w:numPr>
      </w:pPr>
      <w:r>
        <w:rPr>
          <w:bCs/>
          <w:b/>
        </w:rPr>
        <w:t xml:space="preserve">Closest facility:</w:t>
      </w:r>
      <w:r>
        <w:t xml:space="preserve"> </w:t>
      </w:r>
      <w:r>
        <w:t xml:space="preserve">the nearest veterinary hospital.</w:t>
      </w:r>
    </w:p>
    <w:p>
      <w:pPr>
        <w:pStyle w:val="Compact"/>
        <w:numPr>
          <w:ilvl w:val="0"/>
          <w:numId w:val="1087"/>
        </w:numPr>
      </w:pPr>
      <w:r>
        <w:rPr>
          <w:bCs/>
          <w:b/>
        </w:rPr>
        <w:t xml:space="preserve">Flow tracing</w:t>
      </w:r>
      <w:r>
        <w:t xml:space="preserve"> </w:t>
      </w:r>
      <w:r>
        <w:t xml:space="preserve">(upstream and downstream in stream or canal networks).</w:t>
      </w:r>
    </w:p>
    <w:p>
      <w:pPr>
        <w:pStyle w:val="Compact"/>
        <w:numPr>
          <w:ilvl w:val="0"/>
          <w:numId w:val="1087"/>
        </w:numPr>
      </w:pPr>
      <w:r>
        <w:rPr>
          <w:bCs/>
          <w:b/>
        </w:rPr>
        <w:t xml:space="preserve">Location–allocation:</w:t>
      </w:r>
      <w:r>
        <w:t xml:space="preserve"> </w:t>
      </w:r>
      <w:r>
        <w:t xml:space="preserve">optimal siting of cold storages or procurement centres.</w:t>
      </w:r>
    </w:p>
    <w:p>
      <w:pPr>
        <w:pStyle w:val="Heading2"/>
      </w:pPr>
      <w:r>
        <w:t xml:space="preserve">11.6 Surface Analysis</w:t>
      </w:r>
    </w:p>
    <w:p>
      <w:pPr>
        <w:pStyle w:val="FirstParagraph"/>
      </w:pPr>
      <w:r>
        <w:t xml:space="preserve">From DEMs or interpolated surfaces:</w:t>
      </w:r>
    </w:p>
    <w:p>
      <w:pPr>
        <w:pStyle w:val="Compact"/>
        <w:numPr>
          <w:ilvl w:val="0"/>
          <w:numId w:val="1088"/>
        </w:numPr>
      </w:pPr>
      <w:r>
        <w:rPr>
          <w:bCs/>
          <w:b/>
        </w:rPr>
        <w:t xml:space="preserve">Slope:</w:t>
      </w:r>
      <w:r>
        <w:t xml:space="preserve"> </w:t>
      </w:r>
      <m:oMath>
        <m:r>
          <m:rPr>
            <m:sty m:val="p"/>
          </m:rPr>
          <m:t>tan</m:t>
        </m:r>
        <m:r>
          <m:t>S</m:t>
        </m:r>
        <m:r>
          <m:rPr>
            <m:sty m:val="p"/>
          </m:rPr>
          <m:t>=</m:t>
        </m:r>
        <m:rad>
          <m:radPr>
            <m:degHide m:val="on"/>
          </m:radPr>
          <m:deg/>
          <m:e>
            <m:sSup>
              <m:e>
                <m:d>
                  <m:dPr>
                    <m:begChr m:val="("/>
                    <m:endChr m:val=")"/>
                    <m:sepChr m:val=""/>
                    <m:grow/>
                  </m:dPr>
                  <m:e>
                    <m:r>
                      <m:rPr>
                        <m:sty m:val="p"/>
                      </m:rPr>
                      <m:t>∂</m:t>
                    </m:r>
                    <m:r>
                      <m:t>z</m:t>
                    </m:r>
                    <m:r>
                      <m:rPr>
                        <m:sty m:val="p"/>
                      </m:rPr>
                      <m:t>/</m:t>
                    </m:r>
                    <m:r>
                      <m:rPr>
                        <m:sty m:val="p"/>
                      </m:rPr>
                      <m:t>∂</m:t>
                    </m:r>
                    <m:r>
                      <m:t>x</m:t>
                    </m:r>
                  </m:e>
                </m:d>
              </m:e>
              <m:sup>
                <m:r>
                  <m:t>2</m:t>
                </m:r>
              </m:sup>
            </m:sSup>
            <m:r>
              <m:rPr>
                <m:sty m:val="p"/>
              </m:rPr>
              <m:t>+</m:t>
            </m:r>
            <m:sSup>
              <m:e>
                <m:d>
                  <m:dPr>
                    <m:begChr m:val="("/>
                    <m:endChr m:val=")"/>
                    <m:sepChr m:val=""/>
                    <m:grow/>
                  </m:dPr>
                  <m:e>
                    <m:r>
                      <m:rPr>
                        <m:sty m:val="p"/>
                      </m:rPr>
                      <m:t>∂</m:t>
                    </m:r>
                    <m:r>
                      <m:t>z</m:t>
                    </m:r>
                    <m:r>
                      <m:rPr>
                        <m:sty m:val="p"/>
                      </m:rPr>
                      <m:t>/</m:t>
                    </m:r>
                    <m:r>
                      <m:rPr>
                        <m:sty m:val="p"/>
                      </m:rPr>
                      <m:t>∂</m:t>
                    </m:r>
                    <m:r>
                      <m:t>y</m:t>
                    </m:r>
                  </m:e>
                </m:d>
              </m:e>
              <m:sup>
                <m:r>
                  <m:t>2</m:t>
                </m:r>
              </m:sup>
            </m:sSup>
          </m:e>
        </m:rad>
      </m:oMath>
      <w:r>
        <w:t xml:space="preserve">, computed from a 3×3 window (Horn’s method).</w:t>
      </w:r>
    </w:p>
    <w:p>
      <w:pPr>
        <w:pStyle w:val="Compact"/>
        <w:numPr>
          <w:ilvl w:val="0"/>
          <w:numId w:val="1088"/>
        </w:numPr>
      </w:pPr>
      <w:r>
        <w:rPr>
          <w:bCs/>
          <w:b/>
        </w:rPr>
        <w:t xml:space="preserve">Aspect:</w:t>
      </w:r>
      <w:r>
        <w:t xml:space="preserve"> </w:t>
      </w:r>
      <w:r>
        <w:t xml:space="preserve">direction of steepest descent.</w:t>
      </w:r>
    </w:p>
    <w:p>
      <w:pPr>
        <w:pStyle w:val="Compact"/>
        <w:numPr>
          <w:ilvl w:val="0"/>
          <w:numId w:val="1088"/>
        </w:numPr>
      </w:pPr>
      <w:r>
        <w:rPr>
          <w:bCs/>
          <w:b/>
        </w:rPr>
        <w:t xml:space="preserve">Hillshade, curvature</w:t>
      </w:r>
      <w:r>
        <w:t xml:space="preserve"> </w:t>
      </w:r>
      <w:r>
        <w:t xml:space="preserve">(profile and plan),</w:t>
      </w:r>
      <w:r>
        <w:t xml:space="preserve"> </w:t>
      </w:r>
      <w:r>
        <w:rPr>
          <w:bCs/>
          <w:b/>
        </w:rPr>
        <w:t xml:space="preserve">viewshed</w:t>
      </w:r>
      <w:r>
        <w:t xml:space="preserve"> </w:t>
      </w:r>
      <w:r>
        <w:t xml:space="preserve">(visibility),</w:t>
      </w:r>
      <w:r>
        <w:t xml:space="preserve"> </w:t>
      </w:r>
      <w:r>
        <w:rPr>
          <w:bCs/>
          <w:b/>
        </w:rPr>
        <w:t xml:space="preserve">contours, cut and fill (volume)</w:t>
      </w:r>
      <w:r>
        <w:t xml:space="preserve">.</w:t>
      </w:r>
    </w:p>
    <w:p>
      <w:pPr>
        <w:pStyle w:val="Compact"/>
        <w:numPr>
          <w:ilvl w:val="0"/>
          <w:numId w:val="1088"/>
        </w:numPr>
      </w:pPr>
      <w:r>
        <w:rPr>
          <w:bCs/>
          <w:b/>
        </w:rPr>
        <w:t xml:space="preserve">Hydrological analysis:</w:t>
      </w:r>
      <w:r>
        <w:t xml:space="preserve"> </w:t>
      </w:r>
      <w:r>
        <w:t xml:space="preserve">fill sinks, then flow direction (D8), flow accumulation, stream network, watershed delineation and stream ordering (Strahler). This is fundamental for watershed prioritisation and SCS-CN runoff modelling.</w:t>
      </w:r>
    </w:p>
    <w:p>
      <w:pPr>
        <w:pStyle w:val="Heading2"/>
      </w:pPr>
      <w:r>
        <w:t xml:space="preserve">11.7 Point Pattern Analysis</w:t>
      </w:r>
    </w:p>
    <w:p>
      <w:pPr>
        <w:pStyle w:val="FirstParagraph"/>
      </w:pPr>
      <w:r>
        <w:t xml:space="preserve">Examines the spatial distribution of point events (pest sightings, wells, species records) to see whether they are</w:t>
      </w:r>
      <w:r>
        <w:t xml:space="preserve"> </w:t>
      </w:r>
      <w:r>
        <w:rPr>
          <w:bCs/>
          <w:b/>
        </w:rPr>
        <w:t xml:space="preserve">random, clustered or dispersed</w:t>
      </w:r>
      <w:r>
        <w:t xml:space="preserve">:</w:t>
      </w:r>
    </w:p>
    <w:p>
      <w:pPr>
        <w:pStyle w:val="Compact"/>
        <w:numPr>
          <w:ilvl w:val="0"/>
          <w:numId w:val="1089"/>
        </w:numPr>
      </w:pPr>
      <w:r>
        <w:rPr>
          <w:bCs/>
          <w:b/>
        </w:rPr>
        <w:t xml:space="preserve">Nearest-neighbour index:</w:t>
      </w:r>
      <w:r>
        <w:t xml:space="preserve"> </w:t>
      </w:r>
      <m:oMath>
        <m:r>
          <m:t>R</m:t>
        </m:r>
        <m:r>
          <m:rPr>
            <m:sty m:val="p"/>
          </m:rPr>
          <m:t>=</m:t>
        </m:r>
        <m:sSub>
          <m:e>
            <m:acc>
              <m:accPr>
                <m:chr m:val="‾"/>
              </m:accPr>
              <m:e>
                <m:r>
                  <m:t>d</m:t>
                </m:r>
              </m:e>
            </m:acc>
          </m:e>
          <m:sub>
            <m:r>
              <m:t>o</m:t>
            </m:r>
            <m:r>
              <m:t>b</m:t>
            </m:r>
            <m:r>
              <m:t>s</m:t>
            </m:r>
          </m:sub>
        </m:sSub>
        <m:r>
          <m:rPr>
            <m:sty m:val="p"/>
          </m:rPr>
          <m:t>/</m:t>
        </m:r>
        <m:sSub>
          <m:e>
            <m:acc>
              <m:accPr>
                <m:chr m:val="‾"/>
              </m:accPr>
              <m:e>
                <m:r>
                  <m:t>d</m:t>
                </m:r>
              </m:e>
            </m:acc>
          </m:e>
          <m:sub>
            <m:r>
              <m:t>e</m:t>
            </m:r>
            <m:r>
              <m:t>x</m:t>
            </m:r>
            <m:r>
              <m:t>p</m:t>
            </m:r>
          </m:sub>
        </m:sSub>
      </m:oMath>
      <w:r>
        <w:t xml:space="preserve">, with</w:t>
      </w:r>
      <w:r>
        <w:t xml:space="preserve"> </w:t>
      </w:r>
      <m:oMath>
        <m:sSub>
          <m:e>
            <m:acc>
              <m:accPr>
                <m:chr m:val="‾"/>
              </m:accPr>
              <m:e>
                <m:r>
                  <m:t>d</m:t>
                </m:r>
              </m:e>
            </m:acc>
          </m:e>
          <m:sub>
            <m:r>
              <m:t>e</m:t>
            </m:r>
            <m:r>
              <m:t>x</m:t>
            </m:r>
            <m:r>
              <m:t>p</m:t>
            </m:r>
          </m:sub>
        </m:sSub>
        <m:r>
          <m:rPr>
            <m:sty m:val="p"/>
          </m:rPr>
          <m:t>=</m:t>
        </m:r>
        <m:r>
          <m:t>0.5</m:t>
        </m:r>
        <m:r>
          <m:rPr>
            <m:sty m:val="p"/>
          </m:rPr>
          <m:t>/</m:t>
        </m:r>
        <m:rad>
          <m:radPr>
            <m:degHide m:val="on"/>
          </m:radPr>
          <m:deg/>
          <m:e>
            <m:r>
              <m:t>n</m:t>
            </m:r>
            <m:r>
              <m:rPr>
                <m:sty m:val="p"/>
              </m:rPr>
              <m:t>/</m:t>
            </m:r>
            <m:r>
              <m:t>A</m:t>
            </m:r>
          </m:e>
        </m:rad>
      </m:oMath>
      <w:r>
        <w:t xml:space="preserve">.</w:t>
      </w:r>
      <w:r>
        <w:t xml:space="preserve"> </w:t>
      </w:r>
      <m:oMath>
        <m:r>
          <m:t>R</m:t>
        </m:r>
        <m:r>
          <m:rPr>
            <m:sty m:val="p"/>
          </m:rPr>
          <m:t>&lt;</m:t>
        </m:r>
        <m:r>
          <m:t>1</m:t>
        </m:r>
      </m:oMath>
      <w:r>
        <w:t xml:space="preserve"> </w:t>
      </w:r>
      <w:r>
        <w:t xml:space="preserve">means clustered,</w:t>
      </w:r>
      <w:r>
        <w:t xml:space="preserve"> </w:t>
      </w:r>
      <m:oMath>
        <m:r>
          <m:t>R</m:t>
        </m:r>
        <m:r>
          <m:rPr>
            <m:sty m:val="p"/>
          </m:rPr>
          <m:t>≈</m:t>
        </m:r>
        <m:r>
          <m:t>1</m:t>
        </m:r>
      </m:oMath>
      <w:r>
        <w:t xml:space="preserve"> </w:t>
      </w:r>
      <w:r>
        <w:t xml:space="preserve">random,</w:t>
      </w:r>
      <w:r>
        <w:t xml:space="preserve"> </w:t>
      </w:r>
      <m:oMath>
        <m:r>
          <m:t>R</m:t>
        </m:r>
        <m:r>
          <m:rPr>
            <m:sty m:val="p"/>
          </m:rPr>
          <m:t>&gt;</m:t>
        </m:r>
        <m:r>
          <m:t>1</m:t>
        </m:r>
      </m:oMath>
      <w:r>
        <w:t xml:space="preserve"> </w:t>
      </w:r>
      <w:r>
        <w:t xml:space="preserve">dispersed.</w:t>
      </w:r>
    </w:p>
    <w:p>
      <w:pPr>
        <w:pStyle w:val="Compact"/>
        <w:numPr>
          <w:ilvl w:val="0"/>
          <w:numId w:val="1089"/>
        </w:numPr>
      </w:pPr>
      <w:r>
        <w:rPr>
          <w:bCs/>
          <w:b/>
        </w:rPr>
        <w:t xml:space="preserve">Quadrat analysis</w:t>
      </w:r>
      <w:r>
        <w:t xml:space="preserve"> </w:t>
      </w:r>
      <w:r>
        <w:t xml:space="preserve">(variance-to-mean ratio),</w:t>
      </w:r>
      <w:r>
        <w:t xml:space="preserve"> </w:t>
      </w:r>
      <w:r>
        <w:rPr>
          <w:bCs/>
          <w:b/>
        </w:rPr>
        <w:t xml:space="preserve">Ripley’s K function</w:t>
      </w:r>
      <w:r>
        <w:t xml:space="preserve">, and</w:t>
      </w:r>
      <w:r>
        <w:t xml:space="preserve"> </w:t>
      </w:r>
      <w:r>
        <w:rPr>
          <w:bCs/>
          <w:b/>
        </w:rPr>
        <w:t xml:space="preserve">kernel density estimation</w:t>
      </w:r>
      <w:r>
        <w:t xml:space="preserve"> </w:t>
      </w:r>
      <w:r>
        <w:t xml:space="preserve">(hot-spot surfaces).</w:t>
      </w:r>
    </w:p>
    <w:p>
      <w:pPr>
        <w:pStyle w:val="Compact"/>
        <w:numPr>
          <w:ilvl w:val="0"/>
          <w:numId w:val="1089"/>
        </w:numPr>
      </w:pPr>
      <w:r>
        <w:rPr>
          <w:bCs/>
          <w:b/>
        </w:rPr>
        <w:t xml:space="preserve">Spatial autocorrelation:</w:t>
      </w:r>
      <w:r>
        <w:t xml:space="preserve"> </w:t>
      </w:r>
      <w:r>
        <w:rPr>
          <w:bCs/>
          <w:b/>
        </w:rPr>
        <w:t xml:space="preserve">Moran’s I</w:t>
      </w:r>
      <w:r>
        <w:t xml:space="preserve"> </w:t>
      </w:r>
      <w:r>
        <w:t xml:space="preserve">(−1 to +1) and Geary’s C measure whether nearby values are similar. Local indicators (LISA, Getis-Ord Gi*) map hot and cold spots.</w:t>
      </w:r>
    </w:p>
    <w:p>
      <w:pPr>
        <w:pStyle w:val="FirstParagraph"/>
      </w:pPr>
      <w:r>
        <w:t xml:space="preserve">Clustering suggests environmental control (e.g. animals concentrating near water). Point pattern analysis is usually the first step in studying the distribution of point features.</w:t>
      </w:r>
    </w:p>
    <w:p>
      <w:pPr>
        <w:pStyle w:val="Heading2"/>
      </w:pPr>
      <w:r>
        <w:t xml:space="preserve">11.8 Spatial Interpolation</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Principle</w:t>
            </w:r>
          </w:p>
        </w:tc>
        <w:tc>
          <w:tcPr/>
          <w:p>
            <w:pPr>
              <w:pStyle w:val="Compact"/>
              <w:jc w:val="left"/>
            </w:pPr>
            <w:r>
              <w:t xml:space="preserve">Exact?</w:t>
            </w:r>
          </w:p>
        </w:tc>
        <w:tc>
          <w:tcPr/>
          <w:p>
            <w:pPr>
              <w:pStyle w:val="Compact"/>
              <w:jc w:val="left"/>
            </w:pPr>
            <w:r>
              <w:t xml:space="preserve">Notes</w:t>
            </w:r>
          </w:p>
        </w:tc>
      </w:tr>
      <w:tr>
        <w:tc>
          <w:tcPr/>
          <w:p>
            <w:pPr>
              <w:pStyle w:val="Compact"/>
              <w:jc w:val="left"/>
            </w:pPr>
            <w:r>
              <w:rPr>
                <w:bCs/>
                <w:b/>
              </w:rPr>
              <w:t xml:space="preserve">Thiessen (Voronoi) polygons / nearest neighbour</w:t>
            </w:r>
          </w:p>
        </w:tc>
        <w:tc>
          <w:tcPr/>
          <w:p>
            <w:pPr>
              <w:pStyle w:val="Compact"/>
              <w:jc w:val="left"/>
            </w:pPr>
            <w:r>
              <w:t xml:space="preserve">Each location takes the value of the nearest sample point</w:t>
            </w:r>
          </w:p>
        </w:tc>
        <w:tc>
          <w:tcPr/>
          <w:p>
            <w:pPr>
              <w:pStyle w:val="Compact"/>
              <w:jc w:val="left"/>
            </w:pPr>
            <w:r>
              <w:t xml:space="preserve">Yes</w:t>
            </w:r>
          </w:p>
        </w:tc>
        <w:tc>
          <w:tcPr/>
          <w:p>
            <w:pPr>
              <w:pStyle w:val="Compact"/>
              <w:jc w:val="left"/>
            </w:pPr>
            <w:r>
              <w:t xml:space="preserve">Quick areal rainfall estimate; abrupt boundaries</w:t>
            </w:r>
          </w:p>
        </w:tc>
      </w:tr>
      <w:tr>
        <w:tc>
          <w:tcPr/>
          <w:p>
            <w:pPr>
              <w:pStyle w:val="Compact"/>
              <w:jc w:val="left"/>
            </w:pPr>
            <w:r>
              <w:rPr>
                <w:bCs/>
                <w:b/>
              </w:rPr>
              <w:t xml:space="preserve">Inverse distance weighting (IDW)</w:t>
            </w:r>
          </w:p>
        </w:tc>
        <w:tc>
          <w:tcPr/>
          <w:p>
            <w:pPr>
              <w:pStyle w:val="Compact"/>
              <w:jc w:val="left"/>
            </w:pPr>
            <m:oMath>
              <m:sSub>
                <m:e>
                  <m:acc>
                    <m:accPr>
                      <m:chr m:val="̂"/>
                    </m:accPr>
                    <m:e>
                      <m:r>
                        <m:t>z</m:t>
                      </m:r>
                    </m:e>
                  </m:acc>
                </m:e>
                <m:sub>
                  <m:r>
                    <m:t>0</m:t>
                  </m:r>
                </m:sub>
              </m:sSub>
              <m:r>
                <m:rPr>
                  <m:sty m:val="p"/>
                </m:rPr>
                <m:t>=</m:t>
              </m:r>
              <m:f>
                <m:fPr>
                  <m:type m:val="bar"/>
                </m:fPr>
                <m:num>
                  <m:r>
                    <m:rPr>
                      <m:sty m:val="p"/>
                    </m:rPr>
                    <m:t>∑</m:t>
                  </m:r>
                  <m:sSub>
                    <m:e>
                      <m:r>
                        <m:t>z</m:t>
                      </m:r>
                    </m:e>
                    <m:sub>
                      <m:r>
                        <m:t>i</m:t>
                      </m:r>
                    </m:sub>
                  </m:sSub>
                  <m:r>
                    <m:rPr>
                      <m:sty m:val="p"/>
                    </m:rPr>
                    <m:t>/</m:t>
                  </m:r>
                  <m:sSubSup>
                    <m:e>
                      <m:r>
                        <m:t>d</m:t>
                      </m:r>
                    </m:e>
                    <m:sub>
                      <m:r>
                        <m:t>i</m:t>
                      </m:r>
                    </m:sub>
                    <m:sup>
                      <m:r>
                        <m:t>p</m:t>
                      </m:r>
                    </m:sup>
                  </m:sSubSup>
                </m:num>
                <m:den>
                  <m:r>
                    <m:rPr>
                      <m:sty m:val="p"/>
                    </m:rPr>
                    <m:t>∑</m:t>
                  </m:r>
                  <m:r>
                    <m:t>1</m:t>
                  </m:r>
                  <m:r>
                    <m:rPr>
                      <m:sty m:val="p"/>
                    </m:rPr>
                    <m:t>/</m:t>
                  </m:r>
                  <m:sSubSup>
                    <m:e>
                      <m:r>
                        <m:t>d</m:t>
                      </m:r>
                    </m:e>
                    <m:sub>
                      <m:r>
                        <m:t>i</m:t>
                      </m:r>
                    </m:sub>
                    <m:sup>
                      <m:r>
                        <m:t>p</m:t>
                      </m:r>
                    </m:sup>
                  </m:sSubSup>
                </m:den>
              </m:f>
            </m:oMath>
            <w:r>
              <w:t xml:space="preserve">, typically</w:t>
            </w:r>
            <w:r>
              <w:t xml:space="preserve"> </w:t>
            </w:r>
            <m:oMath>
              <m:r>
                <m:t>p</m:t>
              </m:r>
              <m:r>
                <m:rPr>
                  <m:sty m:val="p"/>
                </m:rPr>
                <m:t>=</m:t>
              </m:r>
              <m:r>
                <m:t>2</m:t>
              </m:r>
            </m:oMath>
          </w:p>
        </w:tc>
        <w:tc>
          <w:tcPr/>
          <w:p>
            <w:pPr>
              <w:pStyle w:val="Compact"/>
              <w:jc w:val="left"/>
            </w:pPr>
            <w:r>
              <w:t xml:space="preserve">Yes</w:t>
            </w:r>
          </w:p>
        </w:tc>
        <w:tc>
          <w:tcPr/>
          <w:p>
            <w:pPr>
              <w:pStyle w:val="Compact"/>
              <w:jc w:val="left"/>
            </w:pPr>
            <w:r>
              <w:t xml:space="preserve">Simple;</w:t>
            </w:r>
            <w:r>
              <w:t xml:space="preserve"> </w:t>
            </w:r>
            <w:r>
              <w:t xml:space="preserve">“</w:t>
            </w:r>
            <w:r>
              <w:t xml:space="preserve">bull’s-eye</w:t>
            </w:r>
            <w:r>
              <w:t xml:space="preserve">”</w:t>
            </w:r>
            <w:r>
              <w:t xml:space="preserve"> </w:t>
            </w:r>
            <w:r>
              <w:t xml:space="preserve">artefacts; no error estimate</w:t>
            </w:r>
          </w:p>
        </w:tc>
      </w:tr>
      <w:tr>
        <w:tc>
          <w:tcPr/>
          <w:p>
            <w:pPr>
              <w:pStyle w:val="Compact"/>
              <w:jc w:val="left"/>
            </w:pPr>
            <w:r>
              <w:rPr>
                <w:bCs/>
                <w:b/>
              </w:rPr>
              <w:t xml:space="preserve">Moving average</w:t>
            </w:r>
          </w:p>
        </w:tc>
        <w:tc>
          <w:tcPr/>
          <w:p>
            <w:pPr>
              <w:pStyle w:val="Compact"/>
              <w:jc w:val="left"/>
            </w:pPr>
            <w:r>
              <w:t xml:space="preserve">Mean of points within a window</w:t>
            </w:r>
          </w:p>
        </w:tc>
        <w:tc>
          <w:tcPr/>
          <w:p>
            <w:pPr>
              <w:pStyle w:val="Compact"/>
              <w:jc w:val="left"/>
            </w:pPr>
            <w:r>
              <w:t xml:space="preserve">No</w:t>
            </w:r>
          </w:p>
        </w:tc>
        <w:tc>
          <w:tcPr/>
          <w:p>
            <w:pPr>
              <w:pStyle w:val="Compact"/>
              <w:jc w:val="left"/>
            </w:pPr>
            <w:r>
              <w:t xml:space="preserve">Smoothing</w:t>
            </w:r>
          </w:p>
        </w:tc>
      </w:tr>
      <w:tr>
        <w:tc>
          <w:tcPr/>
          <w:p>
            <w:pPr>
              <w:pStyle w:val="Compact"/>
              <w:jc w:val="left"/>
            </w:pPr>
            <w:r>
              <w:rPr>
                <w:bCs/>
                <w:b/>
              </w:rPr>
              <w:t xml:space="preserve">Trend surface</w:t>
            </w:r>
          </w:p>
        </w:tc>
        <w:tc>
          <w:tcPr/>
          <w:p>
            <w:pPr>
              <w:pStyle w:val="Compact"/>
              <w:jc w:val="left"/>
            </w:pPr>
            <w:r>
              <w:t xml:space="preserve">Global polynomial regression on x, y</w:t>
            </w:r>
          </w:p>
        </w:tc>
        <w:tc>
          <w:tcPr/>
          <w:p>
            <w:pPr>
              <w:pStyle w:val="Compact"/>
              <w:jc w:val="left"/>
            </w:pPr>
            <w:r>
              <w:t xml:space="preserve">No</w:t>
            </w:r>
          </w:p>
        </w:tc>
        <w:tc>
          <w:tcPr/>
          <w:p>
            <w:pPr>
              <w:pStyle w:val="Compact"/>
              <w:jc w:val="left"/>
            </w:pPr>
            <w:r>
              <w:t xml:space="preserve">Regional trends</w:t>
            </w:r>
          </w:p>
        </w:tc>
      </w:tr>
      <w:tr>
        <w:tc>
          <w:tcPr/>
          <w:p>
            <w:pPr>
              <w:pStyle w:val="Compact"/>
              <w:jc w:val="left"/>
            </w:pPr>
            <w:r>
              <w:rPr>
                <w:bCs/>
                <w:b/>
              </w:rPr>
              <w:t xml:space="preserve">Splines</w:t>
            </w:r>
          </w:p>
        </w:tc>
        <w:tc>
          <w:tcPr/>
          <w:p>
            <w:pPr>
              <w:pStyle w:val="Compact"/>
              <w:jc w:val="left"/>
            </w:pPr>
            <w:r>
              <w:t xml:space="preserve">Minimum-curvature surface through points</w:t>
            </w:r>
          </w:p>
        </w:tc>
        <w:tc>
          <w:tcPr/>
          <w:p>
            <w:pPr>
              <w:pStyle w:val="Compact"/>
              <w:jc w:val="left"/>
            </w:pPr>
            <w:r>
              <w:t xml:space="preserve">Yes</w:t>
            </w:r>
          </w:p>
        </w:tc>
        <w:tc>
          <w:tcPr/>
          <w:p>
            <w:pPr>
              <w:pStyle w:val="Compact"/>
              <w:jc w:val="left"/>
            </w:pPr>
            <w:r>
              <w:t xml:space="preserve">Smooth surfaces (temperature)</w:t>
            </w:r>
          </w:p>
        </w:tc>
      </w:tr>
      <w:tr>
        <w:tc>
          <w:tcPr/>
          <w:p>
            <w:pPr>
              <w:pStyle w:val="Compact"/>
              <w:jc w:val="left"/>
            </w:pPr>
            <w:r>
              <w:rPr>
                <w:bCs/>
                <w:b/>
              </w:rPr>
              <w:t xml:space="preserve">Kriging</w:t>
            </w:r>
          </w:p>
        </w:tc>
        <w:tc>
          <w:tcPr/>
          <w:p>
            <w:pPr>
              <w:pStyle w:val="Compact"/>
              <w:jc w:val="left"/>
            </w:pPr>
            <w:r>
              <w:t xml:space="preserve">Geostatistical BLUE using the semivariogram</w:t>
            </w:r>
          </w:p>
        </w:tc>
        <w:tc>
          <w:tcPr/>
          <w:p>
            <w:pPr>
              <w:pStyle w:val="Compact"/>
              <w:jc w:val="left"/>
            </w:pPr>
            <w:r>
              <w:t xml:space="preserve">Yes (ordinary)</w:t>
            </w:r>
          </w:p>
        </w:tc>
        <w:tc>
          <w:tcPr/>
          <w:p>
            <w:pPr>
              <w:pStyle w:val="Compact"/>
              <w:jc w:val="left"/>
            </w:pPr>
            <w:r>
              <w:t xml:space="preserve">Gives an estimation variance; see the geostatistics chapter</w:t>
            </w:r>
          </w:p>
        </w:tc>
      </w:tr>
      <w:tr>
        <w:tc>
          <w:tcPr/>
          <w:p>
            <w:pPr>
              <w:pStyle w:val="Compact"/>
              <w:jc w:val="left"/>
            </w:pPr>
            <w:r>
              <w:rPr>
                <w:bCs/>
                <w:b/>
              </w:rPr>
              <w:t xml:space="preserve">Regression / co-kriging</w:t>
            </w:r>
          </w:p>
        </w:tc>
        <w:tc>
          <w:tcPr/>
          <w:p>
            <w:pPr>
              <w:pStyle w:val="Compact"/>
              <w:jc w:val="left"/>
            </w:pPr>
            <w:r>
              <w:t xml:space="preserve">Uses covariates (elevation for temperature)</w:t>
            </w:r>
          </w:p>
        </w:tc>
        <w:tc>
          <w:tcPr/>
          <w:p>
            <w:pPr>
              <w:pStyle w:val="Compact"/>
              <w:jc w:val="left"/>
            </w:pPr>
            <w:r>
              <w:t xml:space="preserve">—</w:t>
            </w:r>
          </w:p>
        </w:tc>
        <w:tc>
          <w:tcPr/>
          <w:p>
            <w:pPr>
              <w:pStyle w:val="Compact"/>
              <w:jc w:val="left"/>
            </w:pPr>
            <w:r>
              <w:t xml:space="preserve">E.g. lapse-rate temperature maps</w:t>
            </w:r>
          </w:p>
        </w:tc>
      </w:tr>
    </w:tbl>
    <w:p>
      <w:pPr>
        <w:pStyle w:val="Heading2"/>
      </w:pPr>
      <w:r>
        <w:t xml:space="preserve">11.9 Fuzzy Spatial Analysis</w:t>
      </w:r>
    </w:p>
    <w:p>
      <w:pPr>
        <w:pStyle w:val="FirstParagraph"/>
      </w:pPr>
      <w:r>
        <w:t xml:space="preserve">Classical (crisp) sets allow only binary membership (0 or 1). Many geographic classes have</w:t>
      </w:r>
      <w:r>
        <w:t xml:space="preserve"> </w:t>
      </w:r>
      <w:r>
        <w:rPr>
          <w:bCs/>
          <w:b/>
        </w:rPr>
        <w:t xml:space="preserve">gradual boundaries</w:t>
      </w:r>
      <w:r>
        <w:t xml:space="preserve"> </w:t>
      </w:r>
      <w:r>
        <w:t xml:space="preserve">(soil transitions, suitability with distance from roads).</w:t>
      </w:r>
      <w:r>
        <w:t xml:space="preserve"> </w:t>
      </w:r>
      <w:r>
        <w:rPr>
          <w:bCs/>
          <w:b/>
        </w:rPr>
        <w:t xml:space="preserve">Fuzzy set theory</w:t>
      </w:r>
      <w:r>
        <w:t xml:space="preserve"> </w:t>
      </w:r>
      <w:r>
        <w:t xml:space="preserve">allows membership values</w:t>
      </w:r>
      <w:r>
        <w:t xml:space="preserve"> </w:t>
      </w:r>
      <m:oMath>
        <m:r>
          <m:t>μ</m:t>
        </m:r>
        <m:r>
          <m:rPr>
            <m:sty m:val="p"/>
          </m:rPr>
          <m:t>∈</m:t>
        </m:r>
        <m:d>
          <m:dPr>
            <m:begChr m:val="["/>
            <m:endChr m:val="]"/>
            <m:sepChr m:val=""/>
            <m:grow/>
          </m:dPr>
          <m:e>
            <m:r>
              <m:t>0</m:t>
            </m:r>
            <m:r>
              <m:rPr>
                <m:sty m:val="p"/>
              </m:rPr>
              <m:t>,</m:t>
            </m:r>
            <m:r>
              <m:t>1</m:t>
            </m:r>
          </m:e>
        </m:d>
      </m:oMath>
      <w:r>
        <w:t xml:space="preserve">.</w:t>
      </w:r>
    </w:p>
    <w:p>
      <w:pPr>
        <w:pStyle w:val="BodyText"/>
      </w:pPr>
      <w:r>
        <w:t xml:space="preserve">Fuzzy operators for combining layers with memberships</w:t>
      </w:r>
      <w:r>
        <w:t xml:space="preserve"> </w:t>
      </w:r>
      <m:oMath>
        <m:sSub>
          <m:e>
            <m:r>
              <m:t>μ</m:t>
            </m:r>
          </m:e>
          <m:sub>
            <m:r>
              <m:t>1</m:t>
            </m:r>
          </m:sub>
        </m:sSub>
        <m:r>
          <m:rPr>
            <m:sty m:val="p"/>
          </m:rPr>
          <m:t>…</m:t>
        </m:r>
        <m:sSub>
          <m:e>
            <m:r>
              <m:t>μ</m:t>
            </m:r>
          </m:e>
          <m:sub>
            <m:r>
              <m:t>n</m:t>
            </m:r>
          </m:sub>
        </m:sSub>
      </m:oMath>
      <w:r>
        <w:t xml:space="preserv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Operator</w:t>
            </w:r>
          </w:p>
        </w:tc>
        <w:tc>
          <w:tcPr/>
          <w:p>
            <w:pPr>
              <w:pStyle w:val="Compact"/>
              <w:jc w:val="left"/>
            </w:pPr>
            <w:r>
              <w:t xml:space="preserve">Formula</w:t>
            </w:r>
          </w:p>
        </w:tc>
        <w:tc>
          <w:tcPr/>
          <w:p>
            <w:pPr>
              <w:pStyle w:val="Compact"/>
              <w:jc w:val="left"/>
            </w:pPr>
            <w:r>
              <w:t xml:space="preserve">Behaviour</w:t>
            </w:r>
          </w:p>
        </w:tc>
      </w:tr>
      <w:tr>
        <w:tc>
          <w:tcPr/>
          <w:p>
            <w:pPr>
              <w:pStyle w:val="Compact"/>
              <w:jc w:val="left"/>
            </w:pPr>
            <w:r>
              <w:t xml:space="preserve">Fuzzy AND</w:t>
            </w:r>
          </w:p>
        </w:tc>
        <w:tc>
          <w:tcPr/>
          <w:p>
            <w:pPr>
              <w:pStyle w:val="Compact"/>
              <w:jc w:val="left"/>
            </w:pPr>
            <m:oMath>
              <m:r>
                <m:rPr>
                  <m:sty m:val="p"/>
                </m:rPr>
                <m:t>min</m:t>
              </m:r>
              <m:d>
                <m:dPr>
                  <m:begChr m:val="("/>
                  <m:endChr m:val=")"/>
                  <m:sepChr m:val=""/>
                  <m:grow/>
                </m:dPr>
                <m:e>
                  <m:sSub>
                    <m:e>
                      <m:r>
                        <m:t>μ</m:t>
                      </m:r>
                    </m:e>
                    <m:sub>
                      <m:r>
                        <m:t>i</m:t>
                      </m:r>
                    </m:sub>
                  </m:sSub>
                </m:e>
              </m:d>
            </m:oMath>
          </w:p>
        </w:tc>
        <w:tc>
          <w:tcPr/>
          <w:p>
            <w:pPr>
              <w:pStyle w:val="Compact"/>
              <w:jc w:val="left"/>
            </w:pPr>
            <w:r>
              <w:t xml:space="preserve">Conservative (limiting factor)</w:t>
            </w:r>
          </w:p>
        </w:tc>
      </w:tr>
      <w:tr>
        <w:tc>
          <w:tcPr/>
          <w:p>
            <w:pPr>
              <w:pStyle w:val="Compact"/>
              <w:jc w:val="left"/>
            </w:pPr>
            <w:r>
              <w:t xml:space="preserve">Fuzzy OR</w:t>
            </w:r>
          </w:p>
        </w:tc>
        <w:tc>
          <w:tcPr/>
          <w:p>
            <w:pPr>
              <w:pStyle w:val="Compact"/>
              <w:jc w:val="left"/>
            </w:pPr>
            <m:oMath>
              <m:r>
                <m:rPr>
                  <m:sty m:val="p"/>
                </m:rPr>
                <m:t>max</m:t>
              </m:r>
              <m:d>
                <m:dPr>
                  <m:begChr m:val="("/>
                  <m:endChr m:val=")"/>
                  <m:sepChr m:val=""/>
                  <m:grow/>
                </m:dPr>
                <m:e>
                  <m:sSub>
                    <m:e>
                      <m:r>
                        <m:t>μ</m:t>
                      </m:r>
                    </m:e>
                    <m:sub>
                      <m:r>
                        <m:t>i</m:t>
                      </m:r>
                    </m:sub>
                  </m:sSub>
                </m:e>
              </m:d>
            </m:oMath>
          </w:p>
        </w:tc>
        <w:tc>
          <w:tcPr/>
          <w:p>
            <w:pPr>
              <w:pStyle w:val="Compact"/>
              <w:jc w:val="left"/>
            </w:pPr>
            <w:r>
              <w:t xml:space="preserve">Optimistic</w:t>
            </w:r>
          </w:p>
        </w:tc>
      </w:tr>
      <w:tr>
        <w:tc>
          <w:tcPr/>
          <w:p>
            <w:pPr>
              <w:pStyle w:val="Compact"/>
              <w:jc w:val="left"/>
            </w:pPr>
            <w:r>
              <w:t xml:space="preserve">Fuzzy algebraic product</w:t>
            </w:r>
          </w:p>
        </w:tc>
        <w:tc>
          <w:tcPr/>
          <w:p>
            <w:pPr>
              <w:pStyle w:val="Compact"/>
              <w:jc w:val="left"/>
            </w:pPr>
            <m:oMath>
              <m:r>
                <m:rPr>
                  <m:sty m:val="p"/>
                </m:rPr>
                <m:t>∏</m:t>
              </m:r>
              <m:sSub>
                <m:e>
                  <m:r>
                    <m:t>μ</m:t>
                  </m:r>
                </m:e>
                <m:sub>
                  <m:r>
                    <m:t>i</m:t>
                  </m:r>
                </m:sub>
              </m:sSub>
            </m:oMath>
          </w:p>
        </w:tc>
        <w:tc>
          <w:tcPr/>
          <w:p>
            <w:pPr>
              <w:pStyle w:val="Compact"/>
              <w:jc w:val="left"/>
            </w:pPr>
            <w:r>
              <w:t xml:space="preserve">“</w:t>
            </w:r>
            <w:r>
              <w:t xml:space="preserve">Decreasive</w:t>
            </w:r>
            <w:r>
              <w:t xml:space="preserve">”</w:t>
            </w:r>
            <w:r>
              <w:t xml:space="preserve">: result smaller than any input</w:t>
            </w:r>
          </w:p>
        </w:tc>
      </w:tr>
      <w:tr>
        <w:tc>
          <w:tcPr/>
          <w:p>
            <w:pPr>
              <w:pStyle w:val="Compact"/>
              <w:jc w:val="left"/>
            </w:pPr>
            <w:r>
              <w:t xml:space="preserve">Fuzzy algebraic sum</w:t>
            </w:r>
          </w:p>
        </w:tc>
        <w:tc>
          <w:tcPr/>
          <w:p>
            <w:pPr>
              <w:pStyle w:val="Compact"/>
              <w:jc w:val="left"/>
            </w:pPr>
            <m:oMath>
              <m:r>
                <m:t>1</m:t>
              </m:r>
              <m:r>
                <m:rPr>
                  <m:sty m:val="p"/>
                </m:rPr>
                <m:t>−</m:t>
              </m:r>
              <m:r>
                <m:rPr>
                  <m:sty m:val="p"/>
                </m:rPr>
                <m:t>∏</m:t>
              </m:r>
              <m:d>
                <m:dPr>
                  <m:begChr m:val="("/>
                  <m:endChr m:val=")"/>
                  <m:sepChr m:val=""/>
                  <m:grow/>
                </m:dPr>
                <m:e>
                  <m:r>
                    <m:t>1</m:t>
                  </m:r>
                  <m:r>
                    <m:rPr>
                      <m:sty m:val="p"/>
                    </m:rPr>
                    <m:t>−</m:t>
                  </m:r>
                  <m:sSub>
                    <m:e>
                      <m:r>
                        <m:t>μ</m:t>
                      </m:r>
                    </m:e>
                    <m:sub>
                      <m:r>
                        <m:t>i</m:t>
                      </m:r>
                    </m:sub>
                  </m:sSub>
                </m:e>
              </m:d>
            </m:oMath>
          </w:p>
        </w:tc>
        <w:tc>
          <w:tcPr/>
          <w:p>
            <w:pPr>
              <w:pStyle w:val="Compact"/>
              <w:jc w:val="left"/>
            </w:pPr>
            <w:r>
              <w:t xml:space="preserve">“</w:t>
            </w:r>
            <w:r>
              <w:t xml:space="preserve">Increasive</w:t>
            </w:r>
            <w:r>
              <w:t xml:space="preserve">”</w:t>
            </w:r>
            <w:r>
              <w:t xml:space="preserve">: result larger than any input</w:t>
            </w:r>
          </w:p>
        </w:tc>
      </w:tr>
      <w:tr>
        <w:tc>
          <w:tcPr/>
          <w:p>
            <w:pPr>
              <w:pStyle w:val="Compact"/>
              <w:jc w:val="left"/>
            </w:pPr>
            <w:r>
              <w:t xml:space="preserve">Fuzzy gamma</w:t>
            </w:r>
          </w:p>
        </w:tc>
        <w:tc>
          <w:tcPr/>
          <w:p>
            <w:pPr>
              <w:pStyle w:val="Compact"/>
              <w:jc w:val="left"/>
            </w:pPr>
            <m:oMath>
              <m:sSup>
                <m:e>
                  <m:d>
                    <m:dPr>
                      <m:begChr m:val="("/>
                      <m:endChr m:val=")"/>
                      <m:sepChr m:val=""/>
                      <m:grow/>
                    </m:dPr>
                    <m:e>
                      <m:r>
                        <m:rPr>
                          <m:nor/>
                          <m:sty m:val="p"/>
                        </m:rPr>
                        <m:t>sum</m:t>
                      </m:r>
                    </m:e>
                  </m:d>
                </m:e>
                <m:sup>
                  <m:r>
                    <m:t>γ</m:t>
                  </m:r>
                </m:sup>
              </m:sSup>
              <m:r>
                <m:t> </m:t>
              </m:r>
              <m:sSup>
                <m:e>
                  <m:d>
                    <m:dPr>
                      <m:begChr m:val="("/>
                      <m:endChr m:val=")"/>
                      <m:sepChr m:val=""/>
                      <m:grow/>
                    </m:dPr>
                    <m:e>
                      <m:r>
                        <m:rPr>
                          <m:nor/>
                          <m:sty m:val="p"/>
                        </m:rPr>
                        <m:t>product</m:t>
                      </m:r>
                    </m:e>
                  </m:d>
                </m:e>
                <m:sup>
                  <m:r>
                    <m:t>1</m:t>
                  </m:r>
                  <m:r>
                    <m:rPr>
                      <m:sty m:val="p"/>
                    </m:rPr>
                    <m:t>−</m:t>
                  </m:r>
                  <m:r>
                    <m:t>γ</m:t>
                  </m:r>
                </m:sup>
              </m:sSup>
            </m:oMath>
          </w:p>
        </w:tc>
        <w:tc>
          <w:tcPr/>
          <w:p>
            <w:pPr>
              <w:pStyle w:val="Compact"/>
              <w:jc w:val="left"/>
            </w:pPr>
            <w:r>
              <w:t xml:space="preserve">Tunable compromise,</w:t>
            </w:r>
            <w:r>
              <w:t xml:space="preserve"> </w:t>
            </w:r>
            <m:oMath>
              <m:r>
                <m:t>0</m:t>
              </m:r>
              <m:r>
                <m:rPr>
                  <m:sty m:val="p"/>
                </m:rPr>
                <m:t>≤</m:t>
              </m:r>
              <m:r>
                <m:t>γ</m:t>
              </m:r>
              <m:r>
                <m:rPr>
                  <m:sty m:val="p"/>
                </m:rPr>
                <m:t>≤</m:t>
              </m:r>
              <m:r>
                <m:t>1</m:t>
              </m:r>
            </m:oMath>
          </w:p>
        </w:tc>
      </w:tr>
    </w:tbl>
    <w:p>
      <w:pPr>
        <w:pStyle w:val="BodyText"/>
      </w:pPr>
      <w:r>
        <w:rPr>
          <w:bCs/>
          <w:b/>
        </w:rPr>
        <w:t xml:space="preserve">Example:</w:t>
      </w:r>
      <w:r>
        <w:t xml:space="preserve"> </w:t>
      </w:r>
      <w:r>
        <w:t xml:space="preserve">in landslide hazard zonation, a lithological unit coinciding with a thrust fault should score higher than either alone, so the fuzzy algebraic sum is used. Fuzzy logic also handles boundary uncertainty and areas with limited ground truth.</w:t>
      </w:r>
    </w:p>
    <w:p>
      <w:pPr>
        <w:pStyle w:val="Heading2"/>
      </w:pPr>
      <w:r>
        <w:t xml:space="preserve">11.10 Change Analysis and Landscape Metrics</w:t>
      </w:r>
    </w:p>
    <w:p>
      <w:pPr>
        <w:pStyle w:val="FirstParagraph"/>
      </w:pPr>
      <w:r>
        <w:t xml:space="preserve">These are covered in the next sections: transition matrices from post-classification comparison, and fragmentation metrics (patch number, mean patch size, edge density, contagion, Shannon diversity) used for forest and habitat assessment.</w:t>
      </w:r>
    </w:p>
    <w:p>
      <w:pPr>
        <w:pStyle w:val="CaptionedFigure"/>
      </w:pPr>
      <w:r>
        <w:drawing>
          <wp:inline>
            <wp:extent cx="5334000" cy="3587114"/>
            <wp:effectExtent b="0" l="0" r="0" t="0"/>
            <wp:docPr descr="Typical GIS site-suitability analysis (e.g. new orchard area)" title="" id="51" name="Picture"/>
            <a:graphic>
              <a:graphicData uri="http://schemas.openxmlformats.org/drawingml/2006/picture">
                <pic:pic>
                  <pic:nvPicPr>
                    <pic:cNvPr descr="/tmp/claude-0/-home-user-sonu/ab07c29a-21cd-5a4a-9d2d-68ad72d07153/scratchpad/build/../flows/flow_009.png" id="52" name="Picture"/>
                    <pic:cNvPicPr>
                      <a:picLocks noChangeArrowheads="1" noChangeAspect="1"/>
                    </pic:cNvPicPr>
                  </pic:nvPicPr>
                  <pic:blipFill>
                    <a:blip r:embed="rId50"/>
                    <a:stretch>
                      <a:fillRect/>
                    </a:stretch>
                  </pic:blipFill>
                  <pic:spPr bwMode="auto">
                    <a:xfrm>
                      <a:off x="0" y="0"/>
                      <a:ext cx="5334000" cy="3587114"/>
                    </a:xfrm>
                    <a:prstGeom prst="rect">
                      <a:avLst/>
                    </a:prstGeom>
                    <a:noFill/>
                    <a:ln w="9525">
                      <a:noFill/>
                      <a:headEnd/>
                      <a:tailEnd/>
                    </a:ln>
                  </pic:spPr>
                </pic:pic>
              </a:graphicData>
            </a:graphic>
          </wp:inline>
        </w:drawing>
      </w:r>
    </w:p>
    <w:p>
      <w:pPr>
        <w:pStyle w:val="ImageCaption"/>
      </w:pPr>
      <w:r>
        <w:t xml:space="preserve">Typical GIS site-suitability analysis (e.g. new orchard area)</w:t>
      </w:r>
    </w:p>
    <w:p>
      <w:pPr>
        <w:pStyle w:val="Heading3"/>
      </w:pPr>
      <w:r>
        <w:t xml:space="preserve">11.10.1 Likely interview questions</w:t>
      </w:r>
    </w:p>
    <w:p>
      <w:pPr>
        <w:pStyle w:val="FirstParagraph"/>
      </w:pPr>
      <w:r>
        <w:rPr>
          <w:bCs/>
          <w:b/>
        </w:rPr>
        <w:t xml:space="preserve">Q. Distinguish attribute query and spatial query, with examples.</w:t>
      </w:r>
      <w:r>
        <w:t xml:space="preserve"> </w:t>
      </w:r>
      <w:r>
        <w:t xml:space="preserve">An attribute query works only on the table (parcels with land use = commercial). A spatial query uses location (parcels within 100 m of a road).</w:t>
      </w:r>
    </w:p>
    <w:p>
      <w:pPr>
        <w:pStyle w:val="BodyText"/>
      </w:pPr>
      <w:r>
        <w:rPr>
          <w:bCs/>
          <w:b/>
        </w:rPr>
        <w:t xml:space="preserve">Q. What are local, focal, zonal and global functions in map algebra?</w:t>
      </w:r>
      <w:r>
        <w:t xml:space="preserve"> </w:t>
      </w:r>
      <w:r>
        <w:t xml:space="preserve">The output cell depends on the same cell; on a neighbourhood; on all cells of the same zone; or on the whole grid. Examples: NDVI, slope, mean NDVI per district, distance to the nearest road.</w:t>
      </w:r>
    </w:p>
    <w:p>
      <w:pPr>
        <w:pStyle w:val="BodyText"/>
      </w:pPr>
      <w:r>
        <w:rPr>
          <w:bCs/>
          <w:b/>
        </w:rPr>
        <w:t xml:space="preserve">Q. What is the difference between clip and intersect?</w:t>
      </w:r>
      <w:r>
        <w:t xml:space="preserve"> </w:t>
      </w:r>
      <w:r>
        <w:t xml:space="preserve">Clip keeps the input features inside the clip boundary with input attributes only. Intersect keeps the common area with attributes of both layers.</w:t>
      </w:r>
    </w:p>
    <w:p>
      <w:pPr>
        <w:pStyle w:val="BodyText"/>
      </w:pPr>
      <w:r>
        <w:rPr>
          <w:bCs/>
          <w:b/>
        </w:rPr>
        <w:t xml:space="preserve">Q. What do fuzzy algebraic sum and fuzzy algebraic product do?</w:t>
      </w:r>
      <w:r>
        <w:t xml:space="preserve"> </w:t>
      </w:r>
      <w:r>
        <w:t xml:space="preserve">The sum is increasive (combined evidence strengthens). The product is decreasive (combined constraints weaken).</w:t>
      </w:r>
    </w:p>
    <w:p>
      <w:pPr>
        <w:pStyle w:val="BodyText"/>
      </w:pPr>
      <w:r>
        <w:rPr>
          <w:bCs/>
          <w:b/>
        </w:rPr>
        <w:t xml:space="preserve">Q. How would you test whether pest outbreak points are clustered?</w:t>
      </w:r>
      <w:r>
        <w:t xml:space="preserve"> </w:t>
      </w:r>
      <w:r>
        <w:t xml:space="preserve">Nearest-neighbour index (R &lt; 1 means clustered), Ripley’s K, or Moran’s I on counts. Then produce a kernel-density hot-spot map.</w:t>
      </w:r>
    </w:p>
    <w:p>
      <w:pPr>
        <w:pStyle w:val="Heading2"/>
      </w:pPr>
      <w:r>
        <w:t xml:space="preserve">11.11 Change-Detection Statistics — the Land-Use Transition Matrix</w:t>
      </w:r>
    </w:p>
    <w:p>
      <w:pPr>
        <w:pStyle w:val="FirstParagraph"/>
      </w:pPr>
      <w:r>
        <w:t xml:space="preserve">A standard analytical output accompanying multi-date LULC comparison is the</w:t>
      </w:r>
      <w:r>
        <w:t xml:space="preserve"> </w:t>
      </w:r>
      <w:r>
        <w:rPr>
          <w:bCs/>
          <w:b/>
        </w:rPr>
        <w:t xml:space="preserve">land-use transition matrix</w:t>
      </w:r>
      <w:r>
        <w:t xml:space="preserve"> </w:t>
      </w:r>
      <w:r>
        <w:t xml:space="preserve">— a square matrix, directly analogous in structure to the classification-accuracy confusion matrix but here comparing two different-date classified maps of the</w:t>
      </w:r>
      <w:r>
        <w:t xml:space="preserve"> </w:t>
      </w:r>
      <w:r>
        <w:rPr>
          <w:iCs/>
          <w:i/>
        </w:rPr>
        <w:t xml:space="preserve">same</w:t>
      </w:r>
      <w:r>
        <w:t xml:space="preserve"> </w:t>
      </w:r>
      <w:r>
        <w:t xml:space="preserve">area rather than a classified map against ground truth — with rows representing the earlier date’s class and columns the later date’s class, each off-diagonal cell quantifying the area that transitioned from one specific class to another (e.g.,</w:t>
      </w:r>
      <w:r>
        <w:t xml:space="preserve"> </w:t>
      </w:r>
      <w:r>
        <w:t xml:space="preserve">“</w:t>
      </w:r>
      <w:r>
        <w:t xml:space="preserve">cropland to built-up,</w:t>
      </w:r>
      <w:r>
        <w:t xml:space="preserve">”</w:t>
      </w:r>
      <w:r>
        <w:t xml:space="preserve"> </w:t>
      </w:r>
      <w:r>
        <w:t xml:space="preserve">“</w:t>
      </w:r>
      <w:r>
        <w:t xml:space="preserve">forest to agricultural land,</w:t>
      </w:r>
      <w:r>
        <w:t xml:space="preserve">”</w:t>
      </w:r>
      <w:r>
        <w:t xml:space="preserve"> </w:t>
      </w:r>
      <w:r>
        <w:t xml:space="preserve">“</w:t>
      </w:r>
      <w:r>
        <w:t xml:space="preserve">wasteland to cropland</w:t>
      </w:r>
      <w:r>
        <w:t xml:space="preserve">”</w:t>
      </w:r>
      <w:r>
        <w:t xml:space="preserve"> </w:t>
      </w:r>
      <w:r>
        <w:t xml:space="preserve">following reclamation, Chapter 5, Section 5.4.1) between the two dates, while diagonal cells represent area that remained in the same class — the standard quantitative summary used to report LULC-change findings (e.g., in NFSM crop-intensification impact assessment, Chapter 6, Section 6.7, or wasteland-reclamation-programme monitoring, Chapter 5) in a single, interpretable table rather than only as a visual change map.</w:t>
      </w:r>
    </w:p>
    <w:p>
      <w:pPr>
        <w:pStyle w:val="Heading2"/>
      </w:pPr>
      <w:r>
        <w:t xml:space="preserve">11.12 Fragmentation and Landscape-Pattern Metrics</w:t>
      </w:r>
    </w:p>
    <w:p>
      <w:pPr>
        <w:pStyle w:val="FirstParagraph"/>
      </w:pPr>
      <w:r>
        <w:t xml:space="preserve">Beyond simple area/transition statistics, landscape-ecology metrics computed from a classified LULC/vegetation-type map quantify the</w:t>
      </w:r>
      <w:r>
        <w:t xml:space="preserve"> </w:t>
      </w:r>
      <w:r>
        <w:rPr>
          <w:bCs/>
          <w:b/>
        </w:rPr>
        <w:t xml:space="preserve">spatial configuration</w:t>
      </w:r>
      <w:r>
        <w:t xml:space="preserve">, not just the total area, of a given class — relevant to the biodiversity-characterisation disturbance-index computation introduced in the relevant chapter. Commonly used metrics include:</w:t>
      </w:r>
      <w:r>
        <w:t xml:space="preserve"> </w:t>
      </w:r>
      <w:r>
        <w:rPr>
          <w:bCs/>
          <w:b/>
        </w:rPr>
        <w:t xml:space="preserve">patch density</w:t>
      </w:r>
      <w:r>
        <w:t xml:space="preserve"> </w:t>
      </w:r>
      <w:r>
        <w:t xml:space="preserve">(number of discrete patches of a class per unit area — a highly fragmented class has many small patches, while an intact class has few large patches, even at identical total area);</w:t>
      </w:r>
      <w:r>
        <w:t xml:space="preserve"> </w:t>
      </w:r>
      <w:r>
        <w:rPr>
          <w:bCs/>
          <w:b/>
        </w:rPr>
        <w:t xml:space="preserve">mean patch size</w:t>
      </w:r>
      <w:r>
        <w:t xml:space="preserve"> </w:t>
      </w:r>
      <w:r>
        <w:t xml:space="preserve">and</w:t>
      </w:r>
      <w:r>
        <w:t xml:space="preserve"> </w:t>
      </w:r>
      <w:r>
        <w:rPr>
          <w:bCs/>
          <w:b/>
        </w:rPr>
        <w:t xml:space="preserve">largest patch index</w:t>
      </w:r>
      <w:r>
        <w:t xml:space="preserve">;</w:t>
      </w:r>
      <w:r>
        <w:t xml:space="preserve"> </w:t>
      </w:r>
      <w:r>
        <w:rPr>
          <w:bCs/>
          <w:b/>
        </w:rPr>
        <w:t xml:space="preserve">edge density</w:t>
      </w:r>
      <w:r>
        <w:t xml:space="preserve"> </w:t>
      </w:r>
      <w:r>
        <w:t xml:space="preserve">(total class-boundary length per unit area, relevant because many ecological edge-effects — increased disturbance, altered microclimate, invasive-species access — scale with the amount of boundary rather than the enclosed area alone); and</w:t>
      </w:r>
      <w:r>
        <w:t xml:space="preserve"> </w:t>
      </w:r>
      <w:r>
        <w:rPr>
          <w:bCs/>
          <w:b/>
        </w:rPr>
        <w:t xml:space="preserve">connectivity/contiguity indices</w:t>
      </w:r>
      <w:r>
        <w:t xml:space="preserve"> </w:t>
      </w:r>
      <w:r>
        <w:t xml:space="preserve">(the degree to which patches of the same class are spatially connected versus isolated, directly relevant to the wildlife-corridor connectivity modelling of the relevant chapter, Section 9.6, since a fragmented, poorly connected habitat class poses materially greater conservation risk than the same total habitat area configured as one large, contiguous block — the well-established ecological principle sometimes summarised as</w:t>
      </w:r>
      <w:r>
        <w:t xml:space="preserve"> </w:t>
      </w:r>
      <w:r>
        <w:t xml:space="preserve">“</w:t>
      </w:r>
      <w:r>
        <w:t xml:space="preserve">single large or several small,</w:t>
      </w:r>
      <w:r>
        <w:t xml:space="preserve">”</w:t>
      </w:r>
      <w:r>
        <w:t xml:space="preserve"> </w:t>
      </w:r>
      <w:r>
        <w:t xml:space="preserve">SLOSS, debate in conservation biology).</w:t>
      </w:r>
    </w:p>
    <w:p>
      <w:pPr>
        <w:pStyle w:val="Heading1"/>
      </w:pPr>
      <w:r>
        <w:t xml:space="preserve">Chapter 12. Global Navigation Satellite Systems</w:t>
      </w:r>
    </w:p>
    <w:p>
      <w:pPr>
        <w:pStyle w:val="Heading2"/>
      </w:pPr>
      <w:r>
        <w:t xml:space="preserve">12.1 From Astronomical Fixes to Satellite Positioning</w:t>
      </w:r>
    </w:p>
    <w:p>
      <w:pPr>
        <w:pStyle w:val="FirstParagraph"/>
      </w:pPr>
      <w:r>
        <w:t xml:space="preserve">Traditional surveying and navigation relied on astronomical observations of celestial bodies and on terrestrial triangulation and traversing. These were laborious and depended on weather and visibility. The US Navy’s</w:t>
      </w:r>
      <w:r>
        <w:t xml:space="preserve"> </w:t>
      </w:r>
      <w:r>
        <w:rPr>
          <w:bCs/>
          <w:b/>
        </w:rPr>
        <w:t xml:space="preserve">TRANSIT</w:t>
      </w:r>
      <w:r>
        <w:t xml:space="preserve"> </w:t>
      </w:r>
      <w:r>
        <w:t xml:space="preserve">system (1960s, Doppler positioning at about 1100 km altitude, one fix per 15–20 min pass, ±30–40 m) proved satellite positioning and helped establish geocentric datums.</w:t>
      </w:r>
      <w:r>
        <w:t xml:space="preserve"> </w:t>
      </w:r>
      <w:r>
        <w:rPr>
          <w:bCs/>
          <w:b/>
        </w:rPr>
        <w:t xml:space="preserve">NAVSTAR GPS</w:t>
      </w:r>
      <w:r>
        <w:t xml:space="preserve"> </w:t>
      </w:r>
      <w:r>
        <w:t xml:space="preserve">(Navigation System with Timing And Ranging Global Positioning System), developed by the US Department of Defense from 1973, provides continuous, all-weather, three-dimensional position, velocity and time to unlimited users.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TRANSIT</w:t>
            </w:r>
          </w:p>
        </w:tc>
        <w:tc>
          <w:tcPr/>
          <w:p>
            <w:pPr>
              <w:pStyle w:val="Compact"/>
              <w:jc w:val="left"/>
            </w:pPr>
            <w:r>
              <w:t xml:space="preserve">GPS</w:t>
            </w:r>
          </w:p>
        </w:tc>
      </w:tr>
      <w:tr>
        <w:tc>
          <w:tcPr/>
          <w:p>
            <w:pPr>
              <w:pStyle w:val="Compact"/>
              <w:jc w:val="left"/>
            </w:pPr>
            <w:r>
              <w:t xml:space="preserve">Orbit altitude</w:t>
            </w:r>
          </w:p>
        </w:tc>
        <w:tc>
          <w:tcPr/>
          <w:p>
            <w:pPr>
              <w:pStyle w:val="Compact"/>
              <w:jc w:val="left"/>
            </w:pPr>
            <w:r>
              <w:t xml:space="preserve">~1000–1100 km</w:t>
            </w:r>
          </w:p>
        </w:tc>
        <w:tc>
          <w:tcPr/>
          <w:p>
            <w:pPr>
              <w:pStyle w:val="Compact"/>
              <w:jc w:val="left"/>
            </w:pPr>
            <w:r>
              <w:t xml:space="preserve">20,200 km</w:t>
            </w:r>
          </w:p>
        </w:tc>
      </w:tr>
      <w:tr>
        <w:tc>
          <w:tcPr/>
          <w:p>
            <w:pPr>
              <w:pStyle w:val="Compact"/>
              <w:jc w:val="left"/>
            </w:pPr>
            <w:r>
              <w:t xml:space="preserve">Period</w:t>
            </w:r>
          </w:p>
        </w:tc>
        <w:tc>
          <w:tcPr/>
          <w:p>
            <w:pPr>
              <w:pStyle w:val="Compact"/>
              <w:jc w:val="left"/>
            </w:pPr>
            <w:r>
              <w:t xml:space="preserve">~105 min</w:t>
            </w:r>
          </w:p>
        </w:tc>
        <w:tc>
          <w:tcPr/>
          <w:p>
            <w:pPr>
              <w:pStyle w:val="Compact"/>
              <w:jc w:val="left"/>
            </w:pPr>
            <w:r>
              <w:t xml:space="preserve">12 h (sidereal)</w:t>
            </w:r>
          </w:p>
        </w:tc>
      </w:tr>
      <w:tr>
        <w:tc>
          <w:tcPr/>
          <w:p>
            <w:pPr>
              <w:pStyle w:val="Compact"/>
              <w:jc w:val="left"/>
            </w:pPr>
            <w:r>
              <w:t xml:space="preserve">Frequencies</w:t>
            </w:r>
          </w:p>
        </w:tc>
        <w:tc>
          <w:tcPr/>
          <w:p>
            <w:pPr>
              <w:pStyle w:val="Compact"/>
              <w:jc w:val="left"/>
            </w:pPr>
            <w:r>
              <w:t xml:space="preserve">150 and 400 MHz</w:t>
            </w:r>
          </w:p>
        </w:tc>
        <w:tc>
          <w:tcPr/>
          <w:p>
            <w:pPr>
              <w:pStyle w:val="Compact"/>
              <w:jc w:val="left"/>
            </w:pPr>
            <w:r>
              <w:t xml:space="preserve">1575.42 (L1), 1227.60 (L2), 1176.45 MHz (L5)</w:t>
            </w:r>
          </w:p>
        </w:tc>
      </w:tr>
      <w:tr>
        <w:tc>
          <w:tcPr/>
          <w:p>
            <w:pPr>
              <w:pStyle w:val="Compact"/>
              <w:jc w:val="left"/>
            </w:pPr>
            <w:r>
              <w:t xml:space="preserve">Output</w:t>
            </w:r>
          </w:p>
        </w:tc>
        <w:tc>
          <w:tcPr/>
          <w:p>
            <w:pPr>
              <w:pStyle w:val="Compact"/>
              <w:jc w:val="left"/>
            </w:pPr>
            <w:r>
              <w:t xml:space="preserve">2-D (x, y)</w:t>
            </w:r>
          </w:p>
        </w:tc>
        <w:tc>
          <w:tcPr/>
          <w:p>
            <w:pPr>
              <w:pStyle w:val="Compact"/>
              <w:jc w:val="left"/>
            </w:pPr>
            <w:r>
              <w:t xml:space="preserve">4-D (x, y, z, t) + velocity</w:t>
            </w:r>
          </w:p>
        </w:tc>
      </w:tr>
      <w:tr>
        <w:tc>
          <w:tcPr/>
          <w:p>
            <w:pPr>
              <w:pStyle w:val="Compact"/>
              <w:jc w:val="left"/>
            </w:pPr>
            <w:r>
              <w:t xml:space="preserve">Availability</w:t>
            </w:r>
          </w:p>
        </w:tc>
        <w:tc>
          <w:tcPr/>
          <w:p>
            <w:pPr>
              <w:pStyle w:val="Compact"/>
              <w:jc w:val="left"/>
            </w:pPr>
            <w:r>
              <w:t xml:space="preserve">One fix per pass (15–20 min gaps)</w:t>
            </w:r>
          </w:p>
        </w:tc>
        <w:tc>
          <w:tcPr/>
          <w:p>
            <w:pPr>
              <w:pStyle w:val="Compact"/>
              <w:jc w:val="left"/>
            </w:pPr>
            <w:r>
              <w:t xml:space="preserve">Continuous</w:t>
            </w:r>
          </w:p>
        </w:tc>
      </w:tr>
      <w:tr>
        <w:tc>
          <w:tcPr/>
          <w:p>
            <w:pPr>
              <w:pStyle w:val="Compact"/>
              <w:jc w:val="left"/>
            </w:pPr>
            <w:r>
              <w:t xml:space="preserve">Clocks</w:t>
            </w:r>
          </w:p>
        </w:tc>
        <w:tc>
          <w:tcPr/>
          <w:p>
            <w:pPr>
              <w:pStyle w:val="Compact"/>
              <w:jc w:val="left"/>
            </w:pPr>
            <w:r>
              <w:t xml:space="preserve">Quartz</w:t>
            </w:r>
          </w:p>
        </w:tc>
        <w:tc>
          <w:tcPr/>
          <w:p>
            <w:pPr>
              <w:pStyle w:val="Compact"/>
              <w:jc w:val="left"/>
            </w:pPr>
            <w:r>
              <w:t xml:space="preserve">Rubidium / caesium atomic</w:t>
            </w:r>
          </w:p>
        </w:tc>
      </w:tr>
    </w:tbl>
    <w:p>
      <w:pPr>
        <w:pStyle w:val="Heading2"/>
      </w:pPr>
      <w:r>
        <w:t xml:space="preserve">12.2 The Three Segments of GPS</w:t>
      </w:r>
    </w:p>
    <w:p>
      <w:pPr>
        <w:pStyle w:val="CaptionedFigure"/>
      </w:pPr>
      <w:r>
        <w:drawing>
          <wp:inline>
            <wp:extent cx="5334000" cy="2026919"/>
            <wp:effectExtent b="0" l="0" r="0" t="0"/>
            <wp:docPr descr="GPS segments and data flow" title="" id="54" name="Picture"/>
            <a:graphic>
              <a:graphicData uri="http://schemas.openxmlformats.org/drawingml/2006/picture">
                <pic:pic>
                  <pic:nvPicPr>
                    <pic:cNvPr descr="/tmp/claude-0/-home-user-sonu/ab07c29a-21cd-5a4a-9d2d-68ad72d07153/scratchpad/build/../flows/flow_010.png" id="55" name="Picture"/>
                    <pic:cNvPicPr>
                      <a:picLocks noChangeArrowheads="1" noChangeAspect="1"/>
                    </pic:cNvPicPr>
                  </pic:nvPicPr>
                  <pic:blipFill>
                    <a:blip r:embed="rId53"/>
                    <a:stretch>
                      <a:fillRect/>
                    </a:stretch>
                  </pic:blipFill>
                  <pic:spPr bwMode="auto">
                    <a:xfrm>
                      <a:off x="0" y="0"/>
                      <a:ext cx="5334000" cy="2026919"/>
                    </a:xfrm>
                    <a:prstGeom prst="rect">
                      <a:avLst/>
                    </a:prstGeom>
                    <a:noFill/>
                    <a:ln w="9525">
                      <a:noFill/>
                      <a:headEnd/>
                      <a:tailEnd/>
                    </a:ln>
                  </pic:spPr>
                </pic:pic>
              </a:graphicData>
            </a:graphic>
          </wp:inline>
        </w:drawing>
      </w:r>
    </w:p>
    <w:p>
      <w:pPr>
        <w:pStyle w:val="ImageCaption"/>
      </w:pPr>
      <w:r>
        <w:t xml:space="preserve">GPS segments and data flow</w:t>
      </w:r>
    </w:p>
    <w:p>
      <w:pPr>
        <w:pStyle w:val="Heading3"/>
      </w:pPr>
      <w:r>
        <w:t xml:space="preserve">12.2.1 Space segment</w:t>
      </w:r>
    </w:p>
    <w:p>
      <w:pPr>
        <w:pStyle w:val="Compact"/>
        <w:numPr>
          <w:ilvl w:val="0"/>
          <w:numId w:val="1090"/>
        </w:numPr>
      </w:pPr>
      <w:r>
        <w:t xml:space="preserve">Nominal 24-satellite constellation (21 + 3 active spares originally; 31 or more operational today) in</w:t>
      </w:r>
      <w:r>
        <w:t xml:space="preserve"> </w:t>
      </w:r>
      <w:r>
        <w:rPr>
          <w:bCs/>
          <w:b/>
        </w:rPr>
        <w:t xml:space="preserve">six orbital planes</w:t>
      </w:r>
      <w:r>
        <w:t xml:space="preserve"> </w:t>
      </w:r>
      <w:r>
        <w:t xml:space="preserve">spaced 60° apart,</w:t>
      </w:r>
      <w:r>
        <w:t xml:space="preserve"> </w:t>
      </w:r>
      <w:r>
        <w:rPr>
          <w:bCs/>
          <w:b/>
        </w:rPr>
        <w:t xml:space="preserve">55° inclination</w:t>
      </w:r>
      <w:r>
        <w:t xml:space="preserve">, about 20,200 km altitude (semi-major axis about 26,560 km).</w:t>
      </w:r>
    </w:p>
    <w:p>
      <w:pPr>
        <w:pStyle w:val="Compact"/>
        <w:numPr>
          <w:ilvl w:val="0"/>
          <w:numId w:val="1090"/>
        </w:numPr>
      </w:pPr>
      <w:r>
        <w:t xml:space="preserve">The orbital period is half a sidereal day, so the same configuration repeats about</w:t>
      </w:r>
      <w:r>
        <w:t xml:space="preserve"> </w:t>
      </w:r>
      <w:r>
        <w:rPr>
          <w:bCs/>
          <w:b/>
        </w:rPr>
        <w:t xml:space="preserve">4 minutes earlier</w:t>
      </w:r>
      <w:r>
        <w:t xml:space="preserve"> </w:t>
      </w:r>
      <w:r>
        <w:t xml:space="preserve">each day.</w:t>
      </w:r>
    </w:p>
    <w:p>
      <w:pPr>
        <w:pStyle w:val="Compact"/>
        <w:numPr>
          <w:ilvl w:val="0"/>
          <w:numId w:val="1090"/>
        </w:numPr>
      </w:pPr>
      <w:r>
        <w:t xml:space="preserve">At least</w:t>
      </w:r>
      <w:r>
        <w:t xml:space="preserve"> </w:t>
      </w:r>
      <w:r>
        <w:rPr>
          <w:bCs/>
          <w:b/>
        </w:rPr>
        <w:t xml:space="preserve">four satellites are visible</w:t>
      </w:r>
      <w:r>
        <w:t xml:space="preserve"> </w:t>
      </w:r>
      <w:r>
        <w:t xml:space="preserve">above the horizon anywhere, at any time.</w:t>
      </w:r>
    </w:p>
    <w:p>
      <w:pPr>
        <w:pStyle w:val="Compact"/>
        <w:numPr>
          <w:ilvl w:val="0"/>
          <w:numId w:val="1090"/>
        </w:numPr>
      </w:pPr>
      <w:r>
        <w:t xml:space="preserve">Satellites carry</w:t>
      </w:r>
      <w:r>
        <w:t xml:space="preserve"> </w:t>
      </w:r>
      <w:r>
        <w:rPr>
          <w:bCs/>
          <w:b/>
        </w:rPr>
        <w:t xml:space="preserve">atomic clocks</w:t>
      </w:r>
      <w:r>
        <w:t xml:space="preserve"> </w:t>
      </w:r>
      <w:r>
        <w:t xml:space="preserve">(caesium and rubidium, stability about 10⁻¹³) from which all signals derive (fundamental frequency 10.23 MHz).</w:t>
      </w:r>
    </w:p>
    <w:p>
      <w:pPr>
        <w:pStyle w:val="Compact"/>
        <w:numPr>
          <w:ilvl w:val="0"/>
          <w:numId w:val="1090"/>
        </w:numPr>
      </w:pPr>
      <w:r>
        <w:t xml:space="preserve">Generations: Block I (development, 1978–85), Block II/IIA (production, from 1989), IIR (replenishment), IIR-M, IIF (L5) and III.</w:t>
      </w:r>
    </w:p>
    <w:p>
      <w:pPr>
        <w:pStyle w:val="Heading3"/>
      </w:pPr>
      <w:r>
        <w:t xml:space="preserve">12.2.2 Control segment</w:t>
      </w:r>
    </w:p>
    <w:p>
      <w:pPr>
        <w:pStyle w:val="FirstParagraph"/>
      </w:pPr>
      <w:r>
        <w:t xml:space="preserve">The Master Control Station (Schriever AFB, Colorado Springs) and globally distributed monitor stations (Hawaii, Kwajalein, Ascension, Diego Garcia, Colorado Springs and others) track every satellite. They:</w:t>
      </w:r>
    </w:p>
    <w:p>
      <w:pPr>
        <w:pStyle w:val="Compact"/>
        <w:numPr>
          <w:ilvl w:val="0"/>
          <w:numId w:val="1091"/>
        </w:numPr>
      </w:pPr>
      <w:r>
        <w:t xml:space="preserve">monitor and control the constellation;</w:t>
      </w:r>
    </w:p>
    <w:p>
      <w:pPr>
        <w:pStyle w:val="Compact"/>
        <w:numPr>
          <w:ilvl w:val="0"/>
          <w:numId w:val="1091"/>
        </w:numPr>
      </w:pPr>
      <w:r>
        <w:t xml:space="preserve">determine</w:t>
      </w:r>
      <w:r>
        <w:t xml:space="preserve"> </w:t>
      </w:r>
      <w:r>
        <w:rPr>
          <w:bCs/>
          <w:b/>
        </w:rPr>
        <w:t xml:space="preserve">GPS system time</w:t>
      </w:r>
      <w:r>
        <w:t xml:space="preserve">;</w:t>
      </w:r>
    </w:p>
    <w:p>
      <w:pPr>
        <w:pStyle w:val="Compact"/>
        <w:numPr>
          <w:ilvl w:val="0"/>
          <w:numId w:val="1091"/>
        </w:numPr>
      </w:pPr>
      <w:r>
        <w:t xml:space="preserve">predict each satellite’s ephemeris and clock behaviour;</w:t>
      </w:r>
    </w:p>
    <w:p>
      <w:pPr>
        <w:pStyle w:val="Compact"/>
        <w:numPr>
          <w:ilvl w:val="0"/>
          <w:numId w:val="1091"/>
        </w:numPr>
      </w:pPr>
      <w:r>
        <w:t xml:space="preserve">upload updated navigation messages through ground antennas (S-band), at least about three times a day per satellite.</w:t>
      </w:r>
    </w:p>
    <w:p>
      <w:pPr>
        <w:pStyle w:val="Heading3"/>
      </w:pPr>
      <w:r>
        <w:t xml:space="preserve">12.2.3 User segment</w:t>
      </w:r>
    </w:p>
    <w:p>
      <w:pPr>
        <w:pStyle w:val="FirstParagraph"/>
      </w:pPr>
      <w:r>
        <w:t xml:space="preserve">The receiver consists of an antenna and pre-amplifier, an RF section (down-conversion, channels), signal processor (code- and carrier-tracking loops), microprocessor, precision oscillator (usually inexpensive quartz, since clock error is solved for), power supply, memory and a user interface. Antennas include monopole/dipole, quadrifilar helix, spiral helix,</w:t>
      </w:r>
      <w:r>
        <w:t xml:space="preserve"> </w:t>
      </w:r>
      <w:r>
        <w:rPr>
          <w:bCs/>
          <w:b/>
        </w:rPr>
        <w:t xml:space="preserve">microstrip (patch)</w:t>
      </w:r>
      <w:r>
        <w:t xml:space="preserve">, which is the most common, and</w:t>
      </w:r>
      <w:r>
        <w:t xml:space="preserve"> </w:t>
      </w:r>
      <w:r>
        <w:rPr>
          <w:bCs/>
          <w:b/>
        </w:rPr>
        <w:t xml:space="preserve">choke-ring</w:t>
      </w:r>
      <w:r>
        <w:t xml:space="preserve"> </w:t>
      </w:r>
      <w:r>
        <w:t xml:space="preserve">antennas, which suppress multipath for geodetic work.</w:t>
      </w:r>
    </w:p>
    <w:p>
      <w:pPr>
        <w:pStyle w:val="BodyText"/>
      </w:pPr>
      <w:r>
        <w:rPr>
          <w:bCs/>
          <w:b/>
        </w:rPr>
        <w:t xml:space="preserve">Receiver channel architectures:</w:t>
      </w:r>
    </w:p>
    <w:p>
      <w:pPr>
        <w:pStyle w:val="Compact"/>
        <w:numPr>
          <w:ilvl w:val="0"/>
          <w:numId w:val="1092"/>
        </w:numPr>
      </w:pPr>
      <w:r>
        <w:rPr>
          <w:bCs/>
          <w:b/>
        </w:rPr>
        <w:t xml:space="preserve">Multi-channel parallel:</w:t>
      </w:r>
      <w:r>
        <w:t xml:space="preserve"> </w:t>
      </w:r>
      <w:r>
        <w:t xml:space="preserve">each channel continuously tracks one satellite. This is the modern standard (12+ channels per frequency).</w:t>
      </w:r>
    </w:p>
    <w:p>
      <w:pPr>
        <w:pStyle w:val="Compact"/>
        <w:numPr>
          <w:ilvl w:val="0"/>
          <w:numId w:val="1092"/>
        </w:numPr>
      </w:pPr>
      <w:r>
        <w:rPr>
          <w:bCs/>
          <w:b/>
        </w:rPr>
        <w:t xml:space="preserve">Sequential:</w:t>
      </w:r>
      <w:r>
        <w:t xml:space="preserve"> </w:t>
      </w:r>
      <w:r>
        <w:t xml:space="preserve">one channel switches between satellites (slow first fix).</w:t>
      </w:r>
    </w:p>
    <w:p>
      <w:pPr>
        <w:pStyle w:val="Compact"/>
        <w:numPr>
          <w:ilvl w:val="0"/>
          <w:numId w:val="1092"/>
        </w:numPr>
      </w:pPr>
      <w:r>
        <w:rPr>
          <w:bCs/>
          <w:b/>
        </w:rPr>
        <w:t xml:space="preserve">Multiplexing:</w:t>
      </w:r>
      <w:r>
        <w:t xml:space="preserve"> </w:t>
      </w:r>
      <w:r>
        <w:t xml:space="preserve">very fast switching synchronised with the 50 bps message.</w:t>
      </w:r>
    </w:p>
    <w:p>
      <w:pPr>
        <w:pStyle w:val="FirstParagraph"/>
      </w:pPr>
      <w:r>
        <w:rPr>
          <w:bCs/>
          <w:b/>
        </w:rPr>
        <w:t xml:space="preserve">Receiver classes:</w:t>
      </w:r>
      <w:r>
        <w:t xml:space="preserve"> </w:t>
      </w:r>
      <w:r>
        <w:t xml:space="preserve">by data type (C/A code only; C/A + L1 phase; + L2 phase; P-code), by channel technology, and by purpose (navigation, timing, mapping/GIS, geodetic survey, military).</w:t>
      </w:r>
    </w:p>
    <w:p>
      <w:pPr>
        <w:pStyle w:val="Heading2"/>
      </w:pPr>
      <w:r>
        <w:t xml:space="preserve">12.3 GPS Signal Structure</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Fundamental clock frequency</w:t>
            </w:r>
          </w:p>
        </w:tc>
        <w:tc>
          <w:tcPr/>
          <w:p>
            <w:pPr>
              <w:pStyle w:val="Compact"/>
              <w:jc w:val="left"/>
            </w:pPr>
            <w:r>
              <w:t xml:space="preserve">10.23 MHz</w:t>
            </w:r>
          </w:p>
        </w:tc>
      </w:tr>
      <w:tr>
        <w:tc>
          <w:tcPr/>
          <w:p>
            <w:pPr>
              <w:pStyle w:val="Compact"/>
              <w:jc w:val="left"/>
            </w:pPr>
            <w:r>
              <w:rPr>
                <w:bCs/>
                <w:b/>
              </w:rPr>
              <w:t xml:space="preserve">L1 carrier</w:t>
            </w:r>
          </w:p>
        </w:tc>
        <w:tc>
          <w:tcPr/>
          <w:p>
            <w:pPr>
              <w:pStyle w:val="Compact"/>
              <w:jc w:val="left"/>
            </w:pPr>
            <w:r>
              <w:t xml:space="preserve">154 × 10.23 =</w:t>
            </w:r>
            <w:r>
              <w:t xml:space="preserve"> </w:t>
            </w:r>
            <w:r>
              <w:rPr>
                <w:bCs/>
                <w:b/>
              </w:rPr>
              <w:t xml:space="preserve">1575.42 MHz</w:t>
            </w:r>
            <w:r>
              <w:t xml:space="preserve">, λ ≈ 19.0 cm</w:t>
            </w:r>
          </w:p>
        </w:tc>
      </w:tr>
      <w:tr>
        <w:tc>
          <w:tcPr/>
          <w:p>
            <w:pPr>
              <w:pStyle w:val="Compact"/>
              <w:jc w:val="left"/>
            </w:pPr>
            <w:r>
              <w:rPr>
                <w:bCs/>
                <w:b/>
              </w:rPr>
              <w:t xml:space="preserve">L2 carrier</w:t>
            </w:r>
          </w:p>
        </w:tc>
        <w:tc>
          <w:tcPr/>
          <w:p>
            <w:pPr>
              <w:pStyle w:val="Compact"/>
              <w:jc w:val="left"/>
            </w:pPr>
            <w:r>
              <w:t xml:space="preserve">120 × 10.23 =</w:t>
            </w:r>
            <w:r>
              <w:t xml:space="preserve"> </w:t>
            </w:r>
            <w:r>
              <w:rPr>
                <w:bCs/>
                <w:b/>
              </w:rPr>
              <w:t xml:space="preserve">1227.60 MHz</w:t>
            </w:r>
            <w:r>
              <w:t xml:space="preserve">, λ ≈ 24.4 cm</w:t>
            </w:r>
          </w:p>
        </w:tc>
      </w:tr>
      <w:tr>
        <w:tc>
          <w:tcPr/>
          <w:p>
            <w:pPr>
              <w:pStyle w:val="Compact"/>
              <w:jc w:val="left"/>
            </w:pPr>
            <w:r>
              <w:rPr>
                <w:bCs/>
                <w:b/>
              </w:rPr>
              <w:t xml:space="preserve">L5 carrier</w:t>
            </w:r>
            <w:r>
              <w:t xml:space="preserve"> </w:t>
            </w:r>
            <w:r>
              <w:t xml:space="preserve">(modern)</w:t>
            </w:r>
          </w:p>
        </w:tc>
        <w:tc>
          <w:tcPr/>
          <w:p>
            <w:pPr>
              <w:pStyle w:val="Compact"/>
              <w:jc w:val="left"/>
            </w:pPr>
            <w:r>
              <w:t xml:space="preserve">115 × 10.23 = 1176.45 MHz, λ ≈ 25.5 cm</w:t>
            </w:r>
          </w:p>
        </w:tc>
      </w:tr>
      <w:tr>
        <w:tc>
          <w:tcPr/>
          <w:p>
            <w:pPr>
              <w:pStyle w:val="Compact"/>
              <w:jc w:val="left"/>
            </w:pPr>
            <w:r>
              <w:rPr>
                <w:bCs/>
                <w:b/>
              </w:rPr>
              <w:t xml:space="preserve">C/A code</w:t>
            </w:r>
            <w:r>
              <w:t xml:space="preserve"> </w:t>
            </w:r>
            <w:r>
              <w:t xml:space="preserve">(coarse/acquisition)</w:t>
            </w:r>
          </w:p>
        </w:tc>
        <w:tc>
          <w:tcPr/>
          <w:p>
            <w:pPr>
              <w:pStyle w:val="Compact"/>
              <w:jc w:val="left"/>
            </w:pPr>
            <w:r>
              <w:t xml:space="preserve">1.023 Mbps; chip length ≈ 293 m; repeats every</w:t>
            </w:r>
            <w:r>
              <w:t xml:space="preserve"> </w:t>
            </w:r>
            <w:r>
              <w:rPr>
                <w:bCs/>
                <w:b/>
              </w:rPr>
              <w:t xml:space="preserve">1 ms</w:t>
            </w:r>
            <w:r>
              <w:t xml:space="preserve">; on L1 (civil)</w:t>
            </w:r>
          </w:p>
        </w:tc>
      </w:tr>
      <w:tr>
        <w:tc>
          <w:tcPr/>
          <w:p>
            <w:pPr>
              <w:pStyle w:val="Compact"/>
              <w:jc w:val="left"/>
            </w:pPr>
            <w:r>
              <w:rPr>
                <w:bCs/>
                <w:b/>
              </w:rPr>
              <w:t xml:space="preserve">P(Y) code</w:t>
            </w:r>
            <w:r>
              <w:t xml:space="preserve"> </w:t>
            </w:r>
            <w:r>
              <w:t xml:space="preserve">(precise/protected)</w:t>
            </w:r>
          </w:p>
        </w:tc>
        <w:tc>
          <w:tcPr/>
          <w:p>
            <w:pPr>
              <w:pStyle w:val="Compact"/>
              <w:jc w:val="left"/>
            </w:pPr>
            <w:r>
              <w:t xml:space="preserve">10.23 Mbps; chip ≈ 29.3 m; 267-day sequence, with one-week segments assigned to each satellite; on L1 and L2; encrypted to Y under Anti-Spoofing</w:t>
            </w:r>
          </w:p>
        </w:tc>
      </w:tr>
      <w:tr>
        <w:tc>
          <w:tcPr/>
          <w:p>
            <w:pPr>
              <w:pStyle w:val="Compact"/>
              <w:jc w:val="left"/>
            </w:pPr>
            <w:r>
              <w:rPr>
                <w:bCs/>
                <w:b/>
              </w:rPr>
              <w:t xml:space="preserve">Navigation message</w:t>
            </w:r>
          </w:p>
        </w:tc>
        <w:tc>
          <w:tcPr/>
          <w:p>
            <w:pPr>
              <w:pStyle w:val="Compact"/>
              <w:jc w:val="left"/>
            </w:pPr>
            <w:r>
              <w:t xml:space="preserve">50 bps; 1500-bit frame in 30 s; 5 subframes × 6 s</w:t>
            </w:r>
          </w:p>
        </w:tc>
      </w:tr>
    </w:tbl>
    <w:p>
      <w:pPr>
        <w:pStyle w:val="BodyText"/>
      </w:pPr>
      <w:r>
        <w:t xml:space="preserve">Every satellite transmits on the same frequency, identified by its unique</w:t>
      </w:r>
      <w:r>
        <w:t xml:space="preserve"> </w:t>
      </w:r>
      <w:r>
        <w:rPr>
          <w:bCs/>
          <w:b/>
        </w:rPr>
        <w:t xml:space="preserve">PRN (pseudo-random noise) code</w:t>
      </w:r>
      <w:r>
        <w:t xml:space="preserve">. This is</w:t>
      </w:r>
      <w:r>
        <w:t xml:space="preserve"> </w:t>
      </w:r>
      <w:r>
        <w:rPr>
          <w:bCs/>
          <w:b/>
        </w:rPr>
        <w:t xml:space="preserve">CDMA</w:t>
      </w:r>
      <w:r>
        <w:t xml:space="preserve"> </w:t>
      </w:r>
      <w:r>
        <w:t xml:space="preserve">(Code Division Multiple Access). Codes are binary sequences modulated onto the carrier by phase shift (BPSK).</w:t>
      </w:r>
    </w:p>
    <w:p>
      <w:pPr>
        <w:pStyle w:val="BodyText"/>
      </w:pPr>
      <w:r>
        <w:rPr>
          <w:bCs/>
          <w:b/>
        </w:rPr>
        <w:t xml:space="preserve">Navigation message structure:</w:t>
      </w:r>
    </w:p>
    <w:p>
      <w:pPr>
        <w:pStyle w:val="Compact"/>
        <w:numPr>
          <w:ilvl w:val="0"/>
          <w:numId w:val="1093"/>
        </w:numPr>
      </w:pPr>
      <w:r>
        <w:rPr>
          <w:bCs/>
          <w:b/>
        </w:rPr>
        <w:t xml:space="preserve">Subframe 1:</w:t>
      </w:r>
      <w:r>
        <w:t xml:space="preserve"> </w:t>
      </w:r>
      <w:r>
        <w:t xml:space="preserve">satellite clock correction coefficients, health.</w:t>
      </w:r>
    </w:p>
    <w:p>
      <w:pPr>
        <w:pStyle w:val="Compact"/>
        <w:numPr>
          <w:ilvl w:val="0"/>
          <w:numId w:val="1093"/>
        </w:numPr>
      </w:pPr>
      <w:r>
        <w:rPr>
          <w:bCs/>
          <w:b/>
        </w:rPr>
        <w:t xml:space="preserve">Subframes 2–3:</w:t>
      </w:r>
      <w:r>
        <w:t xml:space="preserve"> </w:t>
      </w:r>
      <w:r>
        <w:rPr>
          <w:bCs/>
          <w:b/>
        </w:rPr>
        <w:t xml:space="preserve">broadcast ephemeris</w:t>
      </w:r>
      <w:r>
        <w:t xml:space="preserve"> </w:t>
      </w:r>
      <w:r>
        <w:t xml:space="preserve">(Keplerian elements and perturbations) for computing the satellite position.</w:t>
      </w:r>
    </w:p>
    <w:p>
      <w:pPr>
        <w:pStyle w:val="Compact"/>
        <w:numPr>
          <w:ilvl w:val="0"/>
          <w:numId w:val="1093"/>
        </w:numPr>
      </w:pPr>
      <w:r>
        <w:rPr>
          <w:bCs/>
          <w:b/>
        </w:rPr>
        <w:t xml:space="preserve">Subframes 4–5:</w:t>
      </w:r>
      <w:r>
        <w:t xml:space="preserve"> </w:t>
      </w:r>
      <w:r>
        <w:rPr>
          <w:bCs/>
          <w:b/>
        </w:rPr>
        <w:t xml:space="preserve">almanac</w:t>
      </w:r>
      <w:r>
        <w:t xml:space="preserve"> </w:t>
      </w:r>
      <w:r>
        <w:t xml:space="preserve">(coarse orbits of all satellites), ionospheric model coefficients, UTC offset (these subframes rotate over 25 pages, 12.5 min).</w:t>
      </w:r>
    </w:p>
    <w:p>
      <w:pPr>
        <w:pStyle w:val="FirstParagraph"/>
      </w:pPr>
      <w:r>
        <w:t xml:space="preserve">Each subframe begins with a</w:t>
      </w:r>
      <w:r>
        <w:t xml:space="preserve"> </w:t>
      </w:r>
      <w:r>
        <w:rPr>
          <w:bCs/>
          <w:b/>
        </w:rPr>
        <w:t xml:space="preserve">Telemetry Word (TLM)</w:t>
      </w:r>
      <w:r>
        <w:t xml:space="preserve"> </w:t>
      </w:r>
      <w:r>
        <w:t xml:space="preserve">(synchronisation) and a</w:t>
      </w:r>
      <w:r>
        <w:t xml:space="preserve"> </w:t>
      </w:r>
      <w:r>
        <w:rPr>
          <w:bCs/>
          <w:b/>
        </w:rPr>
        <w:t xml:space="preserve">Hand-Over Word (HOW)</w:t>
      </w:r>
      <w:r>
        <w:t xml:space="preserve"> </w:t>
      </w:r>
      <w:r>
        <w:t xml:space="preserve">(for switching from C/A to P code).</w:t>
      </w:r>
    </w:p>
    <w:p>
      <w:pPr>
        <w:pStyle w:val="BodyText"/>
      </w:pPr>
      <w:r>
        <w:rPr>
          <w:bCs/>
          <w:b/>
        </w:rPr>
        <w:t xml:space="preserve">GPS time</w:t>
      </w:r>
      <w:r>
        <w:t xml:space="preserve"> </w:t>
      </w:r>
      <w:r>
        <w:t xml:space="preserve">is a continuous atomic scale counted in weeks and seconds of week (0–604,800 s), starting at 0 h UTC on 6 January 1980. Because UTC has leap seconds and GPS time does not, they differ by an integer number of seconds (18 s since 2017). The offset is broadcast.</w:t>
      </w:r>
    </w:p>
    <w:p>
      <w:pPr>
        <w:pStyle w:val="BodyText"/>
      </w:pPr>
      <w:r>
        <w:t xml:space="preserve">Satellites are identified by the</w:t>
      </w:r>
      <w:r>
        <w:t xml:space="preserve"> </w:t>
      </w:r>
      <w:r>
        <w:rPr>
          <w:bCs/>
          <w:b/>
        </w:rPr>
        <w:t xml:space="preserve">SVN</w:t>
      </w:r>
      <w:r>
        <w:t xml:space="preserve"> </w:t>
      </w:r>
      <w:r>
        <w:t xml:space="preserve">(launch sequence number) and the</w:t>
      </w:r>
      <w:r>
        <w:t xml:space="preserve"> </w:t>
      </w:r>
      <w:r>
        <w:rPr>
          <w:bCs/>
          <w:b/>
        </w:rPr>
        <w:t xml:space="preserve">PRN/SVID</w:t>
      </w:r>
      <w:r>
        <w:t xml:space="preserve"> </w:t>
      </w:r>
      <w:r>
        <w:t xml:space="preserve">(code number, displayed by receivers).</w:t>
      </w:r>
    </w:p>
    <w:p>
      <w:pPr>
        <w:pStyle w:val="Heading2"/>
      </w:pPr>
      <w:r>
        <w:t xml:space="preserve">12.4 How Position Is Computed</w:t>
      </w:r>
    </w:p>
    <w:p>
      <w:pPr>
        <w:pStyle w:val="Heading3"/>
      </w:pPr>
      <w:r>
        <w:t xml:space="preserve">12.4.1 Pseudorange (code) positioning</w:t>
      </w:r>
    </w:p>
    <w:p>
      <w:pPr>
        <w:pStyle w:val="FirstParagraph"/>
      </w:pPr>
      <w:r>
        <w:t xml:space="preserve">The receiver generates a replica of each satellite’s PRN code and shifts it in time until it correlates with the received code. The shift is the signal travel time</w:t>
      </w:r>
      <w:r>
        <w:t xml:space="preserve"> </w:t>
      </w:r>
      <m:oMath>
        <m:r>
          <m:t>Δ</m:t>
        </m:r>
        <m:r>
          <m:t>t</m:t>
        </m:r>
      </m:oMath>
      <w:r>
        <w:t xml:space="preserve">. Because receiver and satellite clocks are not synchronised, the measured range is biased, hence</w:t>
      </w:r>
      <w:r>
        <w:t xml:space="preserve"> </w:t>
      </w:r>
      <w:r>
        <w:rPr>
          <w:bCs/>
          <w:b/>
        </w:rPr>
        <w:t xml:space="preserve">pseudorange</w:t>
      </w:r>
      <w:r>
        <w:t xml:space="preserve">:</w:t>
      </w:r>
    </w:p>
    <w:p>
      <w:pPr>
        <w:pStyle w:val="BodyText"/>
      </w:pPr>
      <m:oMathPara>
        <m:oMathParaPr>
          <m:jc m:val="center"/>
        </m:oMathParaPr>
        <m:oMath>
          <m:sSub>
            <m:e>
              <m:r>
                <m:t>P</m:t>
              </m:r>
            </m:e>
            <m:sub>
              <m:r>
                <m:t>i</m:t>
              </m:r>
            </m:sub>
          </m:sSub>
          <m:r>
            <m:rPr>
              <m:sty m:val="p"/>
            </m:rPr>
            <m:t>=</m:t>
          </m:r>
          <m:rad>
            <m:radPr>
              <m:degHide m:val="on"/>
            </m:radPr>
            <m:deg/>
            <m:e>
              <m:sSup>
                <m:e>
                  <m:d>
                    <m:dPr>
                      <m:begChr m:val="("/>
                      <m:endChr m:val=")"/>
                      <m:sepChr m:val=""/>
                      <m:grow/>
                    </m:dPr>
                    <m:e>
                      <m:sSub>
                        <m:e>
                          <m:r>
                            <m:t>X</m:t>
                          </m:r>
                        </m:e>
                        <m:sub>
                          <m:r>
                            <m:t>i</m:t>
                          </m:r>
                        </m:sub>
                      </m:sSub>
                      <m:r>
                        <m:rPr>
                          <m:sty m:val="p"/>
                        </m:rPr>
                        <m:t>−</m:t>
                      </m:r>
                      <m:r>
                        <m:t>x</m:t>
                      </m:r>
                    </m:e>
                  </m:d>
                </m:e>
                <m:sup>
                  <m:r>
                    <m:t>2</m:t>
                  </m:r>
                </m:sup>
              </m:sSup>
              <m:r>
                <m:rPr>
                  <m:sty m:val="p"/>
                </m:rPr>
                <m:t>+</m:t>
              </m:r>
              <m:sSup>
                <m:e>
                  <m:d>
                    <m:dPr>
                      <m:begChr m:val="("/>
                      <m:endChr m:val=")"/>
                      <m:sepChr m:val=""/>
                      <m:grow/>
                    </m:dPr>
                    <m:e>
                      <m:sSub>
                        <m:e>
                          <m:r>
                            <m:t>Y</m:t>
                          </m:r>
                        </m:e>
                        <m:sub>
                          <m:r>
                            <m:t>i</m:t>
                          </m:r>
                        </m:sub>
                      </m:sSub>
                      <m:r>
                        <m:rPr>
                          <m:sty m:val="p"/>
                        </m:rPr>
                        <m:t>−</m:t>
                      </m:r>
                      <m:r>
                        <m:t>y</m:t>
                      </m:r>
                    </m:e>
                  </m:d>
                </m:e>
                <m:sup>
                  <m:r>
                    <m:t>2</m:t>
                  </m:r>
                </m:sup>
              </m:sSup>
              <m:r>
                <m:rPr>
                  <m:sty m:val="p"/>
                </m:rPr>
                <m:t>+</m:t>
              </m:r>
              <m:sSup>
                <m:e>
                  <m:d>
                    <m:dPr>
                      <m:begChr m:val="("/>
                      <m:endChr m:val=")"/>
                      <m:sepChr m:val=""/>
                      <m:grow/>
                    </m:dPr>
                    <m:e>
                      <m:sSub>
                        <m:e>
                          <m:r>
                            <m:t>Z</m:t>
                          </m:r>
                        </m:e>
                        <m:sub>
                          <m:r>
                            <m:t>i</m:t>
                          </m:r>
                        </m:sub>
                      </m:sSub>
                      <m:r>
                        <m:rPr>
                          <m:sty m:val="p"/>
                        </m:rPr>
                        <m:t>−</m:t>
                      </m:r>
                      <m:r>
                        <m:t>z</m:t>
                      </m:r>
                    </m:e>
                  </m:d>
                </m:e>
                <m:sup>
                  <m:r>
                    <m:t>2</m:t>
                  </m:r>
                </m:sup>
              </m:sSup>
            </m:e>
          </m:rad>
          <m:r>
            <m:rPr>
              <m:sty m:val="p"/>
            </m:rPr>
            <m:t>+</m:t>
          </m:r>
          <m:r>
            <m:t>c</m:t>
          </m:r>
          <m:r>
            <m:t> </m:t>
          </m:r>
          <m:r>
            <m:t>δ</m:t>
          </m:r>
          <m:sSub>
            <m:e>
              <m:r>
                <m:t>t</m:t>
              </m:r>
            </m:e>
            <m:sub>
              <m:r>
                <m:t>r</m:t>
              </m:r>
            </m:sub>
          </m:sSub>
          <m:r>
            <m:rPr>
              <m:sty m:val="p"/>
            </m:rPr>
            <m:t>+</m:t>
          </m:r>
          <m:sSub>
            <m:e>
              <m:r>
                <m:t>ε</m:t>
              </m:r>
            </m:e>
            <m:sub>
              <m:r>
                <m:t>i</m:t>
              </m:r>
            </m:sub>
          </m:sSub>
        </m:oMath>
      </m:oMathPara>
    </w:p>
    <w:p>
      <w:pPr>
        <w:pStyle w:val="FirstParagraph"/>
      </w:pPr>
      <w:r>
        <w:t xml:space="preserve">There are four unknowns (</w:t>
      </w:r>
      <m:oMath>
        <m:r>
          <m:t>x</m:t>
        </m:r>
        <m:r>
          <m:rPr>
            <m:sty m:val="p"/>
          </m:rPr>
          <m:t>,</m:t>
        </m:r>
        <m:r>
          <m:t>y</m:t>
        </m:r>
        <m:r>
          <m:rPr>
            <m:sty m:val="p"/>
          </m:rPr>
          <m:t>,</m:t>
        </m:r>
        <m:r>
          <m:t>z</m:t>
        </m:r>
      </m:oMath>
      <w:r>
        <w:t xml:space="preserve"> </w:t>
      </w:r>
      <w:r>
        <w:t xml:space="preserve">and the receiver clock bias</w:t>
      </w:r>
      <w:r>
        <w:t xml:space="preserve"> </w:t>
      </w:r>
      <m:oMath>
        <m:r>
          <m:t>δ</m:t>
        </m:r>
        <m:sSub>
          <m:e>
            <m:r>
              <m:t>t</m:t>
            </m:r>
          </m:e>
          <m:sub>
            <m:r>
              <m:t>r</m:t>
            </m:r>
          </m:sub>
        </m:sSub>
      </m:oMath>
      <w:r>
        <w:t xml:space="preserve">), so</w:t>
      </w:r>
      <w:r>
        <w:t xml:space="preserve"> </w:t>
      </w:r>
      <w:r>
        <w:rPr>
          <w:bCs/>
          <w:b/>
        </w:rPr>
        <w:t xml:space="preserve">at least four satellites</w:t>
      </w:r>
      <w:r>
        <w:t xml:space="preserve"> </w:t>
      </w:r>
      <w:r>
        <w:t xml:space="preserve">are needed. Three spheres would intersect at the position, and the fourth resolves the clock error. With more satellites, least squares gives the best estimate.</w:t>
      </w:r>
    </w:p>
    <w:p>
      <w:pPr>
        <w:pStyle w:val="Heading3"/>
      </w:pPr>
      <w:r>
        <w:t xml:space="preserve">12.4.2 Carrier-phase positioning</w:t>
      </w:r>
    </w:p>
    <w:p>
      <w:pPr>
        <w:pStyle w:val="FirstParagraph"/>
      </w:pPr>
      <w:r>
        <w:t xml:space="preserve">Measuring the phase of the carrier itself (wavelength 19–24 cm) to about 1/100 of a cycle gives</w:t>
      </w:r>
      <w:r>
        <w:t xml:space="preserve"> </w:t>
      </w:r>
      <w:r>
        <w:rPr>
          <w:bCs/>
          <w:b/>
        </w:rPr>
        <w:t xml:space="preserve">millimetre-level</w:t>
      </w:r>
      <w:r>
        <w:t xml:space="preserve"> </w:t>
      </w:r>
      <w:r>
        <w:t xml:space="preserve">precision. The unknown is the</w:t>
      </w:r>
      <w:r>
        <w:t xml:space="preserve"> </w:t>
      </w:r>
      <w:r>
        <w:rPr>
          <w:bCs/>
          <w:b/>
        </w:rPr>
        <w:t xml:space="preserve">integer ambiguity</w:t>
      </w:r>
      <w:r>
        <w:t xml:space="preserve"> </w:t>
      </w:r>
      <m:oMath>
        <m:r>
          <m:t>N</m:t>
        </m:r>
      </m:oMath>
      <w:r>
        <w:t xml:space="preserve">, the whole number of cycles between satellite and receiver:</w:t>
      </w:r>
    </w:p>
    <w:p>
      <w:pPr>
        <w:pStyle w:val="BodyText"/>
      </w:pPr>
      <m:oMathPara>
        <m:oMathParaPr>
          <m:jc m:val="center"/>
        </m:oMathParaPr>
        <m:oMath>
          <m:sSub>
            <m:e>
              <m:r>
                <m:t>Φ</m:t>
              </m:r>
            </m:e>
            <m:sub>
              <m:r>
                <m:t>i</m:t>
              </m:r>
            </m:sub>
          </m:sSub>
          <m:r>
            <m:rPr>
              <m:sty m:val="p"/>
            </m:rPr>
            <m:t>=</m:t>
          </m:r>
          <m:sSub>
            <m:e>
              <m:r>
                <m:t>ρ</m:t>
              </m:r>
            </m:e>
            <m:sub>
              <m:r>
                <m:t>i</m:t>
              </m:r>
            </m:sub>
          </m:sSub>
          <m:r>
            <m:rPr>
              <m:sty m:val="p"/>
            </m:rPr>
            <m:t>+</m:t>
          </m:r>
          <m:r>
            <m:t>c</m:t>
          </m:r>
          <m:r>
            <m:t> </m:t>
          </m:r>
          <m:r>
            <m:t>δ</m:t>
          </m:r>
          <m:sSub>
            <m:e>
              <m:r>
                <m:t>t</m:t>
              </m:r>
            </m:e>
            <m:sub>
              <m:r>
                <m:t>r</m:t>
              </m:r>
            </m:sub>
          </m:sSub>
          <m:r>
            <m:rPr>
              <m:sty m:val="p"/>
            </m:rPr>
            <m:t>−</m:t>
          </m:r>
          <m:r>
            <m:t>c</m:t>
          </m:r>
          <m:r>
            <m:t> </m:t>
          </m:r>
          <m:r>
            <m:t>δ</m:t>
          </m:r>
          <m:sSup>
            <m:e>
              <m:r>
                <m:t>t</m:t>
              </m:r>
            </m:e>
            <m:sup>
              <m:r>
                <m:t>s</m:t>
              </m:r>
            </m:sup>
          </m:sSup>
          <m:r>
            <m:rPr>
              <m:sty m:val="p"/>
            </m:rPr>
            <m:t>+</m:t>
          </m:r>
          <m:r>
            <m:t>λ</m:t>
          </m:r>
          <m:sSub>
            <m:e>
              <m:r>
                <m:t>N</m:t>
              </m:r>
            </m:e>
            <m:sub>
              <m:r>
                <m:t>i</m:t>
              </m:r>
            </m:sub>
          </m:sSub>
          <m:r>
            <m:rPr>
              <m:sty m:val="p"/>
            </m:rPr>
            <m:t>+</m:t>
          </m:r>
          <m:r>
            <m:t>ε</m:t>
          </m:r>
        </m:oMath>
      </m:oMathPara>
    </w:p>
    <w:p>
      <w:pPr>
        <w:pStyle w:val="FirstParagraph"/>
      </w:pPr>
      <w:r>
        <w:t xml:space="preserve">Ambiguities are resolved over time or with dual-frequency</w:t>
      </w:r>
      <w:r>
        <w:t xml:space="preserve"> </w:t>
      </w:r>
      <w:r>
        <w:t xml:space="preserve">“</w:t>
      </w:r>
      <w:r>
        <w:t xml:space="preserve">on-the-fly</w:t>
      </w:r>
      <w:r>
        <w:t xml:space="preserve">”</w:t>
      </w:r>
      <w:r>
        <w:t xml:space="preserve"> </w:t>
      </w:r>
      <w:r>
        <w:t xml:space="preserve">techniques.</w:t>
      </w:r>
      <w:r>
        <w:t xml:space="preserve"> </w:t>
      </w:r>
      <w:r>
        <w:rPr>
          <w:bCs/>
          <w:b/>
        </w:rPr>
        <w:t xml:space="preserve">Cycle slips</w:t>
      </w:r>
      <w:r>
        <w:t xml:space="preserve"> </w:t>
      </w:r>
      <w:r>
        <w:t xml:space="preserve">(loss of lock) must be detected and repaired. Double-differencing between two receivers and two satellites cancels the satellite and receiver clock errors.</w:t>
      </w:r>
    </w:p>
    <w:p>
      <w:pPr>
        <w:pStyle w:val="Heading2"/>
      </w:pPr>
      <w:r>
        <w:t xml:space="preserve">12.5 Error Sources and Their Magnitudes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Error source</w:t>
            </w:r>
          </w:p>
        </w:tc>
        <w:tc>
          <w:tcPr/>
          <w:p>
            <w:pPr>
              <w:pStyle w:val="Compact"/>
              <w:jc w:val="left"/>
            </w:pPr>
            <w:r>
              <w:t xml:space="preserve">Approx. range error (m, RMS, legacy SPS)</w:t>
            </w:r>
          </w:p>
        </w:tc>
        <w:tc>
          <w:tcPr/>
          <w:p>
            <w:pPr>
              <w:pStyle w:val="Compact"/>
              <w:jc w:val="left"/>
            </w:pPr>
            <w:r>
              <w:t xml:space="preserve">Correctable by differential?</w:t>
            </w:r>
          </w:p>
        </w:tc>
      </w:tr>
      <w:tr>
        <w:tc>
          <w:tcPr/>
          <w:p>
            <w:pPr>
              <w:pStyle w:val="Compact"/>
              <w:jc w:val="left"/>
            </w:pPr>
            <w:r>
              <w:t xml:space="preserve">Satellite clock</w:t>
            </w:r>
          </w:p>
        </w:tc>
        <w:tc>
          <w:tcPr/>
          <w:p>
            <w:pPr>
              <w:pStyle w:val="Compact"/>
              <w:jc w:val="left"/>
            </w:pPr>
            <w:r>
              <w:t xml:space="preserve">~3.0</w:t>
            </w:r>
          </w:p>
        </w:tc>
        <w:tc>
          <w:tcPr/>
          <w:p>
            <w:pPr>
              <w:pStyle w:val="Compact"/>
              <w:jc w:val="left"/>
            </w:pPr>
            <w:r>
              <w:t xml:space="preserve">Yes</w:t>
            </w:r>
          </w:p>
        </w:tc>
      </w:tr>
      <w:tr>
        <w:tc>
          <w:tcPr/>
          <w:p>
            <w:pPr>
              <w:pStyle w:val="Compact"/>
              <w:jc w:val="left"/>
            </w:pPr>
            <w:r>
              <w:t xml:space="preserve">Ephemeris (orbit)</w:t>
            </w:r>
          </w:p>
        </w:tc>
        <w:tc>
          <w:tcPr/>
          <w:p>
            <w:pPr>
              <w:pStyle w:val="Compact"/>
              <w:jc w:val="left"/>
            </w:pPr>
            <w:r>
              <w:t xml:space="preserve">~2.7</w:t>
            </w:r>
          </w:p>
        </w:tc>
        <w:tc>
          <w:tcPr/>
          <w:p>
            <w:pPr>
              <w:pStyle w:val="Compact"/>
              <w:jc w:val="left"/>
            </w:pPr>
            <w:r>
              <w:t xml:space="preserve">Yes</w:t>
            </w:r>
          </w:p>
        </w:tc>
      </w:tr>
      <w:tr>
        <w:tc>
          <w:tcPr/>
          <w:p>
            <w:pPr>
              <w:pStyle w:val="Compact"/>
              <w:jc w:val="left"/>
            </w:pPr>
            <w:r>
              <w:rPr>
                <w:bCs/>
                <w:b/>
              </w:rPr>
              <w:t xml:space="preserve">Ionospheric delay</w:t>
            </w:r>
          </w:p>
        </w:tc>
        <w:tc>
          <w:tcPr/>
          <w:p>
            <w:pPr>
              <w:pStyle w:val="Compact"/>
              <w:jc w:val="left"/>
            </w:pPr>
            <w:r>
              <w:t xml:space="preserve">~8.2 (largest natural error)</w:t>
            </w:r>
          </w:p>
        </w:tc>
        <w:tc>
          <w:tcPr/>
          <w:p>
            <w:pPr>
              <w:pStyle w:val="Compact"/>
              <w:jc w:val="left"/>
            </w:pPr>
            <w:r>
              <w:t xml:space="preserve">Yes (and by dual frequency)</w:t>
            </w:r>
          </w:p>
        </w:tc>
      </w:tr>
      <w:tr>
        <w:tc>
          <w:tcPr/>
          <w:p>
            <w:pPr>
              <w:pStyle w:val="Compact"/>
              <w:jc w:val="left"/>
            </w:pPr>
            <w:r>
              <w:t xml:space="preserve">Tropospheric delay (humidity, temperature, altitude)</w:t>
            </w:r>
          </w:p>
        </w:tc>
        <w:tc>
          <w:tcPr/>
          <w:p>
            <w:pPr>
              <w:pStyle w:val="Compact"/>
              <w:jc w:val="left"/>
            </w:pPr>
            <w:r>
              <w:t xml:space="preserve">~1.8</w:t>
            </w:r>
          </w:p>
        </w:tc>
        <w:tc>
          <w:tcPr/>
          <w:p>
            <w:pPr>
              <w:pStyle w:val="Compact"/>
              <w:jc w:val="left"/>
            </w:pPr>
            <w:r>
              <w:t xml:space="preserve">Yes</w:t>
            </w:r>
          </w:p>
        </w:tc>
      </w:tr>
      <w:tr>
        <w:tc>
          <w:tcPr/>
          <w:p>
            <w:pPr>
              <w:pStyle w:val="Compact"/>
              <w:jc w:val="left"/>
            </w:pPr>
            <w:r>
              <w:t xml:space="preserve">Selective Availability (until 2 May 2000)</w:t>
            </w:r>
          </w:p>
        </w:tc>
        <w:tc>
          <w:tcPr/>
          <w:p>
            <w:pPr>
              <w:pStyle w:val="Compact"/>
              <w:jc w:val="left"/>
            </w:pPr>
            <w:r>
              <w:t xml:space="preserve">~27</w:t>
            </w:r>
          </w:p>
        </w:tc>
        <w:tc>
          <w:tcPr/>
          <w:p>
            <w:pPr>
              <w:pStyle w:val="Compact"/>
              <w:jc w:val="left"/>
            </w:pPr>
            <w:r>
              <w:t xml:space="preserve">Yes</w:t>
            </w:r>
          </w:p>
        </w:tc>
      </w:tr>
      <w:tr>
        <w:tc>
          <w:tcPr/>
          <w:p>
            <w:pPr>
              <w:pStyle w:val="Compact"/>
              <w:jc w:val="left"/>
            </w:pPr>
            <w:r>
              <w:t xml:space="preserve">Receiver noise</w:t>
            </w:r>
          </w:p>
        </w:tc>
        <w:tc>
          <w:tcPr/>
          <w:p>
            <w:pPr>
              <w:pStyle w:val="Compact"/>
              <w:jc w:val="left"/>
            </w:pPr>
            <w:r>
              <w:t xml:space="preserve">~9 (legacy)</w:t>
            </w:r>
          </w:p>
        </w:tc>
        <w:tc>
          <w:tcPr/>
          <w:p>
            <w:pPr>
              <w:pStyle w:val="Compact"/>
              <w:jc w:val="left"/>
            </w:pPr>
            <w:r>
              <w:t xml:space="preserve">No</w:t>
            </w:r>
          </w:p>
        </w:tc>
      </w:tr>
      <w:tr>
        <w:tc>
          <w:tcPr/>
          <w:p>
            <w:pPr>
              <w:pStyle w:val="Compact"/>
              <w:jc w:val="left"/>
            </w:pPr>
            <w:r>
              <w:rPr>
                <w:bCs/>
                <w:b/>
              </w:rPr>
              <w:t xml:space="preserve">Multipath</w:t>
            </w:r>
            <w:r>
              <w:t xml:space="preserve"> </w:t>
            </w:r>
            <w:r>
              <w:t xml:space="preserve">(reflections from buildings, water, ground)</w:t>
            </w:r>
          </w:p>
        </w:tc>
        <w:tc>
          <w:tcPr/>
          <w:p>
            <w:pPr>
              <w:pStyle w:val="Compact"/>
              <w:jc w:val="left"/>
            </w:pPr>
            <w:r>
              <w:t xml:space="preserve">~3</w:t>
            </w:r>
          </w:p>
        </w:tc>
        <w:tc>
          <w:tcPr/>
          <w:p>
            <w:pPr>
              <w:pStyle w:val="Compact"/>
              <w:jc w:val="left"/>
            </w:pPr>
            <w:r>
              <w:t xml:space="preserve">No (use choke rings, site selection, averaging)</w:t>
            </w:r>
          </w:p>
        </w:tc>
      </w:tr>
    </w:tbl>
    <w:p>
      <w:pPr>
        <w:pStyle w:val="BodyText"/>
      </w:pPr>
      <w:r>
        <w:rPr>
          <w:bCs/>
          <w:b/>
        </w:rPr>
        <w:t xml:space="preserve">Ionospheric correction with dual frequency:</w:t>
      </w:r>
      <w:r>
        <w:t xml:space="preserve"> </w:t>
      </w:r>
      <w:r>
        <w:t xml:space="preserve">delay ∝ TEC/f², so the ionosphere-free combination is</w:t>
      </w:r>
    </w:p>
    <w:p>
      <w:pPr>
        <w:pStyle w:val="BodyText"/>
      </w:pPr>
      <m:oMathPara>
        <m:oMathParaPr>
          <m:jc m:val="center"/>
        </m:oMathParaPr>
        <m:oMath>
          <m:sSub>
            <m:e>
              <m:r>
                <m:t>P</m:t>
              </m:r>
            </m:e>
            <m:sub>
              <m:r>
                <m:t>I</m:t>
              </m:r>
              <m:r>
                <m:t>F</m:t>
              </m:r>
            </m:sub>
          </m:sSub>
          <m:r>
            <m:rPr>
              <m:sty m:val="p"/>
            </m:rPr>
            <m:t>=</m:t>
          </m:r>
          <m:f>
            <m:fPr>
              <m:type m:val="bar"/>
            </m:fPr>
            <m:num>
              <m:sSubSup>
                <m:e>
                  <m:r>
                    <m:t>f</m:t>
                  </m:r>
                </m:e>
                <m:sub>
                  <m:r>
                    <m:t>1</m:t>
                  </m:r>
                </m:sub>
                <m:sup>
                  <m:r>
                    <m:t>2</m:t>
                  </m:r>
                </m:sup>
              </m:sSubSup>
              <m:sSub>
                <m:e>
                  <m:r>
                    <m:t>P</m:t>
                  </m:r>
                </m:e>
                <m:sub>
                  <m:r>
                    <m:t>1</m:t>
                  </m:r>
                </m:sub>
              </m:sSub>
              <m:r>
                <m:rPr>
                  <m:sty m:val="p"/>
                </m:rPr>
                <m:t>−</m:t>
              </m:r>
              <m:sSubSup>
                <m:e>
                  <m:r>
                    <m:t>f</m:t>
                  </m:r>
                </m:e>
                <m:sub>
                  <m:r>
                    <m:t>2</m:t>
                  </m:r>
                </m:sub>
                <m:sup>
                  <m:r>
                    <m:t>2</m:t>
                  </m:r>
                </m:sup>
              </m:sSubSup>
              <m:sSub>
                <m:e>
                  <m:r>
                    <m:t>P</m:t>
                  </m:r>
                </m:e>
                <m:sub>
                  <m:r>
                    <m:t>2</m:t>
                  </m:r>
                </m:sub>
              </m:sSub>
            </m:num>
            <m:den>
              <m:sSubSup>
                <m:e>
                  <m:r>
                    <m:t>f</m:t>
                  </m:r>
                </m:e>
                <m:sub>
                  <m:r>
                    <m:t>1</m:t>
                  </m:r>
                </m:sub>
                <m:sup>
                  <m:r>
                    <m:t>2</m:t>
                  </m:r>
                </m:sup>
              </m:sSubSup>
              <m:r>
                <m:rPr>
                  <m:sty m:val="p"/>
                </m:rPr>
                <m:t>−</m:t>
              </m:r>
              <m:sSubSup>
                <m:e>
                  <m:r>
                    <m:t>f</m:t>
                  </m:r>
                </m:e>
                <m:sub>
                  <m:r>
                    <m:t>2</m:t>
                  </m:r>
                </m:sub>
                <m:sup>
                  <m:r>
                    <m:t>2</m:t>
                  </m:r>
                </m:sup>
              </m:sSubSup>
            </m:den>
          </m:f>
        </m:oMath>
      </m:oMathPara>
    </w:p>
    <w:p>
      <w:pPr>
        <w:pStyle w:val="FirstParagraph"/>
      </w:pPr>
      <w:r>
        <w:rPr>
          <w:bCs/>
          <w:b/>
        </w:rPr>
        <w:t xml:space="preserve">Dilution of Precision (DOP)</w:t>
      </w:r>
      <w:r>
        <w:t xml:space="preserve"> </w:t>
      </w:r>
      <w:r>
        <w:t xml:space="preserve">describes how satellite geometry amplifies range errors: position error ≈ DOP × UERE (user equivalent range error). Types: GDOP (geometric), PDOP (position), HDOP (horizontal), VDOP (vertical), TDOP (time). Satellites spread across the sky give low DOP (good). Clustered satellites give high DOP.</w:t>
      </w:r>
      <w:r>
        <w:t xml:space="preserve"> </w:t>
      </w:r>
      <w:r>
        <w:rPr>
          <w:bCs/>
          <w:b/>
        </w:rPr>
        <w:t xml:space="preserve">PDOP below 4–6</w:t>
      </w:r>
      <w:r>
        <w:t xml:space="preserve"> </w:t>
      </w:r>
      <w:r>
        <w:t xml:space="preserve">is acceptable for mapping.</w:t>
      </w:r>
    </w:p>
    <w:p>
      <w:pPr>
        <w:pStyle w:val="BodyText"/>
      </w:pPr>
      <w:r>
        <w:rPr>
          <w:bCs/>
          <w:b/>
        </w:rPr>
        <w:t xml:space="preserve">SPS and PPS:</w:t>
      </w:r>
      <w:r>
        <w:t xml:space="preserve"> </w:t>
      </w:r>
      <w:r>
        <w:t xml:space="preserve">the Standard Positioning Service (civil, C/A) and the Precise Positioning Service (authorised, P(Y)).</w:t>
      </w:r>
      <w:r>
        <w:t xml:space="preserve"> </w:t>
      </w:r>
      <w:r>
        <w:rPr>
          <w:bCs/>
          <w:b/>
        </w:rPr>
        <w:t xml:space="preserve">Selective Availability (SA)</w:t>
      </w:r>
      <w:r>
        <w:t xml:space="preserve">, an intentional dithering of satellite clocks and ephemeris that degraded SPS to about 100 m (2D, 95%), was</w:t>
      </w:r>
      <w:r>
        <w:t xml:space="preserve"> </w:t>
      </w:r>
      <w:r>
        <w:rPr>
          <w:bCs/>
          <w:b/>
        </w:rPr>
        <w:t xml:space="preserve">switched off on 1/2 May 2000</w:t>
      </w:r>
      <w:r>
        <w:t xml:space="preserve">.</w:t>
      </w:r>
      <w:r>
        <w:t xml:space="preserve"> </w:t>
      </w:r>
      <w:r>
        <w:rPr>
          <w:bCs/>
          <w:b/>
        </w:rPr>
        <w:t xml:space="preserve">Anti-Spoofing (AS)</w:t>
      </w:r>
      <w:r>
        <w:t xml:space="preserve"> </w:t>
      </w:r>
      <w:r>
        <w:t xml:space="preserve">encrypts P into Y code.</w:t>
      </w:r>
    </w:p>
    <w:p>
      <w:pPr>
        <w:pStyle w:val="Heading2"/>
      </w:pPr>
      <w:r>
        <w:t xml:space="preserve">12.6 Differential GPS (DGPS) and RTK</w:t>
      </w:r>
    </w:p>
    <w:p>
      <w:pPr>
        <w:pStyle w:val="FirstParagraph"/>
      </w:pPr>
      <w:r>
        <w:t xml:space="preserve">A</w:t>
      </w:r>
      <w:r>
        <w:t xml:space="preserve"> </w:t>
      </w:r>
      <w:r>
        <w:rPr>
          <w:bCs/>
          <w:b/>
        </w:rPr>
        <w:t xml:space="preserve">reference (base) receiver</w:t>
      </w:r>
      <w:r>
        <w:t xml:space="preserve"> </w:t>
      </w:r>
      <w:r>
        <w:t xml:space="preserve">on a precisely known control point computes the difference between its known and its GPS-derived position (or range corrections per satellite), the</w:t>
      </w:r>
      <w:r>
        <w:t xml:space="preserve"> </w:t>
      </w:r>
      <w:r>
        <w:rPr>
          <w:bCs/>
          <w:b/>
        </w:rPr>
        <w:t xml:space="preserve">Δ correction</w:t>
      </w:r>
      <w:r>
        <w:t xml:space="preserve">. This correction is applied to</w:t>
      </w:r>
      <w:r>
        <w:t xml:space="preserve"> </w:t>
      </w:r>
      <w:r>
        <w:rPr>
          <w:bCs/>
          <w:b/>
        </w:rPr>
        <w:t xml:space="preserve">rover</w:t>
      </w:r>
      <w:r>
        <w:t xml:space="preserve"> </w:t>
      </w:r>
      <w:r>
        <w:t xml:space="preserve">receivers nearby, which suffer almost the same correctable errors (clock, ephemeris, atmosphere). Corrections are applied in real time (by radio, cellular or satellite link) or in</w:t>
      </w:r>
      <w:r>
        <w:t xml:space="preserve"> </w:t>
      </w:r>
      <w:r>
        <w:rPr>
          <w:bCs/>
          <w:b/>
        </w:rPr>
        <w:t xml:space="preserve">post-processing</w:t>
      </w:r>
      <w:r>
        <w:t xml:space="preserv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Technique</w:t>
            </w:r>
          </w:p>
        </w:tc>
        <w:tc>
          <w:tcPr/>
          <w:p>
            <w:pPr>
              <w:pStyle w:val="Compact"/>
              <w:jc w:val="left"/>
            </w:pPr>
            <w:r>
              <w:t xml:space="preserve">Observable</w:t>
            </w:r>
          </w:p>
        </w:tc>
        <w:tc>
          <w:tcPr/>
          <w:p>
            <w:pPr>
              <w:pStyle w:val="Compact"/>
              <w:jc w:val="left"/>
            </w:pPr>
            <w:r>
              <w:t xml:space="preserve">Typical accuracy</w:t>
            </w:r>
          </w:p>
        </w:tc>
      </w:tr>
      <w:tr>
        <w:tc>
          <w:tcPr/>
          <w:p>
            <w:pPr>
              <w:pStyle w:val="Compact"/>
              <w:jc w:val="left"/>
            </w:pPr>
            <w:r>
              <w:t xml:space="preserve">Autonomous (single receiver, C/A)</w:t>
            </w:r>
          </w:p>
        </w:tc>
        <w:tc>
          <w:tcPr/>
          <w:p>
            <w:pPr>
              <w:pStyle w:val="Compact"/>
              <w:jc w:val="left"/>
            </w:pPr>
            <w:r>
              <w:t xml:space="preserve">Code</w:t>
            </w:r>
          </w:p>
        </w:tc>
        <w:tc>
          <w:tcPr/>
          <w:p>
            <w:pPr>
              <w:pStyle w:val="Compact"/>
              <w:jc w:val="left"/>
            </w:pPr>
            <w:r>
              <w:t xml:space="preserve">3–10 m (after SA off)</w:t>
            </w:r>
          </w:p>
        </w:tc>
      </w:tr>
      <w:tr>
        <w:tc>
          <w:tcPr/>
          <w:p>
            <w:pPr>
              <w:pStyle w:val="Compact"/>
              <w:jc w:val="left"/>
            </w:pPr>
            <w:r>
              <w:t xml:space="preserve">DGPS (code)</w:t>
            </w:r>
          </w:p>
        </w:tc>
        <w:tc>
          <w:tcPr/>
          <w:p>
            <w:pPr>
              <w:pStyle w:val="Compact"/>
              <w:jc w:val="left"/>
            </w:pPr>
            <w:r>
              <w:t xml:space="preserve">Code + corrections</w:t>
            </w:r>
          </w:p>
        </w:tc>
        <w:tc>
          <w:tcPr/>
          <w:p>
            <w:pPr>
              <w:pStyle w:val="Compact"/>
              <w:jc w:val="left"/>
            </w:pPr>
            <w:r>
              <w:t xml:space="preserve">0.5–3 m</w:t>
            </w:r>
          </w:p>
        </w:tc>
      </w:tr>
      <w:tr>
        <w:tc>
          <w:tcPr/>
          <w:p>
            <w:pPr>
              <w:pStyle w:val="Compact"/>
              <w:jc w:val="left"/>
            </w:pPr>
            <w:r>
              <w:t xml:space="preserve">SBAS (WAAS, EGNOS,</w:t>
            </w:r>
            <w:r>
              <w:t xml:space="preserve"> </w:t>
            </w:r>
            <w:r>
              <w:rPr>
                <w:bCs/>
                <w:b/>
              </w:rPr>
              <w:t xml:space="preserve">GAGAN</w:t>
            </w:r>
            <w:r>
              <w:t xml:space="preserve">)</w:t>
            </w:r>
          </w:p>
        </w:tc>
        <w:tc>
          <w:tcPr/>
          <w:p>
            <w:pPr>
              <w:pStyle w:val="Compact"/>
              <w:jc w:val="left"/>
            </w:pPr>
            <w:r>
              <w:t xml:space="preserve">Code + wide-area corrections via geostationary satellites</w:t>
            </w:r>
          </w:p>
        </w:tc>
        <w:tc>
          <w:tcPr/>
          <w:p>
            <w:pPr>
              <w:pStyle w:val="Compact"/>
              <w:jc w:val="left"/>
            </w:pPr>
            <w:r>
              <w:t xml:space="preserve">~1–3 m</w:t>
            </w:r>
          </w:p>
        </w:tc>
      </w:tr>
      <w:tr>
        <w:tc>
          <w:tcPr/>
          <w:p>
            <w:pPr>
              <w:pStyle w:val="Compact"/>
              <w:jc w:val="left"/>
            </w:pPr>
            <w:r>
              <w:rPr>
                <w:bCs/>
                <w:b/>
              </w:rPr>
              <w:t xml:space="preserve">RTK</w:t>
            </w:r>
            <w:r>
              <w:t xml:space="preserve"> </w:t>
            </w:r>
            <w:r>
              <w:t xml:space="preserve">(real-time kinematic)</w:t>
            </w:r>
          </w:p>
        </w:tc>
        <w:tc>
          <w:tcPr/>
          <w:p>
            <w:pPr>
              <w:pStyle w:val="Compact"/>
              <w:jc w:val="left"/>
            </w:pPr>
            <w:r>
              <w:t xml:space="preserve">Carrier phase + base corrections, ambiguities fixed</w:t>
            </w:r>
          </w:p>
        </w:tc>
        <w:tc>
          <w:tcPr/>
          <w:p>
            <w:pPr>
              <w:pStyle w:val="Compact"/>
              <w:jc w:val="left"/>
            </w:pPr>
            <w:r>
              <w:t xml:space="preserve">1–3 cm</w:t>
            </w:r>
          </w:p>
        </w:tc>
      </w:tr>
      <w:tr>
        <w:tc>
          <w:tcPr/>
          <w:p>
            <w:pPr>
              <w:pStyle w:val="Compact"/>
              <w:jc w:val="left"/>
            </w:pPr>
            <w:r>
              <w:t xml:space="preserve">Static relative (geodetic)</w:t>
            </w:r>
          </w:p>
        </w:tc>
        <w:tc>
          <w:tcPr/>
          <w:p>
            <w:pPr>
              <w:pStyle w:val="Compact"/>
              <w:jc w:val="left"/>
            </w:pPr>
            <w:r>
              <w:t xml:space="preserve">Long-session carrier phase</w:t>
            </w:r>
          </w:p>
        </w:tc>
        <w:tc>
          <w:tcPr/>
          <w:p>
            <w:pPr>
              <w:pStyle w:val="Compact"/>
              <w:jc w:val="left"/>
            </w:pPr>
            <w:r>
              <w:t xml:space="preserve">mm–cm, ~1 ppm of baseline</w:t>
            </w:r>
          </w:p>
        </w:tc>
      </w:tr>
      <w:tr>
        <w:tc>
          <w:tcPr/>
          <w:p>
            <w:pPr>
              <w:pStyle w:val="Compact"/>
              <w:jc w:val="left"/>
            </w:pPr>
            <w:r>
              <w:rPr>
                <w:bCs/>
                <w:b/>
              </w:rPr>
              <w:t xml:space="preserve">PPP</w:t>
            </w:r>
            <w:r>
              <w:t xml:space="preserve"> </w:t>
            </w:r>
            <w:r>
              <w:t xml:space="preserve">(precise point positioning)</w:t>
            </w:r>
          </w:p>
        </w:tc>
        <w:tc>
          <w:tcPr/>
          <w:p>
            <w:pPr>
              <w:pStyle w:val="Compact"/>
              <w:jc w:val="left"/>
            </w:pPr>
            <w:r>
              <w:t xml:space="preserve">Single receiver + precise orbits and clocks</w:t>
            </w:r>
          </w:p>
        </w:tc>
        <w:tc>
          <w:tcPr/>
          <w:p>
            <w:pPr>
              <w:pStyle w:val="Compact"/>
              <w:jc w:val="left"/>
            </w:pPr>
            <w:r>
              <w:t xml:space="preserve">cm (after convergence)</w:t>
            </w:r>
          </w:p>
        </w:tc>
      </w:tr>
      <w:tr>
        <w:tc>
          <w:tcPr/>
          <w:p>
            <w:pPr>
              <w:pStyle w:val="Compact"/>
              <w:jc w:val="left"/>
            </w:pPr>
            <w:r>
              <w:t xml:space="preserve">CORS / network RTK</w:t>
            </w:r>
          </w:p>
        </w:tc>
        <w:tc>
          <w:tcPr/>
          <w:p>
            <w:pPr>
              <w:pStyle w:val="Compact"/>
              <w:jc w:val="left"/>
            </w:pPr>
            <w:r>
              <w:t xml:space="preserve">Network of permanent reference stations</w:t>
            </w:r>
          </w:p>
        </w:tc>
        <w:tc>
          <w:tcPr/>
          <w:p>
            <w:pPr>
              <w:pStyle w:val="Compact"/>
              <w:jc w:val="left"/>
            </w:pPr>
            <w:r>
              <w:t xml:space="preserve">cm over a region</w:t>
            </w:r>
          </w:p>
        </w:tc>
      </w:tr>
    </w:tbl>
    <w:p>
      <w:pPr>
        <w:pStyle w:val="Heading2"/>
      </w:pPr>
      <w:r>
        <w:t xml:space="preserve">12.7 Other GNSS and Regional Systems</w:t>
      </w:r>
    </w:p>
    <w:p>
      <w:pPr>
        <w:pStyle w:val="FirstParagraph"/>
      </w:pPr>
      <w:r>
        <w:rPr>
          <w:bCs/>
          <w:b/>
        </w:rPr>
        <w:t xml:space="preserve">GLONASS</w:t>
      </w:r>
      <w:r>
        <w:t xml:space="preserve"> </w:t>
      </w:r>
      <w:r>
        <w:t xml:space="preserve">(Russia, FDMA, 64.8° inclination),</w:t>
      </w:r>
      <w:r>
        <w:t xml:space="preserve"> </w:t>
      </w:r>
      <w:r>
        <w:rPr>
          <w:bCs/>
          <w:b/>
        </w:rPr>
        <w:t xml:space="preserve">Galileo</w:t>
      </w:r>
      <w:r>
        <w:t xml:space="preserve"> </w:t>
      </w:r>
      <w:r>
        <w:t xml:space="preserve">(EU, civilian, E1/E5/E6),</w:t>
      </w:r>
      <w:r>
        <w:t xml:space="preserve"> </w:t>
      </w:r>
      <w:r>
        <w:rPr>
          <w:bCs/>
          <w:b/>
        </w:rPr>
        <w:t xml:space="preserve">BeiDou</w:t>
      </w:r>
      <w:r>
        <w:t xml:space="preserve"> </w:t>
      </w:r>
      <w:r>
        <w:t xml:space="preserve">(China, global),</w:t>
      </w:r>
      <w:r>
        <w:t xml:space="preserve"> </w:t>
      </w:r>
      <w:r>
        <w:rPr>
          <w:bCs/>
          <w:b/>
        </w:rPr>
        <w:t xml:space="preserve">NavIC/IRNSS</w:t>
      </w:r>
      <w:r>
        <w:t xml:space="preserve"> </w:t>
      </w:r>
      <w:r>
        <w:t xml:space="preserve">(India, regional, L5 and S-band),</w:t>
      </w:r>
      <w:r>
        <w:t xml:space="preserve"> </w:t>
      </w:r>
      <w:r>
        <w:rPr>
          <w:bCs/>
          <w:b/>
        </w:rPr>
        <w:t xml:space="preserve">QZSS</w:t>
      </w:r>
      <w:r>
        <w:t xml:space="preserve"> </w:t>
      </w:r>
      <w:r>
        <w:t xml:space="preserve">(Japan). India’s</w:t>
      </w:r>
      <w:r>
        <w:t xml:space="preserve"> </w:t>
      </w:r>
      <w:r>
        <w:rPr>
          <w:bCs/>
          <w:b/>
        </w:rPr>
        <w:t xml:space="preserve">GAGAN</w:t>
      </w:r>
      <w:r>
        <w:t xml:space="preserve"> </w:t>
      </w:r>
      <w:r>
        <w:t xml:space="preserve">SBAS (with AAI) augments GPS over Indian airspace. NavIC and GAGAN are described in the next sections. Multi-constellation, multi-frequency receivers improve availability in obstructed areas (orchards, hills, urban canyons) and speed up RTK fixes.</w:t>
      </w:r>
    </w:p>
    <w:p>
      <w:pPr>
        <w:pStyle w:val="Heading2"/>
      </w:pPr>
      <w:r>
        <w:t xml:space="preserve">12.8 Applications of GNSS in Agriculture and Remote Sensing</w:t>
      </w:r>
    </w:p>
    <w:p>
      <w:pPr>
        <w:pStyle w:val="Compact"/>
        <w:numPr>
          <w:ilvl w:val="0"/>
          <w:numId w:val="1094"/>
        </w:numPr>
      </w:pPr>
      <w:r>
        <w:rPr>
          <w:bCs/>
          <w:b/>
        </w:rPr>
        <w:t xml:space="preserve">Ground truth and GCP collection:</w:t>
      </w:r>
      <w:r>
        <w:t xml:space="preserve"> </w:t>
      </w:r>
      <w:r>
        <w:t xml:space="preserve">geotagged field observations (crop type, CCE plots, soil samples), GCPs for image rectification.</w:t>
      </w:r>
    </w:p>
    <w:p>
      <w:pPr>
        <w:pStyle w:val="Compact"/>
        <w:numPr>
          <w:ilvl w:val="0"/>
          <w:numId w:val="1094"/>
        </w:numPr>
      </w:pPr>
      <w:r>
        <w:rPr>
          <w:bCs/>
          <w:b/>
        </w:rPr>
        <w:t xml:space="preserve">Precision farming:</w:t>
      </w:r>
      <w:r>
        <w:t xml:space="preserve"> </w:t>
      </w:r>
      <w:r>
        <w:t xml:space="preserve">yield monitoring, grid soil sampling, variable-rate application, auto-steering and controlled-traffic farming (RTK, about 2 cm), boundary mapping.</w:t>
      </w:r>
    </w:p>
    <w:p>
      <w:pPr>
        <w:pStyle w:val="Compact"/>
        <w:numPr>
          <w:ilvl w:val="0"/>
          <w:numId w:val="1094"/>
        </w:numPr>
      </w:pPr>
      <w:r>
        <w:rPr>
          <w:bCs/>
          <w:b/>
        </w:rPr>
        <w:t xml:space="preserve">Geotagging of assets and schemes:</w:t>
      </w:r>
      <w:r>
        <w:t xml:space="preserve"> </w:t>
      </w:r>
      <w:r>
        <w:t xml:space="preserve">Bhuvan apps (MGNREGA, PMKSY, RKVY), crop photographs (CROPIC), digital crop survey under AgriStack.</w:t>
      </w:r>
    </w:p>
    <w:p>
      <w:pPr>
        <w:pStyle w:val="Compact"/>
        <w:numPr>
          <w:ilvl w:val="0"/>
          <w:numId w:val="1094"/>
        </w:numPr>
      </w:pPr>
      <w:r>
        <w:rPr>
          <w:bCs/>
          <w:b/>
        </w:rPr>
        <w:t xml:space="preserve">Surveying and mapping:</w:t>
      </w:r>
      <w:r>
        <w:t xml:space="preserve"> </w:t>
      </w:r>
      <w:r>
        <w:t xml:space="preserve">geodetic control, cadastral surveys (SVAMITVA with CORS and drones), photogrammetric control, DEM validation.</w:t>
      </w:r>
    </w:p>
    <w:p>
      <w:pPr>
        <w:pStyle w:val="Compact"/>
        <w:numPr>
          <w:ilvl w:val="0"/>
          <w:numId w:val="1094"/>
        </w:numPr>
      </w:pPr>
      <w:r>
        <w:rPr>
          <w:bCs/>
          <w:b/>
        </w:rPr>
        <w:t xml:space="preserve">Navigation and timing:</w:t>
      </w:r>
      <w:r>
        <w:t xml:space="preserve"> </w:t>
      </w:r>
      <w:r>
        <w:t xml:space="preserve">vehicles, ships, aircraft; time synchronisation of networks and AWS.</w:t>
      </w:r>
    </w:p>
    <w:p>
      <w:pPr>
        <w:pStyle w:val="Compact"/>
        <w:numPr>
          <w:ilvl w:val="0"/>
          <w:numId w:val="1094"/>
        </w:numPr>
      </w:pPr>
      <w:r>
        <w:rPr>
          <w:bCs/>
          <w:b/>
        </w:rPr>
        <w:t xml:space="preserve">Atmospheric science:</w:t>
      </w:r>
      <w:r>
        <w:t xml:space="preserve"> </w:t>
      </w:r>
      <w:r>
        <w:rPr>
          <w:bCs/>
          <w:b/>
        </w:rPr>
        <w:t xml:space="preserve">GNSS meteorology</w:t>
      </w:r>
      <w:r>
        <w:t xml:space="preserve">. Tropospheric delay gives precipitable water vapour.</w:t>
      </w:r>
      <w:r>
        <w:t xml:space="preserve"> </w:t>
      </w:r>
      <w:r>
        <w:rPr>
          <w:bCs/>
          <w:b/>
        </w:rPr>
        <w:t xml:space="preserve">GNSS radio occultation</w:t>
      </w:r>
      <w:r>
        <w:t xml:space="preserve"> </w:t>
      </w:r>
      <w:r>
        <w:t xml:space="preserve">gives temperature and humidity profiles.</w:t>
      </w:r>
      <w:r>
        <w:t xml:space="preserve"> </w:t>
      </w:r>
      <w:r>
        <w:rPr>
          <w:bCs/>
          <w:b/>
        </w:rPr>
        <w:t xml:space="preserve">GNSS reflectometry (GNSS-R)</w:t>
      </w:r>
      <w:r>
        <w:t xml:space="preserve"> </w:t>
      </w:r>
      <w:r>
        <w:t xml:space="preserve">gives soil moisture and ocean winds (EOS-08).</w:t>
      </w:r>
    </w:p>
    <w:p>
      <w:pPr>
        <w:pStyle w:val="Compact"/>
        <w:numPr>
          <w:ilvl w:val="0"/>
          <w:numId w:val="1094"/>
        </w:numPr>
      </w:pPr>
      <w:r>
        <w:rPr>
          <w:bCs/>
          <w:b/>
        </w:rPr>
        <w:t xml:space="preserve">Geodynamics:</w:t>
      </w:r>
      <w:r>
        <w:t xml:space="preserve"> </w:t>
      </w:r>
      <w:r>
        <w:t xml:space="preserve">crustal deformation, earthquakes, plate motion, landslide monitoring, geoid and gravity studies.</w:t>
      </w:r>
    </w:p>
    <w:p>
      <w:pPr>
        <w:pStyle w:val="Heading3"/>
      </w:pPr>
      <w:r>
        <w:t xml:space="preserve">12.8.1 Likely interview questions</w:t>
      </w:r>
    </w:p>
    <w:p>
      <w:pPr>
        <w:pStyle w:val="FirstParagraph"/>
      </w:pPr>
      <w:r>
        <w:rPr>
          <w:bCs/>
          <w:b/>
        </w:rPr>
        <w:t xml:space="preserve">Q. Why are at least four satellites needed for a GPS fix?</w:t>
      </w:r>
      <w:r>
        <w:t xml:space="preserve"> </w:t>
      </w:r>
      <w:r>
        <w:t xml:space="preserve">There are four unknowns: x, y, z and the receiver clock bias.</w:t>
      </w:r>
    </w:p>
    <w:p>
      <w:pPr>
        <w:pStyle w:val="BodyText"/>
      </w:pPr>
      <w:r>
        <w:rPr>
          <w:bCs/>
          <w:b/>
        </w:rPr>
        <w:t xml:space="preserve">Q. What is a pseudorange?</w:t>
      </w:r>
      <w:r>
        <w:t xml:space="preserve"> </w:t>
      </w:r>
      <w:r>
        <w:t xml:space="preserve">The range computed from signal travel time multiplied by the speed of light, biased by the clock offset between satellite and receiver.</w:t>
      </w:r>
    </w:p>
    <w:p>
      <w:pPr>
        <w:pStyle w:val="BodyText"/>
      </w:pPr>
      <w:r>
        <w:rPr>
          <w:bCs/>
          <w:b/>
        </w:rPr>
        <w:t xml:space="preserve">Q. Which is the largest GPS error source and how is it removed?</w:t>
      </w:r>
      <w:r>
        <w:t xml:space="preserve"> </w:t>
      </w:r>
      <w:r>
        <w:t xml:space="preserve">Ionospheric delay. It is removed with dual-frequency (ionosphere-free) combinations or differential correction.</w:t>
      </w:r>
    </w:p>
    <w:p>
      <w:pPr>
        <w:pStyle w:val="BodyText"/>
      </w:pPr>
      <w:r>
        <w:rPr>
          <w:bCs/>
          <w:b/>
        </w:rPr>
        <w:t xml:space="preserve">Q. What is DOP?</w:t>
      </w:r>
      <w:r>
        <w:t xml:space="preserve"> </w:t>
      </w:r>
      <w:r>
        <w:t xml:space="preserve">Dilution of Precision. Poor satellite geometry amplifies range errors; low PDOP is good.</w:t>
      </w:r>
    </w:p>
    <w:p>
      <w:pPr>
        <w:pStyle w:val="BodyText"/>
      </w:pPr>
      <w:r>
        <w:rPr>
          <w:bCs/>
          <w:b/>
        </w:rPr>
        <w:t xml:space="preserve">Q. When was Selective Availability turned off?</w:t>
      </w:r>
      <w:r>
        <w:t xml:space="preserve"> </w:t>
      </w:r>
      <w:r>
        <w:t xml:space="preserve">2 May 2000 (US time 1 May).</w:t>
      </w:r>
    </w:p>
    <w:p>
      <w:pPr>
        <w:pStyle w:val="BodyText"/>
      </w:pPr>
      <w:r>
        <w:rPr>
          <w:bCs/>
          <w:b/>
        </w:rPr>
        <w:t xml:space="preserve">Q. How does RTK reach centimetre accuracy?</w:t>
      </w:r>
      <w:r>
        <w:t xml:space="preserve"> </w:t>
      </w:r>
      <w:r>
        <w:t xml:space="preserve">It uses carrier-phase measurements with integer ambiguities resolved, plus real-time corrections from a nearby base station.</w:t>
      </w:r>
    </w:p>
    <w:p>
      <w:pPr>
        <w:pStyle w:val="Heading2"/>
      </w:pPr>
      <w:r>
        <w:t xml:space="preserve">12.9 GAGAN — GPS Aided Geo Augmented Navigation</w:t>
      </w:r>
    </w:p>
    <w:p>
      <w:pPr>
        <w:pStyle w:val="FirstParagraph"/>
      </w:pPr>
      <w:r>
        <w:t xml:space="preserve">GAGAN is India’s operational</w:t>
      </w:r>
      <w:r>
        <w:t xml:space="preserve"> </w:t>
      </w:r>
      <w:r>
        <w:rPr>
          <w:bCs/>
          <w:b/>
        </w:rPr>
        <w:t xml:space="preserve">Satellite-Based Augmentation System (SBAS)</w:t>
      </w:r>
      <w:r>
        <w:t xml:space="preserve">, jointly implemented by ISRO and the Airports Authority of India (AAI), designed to improve the accuracy, integrity and availability of GPS-based positioning specifically for civil aviation over the Indian flight-information region.</w:t>
      </w:r>
    </w:p>
    <w:p>
      <w:pPr>
        <w:pStyle w:val="Heading3"/>
      </w:pPr>
      <w:r>
        <w:t xml:space="preserve">12.9.1 Working principle</w:t>
      </w:r>
    </w:p>
    <w:p>
      <w:pPr>
        <w:pStyle w:val="FirstParagraph"/>
      </w:pPr>
      <w:r>
        <w:t xml:space="preserve">A network of precisely surveyed</w:t>
      </w:r>
      <w:r>
        <w:t xml:space="preserve"> </w:t>
      </w:r>
      <w:r>
        <w:rPr>
          <w:bCs/>
          <w:b/>
        </w:rPr>
        <w:t xml:space="preserve">Indian Reference Stations (INRES)</w:t>
      </w:r>
      <w:r>
        <w:t xml:space="preserve"> </w:t>
      </w:r>
      <w:r>
        <w:t xml:space="preserve">continuously receives GPS signals and compares the GPS-derived position/pseudorange against its own precisely known, surveyed location, computing the residual</w:t>
      </w:r>
      <w:r>
        <w:t xml:space="preserve"> </w:t>
      </w:r>
      <w:r>
        <w:rPr>
          <w:bCs/>
          <w:b/>
        </w:rPr>
        <w:t xml:space="preserve">error</w:t>
      </w:r>
      <w:r>
        <w:t xml:space="preserve"> </w:t>
      </w:r>
      <w:r>
        <w:t xml:space="preserve">in each GPS satellite’s signal — arising from GPS satellite-clock/orbit (ephemeris) errors, ionospheric-delay errors (the ionosphere retards/refracts the GPS radio signal by an amount dependent on the total electron content along the signal path, which varies with time of day, solar activity and geomagnetic latitude, and is the single largest GPS-error source over equatorial/low-latitude regions such as India), and tropospheric-delay errors. These computed corrections are relayed to a</w:t>
      </w:r>
      <w:r>
        <w:t xml:space="preserve"> </w:t>
      </w:r>
      <w:r>
        <w:rPr>
          <w:bCs/>
          <w:b/>
        </w:rPr>
        <w:t xml:space="preserve">Master Control Centre</w:t>
      </w:r>
      <w:r>
        <w:t xml:space="preserve">, which generates a</w:t>
      </w:r>
      <w:r>
        <w:t xml:space="preserve"> </w:t>
      </w:r>
      <w:r>
        <w:rPr>
          <w:bCs/>
          <w:b/>
        </w:rPr>
        <w:t xml:space="preserve">wide-area differential-correction and integrity message</w:t>
      </w:r>
      <w:r>
        <w:t xml:space="preserve">, uplinked to and broadcast from a</w:t>
      </w:r>
      <w:r>
        <w:t xml:space="preserve"> </w:t>
      </w:r>
      <w:r>
        <w:rPr>
          <w:bCs/>
          <w:b/>
        </w:rPr>
        <w:t xml:space="preserve">geostationary satellite</w:t>
      </w:r>
      <w:r>
        <w:t xml:space="preserve"> </w:t>
      </w:r>
      <w:r>
        <w:t xml:space="preserve">(historically leased transponders, and now including dedicated GAGAN payloads on ISRO’s own GSAT satellites) on the same GPS L1 frequency, so that any GPS receiver equipped to receive SBAS corrections (standard on modern aviation GPS receivers) can apply the broadcast correction to its own raw GPS position fix, substantially improving accuracy (from ~10–20 m standalone GPS accuracy to sub-3–5 m SBAS-corrected accuracy) and, critically for aviation, providing a real-time</w:t>
      </w:r>
      <w:r>
        <w:t xml:space="preserve"> </w:t>
      </w:r>
      <w:r>
        <w:rPr>
          <w:bCs/>
          <w:b/>
        </w:rPr>
        <w:t xml:space="preserve">integrity</w:t>
      </w:r>
      <w:r>
        <w:t xml:space="preserve"> </w:t>
      </w:r>
      <w:r>
        <w:t xml:space="preserve">guarantee (an alert if GPS positioning error exceeds a safe threshold, within a specified time-to-alert) that standalone GPS does not provide, enabling GAGAN-supported precision approach procedures at Indian airports.</w:t>
      </w:r>
    </w:p>
    <w:p>
      <w:pPr>
        <w:pStyle w:val="Heading2"/>
      </w:pPr>
      <w:r>
        <w:t xml:space="preserve">12.10 IRNSS / NavIC — Indian Regional Navigation Satellite System</w:t>
      </w:r>
    </w:p>
    <w:p>
      <w:pPr>
        <w:pStyle w:val="FirstParagraph"/>
      </w:pPr>
      <w:r>
        <w:t xml:space="preserve">IRNSS, operationally branded</w:t>
      </w:r>
      <w:r>
        <w:t xml:space="preserve"> </w:t>
      </w:r>
      <w:r>
        <w:rPr>
          <w:bCs/>
          <w:b/>
        </w:rPr>
        <w:t xml:space="preserve">NavIC</w:t>
      </w:r>
      <w:r>
        <w:t xml:space="preserve"> </w:t>
      </w:r>
      <w:r>
        <w:t xml:space="preserve">(Navigation with Indian Constellation), is India’s independent regional satellite-navigation system, providing positioning, navigation and timing services over India and a surrounding region (extending roughly 1500 km beyond India’s borders), using a constellation of geostationary and geosynchronous (inclined) satellites — deliberately chosen (rather than the global medium-Earth-orbit constellation architecture of GPS/GLONASS/Galileo) to guarantee continuous, high-elevation-angle visibility specifically over the Indian region, which improves signal availability in urban-canyon/terrain-shadowed conditions relative to lower-elevation GPS satellites as seen from India. NavIC broadcasts a</w:t>
      </w:r>
      <w:r>
        <w:t xml:space="preserve"> </w:t>
      </w:r>
      <w:r>
        <w:rPr>
          <w:bCs/>
          <w:b/>
        </w:rPr>
        <w:t xml:space="preserve">Standard Positioning Service (SPS)</w:t>
      </w:r>
      <w:r>
        <w:t xml:space="preserve">, open to civilian users, and a</w:t>
      </w:r>
      <w:r>
        <w:t xml:space="preserve"> </w:t>
      </w:r>
      <w:r>
        <w:rPr>
          <w:bCs/>
          <w:b/>
        </w:rPr>
        <w:t xml:space="preserve">Restricted Service (RS)</w:t>
      </w:r>
      <w:r>
        <w:t xml:space="preserve">, encrypted for authorised (strategic/military) users, and is of growing relevance to precision agriculture and disaster-response applications requiring independent, sovereign positioning capability not contingent on foreign satellite-navigation-system availability.</w:t>
      </w:r>
    </w:p>
    <w:p>
      <w:pPr>
        <w:pStyle w:val="Heading2"/>
      </w:pPr>
      <w:r>
        <w:t xml:space="preserve">12.11 GNSS Constellations Beyond GAGAN/NavIC — Context for Comparison</w:t>
      </w:r>
    </w:p>
    <w:p>
      <w:pPr>
        <w:pStyle w:val="FirstParagraph"/>
      </w:pPr>
      <w:r>
        <w:t xml:space="preserve">An interviewer familiar with satellite navigation may ask a candidate to place GAGAN and NavIC in the context of the broader global satellite-navigation landscape.</w:t>
      </w:r>
      <w:r>
        <w:t xml:space="preserve"> </w:t>
      </w:r>
      <w:r>
        <w:rPr>
          <w:bCs/>
          <w:b/>
        </w:rPr>
        <w:t xml:space="preserve">GPS</w:t>
      </w:r>
      <w:r>
        <w:t xml:space="preserve"> </w:t>
      </w:r>
      <w:r>
        <w:t xml:space="preserve">(United States, Global Positioning System) was the original operational Global Navigation Satellite System (GNSS), a medium-Earth-orbit (MEO, ~20,200 km altitude) constellation of (nominally) 24+ satellites;</w:t>
      </w:r>
      <w:r>
        <w:t xml:space="preserve"> </w:t>
      </w:r>
      <w:r>
        <w:rPr>
          <w:bCs/>
          <w:b/>
        </w:rPr>
        <w:t xml:space="preserve">GLONASS</w:t>
      </w:r>
      <w:r>
        <w:t xml:space="preserve"> </w:t>
      </w:r>
      <w:r>
        <w:t xml:space="preserve">(Russia) and</w:t>
      </w:r>
      <w:r>
        <w:t xml:space="preserve"> </w:t>
      </w:r>
      <w:r>
        <w:rPr>
          <w:bCs/>
          <w:b/>
        </w:rPr>
        <w:t xml:space="preserve">Galileo</w:t>
      </w:r>
      <w:r>
        <w:t xml:space="preserve"> </w:t>
      </w:r>
      <w:r>
        <w:t xml:space="preserve">(European Union) are the other two fully global MEO GNSS constellations, each independently providing worldwide positioning with broadly comparable accuracy to GPS;</w:t>
      </w:r>
      <w:r>
        <w:t xml:space="preserve"> </w:t>
      </w:r>
      <w:r>
        <w:rPr>
          <w:bCs/>
          <w:b/>
        </w:rPr>
        <w:t xml:space="preserve">BeiDou</w:t>
      </w:r>
      <w:r>
        <w:t xml:space="preserve"> </w:t>
      </w:r>
      <w:r>
        <w:t xml:space="preserve">(China) similarly provides global coverage from a mixed MEO/geostationary/inclined-geosynchronous constellation. A</w:t>
      </w:r>
      <w:r>
        <w:t xml:space="preserve"> </w:t>
      </w:r>
      <w:r>
        <w:rPr>
          <w:bCs/>
          <w:b/>
        </w:rPr>
        <w:t xml:space="preserve">Satellite-Based Augmentation System (SBAS)</w:t>
      </w:r>
      <w:r>
        <w:t xml:space="preserve">, of which GAGAN is India’s implementation, is fundamentally different in kind from these primary GNSS constellations — SBAS does not itself provide an independent positioning solution, but rather broadcasts</w:t>
      </w:r>
      <w:r>
        <w:t xml:space="preserve"> </w:t>
      </w:r>
      <w:r>
        <w:rPr>
          <w:iCs/>
          <w:i/>
        </w:rPr>
        <w:t xml:space="preserve">correction and integrity information</w:t>
      </w:r>
      <w:r>
        <w:t xml:space="preserve"> </w:t>
      </w:r>
      <w:r>
        <w:t xml:space="preserve">for an existing GNSS signal (predominantly GPS) — other national SBAS systems include the United States’ WAAS, Europe’s EGNOS, and Japan’s MSAS, all functioning on the same reference-station/correction-broadcast principle described for GAGAN. NavIC, by contrast, is a genuine independent regional GNSS constellation in its own right (not an augmentation system), broadcasting its own positioning signals rather than merely correcting another system’s signals — the essential distinction to state clearly if asked</w:t>
      </w:r>
      <w:r>
        <w:t xml:space="preserve"> </w:t>
      </w:r>
      <w:r>
        <w:t xml:space="preserve">“</w:t>
      </w:r>
      <w:r>
        <w:t xml:space="preserve">is NavIC the same kind of thing as GAGAN?</w:t>
      </w:r>
      <w:r>
        <w:t xml:space="preserve">”</w:t>
      </w:r>
    </w:p>
    <w:p>
      <w:pPr>
        <w:pStyle w:val="Heading2"/>
      </w:pPr>
      <w:r>
        <w:t xml:space="preserve">12.12 Multi-Constellation and Multi-Frequency GNSS Receivers in Agricultural Applications</w:t>
      </w:r>
    </w:p>
    <w:p>
      <w:pPr>
        <w:pStyle w:val="FirstParagraph"/>
      </w:pPr>
      <w:r>
        <w:t xml:space="preserve">Modern agricultural GNSS receivers (used in precision-agriculture guidance/VRT systems, Chapter 26, Section 26.2) increasingly track multiple constellations simultaneously (GPS + GLONASS + Galileo + BeiDou + NavIC, where regionally available) and multiple frequencies per constellation — multi-constellation tracking improves satellite geometry and availability (particularly valuable under partial sky obstruction from tree lines or terrain in irregularly shaped Indian field boundaries), while multi-frequency tracking (rather than single-frequency L1-only reception) allows the receiver to directly measure and correct for</w:t>
      </w:r>
      <w:r>
        <w:t xml:space="preserve"> </w:t>
      </w:r>
      <w:r>
        <w:rPr>
          <w:bCs/>
          <w:b/>
        </w:rPr>
        <w:t xml:space="preserve">ionospheric delay</w:t>
      </w:r>
      <w:r>
        <w:t xml:space="preserve"> </w:t>
      </w:r>
      <w:r>
        <w:t xml:space="preserve">from the signal’s own frequency-dependent propagation-delay difference, rather than relying solely on an externally broadcast SBAS correction — a dual-frequency receiver can in principle achieve much of GAGAN’s ionospheric-correction benefit autonomously, though SBAS correction remains valuable for its additional integrity-monitoring/alerting function that autonomous dual-frequency correction alone does not provide.</w:t>
      </w:r>
    </w:p>
    <w:p>
      <w:pPr>
        <w:pStyle w:val="Heading2"/>
      </w:pPr>
      <w:r>
        <w:t xml:space="preserve">12.13 Specialised Ground/Field and Calibration Instruments</w:t>
      </w:r>
    </w:p>
    <w:tbl>
      <w:tblPr>
        <w:tblStyle w:val="Table"/>
        <w:tblW w:type="pct" w:w="4989"/>
        <w:jc w:val="left"/>
        <w:tblLook w:firstRow="1" w:lastRow="0" w:firstColumn="0" w:lastColumn="0" w:noHBand="0" w:noVBand="0" w:val="0020"/>
      </w:tblPr>
      <w:tblGrid>
        <w:gridCol w:w="771"/>
        <w:gridCol w:w="1388"/>
        <w:gridCol w:w="5742"/>
      </w:tblGrid>
      <w:tr>
        <w:trPr>
          <w:tblHeader w:val="true"/>
        </w:trPr>
        <w:tc>
          <w:tcPr/>
          <w:p>
            <w:pPr>
              <w:pStyle w:val="Compact"/>
              <w:jc w:val="left"/>
            </w:pPr>
            <w:r>
              <w:t xml:space="preserve">Instrument</w:t>
            </w:r>
          </w:p>
        </w:tc>
        <w:tc>
          <w:tcPr/>
          <w:p>
            <w:pPr>
              <w:pStyle w:val="Compact"/>
              <w:jc w:val="left"/>
            </w:pPr>
            <w:r>
              <w:t xml:space="preserve">What it measures</w:t>
            </w:r>
          </w:p>
        </w:tc>
        <w:tc>
          <w:tcPr/>
          <w:p>
            <w:pPr>
              <w:pStyle w:val="Compact"/>
              <w:jc w:val="left"/>
            </w:pPr>
            <w:r>
              <w:t xml:space="preserve">Working principle</w:t>
            </w:r>
          </w:p>
        </w:tc>
      </w:tr>
      <w:tr>
        <w:tc>
          <w:tcPr/>
          <w:p>
            <w:pPr>
              <w:pStyle w:val="Compact"/>
              <w:jc w:val="left"/>
            </w:pPr>
            <w:r>
              <w:rPr>
                <w:bCs/>
                <w:b/>
              </w:rPr>
              <w:t xml:space="preserve">Sun-photometer</w:t>
            </w:r>
            <w:r>
              <w:t xml:space="preserve"> </w:t>
            </w:r>
            <w:r>
              <w:t xml:space="preserve">(CIMEL, Microtops)</w:t>
            </w:r>
          </w:p>
        </w:tc>
        <w:tc>
          <w:tcPr/>
          <w:p>
            <w:pPr>
              <w:pStyle w:val="Compact"/>
              <w:jc w:val="left"/>
            </w:pPr>
            <w:r>
              <w:t xml:space="preserve">Aerosol optical depth, columnar water vapour, ozone</w:t>
            </w:r>
          </w:p>
        </w:tc>
        <w:tc>
          <w:tcPr/>
          <w:p>
            <w:pPr>
              <w:pStyle w:val="Compact"/>
              <w:jc w:val="left"/>
            </w:pPr>
            <w:r>
              <w:t xml:space="preserve">Beer–Bouguer–Lambert-law inversion of direct-solar spectral irradiance.</w:t>
            </w:r>
          </w:p>
        </w:tc>
      </w:tr>
      <w:tr>
        <w:tc>
          <w:tcPr/>
          <w:p>
            <w:pPr>
              <w:pStyle w:val="Compact"/>
              <w:jc w:val="left"/>
            </w:pPr>
            <w:r>
              <w:rPr>
                <w:bCs/>
                <w:b/>
              </w:rPr>
              <w:t xml:space="preserve">Underwater radiometer</w:t>
            </w:r>
          </w:p>
        </w:tc>
        <w:tc>
          <w:tcPr/>
          <w:p>
            <w:pPr>
              <w:pStyle w:val="Compact"/>
              <w:jc w:val="left"/>
            </w:pPr>
            <w:r>
              <w:t xml:space="preserve">Downwelling/upwelling spectral irradiance and radiance within the water column</w:t>
            </w:r>
          </w:p>
        </w:tc>
        <w:tc>
          <w:tcPr/>
          <w:p>
            <w:pPr>
              <w:pStyle w:val="Compact"/>
              <w:jc w:val="left"/>
            </w:pPr>
            <w:r>
              <w:t xml:space="preserve">A radiometer housed in a waterproof casing, deployed at multiple depths, measuring the exponential attenuation of light with depth to derive the</w:t>
            </w:r>
            <w:r>
              <w:t xml:space="preserve"> </w:t>
            </w:r>
            <w:r>
              <w:rPr>
                <w:bCs/>
                <w:b/>
              </w:rPr>
              <w:t xml:space="preserve">diffuse attenuation coefficient (Kd)</w:t>
            </w:r>
            <w:r>
              <w:t xml:space="preserve"> </w:t>
            </w:r>
            <w:r>
              <w:t xml:space="preserve">— used for ocean-colour/water-clarity satellite-product (e.g., Oceansat-2 OCM chlorophyll) calibration/validation, since satellite ocean-colour algorithms require accurate in-water optical-property ground truth.</w:t>
            </w:r>
          </w:p>
        </w:tc>
      </w:tr>
      <w:tr>
        <w:tc>
          <w:tcPr/>
          <w:p>
            <w:pPr>
              <w:pStyle w:val="Compact"/>
              <w:jc w:val="left"/>
            </w:pPr>
            <w:r>
              <w:rPr>
                <w:bCs/>
                <w:b/>
              </w:rPr>
              <w:t xml:space="preserve">Radar tide gauge</w:t>
            </w:r>
          </w:p>
        </w:tc>
        <w:tc>
          <w:tcPr/>
          <w:p>
            <w:pPr>
              <w:pStyle w:val="Compact"/>
              <w:jc w:val="left"/>
            </w:pPr>
            <w:r>
              <w:t xml:space="preserve">Sea/water-level height at a fixed coastal or river-gauge location</w:t>
            </w:r>
          </w:p>
        </w:tc>
        <w:tc>
          <w:tcPr/>
          <w:p>
            <w:pPr>
              <w:pStyle w:val="Compact"/>
              <w:jc w:val="left"/>
            </w:pPr>
            <w:r>
              <w:t xml:space="preserve">A downward-looking radar transmits a pulse toward the water surface and measures the two-way travel time of the reflected pulse to compute the distance to the water surface (and hence water-surface elevation relative to a fixed datum) — a non-contact alternative to traditional float or pressure-based tide gauges, providing ground-truth for satellite altimetry (SARAL/AltiKa, Section 3.8) validation.</w:t>
            </w:r>
          </w:p>
        </w:tc>
      </w:tr>
      <w:tr>
        <w:tc>
          <w:tcPr/>
          <w:p>
            <w:pPr>
              <w:pStyle w:val="Compact"/>
              <w:jc w:val="left"/>
            </w:pPr>
            <w:r>
              <w:rPr>
                <w:bCs/>
                <w:b/>
              </w:rPr>
              <w:t xml:space="preserve">Micro-rain radar (MRR)</w:t>
            </w:r>
          </w:p>
        </w:tc>
        <w:tc>
          <w:tcPr/>
          <w:p>
            <w:pPr>
              <w:pStyle w:val="Compact"/>
              <w:jc w:val="left"/>
            </w:pPr>
            <w:r>
              <w:t xml:space="preserve">Vertical profile of rainfall drop-size distribution, rain rate and reflectivity through the atmospheric column above the instrument</w:t>
            </w:r>
          </w:p>
        </w:tc>
        <w:tc>
          <w:tcPr/>
          <w:p>
            <w:pPr>
              <w:pStyle w:val="Compact"/>
              <w:jc w:val="left"/>
            </w:pPr>
            <w:r>
              <w:t xml:space="preserve">A vertically pointing Doppler radar (typically FM-CW, frequency-modulated continuous-wave, operating at K-band) measuring the Doppler spectrum of backscattered signal from falling raindrops at successive height gates; because raindrop terminal fall velocity is a well-characterised function of drop diameter, the Doppler-velocity spectrum is inverted to a drop-size-distribution profile, from which rain rate and radar reflectivity (Z) are computed at each height — used for ground-validating satellite rainfall products (Hydro-Estimator, Megha-Tropiques MADRAS) and for studying the vertical structure of precipitation systems.</w:t>
            </w:r>
          </w:p>
        </w:tc>
      </w:tr>
      <w:tr>
        <w:tc>
          <w:tcPr/>
          <w:p>
            <w:pPr>
              <w:pStyle w:val="Compact"/>
              <w:jc w:val="left"/>
            </w:pPr>
            <w:r>
              <w:rPr>
                <w:bCs/>
                <w:b/>
              </w:rPr>
              <w:t xml:space="preserve">Disdrometer</w:t>
            </w:r>
          </w:p>
        </w:tc>
        <w:tc>
          <w:tcPr/>
          <w:p>
            <w:pPr>
              <w:pStyle w:val="Compact"/>
              <w:jc w:val="left"/>
            </w:pPr>
            <w:r>
              <w:t xml:space="preserve">Raindrop size distribution and fall velocity at the surface</w:t>
            </w:r>
          </w:p>
        </w:tc>
        <w:tc>
          <w:tcPr/>
          <w:p>
            <w:pPr>
              <w:pStyle w:val="Compact"/>
              <w:jc w:val="left"/>
            </w:pPr>
            <w:r>
              <w:t xml:space="preserve">Optical (laser-sheet, measuring the duration/attenuation of laser-beam obscuration as each drop falls through) or impact (piezoelectric, measuring the momentum/acoustic signal of each drop striking a sensing surface) types measure individual raindrops’ size and fall velocity, providing the surface-level drop-size-distribution ground truth against which radar-reflectivity-to-rain-rate (Z-R) relationships are calibrated.</w:t>
            </w:r>
          </w:p>
        </w:tc>
      </w:tr>
      <w:tr>
        <w:tc>
          <w:tcPr/>
          <w:p>
            <w:pPr>
              <w:pStyle w:val="Compact"/>
              <w:jc w:val="left"/>
            </w:pPr>
            <w:r>
              <w:rPr>
                <w:bCs/>
                <w:b/>
              </w:rPr>
              <w:t xml:space="preserve">Bucket rain gauge</w:t>
            </w:r>
            <w:r>
              <w:t xml:space="preserve"> </w:t>
            </w:r>
            <w:r>
              <w:t xml:space="preserve">(tipping-bucket and standard/manual)</w:t>
            </w:r>
          </w:p>
        </w:tc>
        <w:tc>
          <w:tcPr/>
          <w:p>
            <w:pPr>
              <w:pStyle w:val="Compact"/>
              <w:jc w:val="left"/>
            </w:pPr>
            <w:r>
              <w:t xml:space="preserve">Rainfall accumulation</w:t>
            </w:r>
          </w:p>
        </w:tc>
        <w:tc>
          <w:tcPr/>
          <w:p>
            <w:pPr>
              <w:pStyle w:val="Compact"/>
              <w:jc w:val="left"/>
            </w:pPr>
            <w:r>
              <w:t xml:space="preserve">Standard/manual: a calibrated funnel-and-graduated-cylinder measuring collected rainfall depth at fixed observation intervals (the traditional synoptic-observation method); tipping-bucket: automated digital-pulse-count method.</w:t>
            </w:r>
          </w:p>
        </w:tc>
      </w:tr>
      <w:tr>
        <w:tc>
          <w:tcPr/>
          <w:p>
            <w:pPr>
              <w:pStyle w:val="Compact"/>
              <w:jc w:val="left"/>
            </w:pPr>
            <w:r>
              <w:rPr>
                <w:bCs/>
                <w:b/>
              </w:rPr>
              <w:t xml:space="preserve">Corner reflectors</w:t>
            </w:r>
          </w:p>
        </w:tc>
        <w:tc>
          <w:tcPr/>
          <w:p>
            <w:pPr>
              <w:pStyle w:val="Compact"/>
              <w:jc w:val="left"/>
            </w:pPr>
            <w:r>
              <w:t xml:space="preserve">N/A — a passive SAR calibration target, not a sensor</w:t>
            </w:r>
          </w:p>
        </w:tc>
        <w:tc>
          <w:tcPr/>
          <w:p>
            <w:pPr>
              <w:pStyle w:val="Compact"/>
              <w:jc w:val="left"/>
            </w:pPr>
            <w:r>
              <w:t xml:space="preserve">A trihedral (three mutually perpendicular flat metallic panels) or similar precisely engineered geometric structure that reflects incident radar energy directly back toward the SAR sensor with a known, very high and stable Radar Cross Section (RCS), deployed at surveyed ground locations during satellite commissioning/calibration campaigns as a known-response reference target used to verify and refine SAR sensor radiometric and geometric calibration (absolute backscatter-coefficient accuracy, and precise geolocation accuracy).</w:t>
            </w:r>
          </w:p>
        </w:tc>
      </w:tr>
      <w:tr>
        <w:tc>
          <w:tcPr/>
          <w:p>
            <w:pPr>
              <w:pStyle w:val="Compact"/>
              <w:jc w:val="left"/>
            </w:pPr>
            <w:r>
              <w:rPr>
                <w:bCs/>
                <w:b/>
              </w:rPr>
              <w:t xml:space="preserve">Radiosonde</w:t>
            </w:r>
          </w:p>
        </w:tc>
        <w:tc>
          <w:tcPr/>
          <w:p>
            <w:pPr>
              <w:pStyle w:val="Compact"/>
              <w:jc w:val="left"/>
            </w:pPr>
            <w:r>
              <w:t xml:space="preserve">Vertical profile of temperature, humidity, pressure and (via GPS/radio-direction-finding tracking) wind through the troposphere and lower stratosphere</w:t>
            </w:r>
          </w:p>
        </w:tc>
        <w:tc>
          <w:tcPr/>
          <w:p>
            <w:pPr>
              <w:pStyle w:val="Compact"/>
              <w:jc w:val="left"/>
            </w:pPr>
            <w:r>
              <w:t xml:space="preserve">A balloon-borne instrument package transmitting real-time sensor data via radio as it ascends (thermistor for temperature, capacitive/carbon-hygristor for humidity, aneroid/GPS-derived for pressure/height, GPS-position-tracking for wind computed from the balloon’s drift), providing the single most important</w:t>
            </w:r>
            <w:r>
              <w:t xml:space="preserve"> </w:t>
            </w:r>
            <w:r>
              <w:rPr>
                <w:bCs/>
                <w:b/>
              </w:rPr>
              <w:t xml:space="preserve">independent, direct in-situ validation dataset</w:t>
            </w:r>
            <w:r>
              <w:t xml:space="preserve"> </w:t>
            </w:r>
            <w:r>
              <w:t xml:space="preserve">for satellite Sounder-derived temperature/humidity-profile retrievals and for numerical-weather-prediction-model initialisation.</w:t>
            </w:r>
          </w:p>
        </w:tc>
      </w:tr>
      <w:tr>
        <w:tc>
          <w:tcPr/>
          <w:p>
            <w:pPr>
              <w:pStyle w:val="Compact"/>
              <w:jc w:val="left"/>
            </w:pPr>
            <w:r>
              <w:rPr>
                <w:bCs/>
                <w:b/>
              </w:rPr>
              <w:t xml:space="preserve">Fluorometer</w:t>
            </w:r>
          </w:p>
        </w:tc>
        <w:tc>
          <w:tcPr/>
          <w:p>
            <w:pPr>
              <w:pStyle w:val="Compact"/>
              <w:jc w:val="left"/>
            </w:pPr>
            <w:r>
              <w:t xml:space="preserve">Concentration of fluorescing substances — chlorophyll-a, coloured dissolved organic matter (CDOM), certain pollutants/tracers</w:t>
            </w:r>
          </w:p>
        </w:tc>
        <w:tc>
          <w:tcPr/>
          <w:p>
            <w:pPr>
              <w:pStyle w:val="Compact"/>
              <w:jc w:val="left"/>
            </w:pPr>
            <w:r>
              <w:t xml:space="preserve">Illuminates a water (or, in some designs, leaf/canopy) sample with light at the excitation wavelength of the target substance’s fluorescence and measures the intensity of re-emitted fluorescence at the longer (Stokes-shifted) emission wavelength, providing a rapid, sensitive in-situ chlorophyll/CDOM measurement used for ocean-colour and inland-water-quality ground-truth, and, in principle, as the in-situ physical analogue instrument underlying the Sun-Induced Fluorescence remote-sensing concept described in the relevant chapter, Section 2.1.</w:t>
            </w:r>
          </w:p>
        </w:tc>
      </w:tr>
      <w:tr>
        <w:tc>
          <w:tcPr/>
          <w:p>
            <w:pPr>
              <w:pStyle w:val="Compact"/>
              <w:jc w:val="left"/>
            </w:pPr>
            <w:r>
              <w:rPr>
                <w:bCs/>
                <w:b/>
              </w:rPr>
              <w:t xml:space="preserve">CIMEL Sunphotometer / Multiwavelength radiometer / Aethalometer / Nephelometer</w:t>
            </w:r>
          </w:p>
        </w:tc>
        <w:tc>
          <w:tcPr/>
          <w:p>
            <w:pPr>
              <w:pStyle w:val="Compact"/>
              <w:jc w:val="left"/>
            </w:pPr>
            <w:r>
              <w:t xml:space="preserve">Aerosol optical/physical properties</w:t>
            </w:r>
          </w:p>
        </w:tc>
        <w:tc>
          <w:tcPr/>
          <w:p>
            <w:pPr>
              <w:pStyle w:val="Compact"/>
              <w:jc w:val="left"/>
            </w:pPr>
            <w:r>
              <w:t xml:space="preserve">Detailed in the relevant chapter, Section 8.4 (Atmospheric Science Laboratory instrumentation).</w:t>
            </w:r>
          </w:p>
        </w:tc>
      </w:tr>
    </w:tbl>
    <w:p>
      <w:pPr>
        <w:pStyle w:val="Heading1"/>
      </w:pPr>
      <w:r>
        <w:t xml:space="preserve">Chapter 13. Geostatistics and Multivariate Analysis</w:t>
      </w:r>
    </w:p>
    <w:p>
      <w:pPr>
        <w:pStyle w:val="Heading2"/>
      </w:pPr>
      <w:r>
        <w:t xml:space="preserve">13.1 Geostatistical Kriging</w:t>
      </w:r>
    </w:p>
    <w:p>
      <w:pPr>
        <w:pStyle w:val="Heading3"/>
      </w:pPr>
      <w:r>
        <w:t xml:space="preserve">13.1.1 Concept and distinction from deterministic interpolation</w:t>
      </w:r>
    </w:p>
    <w:p>
      <w:pPr>
        <w:pStyle w:val="FirstParagraph"/>
      </w:pPr>
      <w:r>
        <w:t xml:space="preserve">Kriging (named after South African mining engineer D. G. Krige, formalised mathematically by Georges Matheron) is a family of</w:t>
      </w:r>
      <w:r>
        <w:t xml:space="preserve"> </w:t>
      </w:r>
      <w:r>
        <w:rPr>
          <w:bCs/>
          <w:b/>
        </w:rPr>
        <w:t xml:space="preserve">geostatistical interpolation methods</w:t>
      </w:r>
      <w:r>
        <w:t xml:space="preserve"> </w:t>
      </w:r>
      <w:r>
        <w:t xml:space="preserve">that estimate the value of a spatially continuous variable (soil organic carbon, soil nutrient content, rainfall, groundwater depth, crop yield sampled at Crop Cutting Experiment points) at unsampled locations, using the spatial autocorrelation structure of the sampled data itself, rather than an arbitrary distance-weighting rule (as in Inverse Distance Weighting) or a purely deterministic surface (as in spline interpolation). Kriging is distinguished from these deterministic methods by being a</w:t>
      </w:r>
      <w:r>
        <w:t xml:space="preserve"> </w:t>
      </w:r>
      <w:r>
        <w:rPr>
          <w:bCs/>
          <w:b/>
        </w:rPr>
        <w:t xml:space="preserve">Best Linear Unbiased Estimator (BLUE)</w:t>
      </w:r>
      <w:r>
        <w:t xml:space="preserve"> </w:t>
      </w:r>
      <w:r>
        <w:t xml:space="preserve">— it is the interpolator that minimises estimation variance given the observed spatial structure, and it simultaneously provides a</w:t>
      </w:r>
      <w:r>
        <w:t xml:space="preserve"> </w:t>
      </w:r>
      <w:r>
        <w:rPr>
          <w:bCs/>
          <w:b/>
        </w:rPr>
        <w:t xml:space="preserve">quantitative estimate of prediction uncertainty (kriging variance)</w:t>
      </w:r>
      <w:r>
        <w:t xml:space="preserve"> </w:t>
      </w:r>
      <w:r>
        <w:t xml:space="preserve">at every unsampled location, which neither IDW nor spline methods provide in a statistically rigorous sense.</w:t>
      </w:r>
    </w:p>
    <w:p>
      <w:pPr>
        <w:pStyle w:val="Heading3"/>
      </w:pPr>
      <w:r>
        <w:t xml:space="preserve">13.1.2 Regionalised variable theory and the assumption of stationarity</w:t>
      </w:r>
    </w:p>
    <w:p>
      <w:pPr>
        <w:pStyle w:val="FirstParagraph"/>
      </w:pPr>
      <w:r>
        <w:t xml:space="preserve">Kriging treats the spatial variable Z(x) as a realisation of a</w:t>
      </w:r>
      <w:r>
        <w:t xml:space="preserve"> </w:t>
      </w:r>
      <w:r>
        <w:rPr>
          <w:bCs/>
          <w:b/>
        </w:rPr>
        <w:t xml:space="preserve">random function</w:t>
      </w:r>
      <w:r>
        <w:t xml:space="preserve"> </w:t>
      </w:r>
      <w:r>
        <w:t xml:space="preserve">(regionalised variable) rather than a deterministic field. For the theory to be tractable, some form of</w:t>
      </w:r>
      <w:r>
        <w:t xml:space="preserve"> </w:t>
      </w:r>
      <w:r>
        <w:rPr>
          <w:bCs/>
          <w:b/>
        </w:rPr>
        <w:t xml:space="preserve">stationarity</w:t>
      </w:r>
      <w:r>
        <w:t xml:space="preserve"> </w:t>
      </w:r>
      <w:r>
        <w:t xml:space="preserve">is assumed:</w:t>
      </w:r>
    </w:p>
    <w:p>
      <w:pPr>
        <w:pStyle w:val="Compact"/>
        <w:numPr>
          <w:ilvl w:val="0"/>
          <w:numId w:val="1095"/>
        </w:numPr>
      </w:pPr>
      <w:r>
        <w:rPr>
          <w:bCs/>
          <w:b/>
        </w:rPr>
        <w:t xml:space="preserve">Strict/second-order stationarity:</w:t>
      </w:r>
      <w:r>
        <w:t xml:space="preserve"> </w:t>
      </w:r>
      <w:r>
        <w:t xml:space="preserve">the mean of Z(x) is constant over the domain, and the covariance between Z(x) and Z(x+h) depends only on the separation vector h, not on absolute location.</w:t>
      </w:r>
    </w:p>
    <w:p>
      <w:pPr>
        <w:pStyle w:val="Compact"/>
        <w:numPr>
          <w:ilvl w:val="0"/>
          <w:numId w:val="1095"/>
        </w:numPr>
      </w:pPr>
      <w:r>
        <w:rPr>
          <w:bCs/>
          <w:b/>
        </w:rPr>
        <w:t xml:space="preserve">Intrinsic stationarity (weaker, more commonly assumed):</w:t>
      </w:r>
      <w:r>
        <w:t xml:space="preserve"> </w:t>
      </w:r>
      <w:r>
        <w:t xml:space="preserve">the increments [Z(x) − Z(x+h)] have zero mean and a variance that depends only on h, not on x — this is the minimum assumption required to define the semivariogram (below), and is what ordinary kriging formally requires.</w:t>
      </w:r>
    </w:p>
    <w:p>
      <w:pPr>
        <w:pStyle w:val="Heading3"/>
      </w:pPr>
      <w:r>
        <w:t xml:space="preserve">13.1.3 The semivariogram — quantifying spatial autocorrelation</w:t>
      </w:r>
    </w:p>
    <w:p>
      <w:pPr>
        <w:pStyle w:val="FirstParagraph"/>
      </w:pPr>
      <w:r>
        <w:t xml:space="preserve">The</w:t>
      </w:r>
      <w:r>
        <w:t xml:space="preserve"> </w:t>
      </w:r>
      <w:r>
        <w:rPr>
          <w:bCs/>
          <w:b/>
        </w:rPr>
        <w:t xml:space="preserve">experimental semivariogram</w:t>
      </w:r>
      <w:r>
        <w:t xml:space="preserve"> </w:t>
      </w:r>
      <w:r>
        <w:t xml:space="preserve">is computed from the sample data as half the average squared difference between all pairs of observations separated by lag distance h:</w:t>
      </w:r>
    </w:p>
    <w:p>
      <w:pPr>
        <w:pStyle w:val="BodyText"/>
      </w:pPr>
      <w:r>
        <w:rPr>
          <w:bCs/>
          <w:b/>
        </w:rPr>
        <w:t xml:space="preserve">γ(h) = (1/2N(h)) Σ [Z(xi) − Z(xi+h)]²</w:t>
      </w:r>
    </w:p>
    <w:p>
      <w:pPr>
        <w:pStyle w:val="BodyText"/>
      </w:pPr>
      <w:r>
        <w:t xml:space="preserve">where N(h) is the number of data pairs separated by (approximately) distance h (grouped into distance/lag</w:t>
      </w:r>
      <w:r>
        <w:t xml:space="preserve"> </w:t>
      </w:r>
      <w:r>
        <w:t xml:space="preserve">“</w:t>
      </w:r>
      <w:r>
        <w:t xml:space="preserve">bins</w:t>
      </w:r>
      <w:r>
        <w:t xml:space="preserve">”</w:t>
      </w:r>
      <w:r>
        <w:t xml:space="preserve"> </w:t>
      </w:r>
      <w:r>
        <w:t xml:space="preserve">in practice), summed over i = 1 to N(h). A plot of γ(h) versus h is the</w:t>
      </w:r>
      <w:r>
        <w:t xml:space="preserve"> </w:t>
      </w:r>
      <w:r>
        <w:rPr>
          <w:bCs/>
          <w:b/>
        </w:rPr>
        <w:t xml:space="preserve">experimental variogram</w:t>
      </w:r>
      <w:r>
        <w:t xml:space="preserve">; a theoretical model (spherical, exponential, Gaussian, linear, or Matérn function) is then fitted to it, characterised by three key parameters:</w:t>
      </w:r>
    </w:p>
    <w:p>
      <w:pPr>
        <w:pStyle w:val="Compact"/>
        <w:numPr>
          <w:ilvl w:val="0"/>
          <w:numId w:val="1096"/>
        </w:numPr>
      </w:pPr>
      <w:r>
        <w:rPr>
          <w:bCs/>
          <w:b/>
        </w:rPr>
        <w:t xml:space="preserve">Nugget (C0):</w:t>
      </w:r>
      <w:r>
        <w:t xml:space="preserve"> </w:t>
      </w:r>
      <w:r>
        <w:t xml:space="preserve">the semivariance at h→0 (theoretically zero for a perfectly continuous, noise-free process, but non-zero in practice due to measurement error and/or spatial variability at scales finer than the minimum sampling distance).</w:t>
      </w:r>
    </w:p>
    <w:p>
      <w:pPr>
        <w:pStyle w:val="Compact"/>
        <w:numPr>
          <w:ilvl w:val="0"/>
          <w:numId w:val="1096"/>
        </w:numPr>
      </w:pPr>
      <w:r>
        <w:rPr>
          <w:bCs/>
          <w:b/>
        </w:rPr>
        <w:t xml:space="preserve">Sill (C0 + C):</w:t>
      </w:r>
      <w:r>
        <w:t xml:space="preserve"> </w:t>
      </w:r>
      <w:r>
        <w:t xml:space="preserve">the semivariance value at which the variogram levels off (asymptotes), representing the total variance of the variable, reached where samples become spatially uncorrelated.</w:t>
      </w:r>
    </w:p>
    <w:p>
      <w:pPr>
        <w:pStyle w:val="Compact"/>
        <w:numPr>
          <w:ilvl w:val="0"/>
          <w:numId w:val="1096"/>
        </w:numPr>
      </w:pPr>
      <w:r>
        <w:rPr>
          <w:bCs/>
          <w:b/>
        </w:rPr>
        <w:t xml:space="preserve">Range (a):</w:t>
      </w:r>
      <w:r>
        <w:t xml:space="preserve"> </w:t>
      </w:r>
      <w:r>
        <w:t xml:space="preserve">the lag distance at which the sill is reached (or, for asymptotic models like exponential/Gaussian, the</w:t>
      </w:r>
      <w:r>
        <w:t xml:space="preserve"> </w:t>
      </w:r>
      <w:r>
        <w:t xml:space="preserve">“</w:t>
      </w:r>
      <w:r>
        <w:t xml:space="preserve">effective range</w:t>
      </w:r>
      <w:r>
        <w:t xml:space="preserve">”</w:t>
      </w:r>
      <w:r>
        <w:t xml:space="preserve"> </w:t>
      </w:r>
      <w:r>
        <w:t xml:space="preserve">at which spatial correlation drops to a negligible, conventionally ~5 percent, level) — the range defines the maximum distance over which the variable exhibits spatial autocorrelation, and thus the practical search radius for interpolation.</w:t>
      </w:r>
    </w:p>
    <w:p>
      <w:pPr>
        <w:pStyle w:val="FirstParagraph"/>
      </w:pPr>
      <w:r>
        <w:t xml:space="preserve">Common theoretical models:</w:t>
      </w:r>
    </w:p>
    <w:p>
      <w:pPr>
        <w:pStyle w:val="Compact"/>
        <w:numPr>
          <w:ilvl w:val="0"/>
          <w:numId w:val="1097"/>
        </w:numPr>
      </w:pPr>
      <w:r>
        <w:t xml:space="preserve">Spherical: γ(h) = C0 + C[1.5(h/a) − 0.5(h/a)³] for h ≤ a; γ(h) = C0+C for h &gt; a</w:t>
      </w:r>
    </w:p>
    <w:p>
      <w:pPr>
        <w:pStyle w:val="Compact"/>
        <w:numPr>
          <w:ilvl w:val="0"/>
          <w:numId w:val="1097"/>
        </w:numPr>
      </w:pPr>
      <w:r>
        <w:t xml:space="preserve">Exponential: γ(h) = C0 + C[1 − exp(−h/a)]</w:t>
      </w:r>
    </w:p>
    <w:p>
      <w:pPr>
        <w:pStyle w:val="Compact"/>
        <w:numPr>
          <w:ilvl w:val="0"/>
          <w:numId w:val="1097"/>
        </w:numPr>
      </w:pPr>
      <w:r>
        <w:t xml:space="preserve">Gaussian: γ(h) = C0 + C[1 − exp(−h²/a²)]</w:t>
      </w:r>
    </w:p>
    <w:p>
      <w:pPr>
        <w:pStyle w:val="Heading3"/>
      </w:pPr>
      <w:r>
        <w:t xml:space="preserve">13.1.4 The kriging estimator and weight derivation</w:t>
      </w:r>
    </w:p>
    <w:p>
      <w:pPr>
        <w:pStyle w:val="FirstParagraph"/>
      </w:pPr>
      <w:r>
        <w:t xml:space="preserve">The kriging estimate at an unsampled location x0 is a weighted linear combination of the n surrounding sample values:</w:t>
      </w:r>
    </w:p>
    <w:p>
      <w:pPr>
        <w:pStyle w:val="BodyText"/>
      </w:pPr>
      <w:r>
        <w:rPr>
          <w:bCs/>
          <w:b/>
        </w:rPr>
        <w:t xml:space="preserve">Ẑ(x0) = Σ λi Z(xi)</w:t>
      </w:r>
      <w:r>
        <w:t xml:space="preserve">, i = 1 to n</w:t>
      </w:r>
    </w:p>
    <w:p>
      <w:pPr>
        <w:pStyle w:val="BodyText"/>
      </w:pPr>
      <w:r>
        <w:t xml:space="preserve">The weights λi are chosen to satisfy two conditions simultaneously: (i)</w:t>
      </w:r>
      <w:r>
        <w:t xml:space="preserve"> </w:t>
      </w:r>
      <w:r>
        <w:rPr>
          <w:bCs/>
          <w:b/>
        </w:rPr>
        <w:t xml:space="preserve">unbiasedness</w:t>
      </w:r>
      <w:r>
        <w:t xml:space="preserve"> </w:t>
      </w:r>
      <w:r>
        <w:t xml:space="preserve">— E[Ẑ(x0) − Z(x0)] = 0, which for</w:t>
      </w:r>
      <w:r>
        <w:t xml:space="preserve"> </w:t>
      </w:r>
      <w:r>
        <w:rPr>
          <w:bCs/>
          <w:b/>
        </w:rPr>
        <w:t xml:space="preserve">Ordinary Kriging</w:t>
      </w:r>
      <w:r>
        <w:t xml:space="preserve"> </w:t>
      </w:r>
      <w:r>
        <w:t xml:space="preserve">(the most widely used variant, assuming an unknown but constant local mean) requires</w:t>
      </w:r>
      <w:r>
        <w:t xml:space="preserve"> </w:t>
      </w:r>
      <w:r>
        <w:rPr>
          <w:bCs/>
          <w:b/>
        </w:rPr>
        <w:t xml:space="preserve">Σλi = 1</w:t>
      </w:r>
      <w:r>
        <w:t xml:space="preserve">; and (ii)</w:t>
      </w:r>
      <w:r>
        <w:t xml:space="preserve"> </w:t>
      </w:r>
      <w:r>
        <w:rPr>
          <w:bCs/>
          <w:b/>
        </w:rPr>
        <w:t xml:space="preserve">minimum estimation variance</w:t>
      </w:r>
      <w:r>
        <w:t xml:space="preserve"> </w:t>
      </w:r>
      <w:r>
        <w:t xml:space="preserve">— the weights are chosen to minimise the kriging (estimation) variance σK² = Var[Ẑ(x0) − Z(x0)]. Minimising this variance subject to the unbiasedness constraint (via a Lagrange multiplier μ) yields the</w:t>
      </w:r>
      <w:r>
        <w:t xml:space="preserve"> </w:t>
      </w:r>
      <w:r>
        <w:rPr>
          <w:bCs/>
          <w:b/>
        </w:rPr>
        <w:t xml:space="preserve">Ordinary Kriging system of linear equations</w:t>
      </w:r>
      <w:r>
        <w:t xml:space="preserve">:</w:t>
      </w:r>
    </w:p>
    <w:p>
      <w:pPr>
        <w:pStyle w:val="BodyText"/>
      </w:pPr>
      <w:r>
        <w:t xml:space="preserve">Σj λj γ(xi,xj) + μ = γ(xi,x0), for each i = 1..n, subject to Σλi = 1</w:t>
      </w:r>
    </w:p>
    <w:p>
      <w:pPr>
        <w:pStyle w:val="BodyText"/>
      </w:pPr>
      <w:r>
        <w:t xml:space="preserve">This is a system of (n+1) linear equations in (n+1) unknowns (the n weights λi plus the Lagrange multiplier μ), solved by matrix inversion, using the fitted semivariogram model γ to supply every γ(xi,xj) and γ(xi,x0) term. The resulting</w:t>
      </w:r>
      <w:r>
        <w:t xml:space="preserve"> </w:t>
      </w:r>
      <w:r>
        <w:rPr>
          <w:bCs/>
          <w:b/>
        </w:rPr>
        <w:t xml:space="preserve">kriging variance</w:t>
      </w:r>
      <w:r>
        <w:t xml:space="preserve"> </w:t>
      </w:r>
      <w:r>
        <w:t xml:space="preserve">is:</w:t>
      </w:r>
    </w:p>
    <w:p>
      <w:pPr>
        <w:pStyle w:val="BodyText"/>
      </w:pPr>
      <w:r>
        <w:t xml:space="preserve">σK² = Σi λi γ(xi,x0) + μ</w:t>
      </w:r>
    </w:p>
    <w:p>
      <w:pPr>
        <w:pStyle w:val="BodyText"/>
      </w:pPr>
      <w:r>
        <w:t xml:space="preserve">which is smallest near clustered/densely sampled data and grows with distance from sample points and with the intrinsic</w:t>
      </w:r>
      <w:r>
        <w:t xml:space="preserve"> </w:t>
      </w:r>
      <w:r>
        <w:t xml:space="preserve">“</w:t>
      </w:r>
      <w:r>
        <w:t xml:space="preserve">noisiness</w:t>
      </w:r>
      <w:r>
        <w:t xml:space="preserve">”</w:t>
      </w:r>
      <w:r>
        <w:t xml:space="preserve"> </w:t>
      </w:r>
      <w:r>
        <w:t xml:space="preserve">(nugget/sill ratio) of the variable — this spatially explicit uncertainty surface is the key practical advantage over deterministic interpolators, since it tells the analyst exactly where additional sampling would most reduce uncertainty (used to optimise soil/CCE sampling-network design).</w:t>
      </w:r>
    </w:p>
    <w:p>
      <w:pPr>
        <w:pStyle w:val="Heading3"/>
      </w:pPr>
      <w:r>
        <w:t xml:space="preserve">13.1.5 Variants relevant to agriculture</w:t>
      </w:r>
    </w:p>
    <w:p>
      <w:pPr>
        <w:pStyle w:val="Compact"/>
        <w:numPr>
          <w:ilvl w:val="0"/>
          <w:numId w:val="1098"/>
        </w:numPr>
      </w:pPr>
      <w:r>
        <w:rPr>
          <w:bCs/>
          <w:b/>
        </w:rPr>
        <w:t xml:space="preserve">Ordinary Kriging (OK):</w:t>
      </w:r>
      <w:r>
        <w:t xml:space="preserve"> </w:t>
      </w:r>
      <w:r>
        <w:t xml:space="preserve">unknown constant local mean; the default/workhorse method.</w:t>
      </w:r>
    </w:p>
    <w:p>
      <w:pPr>
        <w:pStyle w:val="Compact"/>
        <w:numPr>
          <w:ilvl w:val="0"/>
          <w:numId w:val="1098"/>
        </w:numPr>
      </w:pPr>
      <w:r>
        <w:rPr>
          <w:bCs/>
          <w:b/>
        </w:rPr>
        <w:t xml:space="preserve">Simple Kriging (SK):</w:t>
      </w:r>
      <w:r>
        <w:t xml:space="preserve"> </w:t>
      </w:r>
      <w:r>
        <w:t xml:space="preserve">assumes a known, constant global mean; rarely used operationally since the true mean is rarely known a priori.</w:t>
      </w:r>
    </w:p>
    <w:p>
      <w:pPr>
        <w:pStyle w:val="Compact"/>
        <w:numPr>
          <w:ilvl w:val="0"/>
          <w:numId w:val="1098"/>
        </w:numPr>
      </w:pPr>
      <w:r>
        <w:rPr>
          <w:bCs/>
          <w:b/>
        </w:rPr>
        <w:t xml:space="preserve">Universal Kriging / Kriging with a Trend (KT):</w:t>
      </w:r>
      <w:r>
        <w:t xml:space="preserve"> </w:t>
      </w:r>
      <w:r>
        <w:t xml:space="preserve">used when the variable shows a clear deterministic trend (e.g., a regional gradient in rainfall or elevation-driven soil property trend) superimposed on spatially correlated residual variability; the trend is modelled (e.g., polynomial in coordinates) and kriging is applied to the residuals.</w:t>
      </w:r>
    </w:p>
    <w:p>
      <w:pPr>
        <w:pStyle w:val="Compact"/>
        <w:numPr>
          <w:ilvl w:val="0"/>
          <w:numId w:val="1098"/>
        </w:numPr>
      </w:pPr>
      <w:r>
        <w:rPr>
          <w:bCs/>
          <w:b/>
        </w:rPr>
        <w:t xml:space="preserve">Co-kriging:</w:t>
      </w:r>
      <w:r>
        <w:t xml:space="preserve"> </w:t>
      </w:r>
      <w:r>
        <w:t xml:space="preserve">extends kriging to use a</w:t>
      </w:r>
      <w:r>
        <w:t xml:space="preserve"> </w:t>
      </w:r>
      <w:r>
        <w:rPr>
          <w:bCs/>
          <w:b/>
        </w:rPr>
        <w:t xml:space="preserve">secondary, more densely/cheaply sampled, spatially cross-correlated covariate</w:t>
      </w:r>
      <w:r>
        <w:t xml:space="preserve"> </w:t>
      </w:r>
      <w:r>
        <w:t xml:space="preserve">(e.g., using satellite-derived NDVI or elevation as a covariate to improve interpolation of sparsely sampled soil organic carbon or yield data) — exploits the cross-variogram between the primary and secondary variables, and is of particular relevance to remote-sensing-assisted digital soil mapping, since satellite covariates are available essentially everywhere while soil-sample data are sparse and expensive.</w:t>
      </w:r>
    </w:p>
    <w:p>
      <w:pPr>
        <w:pStyle w:val="Compact"/>
        <w:numPr>
          <w:ilvl w:val="0"/>
          <w:numId w:val="1098"/>
        </w:numPr>
      </w:pPr>
      <w:r>
        <w:rPr>
          <w:bCs/>
          <w:b/>
        </w:rPr>
        <w:t xml:space="preserve">Indicator Kriging:</w:t>
      </w:r>
      <w:r>
        <w:t xml:space="preserve"> </w:t>
      </w:r>
      <w:r>
        <w:t xml:space="preserve">used for categorical/threshold data (e.g., probability of a soil salinity class exceeding a threshold), by transforming the variable into a binary indicator before kriging.</w:t>
      </w:r>
    </w:p>
    <w:p>
      <w:pPr>
        <w:pStyle w:val="Heading3"/>
      </w:pPr>
      <w:r>
        <w:t xml:space="preserve">13.1.6 Applications in agriculture and soil science</w:t>
      </w:r>
    </w:p>
    <w:p>
      <w:pPr>
        <w:pStyle w:val="Compact"/>
        <w:numPr>
          <w:ilvl w:val="0"/>
          <w:numId w:val="1099"/>
        </w:numPr>
      </w:pPr>
      <w:r>
        <w:rPr>
          <w:bCs/>
          <w:b/>
        </w:rPr>
        <w:t xml:space="preserve">Digital soil mapping</w:t>
      </w:r>
      <w:r>
        <w:t xml:space="preserve"> </w:t>
      </w:r>
      <w:r>
        <w:t xml:space="preserve">— interpolating point soil-survey/laboratory data (organic carbon, pH, texture, macro/micronutrients) into continuous maps for delineating</w:t>
      </w:r>
      <w:r>
        <w:t xml:space="preserve"> </w:t>
      </w:r>
      <w:r>
        <w:rPr>
          <w:bCs/>
          <w:b/>
        </w:rPr>
        <w:t xml:space="preserve">homogeneous management zones</w:t>
      </w:r>
      <w:r>
        <w:t xml:space="preserve"> </w:t>
      </w:r>
      <w:r>
        <w:t xml:space="preserve">for site-specific/precision nutrient management, explicitly cited among SAC/NBSS&amp;LUP pilot studies for village-level soil management at 1:10,000 scale.</w:t>
      </w:r>
    </w:p>
    <w:p>
      <w:pPr>
        <w:pStyle w:val="Compact"/>
        <w:numPr>
          <w:ilvl w:val="0"/>
          <w:numId w:val="1099"/>
        </w:numPr>
      </w:pPr>
      <w:r>
        <w:rPr>
          <w:bCs/>
          <w:b/>
        </w:rPr>
        <w:t xml:space="preserve">Precision agriculture</w:t>
      </w:r>
      <w:r>
        <w:t xml:space="preserve"> </w:t>
      </w:r>
      <w:r>
        <w:t xml:space="preserve">— combining kriged soil-property maps with yield-monitor data and remote-sensing vegetation indices to define variable-rate input-application zones.</w:t>
      </w:r>
    </w:p>
    <w:p>
      <w:pPr>
        <w:pStyle w:val="Compact"/>
        <w:numPr>
          <w:ilvl w:val="0"/>
          <w:numId w:val="1099"/>
        </w:numPr>
      </w:pPr>
      <w:r>
        <w:rPr>
          <w:bCs/>
          <w:b/>
        </w:rPr>
        <w:t xml:space="preserve">Rainfall/climate surfaces</w:t>
      </w:r>
      <w:r>
        <w:t xml:space="preserve"> </w:t>
      </w:r>
      <w:r>
        <w:t xml:space="preserve">— interpolating sparse rain-gauge networks into gridded rainfall surfaces for agromet advisory and drought assessment, often as co-kriging with satellite rainfall estimates or elevation.</w:t>
      </w:r>
    </w:p>
    <w:p>
      <w:pPr>
        <w:pStyle w:val="Compact"/>
        <w:numPr>
          <w:ilvl w:val="0"/>
          <w:numId w:val="1099"/>
        </w:numPr>
      </w:pPr>
      <w:r>
        <w:rPr>
          <w:bCs/>
          <w:b/>
        </w:rPr>
        <w:t xml:space="preserve">Crop-yield mapping and Crop Cutting Experiment (CCE) network design</w:t>
      </w:r>
      <w:r>
        <w:t xml:space="preserve"> </w:t>
      </w:r>
      <w:r>
        <w:t xml:space="preserve">— kriging variance maps guide optimal placement of additional CCE plots to minimise district-level yield-estimate uncertainty, directly relevant to the</w:t>
      </w:r>
      <w:r>
        <w:t xml:space="preserve"> </w:t>
      </w:r>
      <w:r>
        <w:t xml:space="preserve">“</w:t>
      </w:r>
      <w:r>
        <w:t xml:space="preserve">smart sampling technique</w:t>
      </w:r>
      <w:r>
        <w:t xml:space="preserve">”</w:t>
      </w:r>
      <w:r>
        <w:t xml:space="preserve"> </w:t>
      </w:r>
      <w:r>
        <w:t xml:space="preserve">cited under YES-TECH.</w:t>
      </w:r>
    </w:p>
    <w:p>
      <w:pPr>
        <w:pStyle w:val="Compact"/>
        <w:numPr>
          <w:ilvl w:val="0"/>
          <w:numId w:val="1099"/>
        </w:numPr>
      </w:pPr>
      <w:r>
        <w:rPr>
          <w:bCs/>
          <w:b/>
        </w:rPr>
        <w:t xml:space="preserve">Groundwater and soil-salinity mapping</w:t>
      </w:r>
      <w:r>
        <w:t xml:space="preserve"> </w:t>
      </w:r>
      <w:r>
        <w:t xml:space="preserve">for command-area/waterlogging assessment.</w:t>
      </w:r>
    </w:p>
    <w:p>
      <w:pPr>
        <w:pStyle w:val="CaptionedFigure"/>
      </w:pPr>
      <w:r>
        <w:drawing>
          <wp:inline>
            <wp:extent cx="5334000" cy="3705726"/>
            <wp:effectExtent b="0" l="0" r="0" t="0"/>
            <wp:docPr descr="Figure: The kriging workflow — from irregularly spaced sample points, through experimental semivariogram computation and theoretical model fitting, to the ordinary-kriging linear system and the resulting interpolated surface with its associated kriging-variance (uncertainty) surface." title="" id="57" name="Picture"/>
            <a:graphic>
              <a:graphicData uri="http://schemas.openxmlformats.org/drawingml/2006/picture">
                <pic:pic>
                  <pic:nvPicPr>
                    <pic:cNvPr descr="up/media/media/image5.png" id="58" name="Picture"/>
                    <pic:cNvPicPr>
                      <a:picLocks noChangeArrowheads="1" noChangeAspect="1"/>
                    </pic:cNvPicPr>
                  </pic:nvPicPr>
                  <pic:blipFill>
                    <a:blip r:embed="rId56"/>
                    <a:stretch>
                      <a:fillRect/>
                    </a:stretch>
                  </pic:blipFill>
                  <pic:spPr bwMode="auto">
                    <a:xfrm>
                      <a:off x="0" y="0"/>
                      <a:ext cx="5334000" cy="3705726"/>
                    </a:xfrm>
                    <a:prstGeom prst="rect">
                      <a:avLst/>
                    </a:prstGeom>
                    <a:noFill/>
                    <a:ln w="9525">
                      <a:noFill/>
                      <a:headEnd/>
                      <a:tailEnd/>
                    </a:ln>
                  </pic:spPr>
                </pic:pic>
              </a:graphicData>
            </a:graphic>
          </wp:inline>
        </w:drawing>
      </w:r>
    </w:p>
    <w:p>
      <w:pPr>
        <w:pStyle w:val="ImageCaption"/>
      </w:pPr>
      <w:r>
        <w:t xml:space="preserve">Figure: The kriging workflow — from irregularly spaced sample points, through experimental semivariogram computation and theoretical model fitting, to the ordinary-kriging linear system and the resulting interpolated surface with its associated kriging-variance (uncertainty) surface.</w:t>
      </w:r>
    </w:p>
    <w:p>
      <w:pPr>
        <w:pStyle w:val="BodyText"/>
      </w:pPr>
      <w:r>
        <w:t xml:space="preserve">Figure: The kriging workflow — from irregularly spaced sample points, through experimental semivariogram computation and theoretical model fitting, to the ordinary-kriging linear system and the resulting interpolated surface with its associated kriging-variance (uncertainty) surface.</w:t>
      </w:r>
    </w:p>
    <w:p>
      <w:pPr>
        <w:pStyle w:val="Heading2"/>
      </w:pPr>
      <w:r>
        <w:t xml:space="preserve">13.2 A Simple Ordinary Kriging Weight Calculation (Two-Point Case)</w:t>
      </w:r>
    </w:p>
    <w:p>
      <w:pPr>
        <w:pStyle w:val="FirstParagraph"/>
      </w:pPr>
      <w:r>
        <w:rPr>
          <w:bCs/>
          <w:b/>
        </w:rPr>
        <w:t xml:space="preserve">Problem (simplified to two known points for hand-calculation feasibility):</w:t>
      </w:r>
      <w:r>
        <w:t xml:space="preserve"> </w:t>
      </w:r>
      <w:r>
        <w:t xml:space="preserve">Two soil-carbon sample points, x1 and x2, are located 400 m and 900 m respectively from an unsampled prediction location x0, and are themselves 700 m apart. An exponential semivariogram has been fitted with nugget C0 = 0.5, sill = 3.0 (so C = 2.5), and range a = 1000 m, using the model γ(h) = C0 + C[1 − exp(−h/a)].</w:t>
      </w:r>
    </w:p>
    <w:p>
      <w:pPr>
        <w:pStyle w:val="BodyText"/>
      </w:pPr>
      <w:r>
        <w:rPr>
          <w:bCs/>
          <w:b/>
        </w:rPr>
        <w:t xml:space="preserve">Step 1 — Compute γ at each required lag.</w:t>
      </w:r>
      <w:r>
        <w:t xml:space="preserve"> </w:t>
      </w:r>
      <w:r>
        <w:t xml:space="preserve">γ(x1,x0) at h=400: γ = 0.5 + 2.5×[1−exp(−400/1000)] = 0.5 + 2.5×[1−0.6703] = 0.5 + 2.5×0.3297 = 0.5+0.824 =</w:t>
      </w:r>
      <w:r>
        <w:t xml:space="preserve"> </w:t>
      </w:r>
      <w:r>
        <w:rPr>
          <w:bCs/>
          <w:b/>
        </w:rPr>
        <w:t xml:space="preserve">1.324</w:t>
      </w:r>
      <w:r>
        <w:t xml:space="preserve"> </w:t>
      </w:r>
      <w:r>
        <w:t xml:space="preserve">γ(x2,x0) at h=900: γ = 0.5 + 2.5×[1−exp(−900/1000)] = 0.5 + 2.5×[1−0.4066] = 0.5 + 2.5×0.5934 = 0.5+1.484 =</w:t>
      </w:r>
      <w:r>
        <w:t xml:space="preserve"> </w:t>
      </w:r>
      <w:r>
        <w:rPr>
          <w:bCs/>
          <w:b/>
        </w:rPr>
        <w:t xml:space="preserve">1.984</w:t>
      </w:r>
      <w:r>
        <w:t xml:space="preserve"> </w:t>
      </w:r>
      <w:r>
        <w:t xml:space="preserve">γ(x1,x2) at h=700: γ = 0.5 + 2.5×[1−exp(−700/1000)] = 0.5 + 2.5×[1−0.4966] = 0.5 + 2.5×0.5034 = 0.5+1.259 =</w:t>
      </w:r>
      <w:r>
        <w:t xml:space="preserve"> </w:t>
      </w:r>
      <w:r>
        <w:rPr>
          <w:bCs/>
          <w:b/>
        </w:rPr>
        <w:t xml:space="preserve">1.759</w:t>
      </w:r>
    </w:p>
    <w:p>
      <w:pPr>
        <w:pStyle w:val="BodyText"/>
      </w:pPr>
      <w:r>
        <w:rPr>
          <w:bCs/>
          <w:b/>
        </w:rPr>
        <w:t xml:space="preserve">Step 2 — Set up the Ordinary Kriging system (2 points + 1 Lagrange multiplier, 3 equations):</w:t>
      </w:r>
      <w:r>
        <w:t xml:space="preserve"> </w:t>
      </w:r>
      <w:r>
        <w:t xml:space="preserve">λ1(0) + λ2(1.759) + μ = 1.324 λ1(1.759) + λ2(0) + μ = 1.984 λ1 + λ2 = 1</w:t>
      </w:r>
    </w:p>
    <w:p>
      <w:pPr>
        <w:pStyle w:val="BodyText"/>
      </w:pPr>
      <w:r>
        <w:t xml:space="preserve">(Note γ(xi,xi) = 0 for a point with itself, by definition of the semivariogram at h=0 excluding the nugget-as-measurement-error convention used here for simplicity.)</w:t>
      </w:r>
    </w:p>
    <w:p>
      <w:pPr>
        <w:pStyle w:val="BodyText"/>
      </w:pPr>
      <w:r>
        <w:rPr>
          <w:bCs/>
          <w:b/>
        </w:rPr>
        <w:t xml:space="preserve">Step 3 — Solve.</w:t>
      </w:r>
      <w:r>
        <w:t xml:space="preserve"> </w:t>
      </w:r>
      <w:r>
        <w:t xml:space="preserve">From equation 3: λ2 = 1 − λ1. Substitute into equations 1 and 2: Eq1: 1.759(1−λ1) + μ = 1.324 → 1.759 − 1.759λ1 + μ = 1.324 → μ = 1.759λ1 − 0.435 Eq2: 1.759λ1 + μ = 1.984 → substitute μ: 1.759λ1 + 1.759λ1 − 0.435 = 1.984 → 3.518λ1 = 2.419 →</w:t>
      </w:r>
      <w:r>
        <w:t xml:space="preserve"> </w:t>
      </w:r>
      <w:r>
        <w:rPr>
          <w:bCs/>
          <w:b/>
        </w:rPr>
        <w:t xml:space="preserve">λ1 = 0.6877</w:t>
      </w:r>
      <w:r>
        <w:t xml:space="preserve"> </w:t>
      </w:r>
      <w:r>
        <w:t xml:space="preserve">Then λ2 = 1 − 0.6877 =</w:t>
      </w:r>
      <w:r>
        <w:t xml:space="preserve"> </w:t>
      </w:r>
      <w:r>
        <w:rPr>
          <w:bCs/>
          <w:b/>
        </w:rPr>
        <w:t xml:space="preserve">0.3123</w:t>
      </w:r>
      <w:r>
        <w:t xml:space="preserve">, and μ = 1.759(0.6877) − 0.435 = 1.2096 − 0.435 =</w:t>
      </w:r>
      <w:r>
        <w:t xml:space="preserve"> </w:t>
      </w:r>
      <w:r>
        <w:rPr>
          <w:bCs/>
          <w:b/>
        </w:rPr>
        <w:t xml:space="preserve">0.7746</w:t>
      </w:r>
    </w:p>
    <w:p>
      <w:pPr>
        <w:pStyle w:val="BodyText"/>
      </w:pPr>
      <w:r>
        <w:rPr>
          <w:bCs/>
          <w:b/>
        </w:rPr>
        <w:t xml:space="preserve">Step 4 — Interpret.</w:t>
      </w:r>
      <w:r>
        <w:t xml:space="preserve"> </w:t>
      </w:r>
      <w:r>
        <w:t xml:space="preserve">The closer point (x1, 400 m away) receives roughly twice the weight (0.688) of the farther point (x2, 900 m away, weight 0.312) — as physically expected, since kriging weights generally decline with distance (though, unlike IDW, the exact weight also reflects the redundancy/clustering between x1 and x2 via γ(x1,x2), not distance alone). The predicted value is Ẑ(x0) = 0.688×Z(x1) + 0.312×Z(x2).</w:t>
      </w:r>
    </w:p>
    <w:p>
      <w:pPr>
        <w:pStyle w:val="Heading2"/>
      </w:pPr>
      <w:r>
        <w:t xml:space="preserve">13.3 Principal Component Analysis (PCA) — Concept and Full Mathematical Derivation</w:t>
      </w:r>
    </w:p>
    <w:p>
      <w:pPr>
        <w:pStyle w:val="Heading3"/>
      </w:pPr>
      <w:r>
        <w:t xml:space="preserve">13.3.1 Motivation</w:t>
      </w:r>
    </w:p>
    <w:p>
      <w:pPr>
        <w:pStyle w:val="FirstParagraph"/>
      </w:pPr>
      <w:r>
        <w:t xml:space="preserve">Multispectral/hyperspectral remote-sensing data, and multivariate soil/agronomic datasets generally, contain many highly inter-correlated variables (adjacent spectral bands of a sensor are strongly correlated with one another; many soil properties co-vary). PCA is a linear dimensionality-reduction technique that transforms a set of possibly-correlated variables into a smaller set of</w:t>
      </w:r>
      <w:r>
        <w:t xml:space="preserve"> </w:t>
      </w:r>
      <w:r>
        <w:rPr>
          <w:bCs/>
          <w:b/>
        </w:rPr>
        <w:t xml:space="preserve">linearly uncorrelated variables called principal components (PCs)</w:t>
      </w:r>
      <w:r>
        <w:t xml:space="preserve">, ordered so that the first component captures the maximum possible variance in the data, the second captures the maximum remaining variance subject to being orthogonal (uncorrelated) to the first, and so on.</w:t>
      </w:r>
    </w:p>
    <w:p>
      <w:pPr>
        <w:pStyle w:val="Heading3"/>
      </w:pPr>
      <w:r>
        <w:t xml:space="preserve">13.3.2 Step-by-step mathematical construction</w:t>
      </w:r>
    </w:p>
    <w:p>
      <w:pPr>
        <w:pStyle w:val="FirstParagraph"/>
      </w:pPr>
      <w:r>
        <w:rPr>
          <w:bCs/>
          <w:b/>
        </w:rPr>
        <w:t xml:space="preserve">Step 1 — Data matrix and mean-centering.</w:t>
      </w:r>
      <w:r>
        <w:t xml:space="preserve"> </w:t>
      </w:r>
      <w:r>
        <w:t xml:space="preserve">Let X be an (n × p) data matrix of n observations (pixels, samples) on p variables (spectral bands). Mean-centre each column (and, if variables are on very different scales/units, standardise to unit variance as well — this is essential when combining variables of different physical units, e.g., soil pH with organic carbon percentage, and is optional but common even for same-unit multispectral bands where band variances differ greatly):</w:t>
      </w:r>
    </w:p>
    <w:p>
      <w:pPr>
        <w:pStyle w:val="BodyText"/>
      </w:pPr>
      <w:r>
        <w:t xml:space="preserve">Xc = X − 1 x̄ᵀ (each column has zero mean)</w:t>
      </w:r>
    </w:p>
    <w:p>
      <w:pPr>
        <w:pStyle w:val="BodyText"/>
      </w:pPr>
      <w:r>
        <w:rPr>
          <w:bCs/>
          <w:b/>
        </w:rPr>
        <w:t xml:space="preserve">Step 2 — Covariance (or correlation) matrix.</w:t>
      </w:r>
      <w:r>
        <w:t xml:space="preserve"> </w:t>
      </w:r>
      <w:r>
        <w:t xml:space="preserve">Compute the p×p variance–covariance matrix:</w:t>
      </w:r>
    </w:p>
    <w:p>
      <w:pPr>
        <w:pStyle w:val="BodyText"/>
      </w:pPr>
      <w:r>
        <w:rPr>
          <w:bCs/>
          <w:b/>
        </w:rPr>
        <w:t xml:space="preserve">Σ = (1/(n−1)) Xcᵀ Xc</w:t>
      </w:r>
    </w:p>
    <w:p>
      <w:pPr>
        <w:pStyle w:val="BodyText"/>
      </w:pPr>
      <w:r>
        <w:t xml:space="preserve">Element Σij is the covariance between variable i and variable j; diagonal elements are variances. (If variables were standardised in Step 1, Σ is equivalently the correlation matrix.)</w:t>
      </w:r>
    </w:p>
    <w:p>
      <w:pPr>
        <w:pStyle w:val="BodyText"/>
      </w:pPr>
      <w:r>
        <w:rPr>
          <w:bCs/>
          <w:b/>
        </w:rPr>
        <w:t xml:space="preserve">Step 3 — Eigen-decomposition.</w:t>
      </w:r>
      <w:r>
        <w:t xml:space="preserve"> </w:t>
      </w:r>
      <w:r>
        <w:t xml:space="preserve">PCA’s mathematical core is the</w:t>
      </w:r>
      <w:r>
        <w:t xml:space="preserve"> </w:t>
      </w:r>
      <w:r>
        <w:rPr>
          <w:bCs/>
          <w:b/>
        </w:rPr>
        <w:t xml:space="preserve">eigen-decomposition of the covariance matrix</w:t>
      </w:r>
      <w:r>
        <w:t xml:space="preserve">: find scalars λ (eigenvalues) and non-zero vectors v (eigenvectors) satisfying</w:t>
      </w:r>
    </w:p>
    <w:p>
      <w:pPr>
        <w:pStyle w:val="BodyText"/>
      </w:pPr>
      <w:r>
        <w:rPr>
          <w:bCs/>
          <w:b/>
        </w:rPr>
        <w:t xml:space="preserve">Σ v = λ v</w:t>
      </w:r>
    </w:p>
    <w:p>
      <w:pPr>
        <w:pStyle w:val="BodyText"/>
      </w:pPr>
      <w:r>
        <w:t xml:space="preserve">equivalently, (Σ − λI) v = 0, which has a non-trivial solution only when det(Σ − λI) = 0 — the</w:t>
      </w:r>
      <w:r>
        <w:t xml:space="preserve"> </w:t>
      </w:r>
      <w:r>
        <w:rPr>
          <w:bCs/>
          <w:b/>
        </w:rPr>
        <w:t xml:space="preserve">characteristic equation</w:t>
      </w:r>
      <w:r>
        <w:t xml:space="preserve">, a p-th degree polynomial in λ whose p roots are the eigenvalues λ1 ≥ λ2 ≥ … ≥ λp (real and non-negative since Σ is symmetric positive semi-definite). For each eigenvalue λk, solving (Σ − λkI) vk = 0 gives the corresponding eigenvector vk (normalised to unit length, ‖vk‖=1); because Σ is symmetric, its eigenvectors are mutually</w:t>
      </w:r>
      <w:r>
        <w:t xml:space="preserve"> </w:t>
      </w:r>
      <w:r>
        <w:rPr>
          <w:bCs/>
          <w:b/>
        </w:rPr>
        <w:t xml:space="preserve">orthogonal</w:t>
      </w:r>
      <w:r>
        <w:t xml:space="preserve"> </w:t>
      </w:r>
      <w:r>
        <w:t xml:space="preserve">(vkᵀ vj = 0 for k≠j), and are conventionally assembled as columns of an orthonormal matrix V = [v1, v2, …, vp].</w:t>
      </w:r>
    </w:p>
    <w:p>
      <w:pPr>
        <w:pStyle w:val="BodyText"/>
      </w:pPr>
      <w:r>
        <w:rPr>
          <w:bCs/>
          <w:b/>
        </w:rPr>
        <w:t xml:space="preserve">Step 4 — Physical/statistical meaning of eigenvalues and eigenvectors — this is the crux of</w:t>
      </w:r>
      <w:r>
        <w:rPr>
          <w:bCs/>
          <w:b/>
        </w:rPr>
        <w:t xml:space="preserve"> </w:t>
      </w:r>
      <w:r>
        <w:rPr>
          <w:bCs/>
          <w:b/>
        </w:rPr>
        <w:t xml:space="preserve">“</w:t>
      </w:r>
      <w:r>
        <w:rPr>
          <w:bCs/>
          <w:b/>
        </w:rPr>
        <w:t xml:space="preserve">how eigenvalues and eigenvectors work in PCA</w:t>
      </w:r>
      <w:r>
        <w:rPr>
          <w:bCs/>
          <w:b/>
        </w:rPr>
        <w:t xml:space="preserve">”</w:t>
      </w:r>
      <w:r>
        <w:rPr>
          <w:bCs/>
          <w:b/>
        </w:rPr>
        <w:t xml:space="preserve">:</w:t>
      </w:r>
    </w:p>
    <w:p>
      <w:pPr>
        <w:pStyle w:val="Compact"/>
        <w:numPr>
          <w:ilvl w:val="0"/>
          <w:numId w:val="1100"/>
        </w:numPr>
      </w:pPr>
      <w:r>
        <w:t xml:space="preserve">Each</w:t>
      </w:r>
      <w:r>
        <w:t xml:space="preserve"> </w:t>
      </w:r>
      <w:r>
        <w:rPr>
          <w:bCs/>
          <w:b/>
        </w:rPr>
        <w:t xml:space="preserve">eigenvector vk</w:t>
      </w:r>
      <w:r>
        <w:t xml:space="preserve"> </w:t>
      </w:r>
      <w:r>
        <w:t xml:space="preserve">defines a</w:t>
      </w:r>
      <w:r>
        <w:t xml:space="preserve"> </w:t>
      </w:r>
      <w:r>
        <w:rPr>
          <w:bCs/>
          <w:b/>
        </w:rPr>
        <w:t xml:space="preserve">direction in the original p-dimensional variable space</w:t>
      </w:r>
      <w:r>
        <w:t xml:space="preserve"> </w:t>
      </w:r>
      <w:r>
        <w:t xml:space="preserve">— the k-th principal axis — along which the data show a particular pattern of coordinated variation. Its</w:t>
      </w:r>
      <w:r>
        <w:t xml:space="preserve"> </w:t>
      </w:r>
      <w:r>
        <w:rPr>
          <w:bCs/>
          <w:b/>
        </w:rPr>
        <w:t xml:space="preserve">elements (loadings)</w:t>
      </w:r>
      <w:r>
        <w:t xml:space="preserve"> </w:t>
      </w:r>
      <w:r>
        <w:t xml:space="preserve">indicate how strongly, and in what combination (sign and magnitude), each original variable contributes to that principal axis. For multispectral data, the first eigenvector typically has all-positive, roughly equal loadings across bands (representing overall</w:t>
      </w:r>
      <w:r>
        <w:t xml:space="preserve"> </w:t>
      </w:r>
      <w:r>
        <w:t xml:space="preserve">“</w:t>
      </w:r>
      <w:r>
        <w:t xml:space="preserve">brightness</w:t>
      </w:r>
      <w:r>
        <w:t xml:space="preserve">”</w:t>
      </w:r>
      <w:r>
        <w:t xml:space="preserve">/albedo variation, since all bands tend to co-vary with overall reflectance); later eigenvectors typically show contrasts between band groups (e.g., visible versus near-infrared, capturing vegetation-related spectral contrast).</w:t>
      </w:r>
    </w:p>
    <w:p>
      <w:pPr>
        <w:pStyle w:val="Compact"/>
        <w:numPr>
          <w:ilvl w:val="0"/>
          <w:numId w:val="1100"/>
        </w:numPr>
      </w:pPr>
      <w:r>
        <w:t xml:space="preserve">Each</w:t>
      </w:r>
      <w:r>
        <w:t xml:space="preserve"> </w:t>
      </w:r>
      <w:r>
        <w:rPr>
          <w:bCs/>
          <w:b/>
        </w:rPr>
        <w:t xml:space="preserve">eigenvalue λk</w:t>
      </w:r>
      <w:r>
        <w:t xml:space="preserve"> </w:t>
      </w:r>
      <w:r>
        <w:t xml:space="preserve">equals the</w:t>
      </w:r>
      <w:r>
        <w:t xml:space="preserve"> </w:t>
      </w:r>
      <w:r>
        <w:rPr>
          <w:bCs/>
          <w:b/>
        </w:rPr>
        <w:t xml:space="preserve">variance of the data when projected onto the corresponding eigenvector direction</w:t>
      </w:r>
      <w:r>
        <w:t xml:space="preserve"> </w:t>
      </w:r>
      <w:r>
        <w:t xml:space="preserve">— i.e., the variance of the k-th principal component score. Because the eigenvectors are mutually orthogonal, the eigenvalues sum exactly to the total variance of the original data (the trace of Σ): Σk λk = Σi Σii = total variance. This is why the eigenvalue directly quantifies</w:t>
      </w:r>
      <w:r>
        <w:t xml:space="preserve"> </w:t>
      </w:r>
      <w:r>
        <w:t xml:space="preserve">“</w:t>
      </w:r>
      <w:r>
        <w:t xml:space="preserve">how much information (variance)</w:t>
      </w:r>
      <w:r>
        <w:t xml:space="preserve">”</w:t>
      </w:r>
      <w:r>
        <w:t xml:space="preserve"> </w:t>
      </w:r>
      <w:r>
        <w:t xml:space="preserve">each component captures, and why ranking components by λk (largest first) is equivalent to ranking them by the amount of variance/information explained.</w:t>
      </w:r>
    </w:p>
    <w:p>
      <w:pPr>
        <w:pStyle w:val="Compact"/>
        <w:numPr>
          <w:ilvl w:val="0"/>
          <w:numId w:val="1100"/>
        </w:numPr>
      </w:pPr>
      <w:r>
        <w:t xml:space="preserve">The</w:t>
      </w:r>
      <w:r>
        <w:t xml:space="preserve"> </w:t>
      </w:r>
      <w:r>
        <w:rPr>
          <w:bCs/>
          <w:b/>
        </w:rPr>
        <w:t xml:space="preserve">proportion of total variance explained</w:t>
      </w:r>
      <w:r>
        <w:t xml:space="preserve"> </w:t>
      </w:r>
      <w:r>
        <w:t xml:space="preserve">by component k is λk / Σj λj, and the cumulative proportion for the first m components, Σk=1..m λk / Σj λj, is used (commonly via a</w:t>
      </w:r>
      <w:r>
        <w:t xml:space="preserve"> </w:t>
      </w:r>
      <w:r>
        <w:t xml:space="preserve">“</w:t>
      </w:r>
      <w:r>
        <w:t xml:space="preserve">scree plot</w:t>
      </w:r>
      <w:r>
        <w:t xml:space="preserve">”</w:t>
      </w:r>
      <w:r>
        <w:t xml:space="preserve"> </w:t>
      </w:r>
      <w:r>
        <w:t xml:space="preserve">of λk versus k, looking for the</w:t>
      </w:r>
      <w:r>
        <w:t xml:space="preserve"> </w:t>
      </w:r>
      <w:r>
        <w:t xml:space="preserve">“</w:t>
      </w:r>
      <w:r>
        <w:t xml:space="preserve">elbow</w:t>
      </w:r>
      <w:r>
        <w:t xml:space="preserve">”</w:t>
      </w:r>
      <w:r>
        <w:t xml:space="preserve">, or a cumulative-variance threshold such as 95 or 99 percent) to decide how many components to retain for dimensionality reduction.</w:t>
      </w:r>
    </w:p>
    <w:p>
      <w:pPr>
        <w:pStyle w:val="FirstParagraph"/>
      </w:pPr>
      <w:r>
        <w:rPr>
          <w:bCs/>
          <w:b/>
        </w:rPr>
        <w:t xml:space="preserve">Step 5 — Projection (computing the principal component scores/images).</w:t>
      </w:r>
      <w:r>
        <w:t xml:space="preserve"> </w:t>
      </w:r>
      <w:r>
        <w:t xml:space="preserve">The principal component scores (the transformed data, i.e., the new</w:t>
      </w:r>
      <w:r>
        <w:t xml:space="preserve"> </w:t>
      </w:r>
      <w:r>
        <w:t xml:space="preserve">“</w:t>
      </w:r>
      <w:r>
        <w:t xml:space="preserve">PC image</w:t>
      </w:r>
      <w:r>
        <w:t xml:space="preserve">”</w:t>
      </w:r>
      <w:r>
        <w:t xml:space="preserve"> </w:t>
      </w:r>
      <w:r>
        <w:t xml:space="preserve">bands in a remote-sensing PCA transform) are obtained by projecting the mean-centred data onto the eigenvectors:</w:t>
      </w:r>
    </w:p>
    <w:p>
      <w:pPr>
        <w:pStyle w:val="BodyText"/>
      </w:pPr>
      <w:r>
        <w:rPr>
          <w:bCs/>
          <w:b/>
        </w:rPr>
        <w:t xml:space="preserve">Y = Xc V</w:t>
      </w:r>
    </w:p>
    <w:p>
      <w:pPr>
        <w:pStyle w:val="BodyText"/>
      </w:pPr>
      <w:r>
        <w:t xml:space="preserve">so that the score of observation i on component k is yik = Σj (xij − x̄j) vjk — a linear combination of the original (centred) variables weighted by the eigenvector loadings. The resulting PC scores are, by construction, mutually uncorrelated (Cov(Yk,Yj)=0 for k≠j) and have variance exactly equal to the corresponding eigenvalue, Var(Yk) = λk.</w:t>
      </w:r>
    </w:p>
    <w:p>
      <w:pPr>
        <w:pStyle w:val="CaptionedFigure"/>
      </w:pPr>
      <w:r>
        <w:drawing>
          <wp:inline>
            <wp:extent cx="5334000" cy="3481136"/>
            <wp:effectExtent b="0" l="0" r="0" t="0"/>
            <wp:docPr descr="Figure: The PCA eigen-decomposition pipeline — from the mean-centred data matrix, through the covariance matrix and its eigenvalues/eigenvectors, to the projected, mutually uncorrelated principal-component scores." title="" id="60" name="Picture"/>
            <a:graphic>
              <a:graphicData uri="http://schemas.openxmlformats.org/drawingml/2006/picture">
                <pic:pic>
                  <pic:nvPicPr>
                    <pic:cNvPr descr="up/media/media/image6.png" id="61" name="Picture"/>
                    <pic:cNvPicPr>
                      <a:picLocks noChangeArrowheads="1" noChangeAspect="1"/>
                    </pic:cNvPicPr>
                  </pic:nvPicPr>
                  <pic:blipFill>
                    <a:blip r:embed="rId59"/>
                    <a:stretch>
                      <a:fillRect/>
                    </a:stretch>
                  </pic:blipFill>
                  <pic:spPr bwMode="auto">
                    <a:xfrm>
                      <a:off x="0" y="0"/>
                      <a:ext cx="5334000" cy="3481136"/>
                    </a:xfrm>
                    <a:prstGeom prst="rect">
                      <a:avLst/>
                    </a:prstGeom>
                    <a:noFill/>
                    <a:ln w="9525">
                      <a:noFill/>
                      <a:headEnd/>
                      <a:tailEnd/>
                    </a:ln>
                  </pic:spPr>
                </pic:pic>
              </a:graphicData>
            </a:graphic>
          </wp:inline>
        </w:drawing>
      </w:r>
    </w:p>
    <w:p>
      <w:pPr>
        <w:pStyle w:val="ImageCaption"/>
      </w:pPr>
      <w:r>
        <w:t xml:space="preserve">Figure: The PCA eigen-decomposition pipeline — from the mean-centred data matrix, through the covariance matrix and its eigenvalues/eigenvectors, to the projected, mutually uncorrelated principal-component scores.</w:t>
      </w:r>
    </w:p>
    <w:p>
      <w:pPr>
        <w:pStyle w:val="BodyText"/>
      </w:pPr>
      <w:r>
        <w:t xml:space="preserve">Figure: The PCA eigen-decomposition pipeline — from the mean-centred data matrix, through the covariance matrix and its eigenvalues/eigenvectors, to the projected, mutually uncorrelated principal-component scores.</w:t>
      </w:r>
    </w:p>
    <w:p>
      <w:pPr>
        <w:pStyle w:val="Heading3"/>
      </w:pPr>
      <w:r>
        <w:t xml:space="preserve">13.3.3 Geometric interpretation</w:t>
      </w:r>
    </w:p>
    <w:p>
      <w:pPr>
        <w:pStyle w:val="FirstParagraph"/>
      </w:pPr>
      <w:r>
        <w:t xml:space="preserve">Geometrically, PCA performs a</w:t>
      </w:r>
      <w:r>
        <w:t xml:space="preserve"> </w:t>
      </w:r>
      <w:r>
        <w:rPr>
          <w:bCs/>
          <w:b/>
        </w:rPr>
        <w:t xml:space="preserve">rigid rotation of the coordinate axes</w:t>
      </w:r>
      <w:r>
        <w:t xml:space="preserve"> </w:t>
      </w:r>
      <w:r>
        <w:t xml:space="preserve">in variable space so that the new axes (principal components) are aligned with the directions of maximum spread (variance) of the data cloud — the first PC axis is the line through the multivariate data cloud’s centroid that minimises the sum of squared perpendicular distances of all points to the line (equivalently, maximises the variance of the projected points onto that line — the two are dual formulations of the same optimisation, one via least-squares regression, one via variance maximisation, and both are solved by exactly the same eigenvector). Subsequent PCs are the best-fit directions orthogonal to all previous PCs.</w:t>
      </w:r>
    </w:p>
    <w:p>
      <w:pPr>
        <w:pStyle w:val="Heading3"/>
      </w:pPr>
      <w:r>
        <w:t xml:space="preserve">13.3.4 Applications in remote sensing and agriculture</w:t>
      </w:r>
    </w:p>
    <w:p>
      <w:pPr>
        <w:pStyle w:val="Compact"/>
        <w:numPr>
          <w:ilvl w:val="0"/>
          <w:numId w:val="1101"/>
        </w:numPr>
      </w:pPr>
      <w:r>
        <w:rPr>
          <w:bCs/>
          <w:b/>
        </w:rPr>
        <w:t xml:space="preserve">Data compression/dimensionality reduction</w:t>
      </w:r>
      <w:r>
        <w:t xml:space="preserve"> </w:t>
      </w:r>
      <w:r>
        <w:t xml:space="preserve">for hyperspectral data (hundreds of bands compressed to a handful of PCs retaining &gt;99 percent variance) before classification, to mitigate the Hughes phenomenon (classification accuracy degrading with increasing dimensionality relative to limited training samples).</w:t>
      </w:r>
    </w:p>
    <w:p>
      <w:pPr>
        <w:pStyle w:val="Compact"/>
        <w:numPr>
          <w:ilvl w:val="0"/>
          <w:numId w:val="1101"/>
        </w:numPr>
      </w:pPr>
      <w:r>
        <w:rPr>
          <w:bCs/>
          <w:b/>
        </w:rPr>
        <w:t xml:space="preserve">Feature enhancement</w:t>
      </w:r>
      <w:r>
        <w:t xml:space="preserve"> </w:t>
      </w:r>
      <w:r>
        <w:t xml:space="preserve">— PC1 (overall brightness) is often discarded and PC2/PC3 (which typically isolate vegetation-vigour and soil/moisture contrasts once the dominant brightness variance is removed) used for visual/automated change or stress detection, since these later components can reveal subtle contrasts masked by the dominant brightness signal in the raw bands.</w:t>
      </w:r>
    </w:p>
    <w:p>
      <w:pPr>
        <w:pStyle w:val="Compact"/>
        <w:numPr>
          <w:ilvl w:val="0"/>
          <w:numId w:val="1101"/>
        </w:numPr>
      </w:pPr>
      <w:r>
        <w:rPr>
          <w:bCs/>
          <w:b/>
        </w:rPr>
        <w:t xml:space="preserve">Change detection</w:t>
      </w:r>
      <w:r>
        <w:t xml:space="preserve"> </w:t>
      </w:r>
      <w:r>
        <w:t xml:space="preserve">— PCA performed jointly on multi-date image stacks (</w:t>
      </w:r>
      <w:r>
        <w:t xml:space="preserve">“</w:t>
      </w:r>
      <w:r>
        <w:t xml:space="preserve">multi-temporal PCA</w:t>
      </w:r>
      <w:r>
        <w:t xml:space="preserve">”</w:t>
      </w:r>
      <w:r>
        <w:t xml:space="preserve">) concentrates stable/unchanged information into early components and change information into later, minor-variance components.</w:t>
      </w:r>
    </w:p>
    <w:p>
      <w:pPr>
        <w:pStyle w:val="Compact"/>
        <w:numPr>
          <w:ilvl w:val="0"/>
          <w:numId w:val="1101"/>
        </w:numPr>
      </w:pPr>
      <w:r>
        <w:rPr>
          <w:bCs/>
          <w:b/>
        </w:rPr>
        <w:t xml:space="preserve">Noise reduction</w:t>
      </w:r>
      <w:r>
        <w:t xml:space="preserve"> </w:t>
      </w:r>
      <w:r>
        <w:t xml:space="preserve">— reconstructing the image from only the leading (high-eigenvalue) components while discarding trailing components (dominated by sensor noise, which is typically low-variance and spatially uncorrelated) yields a de-noised image.</w:t>
      </w:r>
    </w:p>
    <w:p>
      <w:pPr>
        <w:pStyle w:val="Compact"/>
        <w:numPr>
          <w:ilvl w:val="0"/>
          <w:numId w:val="1101"/>
        </w:numPr>
      </w:pPr>
      <w:r>
        <w:rPr>
          <w:bCs/>
          <w:b/>
        </w:rPr>
        <w:t xml:space="preserve">Multivariate soil/agronomic data reduction</w:t>
      </w:r>
      <w:r>
        <w:t xml:space="preserve"> </w:t>
      </w:r>
      <w:r>
        <w:t xml:space="preserve">— combining many correlated soil-fertility or crop-growth-stage indicator variables into a few interpretable composite indices for management-zone delineation, often as a precursor to clustering/classification.</w:t>
      </w:r>
    </w:p>
    <w:p>
      <w:pPr>
        <w:pStyle w:val="Heading2"/>
      </w:pPr>
      <w:r>
        <w:t xml:space="preserve">13.4 A Small Worked PCA Example (2 Variables, Illustrating Eigenvalues/Eigenvectors)</w:t>
      </w:r>
    </w:p>
    <w:p>
      <w:pPr>
        <w:pStyle w:val="FirstParagraph"/>
      </w:pPr>
      <w:r>
        <w:rPr>
          <w:bCs/>
          <w:b/>
        </w:rPr>
        <w:t xml:space="preserve">Problem:</w:t>
      </w:r>
      <w:r>
        <w:t xml:space="preserve"> </w:t>
      </w:r>
      <w:r>
        <w:t xml:space="preserve">Two spectral bands (Red and NIR reflectance, mean-centred) across a set of pixels give the covariance matrix:</w:t>
      </w:r>
    </w:p>
    <w:p>
      <w:pPr>
        <w:pStyle w:val="BodyText"/>
      </w:pPr>
      <w:r>
        <w:t xml:space="preserve">Σ = [ [4.0, 3.0], [3.0, 4.0] ] (Var(Red)=4.0, Var(NIR)=4.0, Cov(Red,NIR)=3.0)</w:t>
      </w:r>
    </w:p>
    <w:p>
      <w:pPr>
        <w:pStyle w:val="BodyText"/>
      </w:pPr>
      <w:r>
        <w:rPr>
          <w:bCs/>
          <w:b/>
        </w:rPr>
        <w:t xml:space="preserve">Step 1 — Characteristic equation.</w:t>
      </w:r>
      <w:r>
        <w:t xml:space="preserve"> </w:t>
      </w:r>
      <w:r>
        <w:t xml:space="preserve">det(Σ − λI) = 0: (4−λ)(4−λ) − (3)(3) = 0 16 − 8λ + λ² − 9 = 0 λ² − 8λ + 7 = 0 (λ−7)(λ−1) = 0</w:t>
      </w:r>
      <w:r>
        <w:t xml:space="preserve"> </w:t>
      </w:r>
      <w:r>
        <w:rPr>
          <w:bCs/>
          <w:b/>
        </w:rPr>
        <w:t xml:space="preserve">λ1 = 7, λ2 = 1</w:t>
      </w:r>
    </w:p>
    <w:p>
      <w:pPr>
        <w:pStyle w:val="BodyText"/>
      </w:pPr>
      <w:r>
        <w:rPr>
          <w:bCs/>
          <w:b/>
        </w:rPr>
        <w:t xml:space="preserve">Step 2 — Eigenvector for λ1 = 7.</w:t>
      </w:r>
      <w:r>
        <w:t xml:space="preserve"> </w:t>
      </w:r>
      <w:r>
        <w:t xml:space="preserve">Solve (Σ − 7I)v = 0: [ [4−7, 3], [3, 4−7] ] v = [ [−3, 3], [3, −3] ] v = 0 −3v1 + 3v2 = 0 → v1 = v2. Normalised: v1 = (1/√2, 1/√2) ≈</w:t>
      </w:r>
      <w:r>
        <w:t xml:space="preserve"> </w:t>
      </w:r>
      <w:r>
        <w:rPr>
          <w:bCs/>
          <w:b/>
        </w:rPr>
        <w:t xml:space="preserve">(0.707, 0.707)</w:t>
      </w:r>
    </w:p>
    <w:p>
      <w:pPr>
        <w:pStyle w:val="BodyText"/>
      </w:pPr>
      <w:r>
        <w:rPr>
          <w:bCs/>
          <w:b/>
        </w:rPr>
        <w:t xml:space="preserve">Step 3 — Eigenvector for λ2 = 1.</w:t>
      </w:r>
      <w:r>
        <w:t xml:space="preserve"> </w:t>
      </w:r>
      <w:r>
        <w:t xml:space="preserve">Solve (Σ − 1I)v = 0: [ [3, 3], [3, 3] ] v = 0 → v1 = −v2. Normalised: v2 = (1/√2, −1/√2) ≈</w:t>
      </w:r>
      <w:r>
        <w:t xml:space="preserve"> </w:t>
      </w:r>
      <w:r>
        <w:rPr>
          <w:bCs/>
          <w:b/>
        </w:rPr>
        <w:t xml:space="preserve">(0.707, −0.707)</w:t>
      </w:r>
    </w:p>
    <w:p>
      <w:pPr>
        <w:pStyle w:val="BodyText"/>
      </w:pPr>
      <w:r>
        <w:rPr>
          <w:bCs/>
          <w:b/>
        </w:rPr>
        <w:t xml:space="preserve">Step 4 — Interpret.</w:t>
      </w:r>
      <w:r>
        <w:t xml:space="preserve"> </w:t>
      </w:r>
      <w:r>
        <w:t xml:space="preserve">- PC1 (λ1=7, 87.5% of total variance = 7/(7+1)) has equal positive loadings on Red and NIR — this is the classic</w:t>
      </w:r>
      <w:r>
        <w:t xml:space="preserve"> </w:t>
      </w:r>
      <w:r>
        <w:t xml:space="preserve">“</w:t>
      </w:r>
      <w:r>
        <w:t xml:space="preserve">overall brightness</w:t>
      </w:r>
      <w:r>
        <w:t xml:space="preserve">”</w:t>
      </w:r>
      <w:r>
        <w:t xml:space="preserve"> </w:t>
      </w:r>
      <w:r>
        <w:t xml:space="preserve">component, since Red and NIR are positively correlated (both respond to overall illumination/scene brightness) and both contribute equally. - PC2 (λ2=1, 12.5% of variance) has opposite-sign loadings — a Red-minus-NIR-type contrast axis, exactly the kind of vegetation-contrast information (analogous in spirit to NDVI’s Red/NIR opposition) that Chapter 4 describes as often revealed only once the dominant brightness component (PC1) is separated out. - Check: λ1+λ2 = 8 = Var(Red)+Var(NIR) = 4+4 = 8 ✓ (total variance is conserved, as required).</w:t>
      </w:r>
    </w:p>
    <w:p>
      <w:pPr>
        <w:pStyle w:val="PartTitle"/>
      </w:pPr>
      <w:r>
        <w:t xml:space="preserve">Part III</w:t>
      </w:r>
      <w:r>
        <w:br/>
      </w:r>
      <w:r>
        <w:t xml:space="preserve">Soil Science</w:t>
      </w:r>
    </w:p>
    <w:p>
      <w:pPr>
        <w:pStyle w:val="PartSub"/>
      </w:pPr>
      <w:r>
        <w:t xml:space="preserve">Soil properties, processes and health; soil fertility, problem soils and soil quality</w:t>
      </w:r>
    </w:p>
    <w:p>
      <w:pPr>
        <w:pStyle w:val="Heading1"/>
      </w:pPr>
      <w:r>
        <w:t xml:space="preserve">Chapter 14. Soil Formation and Physical Properties</w:t>
      </w:r>
    </w:p>
    <w:p>
      <w:pPr>
        <w:pStyle w:val="Heading2"/>
      </w:pPr>
      <w:r>
        <w:t xml:space="preserve">14.1 Soil: Definition and Components</w:t>
      </w:r>
    </w:p>
    <w:p>
      <w:pPr>
        <w:pStyle w:val="FirstParagraph"/>
      </w:pPr>
      <w:r>
        <w:rPr>
          <w:bCs/>
          <w:b/>
        </w:rPr>
        <w:t xml:space="preserve">Soil</w:t>
      </w:r>
      <w:r>
        <w:t xml:space="preserve"> </w:t>
      </w:r>
      <w:r>
        <w:t xml:space="preserve">is the unconsolidated mineral and organic material on the immediate surface of the Earth that serves as a natural medium for plant growth. It has been formed by the interaction of</w:t>
      </w:r>
      <w:r>
        <w:t xml:space="preserve"> </w:t>
      </w:r>
      <w:r>
        <w:rPr>
          <w:bCs/>
          <w:b/>
        </w:rPr>
        <w:t xml:space="preserve">climate, organisms, relief and parent material over time</w:t>
      </w:r>
      <w:r>
        <w:t xml:space="preserve">. Two viewpoints exist:</w:t>
      </w:r>
    </w:p>
    <w:p>
      <w:pPr>
        <w:pStyle w:val="Compact"/>
        <w:numPr>
          <w:ilvl w:val="0"/>
          <w:numId w:val="1102"/>
        </w:numPr>
      </w:pPr>
      <w:r>
        <w:rPr>
          <w:bCs/>
          <w:b/>
        </w:rPr>
        <w:t xml:space="preserve">Pedology</w:t>
      </w:r>
      <w:r>
        <w:t xml:space="preserve"> </w:t>
      </w:r>
      <w:r>
        <w:t xml:space="preserve">studies soil as a natural body: its origin, classification and description.</w:t>
      </w:r>
    </w:p>
    <w:p>
      <w:pPr>
        <w:pStyle w:val="Compact"/>
        <w:numPr>
          <w:ilvl w:val="0"/>
          <w:numId w:val="1102"/>
        </w:numPr>
      </w:pPr>
      <w:r>
        <w:rPr>
          <w:bCs/>
          <w:b/>
        </w:rPr>
        <w:t xml:space="preserve">Edaphology</w:t>
      </w:r>
      <w:r>
        <w:t xml:space="preserve"> </w:t>
      </w:r>
      <w:r>
        <w:t xml:space="preserve">studies soil as a medium for plant growth: fertility and productivity.</w:t>
      </w:r>
    </w:p>
    <w:p>
      <w:pPr>
        <w:pStyle w:val="FirstParagraph"/>
      </w:pPr>
      <w:r>
        <w:t xml:space="preserve">A typical loam surface soil, by volume, is roughly:</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Volume (%)</w:t>
            </w:r>
          </w:p>
        </w:tc>
        <w:tc>
          <w:tcPr/>
          <w:p>
            <w:pPr>
              <w:pStyle w:val="Compact"/>
              <w:jc w:val="left"/>
            </w:pPr>
            <w:r>
              <w:t xml:space="preserve">Role</w:t>
            </w:r>
          </w:p>
        </w:tc>
      </w:tr>
      <w:tr>
        <w:tc>
          <w:tcPr/>
          <w:p>
            <w:pPr>
              <w:pStyle w:val="Compact"/>
              <w:jc w:val="left"/>
            </w:pPr>
            <w:r>
              <w:t xml:space="preserve">Mineral matter</w:t>
            </w:r>
          </w:p>
        </w:tc>
        <w:tc>
          <w:tcPr/>
          <w:p>
            <w:pPr>
              <w:pStyle w:val="Compact"/>
              <w:jc w:val="left"/>
            </w:pPr>
            <w:r>
              <w:t xml:space="preserve">~45</w:t>
            </w:r>
          </w:p>
        </w:tc>
        <w:tc>
          <w:tcPr/>
          <w:p>
            <w:pPr>
              <w:pStyle w:val="Compact"/>
              <w:jc w:val="left"/>
            </w:pPr>
            <w:r>
              <w:t xml:space="preserve">Skeleton; supplies nutrients through weathering; texture</w:t>
            </w:r>
          </w:p>
        </w:tc>
      </w:tr>
      <w:tr>
        <w:tc>
          <w:tcPr/>
          <w:p>
            <w:pPr>
              <w:pStyle w:val="Compact"/>
              <w:jc w:val="left"/>
            </w:pPr>
            <w:r>
              <w:t xml:space="preserve">Organic matter</w:t>
            </w:r>
          </w:p>
        </w:tc>
        <w:tc>
          <w:tcPr/>
          <w:p>
            <w:pPr>
              <w:pStyle w:val="Compact"/>
              <w:jc w:val="left"/>
            </w:pPr>
            <w:r>
              <w:t xml:space="preserve">~5</w:t>
            </w:r>
          </w:p>
        </w:tc>
        <w:tc>
          <w:tcPr/>
          <w:p>
            <w:pPr>
              <w:pStyle w:val="Compact"/>
              <w:jc w:val="left"/>
            </w:pPr>
            <w:r>
              <w:t xml:space="preserve">Nutrients, CEC, structure, water retention, biology</w:t>
            </w:r>
          </w:p>
        </w:tc>
      </w:tr>
      <w:tr>
        <w:tc>
          <w:tcPr/>
          <w:p>
            <w:pPr>
              <w:pStyle w:val="Compact"/>
              <w:jc w:val="left"/>
            </w:pPr>
            <w:r>
              <w:t xml:space="preserve">Water</w:t>
            </w:r>
          </w:p>
        </w:tc>
        <w:tc>
          <w:tcPr/>
          <w:p>
            <w:pPr>
              <w:pStyle w:val="Compact"/>
              <w:jc w:val="left"/>
            </w:pPr>
            <w:r>
              <w:t xml:space="preserve">~25</w:t>
            </w:r>
          </w:p>
        </w:tc>
        <w:tc>
          <w:tcPr/>
          <w:p>
            <w:pPr>
              <w:pStyle w:val="Compact"/>
              <w:jc w:val="left"/>
            </w:pPr>
            <w:r>
              <w:t xml:space="preserve">Solvent, nutrient transport, transpiration</w:t>
            </w:r>
          </w:p>
        </w:tc>
      </w:tr>
      <w:tr>
        <w:tc>
          <w:tcPr/>
          <w:p>
            <w:pPr>
              <w:pStyle w:val="Compact"/>
              <w:jc w:val="left"/>
            </w:pPr>
            <w:r>
              <w:t xml:space="preserve">Air</w:t>
            </w:r>
          </w:p>
        </w:tc>
        <w:tc>
          <w:tcPr/>
          <w:p>
            <w:pPr>
              <w:pStyle w:val="Compact"/>
              <w:jc w:val="left"/>
            </w:pPr>
            <w:r>
              <w:t xml:space="preserve">~25</w:t>
            </w:r>
          </w:p>
        </w:tc>
        <w:tc>
          <w:tcPr/>
          <w:p>
            <w:pPr>
              <w:pStyle w:val="Compact"/>
              <w:jc w:val="left"/>
            </w:pPr>
            <w:r>
              <w:t xml:space="preserve">O₂ for roots and microbes; CO₂ exchange</w:t>
            </w:r>
          </w:p>
        </w:tc>
      </w:tr>
    </w:tbl>
    <w:p>
      <w:pPr>
        <w:pStyle w:val="BodyText"/>
      </w:pPr>
      <w:r>
        <w:t xml:space="preserve">The water and air fractions share the</w:t>
      </w:r>
      <w:r>
        <w:t xml:space="preserve"> </w:t>
      </w:r>
      <w:r>
        <w:rPr>
          <w:bCs/>
          <w:b/>
        </w:rPr>
        <w:t xml:space="preserve">pore space (~50%)</w:t>
      </w:r>
      <w:r>
        <w:t xml:space="preserve">, so as one increases the other decreases. This trade-off controls aeration in waterlogged soils.</w:t>
      </w:r>
    </w:p>
    <w:p>
      <w:pPr>
        <w:pStyle w:val="Heading2"/>
      </w:pPr>
      <w:r>
        <w:t xml:space="preserve">14.2 Soil Formation</w:t>
      </w:r>
    </w:p>
    <w:p>
      <w:pPr>
        <w:pStyle w:val="Heading3"/>
      </w:pPr>
      <w:r>
        <w:t xml:space="preserve">14.2.1 Factors of soil formation (Jenny, 1941)</w:t>
      </w:r>
    </w:p>
    <w:p>
      <w:pPr>
        <w:pStyle w:val="FirstParagraph"/>
      </w:pPr>
      <m:oMathPara>
        <m:oMathParaPr>
          <m:jc m:val="center"/>
        </m:oMathParaPr>
        <m:oMath>
          <m:r>
            <m:t>S</m:t>
          </m:r>
          <m:r>
            <m:rPr>
              <m:sty m:val="p"/>
            </m:rPr>
            <m:t>=</m:t>
          </m:r>
          <m:r>
            <m:t>f</m:t>
          </m:r>
          <m:d>
            <m:dPr>
              <m:begChr m:val="("/>
              <m:endChr m:val=")"/>
              <m:sepChr m:val=""/>
              <m:grow/>
            </m:dPr>
            <m:e>
              <m:r>
                <m:t>c</m:t>
              </m:r>
              <m:r>
                <m:t>l</m:t>
              </m:r>
              <m:r>
                <m:rPr>
                  <m:sty m:val="p"/>
                </m:rPr>
                <m:t>,</m:t>
              </m:r>
              <m:r>
                <m:t> </m:t>
              </m:r>
              <m:r>
                <m:t>o</m:t>
              </m:r>
              <m:r>
                <m:rPr>
                  <m:sty m:val="p"/>
                </m:rPr>
                <m:t>,</m:t>
              </m:r>
              <m:r>
                <m:t> </m:t>
              </m:r>
              <m:r>
                <m:t>r</m:t>
              </m:r>
              <m:r>
                <m:rPr>
                  <m:sty m:val="p"/>
                </m:rPr>
                <m:t>,</m:t>
              </m:r>
              <m:r>
                <m:t> </m:t>
              </m:r>
              <m:r>
                <m:t>p</m:t>
              </m:r>
              <m:r>
                <m:rPr>
                  <m:sty m:val="p"/>
                </m:rPr>
                <m:t>,</m:t>
              </m:r>
              <m:r>
                <m:t> </m:t>
              </m:r>
              <m:r>
                <m:t>t</m:t>
              </m:r>
              <m:r>
                <m:rPr>
                  <m:sty m:val="p"/>
                </m:rPr>
                <m:t>,</m:t>
              </m:r>
              <m:r>
                <m:t> </m:t>
              </m:r>
              <m:r>
                <m:rPr>
                  <m:sty m:val="p"/>
                </m:rPr>
                <m:t>…</m:t>
              </m:r>
            </m:e>
          </m:d>
        </m:oMath>
      </m:oMathPara>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Role</w:t>
            </w:r>
          </w:p>
        </w:tc>
        <w:tc>
          <w:tcPr/>
          <w:p>
            <w:pPr>
              <w:pStyle w:val="Compact"/>
              <w:jc w:val="left"/>
            </w:pPr>
            <w:r>
              <w:t xml:space="preserve">Example</w:t>
            </w:r>
          </w:p>
        </w:tc>
      </w:tr>
      <w:tr>
        <w:tc>
          <w:tcPr/>
          <w:p>
            <w:pPr>
              <w:pStyle w:val="Compact"/>
              <w:jc w:val="left"/>
            </w:pPr>
            <w:r>
              <w:rPr>
                <w:bCs/>
                <w:b/>
              </w:rPr>
              <w:t xml:space="preserve">Climate (cl)</w:t>
            </w:r>
          </w:p>
        </w:tc>
        <w:tc>
          <w:tcPr/>
          <w:p>
            <w:pPr>
              <w:pStyle w:val="Compact"/>
              <w:jc w:val="left"/>
            </w:pPr>
            <w:r>
              <w:t xml:space="preserve">Temperature and rainfall control the rate of weathering, leaching and organic-matter turnover;</w:t>
            </w:r>
            <w:r>
              <w:t xml:space="preserve"> </w:t>
            </w:r>
            <w:r>
              <w:rPr>
                <w:iCs/>
                <w:i/>
              </w:rPr>
              <w:t xml:space="preserve">active</w:t>
            </w:r>
            <w:r>
              <w:t xml:space="preserve"> </w:t>
            </w:r>
            <w:r>
              <w:t xml:space="preserve">factor</w:t>
            </w:r>
          </w:p>
        </w:tc>
        <w:tc>
          <w:tcPr/>
          <w:p>
            <w:pPr>
              <w:pStyle w:val="Compact"/>
              <w:jc w:val="left"/>
            </w:pPr>
            <w:r>
              <w:t xml:space="preserve">High rainfall and heat give laterites; arid climates give calcareous and saline Aridisols</w:t>
            </w:r>
          </w:p>
        </w:tc>
      </w:tr>
      <w:tr>
        <w:tc>
          <w:tcPr/>
          <w:p>
            <w:pPr>
              <w:pStyle w:val="Compact"/>
              <w:jc w:val="left"/>
            </w:pPr>
            <w:r>
              <w:rPr>
                <w:bCs/>
                <w:b/>
              </w:rPr>
              <w:t xml:space="preserve">Organisms (o)</w:t>
            </w:r>
          </w:p>
        </w:tc>
        <w:tc>
          <w:tcPr/>
          <w:p>
            <w:pPr>
              <w:pStyle w:val="Compact"/>
              <w:jc w:val="left"/>
            </w:pPr>
            <w:r>
              <w:t xml:space="preserve">Vegetation, microbes, fauna, humans;</w:t>
            </w:r>
            <w:r>
              <w:t xml:space="preserve"> </w:t>
            </w:r>
            <w:r>
              <w:rPr>
                <w:iCs/>
                <w:i/>
              </w:rPr>
              <w:t xml:space="preserve">active</w:t>
            </w:r>
            <w:r>
              <w:t xml:space="preserve"> </w:t>
            </w:r>
            <w:r>
              <w:t xml:space="preserve">factor</w:t>
            </w:r>
          </w:p>
        </w:tc>
        <w:tc>
          <w:tcPr/>
          <w:p>
            <w:pPr>
              <w:pStyle w:val="Compact"/>
              <w:jc w:val="left"/>
            </w:pPr>
            <w:r>
              <w:t xml:space="preserve">Grassland gives Mollisols (dark, rich A horizon); forest gives Alfisols and Spodosols</w:t>
            </w:r>
          </w:p>
        </w:tc>
      </w:tr>
      <w:tr>
        <w:tc>
          <w:tcPr/>
          <w:p>
            <w:pPr>
              <w:pStyle w:val="Compact"/>
              <w:jc w:val="left"/>
            </w:pPr>
            <w:r>
              <w:rPr>
                <w:bCs/>
                <w:b/>
              </w:rPr>
              <w:t xml:space="preserve">Relief / topography (r)</w:t>
            </w:r>
          </w:p>
        </w:tc>
        <w:tc>
          <w:tcPr/>
          <w:p>
            <w:pPr>
              <w:pStyle w:val="Compact"/>
              <w:jc w:val="left"/>
            </w:pPr>
            <w:r>
              <w:t xml:space="preserve">Controls drainage, erosion, microclimate;</w:t>
            </w:r>
            <w:r>
              <w:t xml:space="preserve"> </w:t>
            </w:r>
            <w:r>
              <w:rPr>
                <w:iCs/>
                <w:i/>
              </w:rPr>
              <w:t xml:space="preserve">passive</w:t>
            </w:r>
            <w:r>
              <w:t xml:space="preserve"> </w:t>
            </w:r>
            <w:r>
              <w:t xml:space="preserve">factor</w:t>
            </w:r>
          </w:p>
        </w:tc>
        <w:tc>
          <w:tcPr/>
          <w:p>
            <w:pPr>
              <w:pStyle w:val="Compact"/>
              <w:jc w:val="left"/>
            </w:pPr>
            <w:r>
              <w:t xml:space="preserve">Catena: well-drained red soils upslope, poorly drained black soils in valleys</w:t>
            </w:r>
          </w:p>
        </w:tc>
      </w:tr>
      <w:tr>
        <w:tc>
          <w:tcPr/>
          <w:p>
            <w:pPr>
              <w:pStyle w:val="Compact"/>
              <w:jc w:val="left"/>
            </w:pPr>
            <w:r>
              <w:rPr>
                <w:bCs/>
                <w:b/>
              </w:rPr>
              <w:t xml:space="preserve">Parent material (p)</w:t>
            </w:r>
          </w:p>
        </w:tc>
        <w:tc>
          <w:tcPr/>
          <w:p>
            <w:pPr>
              <w:pStyle w:val="Compact"/>
              <w:jc w:val="left"/>
            </w:pPr>
            <w:r>
              <w:t xml:space="preserve">Mineral composition, texture, base status;</w:t>
            </w:r>
            <w:r>
              <w:t xml:space="preserve"> </w:t>
            </w:r>
            <w:r>
              <w:rPr>
                <w:iCs/>
                <w:i/>
              </w:rPr>
              <w:t xml:space="preserve">passive</w:t>
            </w:r>
            <w:r>
              <w:t xml:space="preserve"> </w:t>
            </w:r>
            <w:r>
              <w:t xml:space="preserve">factor</w:t>
            </w:r>
          </w:p>
        </w:tc>
        <w:tc>
          <w:tcPr/>
          <w:p>
            <w:pPr>
              <w:pStyle w:val="Compact"/>
              <w:jc w:val="left"/>
            </w:pPr>
            <w:r>
              <w:t xml:space="preserve">Basalt gives Vertisols (Deccan black soils); granite and gneiss give Alfisols (red soils)</w:t>
            </w:r>
          </w:p>
        </w:tc>
      </w:tr>
      <w:tr>
        <w:tc>
          <w:tcPr/>
          <w:p>
            <w:pPr>
              <w:pStyle w:val="Compact"/>
              <w:jc w:val="left"/>
            </w:pPr>
            <w:r>
              <w:rPr>
                <w:bCs/>
                <w:b/>
              </w:rPr>
              <w:t xml:space="preserve">Time (t)</w:t>
            </w:r>
          </w:p>
        </w:tc>
        <w:tc>
          <w:tcPr/>
          <w:p>
            <w:pPr>
              <w:pStyle w:val="Compact"/>
              <w:jc w:val="left"/>
            </w:pPr>
            <w:r>
              <w:t xml:space="preserve">Degree of development;</w:t>
            </w:r>
            <w:r>
              <w:t xml:space="preserve"> </w:t>
            </w:r>
            <w:r>
              <w:rPr>
                <w:iCs/>
                <w:i/>
              </w:rPr>
              <w:t xml:space="preserve">passive</w:t>
            </w:r>
            <w:r>
              <w:t xml:space="preserve"> </w:t>
            </w:r>
            <w:r>
              <w:t xml:space="preserve">factor</w:t>
            </w:r>
          </w:p>
        </w:tc>
        <w:tc>
          <w:tcPr/>
          <w:p>
            <w:pPr>
              <w:pStyle w:val="Compact"/>
              <w:jc w:val="left"/>
            </w:pPr>
            <w:r>
              <w:t xml:space="preserve">Young Entisols (alluvium) → Inceptisols → mature Alfisols/Ultisols → Oxisols</w:t>
            </w:r>
          </w:p>
        </w:tc>
      </w:tr>
    </w:tbl>
    <w:p>
      <w:pPr>
        <w:pStyle w:val="Heading3"/>
      </w:pPr>
      <w:r>
        <w:t xml:space="preserve">14.2.2 Weathering</w:t>
      </w:r>
    </w:p>
    <w:p>
      <w:pPr>
        <w:pStyle w:val="Compact"/>
        <w:numPr>
          <w:ilvl w:val="0"/>
          <w:numId w:val="1103"/>
        </w:numPr>
      </w:pPr>
      <w:r>
        <w:rPr>
          <w:bCs/>
          <w:b/>
        </w:rPr>
        <w:t xml:space="preserve">Physical (mechanical):</w:t>
      </w:r>
      <w:r>
        <w:t xml:space="preserve"> </w:t>
      </w:r>
      <w:r>
        <w:t xml:space="preserve">temperature changes (exfoliation), frost wedging, salt crystallisation, abrasion by wind and water, root wedging. Rock breaks into smaller fragments without chemical change.</w:t>
      </w:r>
    </w:p>
    <w:p>
      <w:pPr>
        <w:pStyle w:val="Compact"/>
        <w:numPr>
          <w:ilvl w:val="0"/>
          <w:numId w:val="1103"/>
        </w:numPr>
      </w:pPr>
      <w:r>
        <w:rPr>
          <w:bCs/>
          <w:b/>
        </w:rPr>
        <w:t xml:space="preserve">Chemical:</w:t>
      </w:r>
      <w:r>
        <w:t xml:space="preserve"> </w:t>
      </w:r>
      <w:r>
        <w:t xml:space="preserve">hydrolysis (feldspar → kaolinite, the most important), hydration, oxidation (Fe²⁺ → Fe³⁺, red colour), reduction, carbonation and solution (limestone dissolves in carbonic acid), chelation.</w:t>
      </w:r>
    </w:p>
    <w:p>
      <w:pPr>
        <w:pStyle w:val="Compact"/>
        <w:numPr>
          <w:ilvl w:val="0"/>
          <w:numId w:val="1103"/>
        </w:numPr>
      </w:pPr>
      <w:r>
        <w:rPr>
          <w:bCs/>
          <w:b/>
        </w:rPr>
        <w:t xml:space="preserve">Biological:</w:t>
      </w:r>
      <w:r>
        <w:t xml:space="preserve"> </w:t>
      </w:r>
      <w:r>
        <w:t xml:space="preserve">organic acids from roots, lichens and microbes; burrowing.</w:t>
      </w:r>
    </w:p>
    <w:p>
      <w:pPr>
        <w:pStyle w:val="FirstParagraph"/>
      </w:pPr>
      <w:r>
        <w:rPr>
          <w:bCs/>
          <w:b/>
        </w:rPr>
        <w:t xml:space="preserve">Goldich weathering series</w:t>
      </w:r>
      <w:r>
        <w:t xml:space="preserve"> </w:t>
      </w:r>
      <w:r>
        <w:t xml:space="preserve">(stability of primary minerals) is the reverse of Bowen’s crystallisation series. Olivine weathers fastest. Quartz is the most resistant, which is why sand fractions are quartz-rich.</w:t>
      </w:r>
    </w:p>
    <w:p>
      <w:pPr>
        <w:pStyle w:val="Heading3"/>
      </w:pPr>
      <w:r>
        <w:t xml:space="preserve">14.2.3 Pedogenic processes</w:t>
      </w:r>
    </w:p>
    <w:p>
      <w:pPr>
        <w:pStyle w:val="FirstParagraph"/>
      </w:pPr>
      <w:r>
        <w:rPr>
          <w:bCs/>
          <w:b/>
        </w:rPr>
        <w:t xml:space="preserve">Fundamental processes:</w:t>
      </w:r>
      <w:r>
        <w:t xml:space="preserve"> </w:t>
      </w:r>
      <w:r>
        <w:t xml:space="preserve">additions, losses, transformations and translocations (Simonson). The</w:t>
      </w:r>
      <w:r>
        <w:t xml:space="preserve"> </w:t>
      </w:r>
      <w:r>
        <w:rPr>
          <w:bCs/>
          <w:b/>
        </w:rPr>
        <w:t xml:space="preserve">specific processes</w:t>
      </w:r>
      <w:r>
        <w:t xml:space="preserve"> </w:t>
      </w:r>
      <w:r>
        <w:t xml:space="preserve">are: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Process</w:t>
            </w:r>
          </w:p>
        </w:tc>
        <w:tc>
          <w:tcPr/>
          <w:p>
            <w:pPr>
              <w:pStyle w:val="Compact"/>
              <w:jc w:val="left"/>
            </w:pPr>
            <w:r>
              <w:t xml:space="preserve">What happens</w:t>
            </w:r>
          </w:p>
        </w:tc>
        <w:tc>
          <w:tcPr/>
          <w:p>
            <w:pPr>
              <w:pStyle w:val="Compact"/>
              <w:jc w:val="left"/>
            </w:pPr>
            <w:r>
              <w:t xml:space="preserve">Soil type / horizon</w:t>
            </w:r>
          </w:p>
        </w:tc>
      </w:tr>
      <w:tr>
        <w:tc>
          <w:tcPr/>
          <w:p>
            <w:pPr>
              <w:pStyle w:val="Compact"/>
              <w:jc w:val="left"/>
            </w:pPr>
            <w:r>
              <w:rPr>
                <w:bCs/>
                <w:b/>
              </w:rPr>
              <w:t xml:space="preserve">Humification</w:t>
            </w:r>
          </w:p>
        </w:tc>
        <w:tc>
          <w:tcPr/>
          <w:p>
            <w:pPr>
              <w:pStyle w:val="Compact"/>
              <w:jc w:val="left"/>
            </w:pPr>
            <w:r>
              <w:t xml:space="preserve">Decomposition of organic residues into humus</w:t>
            </w:r>
          </w:p>
        </w:tc>
        <w:tc>
          <w:tcPr/>
          <w:p>
            <w:pPr>
              <w:pStyle w:val="Compact"/>
              <w:jc w:val="left"/>
            </w:pPr>
            <w:r>
              <w:t xml:space="preserve">Dark A horizons (Mollisols)</w:t>
            </w:r>
          </w:p>
        </w:tc>
      </w:tr>
      <w:tr>
        <w:tc>
          <w:tcPr/>
          <w:p>
            <w:pPr>
              <w:pStyle w:val="Compact"/>
              <w:jc w:val="left"/>
            </w:pPr>
            <w:r>
              <w:rPr>
                <w:bCs/>
                <w:b/>
              </w:rPr>
              <w:t xml:space="preserve">Eluviation / illuviation</w:t>
            </w:r>
          </w:p>
        </w:tc>
        <w:tc>
          <w:tcPr/>
          <w:p>
            <w:pPr>
              <w:pStyle w:val="Compact"/>
              <w:jc w:val="left"/>
            </w:pPr>
            <w:r>
              <w:t xml:space="preserve">Removal of clay, Fe, organic matter from upper horizons (E) and accumulation below (B)</w:t>
            </w:r>
          </w:p>
        </w:tc>
        <w:tc>
          <w:tcPr/>
          <w:p>
            <w:pPr>
              <w:pStyle w:val="Compact"/>
              <w:jc w:val="left"/>
            </w:pPr>
            <w:r>
              <w:t xml:space="preserve">Argillic (Bt) horizons in Alfisols</w:t>
            </w:r>
          </w:p>
        </w:tc>
      </w:tr>
      <w:tr>
        <w:tc>
          <w:tcPr/>
          <w:p>
            <w:pPr>
              <w:pStyle w:val="Compact"/>
              <w:jc w:val="left"/>
            </w:pPr>
            <w:r>
              <w:rPr>
                <w:bCs/>
                <w:b/>
              </w:rPr>
              <w:t xml:space="preserve">Podzolisation</w:t>
            </w:r>
          </w:p>
        </w:tc>
        <w:tc>
          <w:tcPr/>
          <w:p>
            <w:pPr>
              <w:pStyle w:val="Compact"/>
              <w:jc w:val="left"/>
            </w:pPr>
            <w:r>
              <w:t xml:space="preserve">Acid leaching removes Fe and Al with organic chelates, leaving a bleached E; spodic Bh/Bs horizons</w:t>
            </w:r>
          </w:p>
        </w:tc>
        <w:tc>
          <w:tcPr/>
          <w:p>
            <w:pPr>
              <w:pStyle w:val="Compact"/>
              <w:jc w:val="left"/>
            </w:pPr>
            <w:r>
              <w:t xml:space="preserve">Spodosols (cool humid conifer forests)</w:t>
            </w:r>
          </w:p>
        </w:tc>
      </w:tr>
      <w:tr>
        <w:tc>
          <w:tcPr/>
          <w:p>
            <w:pPr>
              <w:pStyle w:val="Compact"/>
              <w:jc w:val="left"/>
            </w:pPr>
            <w:r>
              <w:rPr>
                <w:bCs/>
                <w:b/>
              </w:rPr>
              <w:t xml:space="preserve">Laterisation</w:t>
            </w:r>
          </w:p>
        </w:tc>
        <w:tc>
          <w:tcPr/>
          <w:p>
            <w:pPr>
              <w:pStyle w:val="Compact"/>
              <w:jc w:val="left"/>
            </w:pPr>
            <w:r>
              <w:t xml:space="preserve">Intense leaching of silica and bases (desilication), residual accumulation of Fe and Al oxides</w:t>
            </w:r>
          </w:p>
        </w:tc>
        <w:tc>
          <w:tcPr/>
          <w:p>
            <w:pPr>
              <w:pStyle w:val="Compact"/>
              <w:jc w:val="left"/>
            </w:pPr>
            <w:r>
              <w:t xml:space="preserve">Laterites, Oxisols, Ultisols (Kerala, Konkan, NE India)</w:t>
            </w:r>
          </w:p>
        </w:tc>
      </w:tr>
      <w:tr>
        <w:tc>
          <w:tcPr/>
          <w:p>
            <w:pPr>
              <w:pStyle w:val="Compact"/>
              <w:jc w:val="left"/>
            </w:pPr>
            <w:r>
              <w:rPr>
                <w:bCs/>
                <w:b/>
              </w:rPr>
              <w:t xml:space="preserve">Calcification</w:t>
            </w:r>
          </w:p>
        </w:tc>
        <w:tc>
          <w:tcPr/>
          <w:p>
            <w:pPr>
              <w:pStyle w:val="Compact"/>
              <w:jc w:val="left"/>
            </w:pPr>
            <w:r>
              <w:t xml:space="preserve">Leaching of soluble salts and accumulation of CaCO₃ at shallow depth (calcic/Bk horizon, kankar)</w:t>
            </w:r>
          </w:p>
        </w:tc>
        <w:tc>
          <w:tcPr/>
          <w:p>
            <w:pPr>
              <w:pStyle w:val="Compact"/>
              <w:jc w:val="left"/>
            </w:pPr>
            <w:r>
              <w:t xml:space="preserve">Semi-arid Aridisols, Mollisols</w:t>
            </w:r>
          </w:p>
        </w:tc>
      </w:tr>
      <w:tr>
        <w:tc>
          <w:tcPr/>
          <w:p>
            <w:pPr>
              <w:pStyle w:val="Compact"/>
              <w:jc w:val="left"/>
            </w:pPr>
            <w:r>
              <w:rPr>
                <w:bCs/>
                <w:b/>
              </w:rPr>
              <w:t xml:space="preserve">Salinisation / solonisation</w:t>
            </w:r>
          </w:p>
        </w:tc>
        <w:tc>
          <w:tcPr/>
          <w:p>
            <w:pPr>
              <w:pStyle w:val="Compact"/>
              <w:jc w:val="left"/>
            </w:pPr>
            <w:r>
              <w:t xml:space="preserve">Accumulation of soluble salts; Na enrichment, giving sodic natric horizons</w:t>
            </w:r>
          </w:p>
        </w:tc>
        <w:tc>
          <w:tcPr/>
          <w:p>
            <w:pPr>
              <w:pStyle w:val="Compact"/>
              <w:jc w:val="left"/>
            </w:pPr>
            <w:r>
              <w:t xml:space="preserve">Saline and sodic soils (Indo-Gangetic plains, Rajasthan)</w:t>
            </w:r>
          </w:p>
        </w:tc>
      </w:tr>
      <w:tr>
        <w:tc>
          <w:tcPr/>
          <w:p>
            <w:pPr>
              <w:pStyle w:val="Compact"/>
              <w:jc w:val="left"/>
            </w:pPr>
            <w:r>
              <w:rPr>
                <w:bCs/>
                <w:b/>
              </w:rPr>
              <w:t xml:space="preserve">Gleisation</w:t>
            </w:r>
          </w:p>
        </w:tc>
        <w:tc>
          <w:tcPr/>
          <w:p>
            <w:pPr>
              <w:pStyle w:val="Compact"/>
              <w:jc w:val="left"/>
            </w:pPr>
            <w:r>
              <w:t xml:space="preserve">Reduction under waterlogging; grey/blue colours with mottles</w:t>
            </w:r>
          </w:p>
        </w:tc>
        <w:tc>
          <w:tcPr/>
          <w:p>
            <w:pPr>
              <w:pStyle w:val="Compact"/>
              <w:jc w:val="left"/>
            </w:pPr>
            <w:r>
              <w:t xml:space="preserve">Gleyed horizons (paddy soils, low-lying areas)</w:t>
            </w:r>
          </w:p>
        </w:tc>
      </w:tr>
      <w:tr>
        <w:tc>
          <w:tcPr/>
          <w:p>
            <w:pPr>
              <w:pStyle w:val="Compact"/>
              <w:jc w:val="left"/>
            </w:pPr>
            <w:r>
              <w:rPr>
                <w:bCs/>
                <w:b/>
              </w:rPr>
              <w:t xml:space="preserve">Pedoturbation</w:t>
            </w:r>
          </w:p>
        </w:tc>
        <w:tc>
          <w:tcPr/>
          <w:p>
            <w:pPr>
              <w:pStyle w:val="Compact"/>
              <w:jc w:val="left"/>
            </w:pPr>
            <w:r>
              <w:t xml:space="preserve">Mixing by shrink–swell (argillipedoturbation), fauna and frost</w:t>
            </w:r>
          </w:p>
        </w:tc>
        <w:tc>
          <w:tcPr/>
          <w:p>
            <w:pPr>
              <w:pStyle w:val="Compact"/>
              <w:jc w:val="left"/>
            </w:pPr>
            <w:r>
              <w:t xml:space="preserve">Vertisols (self-mulching, gilgai, slickensides)</w:t>
            </w:r>
          </w:p>
        </w:tc>
      </w:tr>
    </w:tbl>
    <w:p>
      <w:pPr>
        <w:pStyle w:val="Heading2"/>
      </w:pPr>
      <w:r>
        <w:t xml:space="preserve">14.3 The Soil Profile</w:t>
      </w:r>
    </w:p>
    <w:p>
      <w:pPr>
        <w:pStyle w:val="FirstParagraph"/>
      </w:pPr>
      <w:r>
        <w:t xml:space="preserve">A</w:t>
      </w:r>
      <w:r>
        <w:t xml:space="preserve"> </w:t>
      </w:r>
      <w:r>
        <w:rPr>
          <w:bCs/>
          <w:b/>
        </w:rPr>
        <w:t xml:space="preserve">soil profile</w:t>
      </w:r>
      <w:r>
        <w:t xml:space="preserve"> </w:t>
      </w:r>
      <w:r>
        <w:t xml:space="preserve">is a vertical section from the surface into the parent material, showing</w:t>
      </w:r>
      <w:r>
        <w:t xml:space="preserve"> </w:t>
      </w:r>
      <w:r>
        <w:rPr>
          <w:bCs/>
          <w:b/>
        </w:rPr>
        <w:t xml:space="preserve">horizons</w:t>
      </w:r>
      <w:r>
        <w:t xml:space="preserve">:</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Horizon</w:t>
            </w:r>
          </w:p>
        </w:tc>
        <w:tc>
          <w:tcPr/>
          <w:p>
            <w:pPr>
              <w:pStyle w:val="Compact"/>
              <w:jc w:val="left"/>
            </w:pPr>
            <w:r>
              <w:t xml:space="preserve">Description</w:t>
            </w:r>
          </w:p>
        </w:tc>
      </w:tr>
      <w:tr>
        <w:tc>
          <w:tcPr/>
          <w:p>
            <w:pPr>
              <w:pStyle w:val="Compact"/>
              <w:jc w:val="left"/>
            </w:pPr>
            <w:r>
              <w:rPr>
                <w:bCs/>
                <w:b/>
              </w:rPr>
              <w:t xml:space="preserve">O</w:t>
            </w:r>
          </w:p>
        </w:tc>
        <w:tc>
          <w:tcPr/>
          <w:p>
            <w:pPr>
              <w:pStyle w:val="Compact"/>
              <w:jc w:val="left"/>
            </w:pPr>
            <w:r>
              <w:t xml:space="preserve">Organic layer of litter and partially decomposed residues (forest soils)</w:t>
            </w:r>
          </w:p>
        </w:tc>
      </w:tr>
      <w:tr>
        <w:tc>
          <w:tcPr/>
          <w:p>
            <w:pPr>
              <w:pStyle w:val="Compact"/>
              <w:jc w:val="left"/>
            </w:pPr>
            <w:r>
              <w:rPr>
                <w:bCs/>
                <w:b/>
              </w:rPr>
              <w:t xml:space="preserve">A</w:t>
            </w:r>
          </w:p>
        </w:tc>
        <w:tc>
          <w:tcPr/>
          <w:p>
            <w:pPr>
              <w:pStyle w:val="Compact"/>
              <w:jc w:val="left"/>
            </w:pPr>
            <w:r>
              <w:t xml:space="preserve">Mineral topsoil with humus, darkest; maximum biological activity (zone of eluviation begins)</w:t>
            </w:r>
          </w:p>
        </w:tc>
      </w:tr>
      <w:tr>
        <w:tc>
          <w:tcPr/>
          <w:p>
            <w:pPr>
              <w:pStyle w:val="Compact"/>
              <w:jc w:val="left"/>
            </w:pPr>
            <w:r>
              <w:rPr>
                <w:bCs/>
                <w:b/>
              </w:rPr>
              <w:t xml:space="preserve">E</w:t>
            </w:r>
          </w:p>
        </w:tc>
        <w:tc>
          <w:tcPr/>
          <w:p>
            <w:pPr>
              <w:pStyle w:val="Compact"/>
              <w:jc w:val="left"/>
            </w:pPr>
            <w:r>
              <w:t xml:space="preserve">Eluvial, light-coloured, depleted of clay, Fe and Al (in podzolised and Alfisol profiles)</w:t>
            </w:r>
          </w:p>
        </w:tc>
      </w:tr>
      <w:tr>
        <w:tc>
          <w:tcPr/>
          <w:p>
            <w:pPr>
              <w:pStyle w:val="Compact"/>
              <w:jc w:val="left"/>
            </w:pPr>
            <w:r>
              <w:rPr>
                <w:bCs/>
                <w:b/>
              </w:rPr>
              <w:t xml:space="preserve">B</w:t>
            </w:r>
          </w:p>
        </w:tc>
        <w:tc>
          <w:tcPr/>
          <w:p>
            <w:pPr>
              <w:pStyle w:val="Compact"/>
              <w:jc w:val="left"/>
            </w:pPr>
            <w:r>
              <w:t xml:space="preserve">Subsoil zone of</w:t>
            </w:r>
            <w:r>
              <w:t xml:space="preserve"> </w:t>
            </w:r>
            <w:r>
              <w:rPr>
                <w:bCs/>
                <w:b/>
              </w:rPr>
              <w:t xml:space="preserve">illuviation</w:t>
            </w:r>
            <w:r>
              <w:t xml:space="preserve">: accumulation of clay (Bt), Fe/Al (Bs), humus (Bh), CaCO₃ (Bk), gypsum (By), salts (Bz); develops structure (Bw)</w:t>
            </w:r>
          </w:p>
        </w:tc>
      </w:tr>
      <w:tr>
        <w:tc>
          <w:tcPr/>
          <w:p>
            <w:pPr>
              <w:pStyle w:val="Compact"/>
              <w:jc w:val="left"/>
            </w:pPr>
            <w:r>
              <w:rPr>
                <w:bCs/>
                <w:b/>
              </w:rPr>
              <w:t xml:space="preserve">C</w:t>
            </w:r>
          </w:p>
        </w:tc>
        <w:tc>
          <w:tcPr/>
          <w:p>
            <w:pPr>
              <w:pStyle w:val="Compact"/>
              <w:jc w:val="left"/>
            </w:pPr>
            <w:r>
              <w:t xml:space="preserve">Weathered parent material, little affected by pedogenesis</w:t>
            </w:r>
          </w:p>
        </w:tc>
      </w:tr>
      <w:tr>
        <w:tc>
          <w:tcPr/>
          <w:p>
            <w:pPr>
              <w:pStyle w:val="Compact"/>
              <w:jc w:val="left"/>
            </w:pPr>
            <w:r>
              <w:rPr>
                <w:bCs/>
                <w:b/>
              </w:rPr>
              <w:t xml:space="preserve">R</w:t>
            </w:r>
          </w:p>
        </w:tc>
        <w:tc>
          <w:tcPr/>
          <w:p>
            <w:pPr>
              <w:pStyle w:val="Compact"/>
              <w:jc w:val="left"/>
            </w:pPr>
            <w:r>
              <w:t xml:space="preserve">Unweathered bedrock</w:t>
            </w:r>
          </w:p>
        </w:tc>
      </w:tr>
    </w:tbl>
    <w:p>
      <w:pPr>
        <w:pStyle w:val="BodyText"/>
      </w:pPr>
      <w:r>
        <w:t xml:space="preserve">Together, A + E + B form the</w:t>
      </w:r>
      <w:r>
        <w:t xml:space="preserve"> </w:t>
      </w:r>
      <w:r>
        <w:rPr>
          <w:bCs/>
          <w:b/>
        </w:rPr>
        <w:t xml:space="preserve">solum</w:t>
      </w:r>
      <w:r>
        <w:t xml:space="preserve"> </w:t>
      </w:r>
      <w:r>
        <w:t xml:space="preserve">(the true soil).</w:t>
      </w:r>
      <w:r>
        <w:t xml:space="preserve"> </w:t>
      </w:r>
      <w:r>
        <w:rPr>
          <w:bCs/>
          <w:b/>
        </w:rPr>
        <w:t xml:space="preserve">Diagnostic horizons</w:t>
      </w:r>
      <w:r>
        <w:t xml:space="preserve"> </w:t>
      </w:r>
      <w:r>
        <w:t xml:space="preserve">(mollic, ochric, umbric epipedons; argillic, cambic, natric, spodic, oxic, calcic subsurface horizons) form the basis of USDA Soil Taxonomy (12 orders, described later in this book).</w:t>
      </w:r>
    </w:p>
    <w:p>
      <w:pPr>
        <w:pStyle w:val="Heading3"/>
      </w:pPr>
      <w:r>
        <w:t xml:space="preserve">14.3.1 Major soil groups of India (ICAR)</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Soil group</w:t>
            </w:r>
          </w:p>
        </w:tc>
        <w:tc>
          <w:tcPr/>
          <w:p>
            <w:pPr>
              <w:pStyle w:val="Compact"/>
              <w:jc w:val="left"/>
            </w:pPr>
            <w:r>
              <w:t xml:space="preserve">Approx. area</w:t>
            </w:r>
          </w:p>
        </w:tc>
        <w:tc>
          <w:tcPr/>
          <w:p>
            <w:pPr>
              <w:pStyle w:val="Compact"/>
              <w:jc w:val="left"/>
            </w:pPr>
            <w:r>
              <w:t xml:space="preserve">Taxonomy</w:t>
            </w:r>
          </w:p>
        </w:tc>
        <w:tc>
          <w:tcPr/>
          <w:p>
            <w:pPr>
              <w:pStyle w:val="Compact"/>
              <w:jc w:val="left"/>
            </w:pPr>
            <w:r>
              <w:t xml:space="preserve">Features</w:t>
            </w:r>
          </w:p>
        </w:tc>
        <w:tc>
          <w:tcPr/>
          <w:p>
            <w:pPr>
              <w:pStyle w:val="Compact"/>
              <w:jc w:val="left"/>
            </w:pPr>
            <w:r>
              <w:t xml:space="preserve">Crops / regions</w:t>
            </w:r>
          </w:p>
        </w:tc>
      </w:tr>
      <w:tr>
        <w:tc>
          <w:tcPr/>
          <w:p>
            <w:pPr>
              <w:pStyle w:val="Compact"/>
              <w:jc w:val="left"/>
            </w:pPr>
            <w:r>
              <w:rPr>
                <w:bCs/>
                <w:b/>
              </w:rPr>
              <w:t xml:space="preserve">Alluvial</w:t>
            </w:r>
          </w:p>
        </w:tc>
        <w:tc>
          <w:tcPr/>
          <w:p>
            <w:pPr>
              <w:pStyle w:val="Compact"/>
              <w:jc w:val="left"/>
            </w:pPr>
            <w:r>
              <w:t xml:space="preserve">~43% (largest)</w:t>
            </w:r>
          </w:p>
        </w:tc>
        <w:tc>
          <w:tcPr/>
          <w:p>
            <w:pPr>
              <w:pStyle w:val="Compact"/>
              <w:jc w:val="left"/>
            </w:pPr>
            <w:r>
              <w:t xml:space="preserve">Entisols, Inceptisols, Alfisols</w:t>
            </w:r>
          </w:p>
        </w:tc>
        <w:tc>
          <w:tcPr/>
          <w:p>
            <w:pPr>
              <w:pStyle w:val="Compact"/>
              <w:jc w:val="left"/>
            </w:pPr>
            <w:r>
              <w:t xml:space="preserve">Deposited by Indus-Ganga-Brahmaputra; loamy; low N; good K</w:t>
            </w:r>
          </w:p>
        </w:tc>
        <w:tc>
          <w:tcPr/>
          <w:p>
            <w:pPr>
              <w:pStyle w:val="Compact"/>
              <w:jc w:val="left"/>
            </w:pPr>
            <w:r>
              <w:t xml:space="preserve">Rice, wheat, sugarcane; IGP, deltas</w:t>
            </w:r>
          </w:p>
        </w:tc>
      </w:tr>
      <w:tr>
        <w:tc>
          <w:tcPr/>
          <w:p>
            <w:pPr>
              <w:pStyle w:val="Compact"/>
              <w:jc w:val="left"/>
            </w:pPr>
            <w:r>
              <w:rPr>
                <w:bCs/>
                <w:b/>
              </w:rPr>
              <w:t xml:space="preserve">Black (Regur)</w:t>
            </w:r>
          </w:p>
        </w:tc>
        <w:tc>
          <w:tcPr/>
          <w:p>
            <w:pPr>
              <w:pStyle w:val="Compact"/>
              <w:jc w:val="left"/>
            </w:pPr>
            <w:r>
              <w:t xml:space="preserve">~15%</w:t>
            </w:r>
          </w:p>
        </w:tc>
        <w:tc>
          <w:tcPr/>
          <w:p>
            <w:pPr>
              <w:pStyle w:val="Compact"/>
              <w:jc w:val="left"/>
            </w:pPr>
            <w:r>
              <w:rPr>
                <w:bCs/>
                <w:b/>
              </w:rPr>
              <w:t xml:space="preserve">Vertisols</w:t>
            </w:r>
          </w:p>
        </w:tc>
        <w:tc>
          <w:tcPr/>
          <w:p>
            <w:pPr>
              <w:pStyle w:val="Compact"/>
              <w:jc w:val="left"/>
            </w:pPr>
            <w:r>
              <w:t xml:space="preserve">High smectite clay; shrink–swell, deep cracks; high CEC and water retention; poor drainage</w:t>
            </w:r>
          </w:p>
        </w:tc>
        <w:tc>
          <w:tcPr/>
          <w:p>
            <w:pPr>
              <w:pStyle w:val="Compact"/>
              <w:jc w:val="left"/>
            </w:pPr>
            <w:r>
              <w:t xml:space="preserve">Cotton, soybean, sorghum, pulses; Deccan (MH, MP, GJ)</w:t>
            </w:r>
          </w:p>
        </w:tc>
      </w:tr>
      <w:tr>
        <w:tc>
          <w:tcPr/>
          <w:p>
            <w:pPr>
              <w:pStyle w:val="Compact"/>
              <w:jc w:val="left"/>
            </w:pPr>
            <w:r>
              <w:rPr>
                <w:bCs/>
                <w:b/>
              </w:rPr>
              <w:t xml:space="preserve">Red</w:t>
            </w:r>
          </w:p>
        </w:tc>
        <w:tc>
          <w:tcPr/>
          <w:p>
            <w:pPr>
              <w:pStyle w:val="Compact"/>
              <w:jc w:val="left"/>
            </w:pPr>
            <w:r>
              <w:t xml:space="preserve">~18%</w:t>
            </w:r>
          </w:p>
        </w:tc>
        <w:tc>
          <w:tcPr/>
          <w:p>
            <w:pPr>
              <w:pStyle w:val="Compact"/>
              <w:jc w:val="left"/>
            </w:pPr>
            <w:r>
              <w:t xml:space="preserve">Alfisols</w:t>
            </w:r>
          </w:p>
        </w:tc>
        <w:tc>
          <w:tcPr/>
          <w:p>
            <w:pPr>
              <w:pStyle w:val="Compact"/>
              <w:jc w:val="left"/>
            </w:pPr>
            <w:r>
              <w:t xml:space="preserve">Fe oxides; low N, P, organic matter; crusting; light texture</w:t>
            </w:r>
          </w:p>
        </w:tc>
        <w:tc>
          <w:tcPr/>
          <w:p>
            <w:pPr>
              <w:pStyle w:val="Compact"/>
              <w:jc w:val="left"/>
            </w:pPr>
            <w:r>
              <w:t xml:space="preserve">Millets, groundnut, pulses; TN, KA, AP, OD</w:t>
            </w:r>
          </w:p>
        </w:tc>
      </w:tr>
      <w:tr>
        <w:tc>
          <w:tcPr/>
          <w:p>
            <w:pPr>
              <w:pStyle w:val="Compact"/>
              <w:jc w:val="left"/>
            </w:pPr>
            <w:r>
              <w:rPr>
                <w:bCs/>
                <w:b/>
              </w:rPr>
              <w:t xml:space="preserve">Laterite</w:t>
            </w:r>
          </w:p>
        </w:tc>
        <w:tc>
          <w:tcPr/>
          <w:p>
            <w:pPr>
              <w:pStyle w:val="Compact"/>
              <w:jc w:val="left"/>
            </w:pPr>
            <w:r>
              <w:t xml:space="preserve">~4–5%</w:t>
            </w:r>
          </w:p>
        </w:tc>
        <w:tc>
          <w:tcPr/>
          <w:p>
            <w:pPr>
              <w:pStyle w:val="Compact"/>
              <w:jc w:val="left"/>
            </w:pPr>
            <w:r>
              <w:t xml:space="preserve">Oxisols, Ultisols</w:t>
            </w:r>
          </w:p>
        </w:tc>
        <w:tc>
          <w:tcPr/>
          <w:p>
            <w:pPr>
              <w:pStyle w:val="Compact"/>
              <w:jc w:val="left"/>
            </w:pPr>
            <w:r>
              <w:t xml:space="preserve">Highly leached; acidic; Fe/Al rich; low bases</w:t>
            </w:r>
          </w:p>
        </w:tc>
        <w:tc>
          <w:tcPr/>
          <w:p>
            <w:pPr>
              <w:pStyle w:val="Compact"/>
              <w:jc w:val="left"/>
            </w:pPr>
            <w:r>
              <w:t xml:space="preserve">Plantation crops (cashew, tea, coffee, rubber); WG, EG, NE</w:t>
            </w:r>
          </w:p>
        </w:tc>
      </w:tr>
      <w:tr>
        <w:tc>
          <w:tcPr/>
          <w:p>
            <w:pPr>
              <w:pStyle w:val="Compact"/>
              <w:jc w:val="left"/>
            </w:pPr>
            <w:r>
              <w:rPr>
                <w:bCs/>
                <w:b/>
              </w:rPr>
              <w:t xml:space="preserve">Desert (arid)</w:t>
            </w:r>
          </w:p>
        </w:tc>
        <w:tc>
          <w:tcPr/>
          <w:p>
            <w:pPr>
              <w:pStyle w:val="Compact"/>
              <w:jc w:val="left"/>
            </w:pPr>
            <w:r>
              <w:t xml:space="preserve">~4–6%</w:t>
            </w:r>
          </w:p>
        </w:tc>
        <w:tc>
          <w:tcPr/>
          <w:p>
            <w:pPr>
              <w:pStyle w:val="Compact"/>
              <w:jc w:val="left"/>
            </w:pPr>
            <w:r>
              <w:t xml:space="preserve">Aridisols, Entisols (Psamments)</w:t>
            </w:r>
          </w:p>
        </w:tc>
        <w:tc>
          <w:tcPr/>
          <w:p>
            <w:pPr>
              <w:pStyle w:val="Compact"/>
              <w:jc w:val="left"/>
            </w:pPr>
            <w:r>
              <w:t xml:space="preserve">Sandy, low OM, calcareous, sometimes saline</w:t>
            </w:r>
          </w:p>
        </w:tc>
        <w:tc>
          <w:tcPr/>
          <w:p>
            <w:pPr>
              <w:pStyle w:val="Compact"/>
              <w:jc w:val="left"/>
            </w:pPr>
            <w:r>
              <w:t xml:space="preserve">Bajra, pulses with irrigation; Rajasthan</w:t>
            </w:r>
          </w:p>
        </w:tc>
      </w:tr>
      <w:tr>
        <w:tc>
          <w:tcPr/>
          <w:p>
            <w:pPr>
              <w:pStyle w:val="Compact"/>
              <w:jc w:val="left"/>
            </w:pPr>
            <w:r>
              <w:rPr>
                <w:bCs/>
                <w:b/>
              </w:rPr>
              <w:t xml:space="preserve">Mountain / forest</w:t>
            </w:r>
          </w:p>
        </w:tc>
        <w:tc>
          <w:tcPr/>
          <w:p>
            <w:pPr>
              <w:pStyle w:val="Compact"/>
              <w:jc w:val="left"/>
            </w:pPr>
            <w:r>
              <w:t xml:space="preserve">~8%</w:t>
            </w:r>
          </w:p>
        </w:tc>
        <w:tc>
          <w:tcPr/>
          <w:p>
            <w:pPr>
              <w:pStyle w:val="Compact"/>
              <w:jc w:val="left"/>
            </w:pPr>
            <w:r>
              <w:t xml:space="preserve">Inceptisols, Mollisols</w:t>
            </w:r>
          </w:p>
        </w:tc>
        <w:tc>
          <w:tcPr/>
          <w:p>
            <w:pPr>
              <w:pStyle w:val="Compact"/>
              <w:jc w:val="left"/>
            </w:pPr>
            <w:r>
              <w:t xml:space="preserve">Variable; acidic, humus-rich under forest</w:t>
            </w:r>
          </w:p>
        </w:tc>
        <w:tc>
          <w:tcPr/>
          <w:p>
            <w:pPr>
              <w:pStyle w:val="Compact"/>
              <w:jc w:val="left"/>
            </w:pPr>
            <w:r>
              <w:t xml:space="preserve">Tea, temperate fruits; Himalaya</w:t>
            </w:r>
          </w:p>
        </w:tc>
      </w:tr>
      <w:tr>
        <w:tc>
          <w:tcPr/>
          <w:p>
            <w:pPr>
              <w:pStyle w:val="Compact"/>
              <w:jc w:val="left"/>
            </w:pPr>
            <w:r>
              <w:rPr>
                <w:bCs/>
                <w:b/>
              </w:rPr>
              <w:t xml:space="preserve">Saline and alkaline</w:t>
            </w:r>
          </w:p>
        </w:tc>
        <w:tc>
          <w:tcPr/>
          <w:p>
            <w:pPr>
              <w:pStyle w:val="Compact"/>
              <w:jc w:val="left"/>
            </w:pPr>
            <w:r>
              <w:t xml:space="preserve">~2%</w:t>
            </w:r>
          </w:p>
        </w:tc>
        <w:tc>
          <w:tcPr/>
          <w:p>
            <w:pPr>
              <w:pStyle w:val="Compact"/>
              <w:jc w:val="left"/>
            </w:pPr>
            <w:r>
              <w:t xml:space="preserve">Aridisols, Inceptisols with natric/salic horizons</w:t>
            </w:r>
          </w:p>
        </w:tc>
        <w:tc>
          <w:tcPr/>
          <w:p>
            <w:pPr>
              <w:pStyle w:val="Compact"/>
              <w:jc w:val="left"/>
            </w:pPr>
            <w:r>
              <w:t xml:space="preserve">High salts / Na</w:t>
            </w:r>
          </w:p>
        </w:tc>
        <w:tc>
          <w:tcPr/>
          <w:p>
            <w:pPr>
              <w:pStyle w:val="Compact"/>
              <w:jc w:val="left"/>
            </w:pPr>
            <w:r>
              <w:t xml:space="preserve">Need reclamation</w:t>
            </w:r>
          </w:p>
        </w:tc>
      </w:tr>
      <w:tr>
        <w:tc>
          <w:tcPr/>
          <w:p>
            <w:pPr>
              <w:pStyle w:val="Compact"/>
              <w:jc w:val="left"/>
            </w:pPr>
            <w:r>
              <w:rPr>
                <w:bCs/>
                <w:b/>
              </w:rPr>
              <w:t xml:space="preserve">Peaty and marshy</w:t>
            </w:r>
          </w:p>
        </w:tc>
        <w:tc>
          <w:tcPr/>
          <w:p>
            <w:pPr>
              <w:pStyle w:val="Compact"/>
              <w:jc w:val="left"/>
            </w:pPr>
            <w:r>
              <w:t xml:space="preserve">small</w:t>
            </w:r>
          </w:p>
        </w:tc>
        <w:tc>
          <w:tcPr/>
          <w:p>
            <w:pPr>
              <w:pStyle w:val="Compact"/>
              <w:jc w:val="left"/>
            </w:pPr>
            <w:r>
              <w:t xml:space="preserve">Histosols</w:t>
            </w:r>
          </w:p>
        </w:tc>
        <w:tc>
          <w:tcPr/>
          <w:p>
            <w:pPr>
              <w:pStyle w:val="Compact"/>
              <w:jc w:val="left"/>
            </w:pPr>
            <w:r>
              <w:t xml:space="preserve">High OM, waterlogged, acidic</w:t>
            </w:r>
          </w:p>
        </w:tc>
        <w:tc>
          <w:tcPr/>
          <w:p>
            <w:pPr>
              <w:pStyle w:val="Compact"/>
              <w:jc w:val="left"/>
            </w:pPr>
            <w:r>
              <w:t xml:space="preserve">Kerala (kari soils), coastal wetlands</w:t>
            </w:r>
          </w:p>
        </w:tc>
      </w:tr>
    </w:tbl>
    <w:p>
      <w:pPr>
        <w:pStyle w:val="Heading2"/>
      </w:pPr>
      <w:r>
        <w:t xml:space="preserve">14.4 Soil Texture</w:t>
      </w:r>
    </w:p>
    <w:p>
      <w:pPr>
        <w:pStyle w:val="FirstParagraph"/>
      </w:pPr>
      <w:r>
        <w:rPr>
          <w:bCs/>
          <w:b/>
        </w:rPr>
        <w:t xml:space="preserve">Texture</w:t>
      </w:r>
      <w:r>
        <w:t xml:space="preserve"> </w:t>
      </w:r>
      <w:r>
        <w:t xml:space="preserve">is the relative proportion of</w:t>
      </w:r>
      <w:r>
        <w:t xml:space="preserve"> </w:t>
      </w:r>
      <w:r>
        <w:rPr>
          <w:bCs/>
          <w:b/>
        </w:rPr>
        <w:t xml:space="preserve">sand, silt and clay</w:t>
      </w:r>
      <w:r>
        <w:t xml:space="preserve"> </w:t>
      </w:r>
      <w:r>
        <w:t xml:space="preserve">in the fine earth (&lt; 2 mm). It is a basic, practically permanent property that controls water retention, drainage, aeration, nutrient supply, workability and erodibility.</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Separate</w:t>
            </w:r>
          </w:p>
        </w:tc>
        <w:tc>
          <w:tcPr/>
          <w:p>
            <w:pPr>
              <w:pStyle w:val="Compact"/>
              <w:jc w:val="left"/>
            </w:pPr>
            <w:r>
              <w:t xml:space="preserve">USDA (mm)</w:t>
            </w:r>
          </w:p>
        </w:tc>
        <w:tc>
          <w:tcPr/>
          <w:p>
            <w:pPr>
              <w:pStyle w:val="Compact"/>
              <w:jc w:val="left"/>
            </w:pPr>
            <w:r>
              <w:t xml:space="preserve">International / ISSS (mm)</w:t>
            </w:r>
          </w:p>
        </w:tc>
        <w:tc>
          <w:tcPr/>
          <w:p>
            <w:pPr>
              <w:pStyle w:val="Compact"/>
              <w:jc w:val="left"/>
            </w:pPr>
            <w:r>
              <w:t xml:space="preserve">Properties</w:t>
            </w:r>
          </w:p>
        </w:tc>
      </w:tr>
      <w:tr>
        <w:tc>
          <w:tcPr/>
          <w:p>
            <w:pPr>
              <w:pStyle w:val="Compact"/>
              <w:jc w:val="left"/>
            </w:pPr>
            <w:r>
              <w:t xml:space="preserve">Gravel</w:t>
            </w:r>
          </w:p>
        </w:tc>
        <w:tc>
          <w:tcPr/>
          <w:p>
            <w:pPr>
              <w:pStyle w:val="Compact"/>
              <w:jc w:val="left"/>
            </w:pPr>
            <w:r>
              <w:t xml:space="preserve">&gt; 2</w:t>
            </w:r>
          </w:p>
        </w:tc>
        <w:tc>
          <w:tcPr/>
          <w:p>
            <w:pPr>
              <w:pStyle w:val="Compact"/>
              <w:jc w:val="left"/>
            </w:pPr>
            <w:r>
              <w:t xml:space="preserve">&gt; 2</w:t>
            </w:r>
          </w:p>
        </w:tc>
        <w:tc>
          <w:tcPr/>
          <w:p>
            <w:pPr>
              <w:pStyle w:val="Compact"/>
              <w:jc w:val="left"/>
            </w:pPr>
            <w:r>
              <w:t xml:space="preserve">Not part of fine earth</w:t>
            </w:r>
          </w:p>
        </w:tc>
      </w:tr>
      <w:tr>
        <w:tc>
          <w:tcPr/>
          <w:p>
            <w:pPr>
              <w:pStyle w:val="Compact"/>
              <w:jc w:val="left"/>
            </w:pPr>
            <w:r>
              <w:t xml:space="preserve">Sand</w:t>
            </w:r>
          </w:p>
        </w:tc>
        <w:tc>
          <w:tcPr/>
          <w:p>
            <w:pPr>
              <w:pStyle w:val="Compact"/>
              <w:jc w:val="left"/>
            </w:pPr>
            <w:r>
              <w:t xml:space="preserve">2.0–0.05</w:t>
            </w:r>
          </w:p>
        </w:tc>
        <w:tc>
          <w:tcPr/>
          <w:p>
            <w:pPr>
              <w:pStyle w:val="Compact"/>
              <w:jc w:val="left"/>
            </w:pPr>
            <w:r>
              <w:t xml:space="preserve">2.0–0.02</w:t>
            </w:r>
          </w:p>
        </w:tc>
        <w:tc>
          <w:tcPr/>
          <w:p>
            <w:pPr>
              <w:pStyle w:val="Compact"/>
              <w:jc w:val="left"/>
            </w:pPr>
            <w:r>
              <w:t xml:space="preserve">Gritty; large pores; low surface area; low water and nutrient retention</w:t>
            </w:r>
          </w:p>
        </w:tc>
      </w:tr>
      <w:tr>
        <w:tc>
          <w:tcPr/>
          <w:p>
            <w:pPr>
              <w:pStyle w:val="Compact"/>
              <w:jc w:val="left"/>
            </w:pPr>
            <w:r>
              <w:t xml:space="preserve">Silt</w:t>
            </w:r>
          </w:p>
        </w:tc>
        <w:tc>
          <w:tcPr/>
          <w:p>
            <w:pPr>
              <w:pStyle w:val="Compact"/>
              <w:jc w:val="left"/>
            </w:pPr>
            <w:r>
              <w:t xml:space="preserve">0.05–0.002</w:t>
            </w:r>
          </w:p>
        </w:tc>
        <w:tc>
          <w:tcPr/>
          <w:p>
            <w:pPr>
              <w:pStyle w:val="Compact"/>
              <w:jc w:val="left"/>
            </w:pPr>
            <w:r>
              <w:t xml:space="preserve">0.02–0.002</w:t>
            </w:r>
          </w:p>
        </w:tc>
        <w:tc>
          <w:tcPr/>
          <w:p>
            <w:pPr>
              <w:pStyle w:val="Compact"/>
              <w:jc w:val="left"/>
            </w:pPr>
            <w:r>
              <w:t xml:space="preserve">Smooth, floury; moderate retention; crust-prone</w:t>
            </w:r>
          </w:p>
        </w:tc>
      </w:tr>
      <w:tr>
        <w:tc>
          <w:tcPr/>
          <w:p>
            <w:pPr>
              <w:pStyle w:val="Compact"/>
              <w:jc w:val="left"/>
            </w:pPr>
            <w:r>
              <w:t xml:space="preserve">Clay</w:t>
            </w:r>
          </w:p>
        </w:tc>
        <w:tc>
          <w:tcPr/>
          <w:p>
            <w:pPr>
              <w:pStyle w:val="Compact"/>
              <w:jc w:val="left"/>
            </w:pPr>
            <w:r>
              <w:t xml:space="preserve">&lt; 0.002</w:t>
            </w:r>
          </w:p>
        </w:tc>
        <w:tc>
          <w:tcPr/>
          <w:p>
            <w:pPr>
              <w:pStyle w:val="Compact"/>
              <w:jc w:val="left"/>
            </w:pPr>
            <w:r>
              <w:t xml:space="preserve">&lt; 0.002</w:t>
            </w:r>
          </w:p>
        </w:tc>
        <w:tc>
          <w:tcPr/>
          <w:p>
            <w:pPr>
              <w:pStyle w:val="Compact"/>
              <w:jc w:val="left"/>
            </w:pPr>
            <w:r>
              <w:t xml:space="preserve">Sticky and plastic; colloidal; huge surface area and CEC; high water retention but slow permeability</w:t>
            </w:r>
          </w:p>
        </w:tc>
      </w:tr>
    </w:tbl>
    <w:p>
      <w:pPr>
        <w:pStyle w:val="BodyText"/>
      </w:pPr>
      <w:r>
        <w:rPr>
          <w:bCs/>
          <w:b/>
        </w:rPr>
        <w:t xml:space="preserve">Textural classes:</w:t>
      </w:r>
      <w:r>
        <w:t xml:space="preserve"> </w:t>
      </w:r>
      <w:r>
        <w:t xml:space="preserve">the USDA</w:t>
      </w:r>
      <w:r>
        <w:t xml:space="preserve"> </w:t>
      </w:r>
      <w:r>
        <w:rPr>
          <w:bCs/>
          <w:b/>
        </w:rPr>
        <w:t xml:space="preserve">textural triangle</w:t>
      </w:r>
      <w:r>
        <w:t xml:space="preserve"> </w:t>
      </w:r>
      <w:r>
        <w:t xml:space="preserve">defines</w:t>
      </w:r>
      <w:r>
        <w:t xml:space="preserve"> </w:t>
      </w:r>
      <w:r>
        <w:rPr>
          <w:bCs/>
          <w:b/>
        </w:rPr>
        <w:t xml:space="preserve">12 classes</w:t>
      </w:r>
      <w:r>
        <w:t xml:space="preserve">: sand, loamy sand, sandy loam, loam, silt loam, silt, sandy clay loam, clay loam, silty clay loam, sandy clay, silty clay and clay.</w:t>
      </w:r>
      <w:r>
        <w:t xml:space="preserve"> </w:t>
      </w:r>
      <w:r>
        <w:rPr>
          <w:bCs/>
          <w:b/>
        </w:rPr>
        <w:t xml:space="preserve">Loam</w:t>
      </w:r>
      <w:r>
        <w:t xml:space="preserve"> </w:t>
      </w:r>
      <w:r>
        <w:t xml:space="preserve">(roughly 40% sand, 40% silt, 20% clay) is considered ideal.</w:t>
      </w:r>
    </w:p>
    <w:p>
      <w:pPr>
        <w:pStyle w:val="BodyText"/>
      </w:pPr>
      <w:r>
        <w:rPr>
          <w:bCs/>
          <w:b/>
        </w:rPr>
        <w:t xml:space="preserve">Mechanical (particle-size) analysis</w:t>
      </w:r>
      <w:r>
        <w:t xml:space="preserve"> </w:t>
      </w:r>
      <w:r>
        <w:t xml:space="preserve">is based on</w:t>
      </w:r>
      <w:r>
        <w:t xml:space="preserve"> </w:t>
      </w:r>
      <w:r>
        <w:rPr>
          <w:bCs/>
          <w:b/>
        </w:rPr>
        <w:t xml:space="preserve">Stokes’ law</w:t>
      </w:r>
      <w:r>
        <w:t xml:space="preserve">: the settling velocity of a sphere in a fluid is</w:t>
      </w:r>
    </w:p>
    <w:p>
      <w:pPr>
        <w:pStyle w:val="BodyText"/>
      </w:pPr>
      <m:oMathPara>
        <m:oMathParaPr>
          <m:jc m:val="center"/>
        </m:oMathParaPr>
        <m:oMath>
          <m:r>
            <m:t>v</m:t>
          </m:r>
          <m:r>
            <m:rPr>
              <m:sty m:val="p"/>
            </m:rPr>
            <m:t>=</m:t>
          </m:r>
          <m:f>
            <m:fPr>
              <m:type m:val="bar"/>
            </m:fPr>
            <m:num>
              <m:r>
                <m:t>2</m:t>
              </m:r>
            </m:num>
            <m:den>
              <m:r>
                <m:t>9</m:t>
              </m:r>
            </m:den>
          </m:f>
          <m:r>
            <m:t> </m:t>
          </m:r>
          <m:f>
            <m:fPr>
              <m:type m:val="bar"/>
            </m:fPr>
            <m:num>
              <m:d>
                <m:dPr>
                  <m:begChr m:val="("/>
                  <m:endChr m:val=")"/>
                  <m:sepChr m:val=""/>
                  <m:grow/>
                </m:dPr>
                <m:e>
                  <m:sSub>
                    <m:e>
                      <m:r>
                        <m:t>ρ</m:t>
                      </m:r>
                    </m:e>
                    <m:sub>
                      <m:r>
                        <m:t>s</m:t>
                      </m:r>
                    </m:sub>
                  </m:sSub>
                  <m:r>
                    <m:rPr>
                      <m:sty m:val="p"/>
                    </m:rPr>
                    <m:t>−</m:t>
                  </m:r>
                  <m:sSub>
                    <m:e>
                      <m:r>
                        <m:t>ρ</m:t>
                      </m:r>
                    </m:e>
                    <m:sub>
                      <m:r>
                        <m:t>w</m:t>
                      </m:r>
                    </m:sub>
                  </m:sSub>
                </m:e>
              </m:d>
              <m:r>
                <m:t> </m:t>
              </m:r>
              <m:r>
                <m:t>g</m:t>
              </m:r>
              <m:r>
                <m:t> </m:t>
              </m:r>
              <m:sSup>
                <m:e>
                  <m:r>
                    <m:t>r</m:t>
                  </m:r>
                </m:e>
                <m:sup>
                  <m:r>
                    <m:t>2</m:t>
                  </m:r>
                </m:sup>
              </m:sSup>
            </m:num>
            <m:den>
              <m:r>
                <m:t>η</m:t>
              </m:r>
            </m:den>
          </m:f>
          <m:r>
            <m:rPr>
              <m:sty m:val="p"/>
            </m:rPr>
            <m:t>=</m:t>
          </m:r>
          <m:f>
            <m:fPr>
              <m:type m:val="bar"/>
            </m:fPr>
            <m:num>
              <m:d>
                <m:dPr>
                  <m:begChr m:val="("/>
                  <m:endChr m:val=")"/>
                  <m:sepChr m:val=""/>
                  <m:grow/>
                </m:dPr>
                <m:e>
                  <m:sSub>
                    <m:e>
                      <m:r>
                        <m:t>ρ</m:t>
                      </m:r>
                    </m:e>
                    <m:sub>
                      <m:r>
                        <m:t>s</m:t>
                      </m:r>
                    </m:sub>
                  </m:sSub>
                  <m:r>
                    <m:rPr>
                      <m:sty m:val="p"/>
                    </m:rPr>
                    <m:t>−</m:t>
                  </m:r>
                  <m:sSub>
                    <m:e>
                      <m:r>
                        <m:t>ρ</m:t>
                      </m:r>
                    </m:e>
                    <m:sub>
                      <m:r>
                        <m:t>w</m:t>
                      </m:r>
                    </m:sub>
                  </m:sSub>
                </m:e>
              </m:d>
              <m:r>
                <m:t> </m:t>
              </m:r>
              <m:r>
                <m:t>g</m:t>
              </m:r>
              <m:r>
                <m:t> </m:t>
              </m:r>
              <m:sSup>
                <m:e>
                  <m:r>
                    <m:t>d</m:t>
                  </m:r>
                </m:e>
                <m:sup>
                  <m:r>
                    <m:t>2</m:t>
                  </m:r>
                </m:sup>
              </m:sSup>
            </m:num>
            <m:den>
              <m:r>
                <m:t>18</m:t>
              </m:r>
              <m:r>
                <m:t> </m:t>
              </m:r>
              <m:r>
                <m:t>η</m:t>
              </m:r>
            </m:den>
          </m:f>
        </m:oMath>
      </m:oMathPara>
    </w:p>
    <w:p>
      <w:pPr>
        <w:pStyle w:val="FirstParagraph"/>
      </w:pPr>
      <w:r>
        <w:t xml:space="preserve">Larger particles settle faster (velocity ∝ diameter²). Procedure:</w:t>
      </w:r>
    </w:p>
    <w:p>
      <w:pPr>
        <w:pStyle w:val="Compact"/>
        <w:numPr>
          <w:ilvl w:val="0"/>
          <w:numId w:val="1104"/>
        </w:numPr>
      </w:pPr>
      <w:r>
        <w:t xml:space="preserve">Remove organic matter (H₂O₂), carbonates (HCl) and soluble salts.</w:t>
      </w:r>
    </w:p>
    <w:p>
      <w:pPr>
        <w:pStyle w:val="Compact"/>
        <w:numPr>
          <w:ilvl w:val="0"/>
          <w:numId w:val="1104"/>
        </w:numPr>
      </w:pPr>
      <w:r>
        <w:t xml:space="preserve">Disperse with sodium hexametaphosphate (Calgon) and mechanical shaking.</w:t>
      </w:r>
    </w:p>
    <w:p>
      <w:pPr>
        <w:pStyle w:val="Compact"/>
        <w:numPr>
          <w:ilvl w:val="0"/>
          <w:numId w:val="1104"/>
        </w:numPr>
      </w:pPr>
      <w:r>
        <w:t xml:space="preserve">Separate sand by wet sieving (53 µm).</w:t>
      </w:r>
    </w:p>
    <w:p>
      <w:pPr>
        <w:pStyle w:val="Compact"/>
        <w:numPr>
          <w:ilvl w:val="0"/>
          <w:numId w:val="1104"/>
        </w:numPr>
      </w:pPr>
      <w:r>
        <w:t xml:space="preserve">Determine silt and clay by</w:t>
      </w:r>
      <w:r>
        <w:t xml:space="preserve"> </w:t>
      </w:r>
      <w:r>
        <w:rPr>
          <w:bCs/>
          <w:b/>
        </w:rPr>
        <w:t xml:space="preserve">International pipette method</w:t>
      </w:r>
      <w:r>
        <w:t xml:space="preserve"> </w:t>
      </w:r>
      <w:r>
        <w:t xml:space="preserve">or</w:t>
      </w:r>
      <w:r>
        <w:t xml:space="preserve"> </w:t>
      </w:r>
      <w:r>
        <w:rPr>
          <w:bCs/>
          <w:b/>
        </w:rPr>
        <w:t xml:space="preserve">Bouyoucos hydrometer method</w:t>
      </w:r>
      <w:r>
        <w:t xml:space="preserve">, sampling at the depth and time Stokes’ law predicts.</w:t>
      </w:r>
    </w:p>
    <w:p>
      <w:pPr>
        <w:pStyle w:val="FirstParagraph"/>
      </w:pPr>
      <w:r>
        <w:rPr>
          <w:iCs/>
          <w:i/>
        </w:rPr>
        <w:t xml:space="preserve">Assumptions of Stokes’ law:</w:t>
      </w:r>
      <w:r>
        <w:t xml:space="preserve"> </w:t>
      </w:r>
      <w:r>
        <w:t xml:space="preserve">spherical, rigid particles; laminar flow; no particle interaction; a dilute suspension; particles larger than Brownian-motion size. Clay platelets violate the sphericity assumption, so</w:t>
      </w:r>
      <w:r>
        <w:t xml:space="preserve"> </w:t>
      </w:r>
      <w:r>
        <w:t xml:space="preserve">“</w:t>
      </w:r>
      <w:r>
        <w:t xml:space="preserve">diameter</w:t>
      </w:r>
      <w:r>
        <w:t xml:space="preserve">”</w:t>
      </w:r>
      <w:r>
        <w:t xml:space="preserve"> </w:t>
      </w:r>
      <w:r>
        <w:t xml:space="preserve">means</w:t>
      </w:r>
      <w:r>
        <w:t xml:space="preserve"> </w:t>
      </w:r>
      <w:r>
        <w:rPr>
          <w:iCs/>
          <w:i/>
        </w:rPr>
        <w:t xml:space="preserve">equivalent spherical diameter</w:t>
      </w:r>
      <w:r>
        <w:t xml:space="preserve">.</w:t>
      </w:r>
    </w:p>
    <w:p>
      <w:pPr>
        <w:pStyle w:val="BodyText"/>
      </w:pPr>
      <w:r>
        <w:rPr>
          <w:bCs/>
          <w:b/>
        </w:rPr>
        <w:t xml:space="preserve">Feel method</w:t>
      </w:r>
      <w:r>
        <w:t xml:space="preserve"> </w:t>
      </w:r>
      <w:r>
        <w:t xml:space="preserve">(field): sand is gritty, silt is silky, and clay forms long ribbons and is sticky.</w:t>
      </w:r>
    </w:p>
    <w:p>
      <w:pPr>
        <w:pStyle w:val="KeyPoint"/>
      </w:pPr>
      <w:r>
        <w:rPr>
          <w:bCs/>
          <w:b/>
        </w:rPr>
        <w:t xml:space="preserve">Why texture matters for remote sensing and modelling:</w:t>
      </w:r>
      <w:r>
        <w:t xml:space="preserve"> </w:t>
      </w:r>
      <w:r>
        <w:t xml:space="preserve">texture sets the field capacity and wilting point (hence available water), the hydraulic conductivity (infiltration, runoff), the USLE K-factor, the dielectric response (SAR and radiometer soil moisture retrievals use texture in dielectric mixing models), and the SWIR reflectance (clay Al–OH at 2.2 µm).</w:t>
      </w:r>
    </w:p>
    <w:p>
      <w:pPr>
        <w:pStyle w:val="Heading2"/>
      </w:pPr>
      <w:r>
        <w:t xml:space="preserve">14.5 Soil Structure</w:t>
      </w:r>
    </w:p>
    <w:p>
      <w:pPr>
        <w:pStyle w:val="FirstParagraph"/>
      </w:pPr>
      <w:r>
        <w:rPr>
          <w:bCs/>
          <w:b/>
        </w:rPr>
        <w:t xml:space="preserve">Structure</w:t>
      </w:r>
      <w:r>
        <w:t xml:space="preserve"> </w:t>
      </w:r>
      <w:r>
        <w:t xml:space="preserve">is the arrangement of primary particles into secondary units called</w:t>
      </w:r>
      <w:r>
        <w:t xml:space="preserve"> </w:t>
      </w:r>
      <w:r>
        <w:rPr>
          <w:bCs/>
          <w:b/>
        </w:rPr>
        <w:t xml:space="preserve">aggregates (peds)</w:t>
      </w:r>
      <w:r>
        <w:t xml:space="preserve">. Unlike texture, structure can be changed by management.</w:t>
      </w:r>
    </w:p>
    <w:p>
      <w:pPr>
        <w:pStyle w:val="BodyText"/>
      </w:pPr>
      <w:r>
        <w:rPr>
          <w:bCs/>
          <w:b/>
        </w:rPr>
        <w:t xml:space="preserve">Types (shape):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Shape</w:t>
            </w:r>
          </w:p>
        </w:tc>
        <w:tc>
          <w:tcPr/>
          <w:p>
            <w:pPr>
              <w:pStyle w:val="Compact"/>
              <w:jc w:val="left"/>
            </w:pPr>
            <w:r>
              <w:t xml:space="preserve">Occurrence</w:t>
            </w:r>
          </w:p>
        </w:tc>
      </w:tr>
      <w:tr>
        <w:tc>
          <w:tcPr/>
          <w:p>
            <w:pPr>
              <w:pStyle w:val="Compact"/>
              <w:jc w:val="left"/>
            </w:pPr>
            <w:r>
              <w:rPr>
                <w:bCs/>
                <w:b/>
              </w:rPr>
              <w:t xml:space="preserve">Granular / crumb</w:t>
            </w:r>
          </w:p>
        </w:tc>
        <w:tc>
          <w:tcPr/>
          <w:p>
            <w:pPr>
              <w:pStyle w:val="Compact"/>
              <w:jc w:val="left"/>
            </w:pPr>
            <w:r>
              <w:t xml:space="preserve">Small rounded, porous aggregates (crumb is more porous)</w:t>
            </w:r>
          </w:p>
        </w:tc>
        <w:tc>
          <w:tcPr/>
          <w:p>
            <w:pPr>
              <w:pStyle w:val="Compact"/>
              <w:jc w:val="left"/>
            </w:pPr>
            <w:r>
              <w:t xml:space="preserve">A horizons rich in OM and roots; ideal for tilth</w:t>
            </w:r>
          </w:p>
        </w:tc>
      </w:tr>
      <w:tr>
        <w:tc>
          <w:tcPr/>
          <w:p>
            <w:pPr>
              <w:pStyle w:val="Compact"/>
              <w:jc w:val="left"/>
            </w:pPr>
            <w:r>
              <w:rPr>
                <w:bCs/>
                <w:b/>
              </w:rPr>
              <w:t xml:space="preserve">Platy</w:t>
            </w:r>
          </w:p>
        </w:tc>
        <w:tc>
          <w:tcPr/>
          <w:p>
            <w:pPr>
              <w:pStyle w:val="Compact"/>
              <w:jc w:val="left"/>
            </w:pPr>
            <w:r>
              <w:t xml:space="preserve">Thin horizontal plates</w:t>
            </w:r>
          </w:p>
        </w:tc>
        <w:tc>
          <w:tcPr/>
          <w:p>
            <w:pPr>
              <w:pStyle w:val="Compact"/>
              <w:jc w:val="left"/>
            </w:pPr>
            <w:r>
              <w:t xml:space="preserve">Compacted surface layers, E horizons, ploughpans; restricts water and roots</w:t>
            </w:r>
          </w:p>
        </w:tc>
      </w:tr>
      <w:tr>
        <w:tc>
          <w:tcPr/>
          <w:p>
            <w:pPr>
              <w:pStyle w:val="Compact"/>
              <w:jc w:val="left"/>
            </w:pPr>
            <w:r>
              <w:rPr>
                <w:bCs/>
                <w:b/>
              </w:rPr>
              <w:t xml:space="preserve">Blocky</w:t>
            </w:r>
            <w:r>
              <w:t xml:space="preserve"> </w:t>
            </w:r>
            <w:r>
              <w:t xml:space="preserve">(angular / subangular)</w:t>
            </w:r>
          </w:p>
        </w:tc>
        <w:tc>
          <w:tcPr/>
          <w:p>
            <w:pPr>
              <w:pStyle w:val="Compact"/>
              <w:jc w:val="left"/>
            </w:pPr>
            <w:r>
              <w:t xml:space="preserve">Cube-like, faces sharp or rounded</w:t>
            </w:r>
          </w:p>
        </w:tc>
        <w:tc>
          <w:tcPr/>
          <w:p>
            <w:pPr>
              <w:pStyle w:val="Compact"/>
              <w:jc w:val="left"/>
            </w:pPr>
            <w:r>
              <w:t xml:space="preserve">B horizons of Alfisols and Inceptisols</w:t>
            </w:r>
          </w:p>
        </w:tc>
      </w:tr>
      <w:tr>
        <w:tc>
          <w:tcPr/>
          <w:p>
            <w:pPr>
              <w:pStyle w:val="Compact"/>
              <w:jc w:val="left"/>
            </w:pPr>
            <w:r>
              <w:rPr>
                <w:bCs/>
                <w:b/>
              </w:rPr>
              <w:t xml:space="preserve">Prismatic</w:t>
            </w:r>
          </w:p>
        </w:tc>
        <w:tc>
          <w:tcPr/>
          <w:p>
            <w:pPr>
              <w:pStyle w:val="Compact"/>
              <w:jc w:val="left"/>
            </w:pPr>
            <w:r>
              <w:t xml:space="preserve">Vertical columns with flat tops</w:t>
            </w:r>
          </w:p>
        </w:tc>
        <w:tc>
          <w:tcPr/>
          <w:p>
            <w:pPr>
              <w:pStyle w:val="Compact"/>
              <w:jc w:val="left"/>
            </w:pPr>
            <w:r>
              <w:t xml:space="preserve">B horizons of arid soils, Vertisols</w:t>
            </w:r>
          </w:p>
        </w:tc>
      </w:tr>
      <w:tr>
        <w:tc>
          <w:tcPr/>
          <w:p>
            <w:pPr>
              <w:pStyle w:val="Compact"/>
              <w:jc w:val="left"/>
            </w:pPr>
            <w:r>
              <w:rPr>
                <w:bCs/>
                <w:b/>
              </w:rPr>
              <w:t xml:space="preserve">Columnar</w:t>
            </w:r>
          </w:p>
        </w:tc>
        <w:tc>
          <w:tcPr/>
          <w:p>
            <w:pPr>
              <w:pStyle w:val="Compact"/>
              <w:jc w:val="left"/>
            </w:pPr>
            <w:r>
              <w:t xml:space="preserve">Vertical columns with</w:t>
            </w:r>
            <w:r>
              <w:t xml:space="preserve"> </w:t>
            </w:r>
            <w:r>
              <w:rPr>
                <w:bCs/>
                <w:b/>
              </w:rPr>
              <w:t xml:space="preserve">rounded (domed) tops</w:t>
            </w:r>
          </w:p>
        </w:tc>
        <w:tc>
          <w:tcPr/>
          <w:p>
            <w:pPr>
              <w:pStyle w:val="Compact"/>
              <w:jc w:val="left"/>
            </w:pPr>
            <w:r>
              <w:rPr>
                <w:bCs/>
                <w:b/>
              </w:rPr>
              <w:t xml:space="preserve">Natric (sodic) B horizons</w:t>
            </w:r>
          </w:p>
        </w:tc>
      </w:tr>
      <w:tr>
        <w:tc>
          <w:tcPr/>
          <w:p>
            <w:pPr>
              <w:pStyle w:val="Compact"/>
              <w:jc w:val="left"/>
            </w:pPr>
            <w:r>
              <w:rPr>
                <w:bCs/>
                <w:b/>
              </w:rPr>
              <w:t xml:space="preserve">Structureless</w:t>
            </w:r>
          </w:p>
        </w:tc>
        <w:tc>
          <w:tcPr/>
          <w:p>
            <w:pPr>
              <w:pStyle w:val="Compact"/>
              <w:jc w:val="left"/>
            </w:pPr>
            <w:r>
              <w:t xml:space="preserve">Single grain (sand) or massive (clay)</w:t>
            </w:r>
          </w:p>
        </w:tc>
        <w:tc>
          <w:tcPr/>
          <w:p>
            <w:pPr>
              <w:pStyle w:val="Compact"/>
              <w:jc w:val="left"/>
            </w:pPr>
            <w:r>
              <w:t xml:space="preserve">Sands; puddled paddy soils</w:t>
            </w:r>
          </w:p>
        </w:tc>
      </w:tr>
    </w:tbl>
    <w:p>
      <w:pPr>
        <w:pStyle w:val="BodyText"/>
      </w:pPr>
      <w:r>
        <w:rPr>
          <w:bCs/>
          <w:b/>
        </w:rPr>
        <w:t xml:space="preserve">Classes</w:t>
      </w:r>
      <w:r>
        <w:t xml:space="preserve"> </w:t>
      </w:r>
      <w:r>
        <w:t xml:space="preserve">(size: very fine to very coarse) and</w:t>
      </w:r>
      <w:r>
        <w:t xml:space="preserve"> </w:t>
      </w:r>
      <w:r>
        <w:rPr>
          <w:bCs/>
          <w:b/>
        </w:rPr>
        <w:t xml:space="preserve">grades</w:t>
      </w:r>
      <w:r>
        <w:t xml:space="preserve"> </w:t>
      </w:r>
      <w:r>
        <w:t xml:space="preserve">(strength: weak, moderate, strong).</w:t>
      </w:r>
    </w:p>
    <w:p>
      <w:pPr>
        <w:pStyle w:val="BodyText"/>
      </w:pPr>
      <w:r>
        <w:rPr>
          <w:bCs/>
          <w:b/>
        </w:rPr>
        <w:t xml:space="preserve">Formation of aggregates:</w:t>
      </w:r>
      <w:r>
        <w:t xml:space="preserve"> </w:t>
      </w:r>
      <w:r>
        <w:t xml:space="preserve">flocculation of clays by Ca²⁺ and Mg²⁺ (Na⁺ disperses), cementing by humus, polysaccharides, Fe/Al oxides and CaCO₃, binding by fungal hyphae and roots (glomalin from mycorrhiza), earthworm casts, and wetting–drying and freeze–thaw cycles.</w:t>
      </w:r>
    </w:p>
    <w:p>
      <w:pPr>
        <w:pStyle w:val="BodyText"/>
      </w:pPr>
      <w:r>
        <w:rPr>
          <w:bCs/>
          <w:b/>
        </w:rPr>
        <w:t xml:space="preserve">Aggregate stability</w:t>
      </w:r>
      <w:r>
        <w:t xml:space="preserve"> </w:t>
      </w:r>
      <w:r>
        <w:t xml:space="preserve">is measured by</w:t>
      </w:r>
      <w:r>
        <w:t xml:space="preserve"> </w:t>
      </w:r>
      <w:r>
        <w:rPr>
          <w:bCs/>
          <w:b/>
        </w:rPr>
        <w:t xml:space="preserve">wet sieving (Yoder method)</w:t>
      </w:r>
      <w:r>
        <w:t xml:space="preserve"> </w:t>
      </w:r>
      <w:r>
        <w:t xml:space="preserve">and expressed as</w:t>
      </w:r>
      <w:r>
        <w:t xml:space="preserve"> </w:t>
      </w:r>
      <w:r>
        <w:rPr>
          <w:bCs/>
          <w:b/>
        </w:rPr>
        <w:t xml:space="preserve">mean weight diameter</w:t>
      </w:r>
      <w:r>
        <w:t xml:space="preserve">:</w:t>
      </w:r>
    </w:p>
    <w:p>
      <w:pPr>
        <w:pStyle w:val="BodyText"/>
      </w:pPr>
      <m:oMathPara>
        <m:oMathParaPr>
          <m:jc m:val="center"/>
        </m:oMathParaPr>
        <m:oMath>
          <m:r>
            <m:t>M</m:t>
          </m:r>
          <m:r>
            <m:t>W</m:t>
          </m:r>
          <m:r>
            <m:t>D</m:t>
          </m:r>
          <m:r>
            <m:rPr>
              <m:sty m:val="p"/>
            </m:rPr>
            <m:t>=</m:t>
          </m:r>
          <m:nary>
            <m:naryPr>
              <m:chr m:val="∑"/>
              <m:limLoc m:val="undOvr"/>
              <m:subHide m:val="off"/>
              <m:supHide m:val="off"/>
            </m:naryPr>
            <m:sub>
              <m:r>
                <m:t>i</m:t>
              </m:r>
              <m:r>
                <m:rPr>
                  <m:sty m:val="p"/>
                </m:rPr>
                <m:t>=</m:t>
              </m:r>
              <m:r>
                <m:t>1</m:t>
              </m:r>
            </m:sub>
            <m:sup>
              <m:r>
                <m:t>n</m:t>
              </m:r>
            </m:sup>
            <m:e>
              <m:sSub>
                <m:e>
                  <m:acc>
                    <m:accPr>
                      <m:chr m:val="‾"/>
                    </m:accPr>
                    <m:e>
                      <m:r>
                        <m:t>x</m:t>
                      </m:r>
                    </m:e>
                  </m:acc>
                </m:e>
                <m:sub>
                  <m:r>
                    <m:t>i</m:t>
                  </m:r>
                </m:sub>
              </m:sSub>
            </m:e>
          </m:nary>
          <m:r>
            <m:t> </m:t>
          </m:r>
          <m:sSub>
            <m:e>
              <m:r>
                <m:t>w</m:t>
              </m:r>
            </m:e>
            <m:sub>
              <m:r>
                <m:t>i</m:t>
              </m:r>
            </m:sub>
          </m:sSub>
        </m:oMath>
      </m:oMathPara>
    </w:p>
    <w:p>
      <w:pPr>
        <w:pStyle w:val="FirstParagraph"/>
      </w:pPr>
      <w:r>
        <w:t xml:space="preserve">where</w:t>
      </w:r>
      <w:r>
        <w:t xml:space="preserve"> </w:t>
      </w:r>
      <m:oMath>
        <m:sSub>
          <m:e>
            <m:acc>
              <m:accPr>
                <m:chr m:val="‾"/>
              </m:accPr>
              <m:e>
                <m:r>
                  <m:t>x</m:t>
                </m:r>
              </m:e>
            </m:acc>
          </m:e>
          <m:sub>
            <m:r>
              <m:t>i</m:t>
            </m:r>
          </m:sub>
        </m:sSub>
      </m:oMath>
      <w:r>
        <w:t xml:space="preserve"> </w:t>
      </w:r>
      <w:r>
        <w:t xml:space="preserve">is the mean diameter of size class</w:t>
      </w:r>
      <w:r>
        <w:t xml:space="preserve"> </w:t>
      </w:r>
      <m:oMath>
        <m:r>
          <m:t>i</m:t>
        </m:r>
      </m:oMath>
      <w:r>
        <w:t xml:space="preserve"> </w:t>
      </w:r>
      <w:r>
        <w:t xml:space="preserve">and</w:t>
      </w:r>
      <w:r>
        <w:t xml:space="preserve"> </w:t>
      </w:r>
      <m:oMath>
        <m:sSub>
          <m:e>
            <m:r>
              <m:t>w</m:t>
            </m:r>
          </m:e>
          <m:sub>
            <m:r>
              <m:t>i</m:t>
            </m:r>
          </m:sub>
        </m:sSub>
      </m:oMath>
      <w:r>
        <w:t xml:space="preserve"> </w:t>
      </w:r>
      <w:r>
        <w:t xml:space="preserve">the weight fraction retained. Higher MWD means more stable structure, less crusting and less erosion. Stability is improved by organic matter, minimum tillage, residue retention, gypsum on sodic soils and grass leys.</w:t>
      </w:r>
    </w:p>
    <w:p>
      <w:pPr>
        <w:pStyle w:val="Heading2"/>
      </w:pPr>
      <w:r>
        <w:t xml:space="preserve">14.6 Density, Porosity and Pore Space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Definition</w:t>
            </w:r>
          </w:p>
        </w:tc>
        <w:tc>
          <w:tcPr/>
          <w:p>
            <w:pPr>
              <w:pStyle w:val="Compact"/>
              <w:jc w:val="left"/>
            </w:pPr>
            <w:r>
              <w:t xml:space="preserve">Typical values</w:t>
            </w:r>
          </w:p>
        </w:tc>
      </w:tr>
      <w:tr>
        <w:tc>
          <w:tcPr/>
          <w:p>
            <w:pPr>
              <w:pStyle w:val="Compact"/>
              <w:jc w:val="left"/>
            </w:pPr>
            <w:r>
              <w:rPr>
                <w:bCs/>
                <w:b/>
              </w:rPr>
              <w:t xml:space="preserve">Particle density</w:t>
            </w:r>
            <w:r>
              <w:t xml:space="preserve"> </w:t>
            </w:r>
            <m:oMath>
              <m:sSub>
                <m:e>
                  <m:r>
                    <m:t>ρ</m:t>
                  </m:r>
                </m:e>
                <m:sub>
                  <m:r>
                    <m:t>s</m:t>
                  </m:r>
                </m:sub>
              </m:sSub>
            </m:oMath>
          </w:p>
        </w:tc>
        <w:tc>
          <w:tcPr/>
          <w:p>
            <w:pPr>
              <w:pStyle w:val="Compact"/>
              <w:jc w:val="left"/>
            </w:pPr>
            <w:r>
              <w:t xml:space="preserve">Mass of solids / volume of solids</w:t>
            </w:r>
          </w:p>
        </w:tc>
        <w:tc>
          <w:tcPr/>
          <w:p>
            <w:pPr>
              <w:pStyle w:val="Compact"/>
              <w:jc w:val="left"/>
            </w:pPr>
            <w:r>
              <w:rPr>
                <w:bCs/>
                <w:b/>
              </w:rPr>
              <w:t xml:space="preserve">2.60–2.75 g cm⁻³</w:t>
            </w:r>
            <w:r>
              <w:t xml:space="preserve"> </w:t>
            </w:r>
            <w:r>
              <w:t xml:space="preserve">(≈ 2.65 for quartz-dominated soils); lower with OM (humus about 1.4)</w:t>
            </w:r>
          </w:p>
        </w:tc>
      </w:tr>
      <w:tr>
        <w:tc>
          <w:tcPr/>
          <w:p>
            <w:pPr>
              <w:pStyle w:val="Compact"/>
              <w:jc w:val="left"/>
            </w:pPr>
            <w:r>
              <w:rPr>
                <w:bCs/>
                <w:b/>
              </w:rPr>
              <w:t xml:space="preserve">Bulk density</w:t>
            </w:r>
            <w:r>
              <w:t xml:space="preserve"> </w:t>
            </w:r>
            <m:oMath>
              <m:sSub>
                <m:e>
                  <m:r>
                    <m:t>ρ</m:t>
                  </m:r>
                </m:e>
                <m:sub>
                  <m:r>
                    <m:t>b</m:t>
                  </m:r>
                </m:sub>
              </m:sSub>
            </m:oMath>
          </w:p>
        </w:tc>
        <w:tc>
          <w:tcPr/>
          <w:p>
            <w:pPr>
              <w:pStyle w:val="Compact"/>
              <w:jc w:val="left"/>
            </w:pPr>
            <w:r>
              <w:t xml:space="preserve">Mass of oven-dry soil /</w:t>
            </w:r>
            <w:r>
              <w:t xml:space="preserve"> </w:t>
            </w:r>
            <w:r>
              <w:rPr>
                <w:bCs/>
                <w:b/>
              </w:rPr>
              <w:t xml:space="preserve">total volume</w:t>
            </w:r>
            <w:r>
              <w:t xml:space="preserve"> </w:t>
            </w:r>
            <w:r>
              <w:t xml:space="preserve">(solids + pores)</w:t>
            </w:r>
          </w:p>
        </w:tc>
        <w:tc>
          <w:tcPr/>
          <w:p>
            <w:pPr>
              <w:pStyle w:val="Compact"/>
              <w:jc w:val="left"/>
            </w:pPr>
            <w:r>
              <w:t xml:space="preserve">Sands 1.4–1.7; loams 1.2–1.5; clays 1.0–1.3; organic soils 0.2–0.6 g cm⁻³</w:t>
            </w:r>
          </w:p>
        </w:tc>
      </w:tr>
      <w:tr>
        <w:tc>
          <w:tcPr/>
          <w:p>
            <w:pPr>
              <w:pStyle w:val="Compact"/>
              <w:jc w:val="left"/>
            </w:pPr>
            <w:r>
              <w:rPr>
                <w:bCs/>
                <w:b/>
              </w:rPr>
              <w:t xml:space="preserve">Total porosity</w:t>
            </w:r>
            <w:r>
              <w:t xml:space="preserve"> </w:t>
            </w:r>
            <m:oMath>
              <m:r>
                <m:t>f</m:t>
              </m:r>
            </m:oMath>
          </w:p>
        </w:tc>
        <w:tc>
          <w:tcPr/>
          <w:p>
            <w:pPr>
              <w:pStyle w:val="Compact"/>
              <w:jc w:val="left"/>
            </w:pPr>
            <w:r>
              <w:t xml:space="preserve">Pore volume / total volume</w:t>
            </w:r>
          </w:p>
        </w:tc>
        <w:tc>
          <w:tcPr/>
          <w:p>
            <w:pPr>
              <w:pStyle w:val="Compact"/>
              <w:jc w:val="left"/>
            </w:pPr>
            <w:r>
              <w:t xml:space="preserve">30–60%</w:t>
            </w:r>
          </w:p>
        </w:tc>
      </w:tr>
      <w:tr>
        <w:tc>
          <w:tcPr/>
          <w:p>
            <w:pPr>
              <w:pStyle w:val="Compact"/>
              <w:jc w:val="left"/>
            </w:pPr>
            <w:r>
              <w:rPr>
                <w:bCs/>
                <w:b/>
              </w:rPr>
              <w:t xml:space="preserve">Void ratio</w:t>
            </w:r>
            <w:r>
              <w:t xml:space="preserve"> </w:t>
            </w:r>
            <m:oMath>
              <m:r>
                <m:t>e</m:t>
              </m:r>
            </m:oMath>
          </w:p>
        </w:tc>
        <w:tc>
          <w:tcPr/>
          <w:p>
            <w:pPr>
              <w:pStyle w:val="Compact"/>
              <w:jc w:val="left"/>
            </w:pPr>
            <w:r>
              <w:t xml:space="preserve">Pore volume / solid volume</w:t>
            </w:r>
          </w:p>
        </w:tc>
        <w:tc>
          <w:tcPr/>
          <w:p>
            <w:pPr>
              <w:pStyle w:val="Compact"/>
              <w:jc w:val="left"/>
            </w:pPr>
            <w:r>
              <w:t xml:space="preserve">0.4–1.5</w:t>
            </w:r>
          </w:p>
        </w:tc>
      </w:tr>
    </w:tbl>
    <w:p>
      <w:pPr>
        <w:pStyle w:val="BodyText"/>
      </w:pPr>
      <m:oMathPara>
        <m:oMathParaPr>
          <m:jc m:val="center"/>
        </m:oMathParaPr>
        <m:oMath>
          <m:r>
            <m:t>f</m:t>
          </m:r>
          <m:r>
            <m:rPr>
              <m:sty m:val="p"/>
            </m:rPr>
            <m:t>=</m:t>
          </m:r>
          <m:r>
            <m:t>1</m:t>
          </m:r>
          <m:r>
            <m:rPr>
              <m:sty m:val="p"/>
            </m:rPr>
            <m:t>−</m:t>
          </m:r>
          <m:f>
            <m:fPr>
              <m:type m:val="bar"/>
            </m:fPr>
            <m:num>
              <m:sSub>
                <m:e>
                  <m:r>
                    <m:t>ρ</m:t>
                  </m:r>
                </m:e>
                <m:sub>
                  <m:r>
                    <m:t>b</m:t>
                  </m:r>
                </m:sub>
              </m:sSub>
            </m:num>
            <m:den>
              <m:sSub>
                <m:e>
                  <m:r>
                    <m:t>ρ</m:t>
                  </m:r>
                </m:e>
                <m:sub>
                  <m:r>
                    <m:t>s</m:t>
                  </m:r>
                </m:sub>
              </m:sSub>
            </m:den>
          </m:f>
          <m:r>
            <m:rPr>
              <m:sty m:val="p"/>
            </m:rPr>
            <m:t>,</m:t>
          </m:r>
          <m:r>
            <m:t>  </m:t>
          </m:r>
          <m:r>
            <m:t>e</m:t>
          </m:r>
          <m:r>
            <m:rPr>
              <m:sty m:val="p"/>
            </m:rPr>
            <m:t>=</m:t>
          </m:r>
          <m:f>
            <m:fPr>
              <m:type m:val="bar"/>
            </m:fPr>
            <m:num>
              <m:sSub>
                <m:e>
                  <m:r>
                    <m:t>V</m:t>
                  </m:r>
                </m:e>
                <m:sub>
                  <m:r>
                    <m:t>v</m:t>
                  </m:r>
                </m:sub>
              </m:sSub>
            </m:num>
            <m:den>
              <m:sSub>
                <m:e>
                  <m:r>
                    <m:t>V</m:t>
                  </m:r>
                </m:e>
                <m:sub>
                  <m:r>
                    <m:t>s</m:t>
                  </m:r>
                </m:sub>
              </m:sSub>
            </m:den>
          </m:f>
          <m:r>
            <m:rPr>
              <m:sty m:val="p"/>
            </m:rPr>
            <m:t>,</m:t>
          </m:r>
          <m:r>
            <m:t>  </m:t>
          </m:r>
          <m:r>
            <m:t>f</m:t>
          </m:r>
          <m:r>
            <m:rPr>
              <m:sty m:val="p"/>
            </m:rPr>
            <m:t>=</m:t>
          </m:r>
          <m:f>
            <m:fPr>
              <m:type m:val="bar"/>
            </m:fPr>
            <m:num>
              <m:r>
                <m:t>e</m:t>
              </m:r>
            </m:num>
            <m:den>
              <m:r>
                <m:t>1</m:t>
              </m:r>
              <m:r>
                <m:rPr>
                  <m:sty m:val="p"/>
                </m:rPr>
                <m:t>+</m:t>
              </m:r>
              <m:r>
                <m:t>e</m:t>
              </m:r>
            </m:den>
          </m:f>
        </m:oMath>
      </m:oMathPara>
    </w:p>
    <w:p>
      <w:pPr>
        <w:pStyle w:val="FirstParagraph"/>
      </w:pPr>
      <w:r>
        <w:rPr>
          <w:bCs/>
          <w:b/>
        </w:rPr>
        <w:t xml:space="preserve">Root-limiting bulk density</w:t>
      </w:r>
      <w:r>
        <w:t xml:space="preserve"> </w:t>
      </w:r>
      <w:r>
        <w:t xml:space="preserve">is about 1.6 g cm⁻³ in clays and about 1.8 g cm⁻³ in sands. Bulk density is measured by the</w:t>
      </w:r>
      <w:r>
        <w:t xml:space="preserve"> </w:t>
      </w:r>
      <w:r>
        <w:rPr>
          <w:bCs/>
          <w:b/>
        </w:rPr>
        <w:t xml:space="preserve">core method</w:t>
      </w:r>
      <w:r>
        <w:t xml:space="preserve"> </w:t>
      </w:r>
      <w:r>
        <w:t xml:space="preserve">(known-volume cylinder), the clod method (paraffin-coated clod) or nuclear gauges. It is needed to convert gravimetric to volumetric moisture and to compute nutrient and carbon stocks (t ha⁻¹ = concentration × ρb × depth).</w:t>
      </w:r>
    </w:p>
    <w:p>
      <w:pPr>
        <w:pStyle w:val="BodyText"/>
      </w:pPr>
      <w:r>
        <w:rPr>
          <w:bCs/>
          <w:b/>
        </w:rPr>
        <w:t xml:space="preserve">Pore-size classes:</w:t>
      </w:r>
    </w:p>
    <w:p>
      <w:pPr>
        <w:pStyle w:val="Compact"/>
        <w:numPr>
          <w:ilvl w:val="0"/>
          <w:numId w:val="1105"/>
        </w:numPr>
      </w:pPr>
      <w:r>
        <w:rPr>
          <w:bCs/>
          <w:b/>
        </w:rPr>
        <w:t xml:space="preserve">Macropores</w:t>
      </w:r>
      <w:r>
        <w:t xml:space="preserve"> </w:t>
      </w:r>
      <w:r>
        <w:t xml:space="preserve">(&gt; 0.08 mm, non-capillary) drain freely at field capacity and govern</w:t>
      </w:r>
      <w:r>
        <w:t xml:space="preserve"> </w:t>
      </w:r>
      <w:r>
        <w:rPr>
          <w:bCs/>
          <w:b/>
        </w:rPr>
        <w:t xml:space="preserve">aeration and drainage</w:t>
      </w:r>
      <w:r>
        <w:t xml:space="preserve">. They dominate in sands and well-aggregated soils.</w:t>
      </w:r>
    </w:p>
    <w:p>
      <w:pPr>
        <w:pStyle w:val="Compact"/>
        <w:numPr>
          <w:ilvl w:val="0"/>
          <w:numId w:val="1105"/>
        </w:numPr>
      </w:pPr>
      <w:r>
        <w:rPr>
          <w:bCs/>
          <w:b/>
        </w:rPr>
        <w:t xml:space="preserve">Micropores</w:t>
      </w:r>
      <w:r>
        <w:t xml:space="preserve"> </w:t>
      </w:r>
      <w:r>
        <w:t xml:space="preserve">(capillary) hold water against gravity and govern</w:t>
      </w:r>
      <w:r>
        <w:t xml:space="preserve"> </w:t>
      </w:r>
      <w:r>
        <w:rPr>
          <w:bCs/>
          <w:b/>
        </w:rPr>
        <w:t xml:space="preserve">water retention</w:t>
      </w:r>
      <w:r>
        <w:t xml:space="preserve">. They dominate in clays.</w:t>
      </w:r>
    </w:p>
    <w:p>
      <w:pPr>
        <w:pStyle w:val="FirstParagraph"/>
      </w:pPr>
      <w:r>
        <w:t xml:space="preserve">An ideal soil for crops has roughly equal macro- and micro-porosity.</w:t>
      </w:r>
    </w:p>
    <w:p>
      <w:pPr>
        <w:pStyle w:val="ExamTip"/>
      </w:pPr>
      <w:r>
        <w:rPr>
          <w:bCs/>
          <w:b/>
        </w:rPr>
        <w:t xml:space="preserve">Worked example.</w:t>
      </w:r>
      <w:r>
        <w:t xml:space="preserve"> </w:t>
      </w:r>
      <w:r>
        <w:t xml:space="preserve">A core of 100 cm³ holds 140 g of oven-dry soil. Bulk density = 1.40 g cm⁻³. With ρs = 2.65, porosity = 1 − 1.40/2.65 = 0.472, i.e. </w:t>
      </w:r>
      <w:r>
        <w:rPr>
          <w:bCs/>
          <w:b/>
        </w:rPr>
        <w:t xml:space="preserve">47.2%</w:t>
      </w:r>
      <w:r>
        <w:t xml:space="preserve">. Void ratio e = 0.472/0.528 = 0.89. Organic-carbon stock in the 0–30 cm layer at 0.6% OC: 0.006 × 1.40 g cm⁻³ × 30 cm × 10⁸ cm² ha⁻¹ = 25.2 t C ha⁻¹.</w:t>
      </w:r>
    </w:p>
    <w:p>
      <w:pPr>
        <w:pStyle w:val="Heading2"/>
      </w:pPr>
      <w:r>
        <w:t xml:space="preserve">14.7 Soil Consistence and Atterberg Limits</w:t>
      </w:r>
    </w:p>
    <w:p>
      <w:pPr>
        <w:pStyle w:val="FirstParagraph"/>
      </w:pPr>
      <w:r>
        <w:rPr>
          <w:bCs/>
          <w:b/>
        </w:rPr>
        <w:t xml:space="preserve">Consistence</w:t>
      </w:r>
      <w:r>
        <w:t xml:space="preserve"> </w:t>
      </w:r>
      <w:r>
        <w:t xml:space="preserve">is the soil’s resistance to deformation at different moisture contents. It reflects cohesion and adhesion:</w:t>
      </w:r>
    </w:p>
    <w:p>
      <w:pPr>
        <w:pStyle w:val="Compact"/>
        <w:numPr>
          <w:ilvl w:val="0"/>
          <w:numId w:val="1106"/>
        </w:numPr>
      </w:pPr>
      <w:r>
        <w:rPr>
          <w:bCs/>
          <w:b/>
        </w:rPr>
        <w:t xml:space="preserve">Dry:</w:t>
      </w:r>
      <w:r>
        <w:t xml:space="preserve"> </w:t>
      </w:r>
      <w:r>
        <w:t xml:space="preserve">loose, soft, hard, very hard.</w:t>
      </w:r>
    </w:p>
    <w:p>
      <w:pPr>
        <w:pStyle w:val="Compact"/>
        <w:numPr>
          <w:ilvl w:val="0"/>
          <w:numId w:val="1106"/>
        </w:numPr>
      </w:pPr>
      <w:r>
        <w:rPr>
          <w:bCs/>
          <w:b/>
        </w:rPr>
        <w:t xml:space="preserve">Moist:</w:t>
      </w:r>
      <w:r>
        <w:t xml:space="preserve"> </w:t>
      </w:r>
      <w:r>
        <w:t xml:space="preserve">loose, friable, firm, very firm.</w:t>
      </w:r>
    </w:p>
    <w:p>
      <w:pPr>
        <w:pStyle w:val="Compact"/>
        <w:numPr>
          <w:ilvl w:val="0"/>
          <w:numId w:val="1106"/>
        </w:numPr>
      </w:pPr>
      <w:r>
        <w:rPr>
          <w:bCs/>
          <w:b/>
        </w:rPr>
        <w:t xml:space="preserve">Wet:</w:t>
      </w:r>
      <w:r>
        <w:t xml:space="preserve"> </w:t>
      </w:r>
      <w:r>
        <w:t xml:space="preserve">stickiness and plasticity.</w:t>
      </w:r>
    </w:p>
    <w:p>
      <w:pPr>
        <w:pStyle w:val="FirstParagraph"/>
      </w:pPr>
      <w:r>
        <w:rPr>
          <w:bCs/>
          <w:b/>
        </w:rPr>
        <w:t xml:space="preserve">Atterberg limits</w:t>
      </w:r>
      <w:r>
        <w:t xml:space="preserve"> </w:t>
      </w:r>
      <w:r>
        <w:t xml:space="preserve">(moisture contents marking changes of state):</w:t>
      </w:r>
    </w:p>
    <w:p>
      <w:pPr>
        <w:pStyle w:val="Compact"/>
        <w:numPr>
          <w:ilvl w:val="0"/>
          <w:numId w:val="1107"/>
        </w:numPr>
      </w:pPr>
      <w:r>
        <w:rPr>
          <w:bCs/>
          <w:b/>
        </w:rPr>
        <w:t xml:space="preserve">Liquid limit (LL):</w:t>
      </w:r>
      <w:r>
        <w:t xml:space="preserve"> </w:t>
      </w:r>
      <w:r>
        <w:t xml:space="preserve">water content at which the soil changes from plastic to liquid (Casagrande cup).</w:t>
      </w:r>
    </w:p>
    <w:p>
      <w:pPr>
        <w:pStyle w:val="Compact"/>
        <w:numPr>
          <w:ilvl w:val="0"/>
          <w:numId w:val="1107"/>
        </w:numPr>
      </w:pPr>
      <w:r>
        <w:rPr>
          <w:bCs/>
          <w:b/>
        </w:rPr>
        <w:t xml:space="preserve">Plastic limit (PL):</w:t>
      </w:r>
      <w:r>
        <w:t xml:space="preserve"> </w:t>
      </w:r>
      <w:r>
        <w:t xml:space="preserve">the lowest water content at which the soil can be rolled into 3 mm threads.</w:t>
      </w:r>
    </w:p>
    <w:p>
      <w:pPr>
        <w:pStyle w:val="Compact"/>
        <w:numPr>
          <w:ilvl w:val="0"/>
          <w:numId w:val="1107"/>
        </w:numPr>
      </w:pPr>
      <w:r>
        <w:rPr>
          <w:bCs/>
          <w:b/>
        </w:rPr>
        <w:t xml:space="preserve">Plasticity index:</w:t>
      </w:r>
      <w:r>
        <w:t xml:space="preserve"> </w:t>
      </w:r>
      <w:r>
        <w:t xml:space="preserve">PI = LL − PL. High PI (&gt; 30) is typical of smectitic Vertisols.</w:t>
      </w:r>
    </w:p>
    <w:p>
      <w:pPr>
        <w:pStyle w:val="Compact"/>
        <w:numPr>
          <w:ilvl w:val="0"/>
          <w:numId w:val="1107"/>
        </w:numPr>
      </w:pPr>
      <w:r>
        <w:rPr>
          <w:bCs/>
          <w:b/>
        </w:rPr>
        <w:t xml:space="preserve">Shrinkage limit:</w:t>
      </w:r>
      <w:r>
        <w:t xml:space="preserve"> </w:t>
      </w:r>
      <w:r>
        <w:t xml:space="preserve">below this, further drying does not reduce volume.</w:t>
      </w:r>
    </w:p>
    <w:p>
      <w:pPr>
        <w:pStyle w:val="FirstParagraph"/>
      </w:pPr>
      <w:r>
        <w:t xml:space="preserve">The</w:t>
      </w:r>
      <w:r>
        <w:t xml:space="preserve"> </w:t>
      </w:r>
      <w:r>
        <w:rPr>
          <w:bCs/>
          <w:b/>
        </w:rPr>
        <w:t xml:space="preserve">optimum moisture for tillage</w:t>
      </w:r>
      <w:r>
        <w:t xml:space="preserve"> </w:t>
      </w:r>
      <w:r>
        <w:t xml:space="preserve">is in the friable range, below the plastic limit. Tilling wet clay causes puddling and clods.</w:t>
      </w:r>
      <w:r>
        <w:t xml:space="preserve"> </w:t>
      </w:r>
      <w:r>
        <w:rPr>
          <w:bCs/>
          <w:b/>
        </w:rPr>
        <w:t xml:space="preserve">Coefficient of linear extensibility (COLE)</w:t>
      </w:r>
      <w:r>
        <w:t xml:space="preserve"> </w:t>
      </w:r>
      <w:r>
        <w:t xml:space="preserve">measures shrink–swell: COLE &gt; 0.06 indicates vertic properties.</w:t>
      </w:r>
    </w:p>
    <w:p>
      <w:pPr>
        <w:pStyle w:val="Heading2"/>
      </w:pPr>
      <w:r>
        <w:t xml:space="preserve">14.8 Soil Colour</w:t>
      </w:r>
    </w:p>
    <w:p>
      <w:pPr>
        <w:pStyle w:val="FirstParagraph"/>
      </w:pPr>
      <w:r>
        <w:t xml:space="preserve">Colour is described with the</w:t>
      </w:r>
      <w:r>
        <w:t xml:space="preserve"> </w:t>
      </w:r>
      <w:r>
        <w:rPr>
          <w:bCs/>
          <w:b/>
        </w:rPr>
        <w:t xml:space="preserve">Munsell colour chart</w:t>
      </w:r>
      <w:r>
        <w:t xml:space="preserve"> </w:t>
      </w:r>
      <w:r>
        <w:t xml:space="preserve">in</w:t>
      </w:r>
      <w:r>
        <w:t xml:space="preserve"> </w:t>
      </w:r>
      <w:r>
        <w:rPr>
          <w:bCs/>
          <w:b/>
        </w:rPr>
        <w:t xml:space="preserve">hue</w:t>
      </w:r>
      <w:r>
        <w:t xml:space="preserve"> </w:t>
      </w:r>
      <w:r>
        <w:t xml:space="preserve">(dominant spectral colour, e.g. 10YR, 5YR, 2.5Y),</w:t>
      </w:r>
      <w:r>
        <w:t xml:space="preserve"> </w:t>
      </w:r>
      <w:r>
        <w:rPr>
          <w:bCs/>
          <w:b/>
        </w:rPr>
        <w:t xml:space="preserve">value</w:t>
      </w:r>
      <w:r>
        <w:t xml:space="preserve"> </w:t>
      </w:r>
      <w:r>
        <w:t xml:space="preserve">(lightness, 0 = black to 10 = white) and</w:t>
      </w:r>
      <w:r>
        <w:t xml:space="preserve"> </w:t>
      </w:r>
      <w:r>
        <w:rPr>
          <w:bCs/>
          <w:b/>
        </w:rPr>
        <w:t xml:space="preserve">chroma</w:t>
      </w:r>
      <w:r>
        <w:t xml:space="preserve"> </w:t>
      </w:r>
      <w:r>
        <w:t xml:space="preserve">(purity/strength). For example,</w:t>
      </w:r>
      <w:r>
        <w:t xml:space="preserve"> </w:t>
      </w:r>
      <w:r>
        <w:rPr>
          <w:bCs/>
          <w:b/>
        </w:rPr>
        <w:t xml:space="preserve">10YR 3/2</w:t>
      </w:r>
      <w:r>
        <w:t xml:space="preserve"> </w:t>
      </w:r>
      <w:r>
        <w:t xml:space="preserve">is very dark greyish brown.</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Colour</w:t>
            </w:r>
          </w:p>
        </w:tc>
        <w:tc>
          <w:tcPr/>
          <w:p>
            <w:pPr>
              <w:pStyle w:val="Compact"/>
              <w:jc w:val="left"/>
            </w:pPr>
            <w:r>
              <w:t xml:space="preserve">Indicates</w:t>
            </w:r>
          </w:p>
        </w:tc>
      </w:tr>
      <w:tr>
        <w:tc>
          <w:tcPr/>
          <w:p>
            <w:pPr>
              <w:pStyle w:val="Compact"/>
              <w:jc w:val="left"/>
            </w:pPr>
            <w:r>
              <w:t xml:space="preserve">Black / dark brown</w:t>
            </w:r>
          </w:p>
        </w:tc>
        <w:tc>
          <w:tcPr/>
          <w:p>
            <w:pPr>
              <w:pStyle w:val="Compact"/>
              <w:jc w:val="left"/>
            </w:pPr>
            <w:r>
              <w:t xml:space="preserve">Organic matter (humus); also titanomagnetite in Vertisols</w:t>
            </w:r>
          </w:p>
        </w:tc>
      </w:tr>
      <w:tr>
        <w:tc>
          <w:tcPr/>
          <w:p>
            <w:pPr>
              <w:pStyle w:val="Compact"/>
              <w:jc w:val="left"/>
            </w:pPr>
            <w:r>
              <w:t xml:space="preserve">Red</w:t>
            </w:r>
          </w:p>
        </w:tc>
        <w:tc>
          <w:tcPr/>
          <w:p>
            <w:pPr>
              <w:pStyle w:val="Compact"/>
              <w:jc w:val="left"/>
            </w:pPr>
            <w:r>
              <w:t xml:space="preserve">Well-drained, oxidised</w:t>
            </w:r>
            <w:r>
              <w:t xml:space="preserve"> </w:t>
            </w:r>
            <w:r>
              <w:rPr>
                <w:bCs/>
                <w:b/>
              </w:rPr>
              <w:t xml:space="preserve">haematite</w:t>
            </w:r>
            <w:r>
              <w:t xml:space="preserve"> </w:t>
            </w:r>
            <w:r>
              <w:t xml:space="preserve">(Fe₂O₃)</w:t>
            </w:r>
          </w:p>
        </w:tc>
      </w:tr>
      <w:tr>
        <w:tc>
          <w:tcPr/>
          <w:p>
            <w:pPr>
              <w:pStyle w:val="Compact"/>
              <w:jc w:val="left"/>
            </w:pPr>
            <w:r>
              <w:t xml:space="preserve">Yellow / yellow-brown</w:t>
            </w:r>
          </w:p>
        </w:tc>
        <w:tc>
          <w:tcPr/>
          <w:p>
            <w:pPr>
              <w:pStyle w:val="Compact"/>
              <w:jc w:val="left"/>
            </w:pPr>
            <w:r>
              <w:t xml:space="preserve">Hydrated iron oxide (</w:t>
            </w:r>
            <w:r>
              <w:rPr>
                <w:bCs/>
                <w:b/>
              </w:rPr>
              <w:t xml:space="preserve">goethite</w:t>
            </w:r>
            <w:r>
              <w:t xml:space="preserve">, limonite), moderately drained</w:t>
            </w:r>
          </w:p>
        </w:tc>
      </w:tr>
      <w:tr>
        <w:tc>
          <w:tcPr/>
          <w:p>
            <w:pPr>
              <w:pStyle w:val="Compact"/>
              <w:jc w:val="left"/>
            </w:pPr>
            <w:r>
              <w:t xml:space="preserve">Grey, bluish-green (gley)</w:t>
            </w:r>
          </w:p>
        </w:tc>
        <w:tc>
          <w:tcPr/>
          <w:p>
            <w:pPr>
              <w:pStyle w:val="Compact"/>
              <w:jc w:val="left"/>
            </w:pPr>
            <w:r>
              <w:t xml:space="preserve">Reduced iron (Fe²⁺) under prolonged</w:t>
            </w:r>
            <w:r>
              <w:t xml:space="preserve"> </w:t>
            </w:r>
            <w:r>
              <w:rPr>
                <w:bCs/>
                <w:b/>
              </w:rPr>
              <w:t xml:space="preserve">waterlogging</w:t>
            </w:r>
          </w:p>
        </w:tc>
      </w:tr>
      <w:tr>
        <w:tc>
          <w:tcPr/>
          <w:p>
            <w:pPr>
              <w:pStyle w:val="Compact"/>
              <w:jc w:val="left"/>
            </w:pPr>
            <w:r>
              <w:t xml:space="preserve">Mottles (red/grey patches)</w:t>
            </w:r>
          </w:p>
        </w:tc>
        <w:tc>
          <w:tcPr/>
          <w:p>
            <w:pPr>
              <w:pStyle w:val="Compact"/>
              <w:jc w:val="left"/>
            </w:pPr>
            <w:r>
              <w:t xml:space="preserve">Fluctuating water table (alternate oxidation and reduction)</w:t>
            </w:r>
          </w:p>
        </w:tc>
      </w:tr>
      <w:tr>
        <w:tc>
          <w:tcPr/>
          <w:p>
            <w:pPr>
              <w:pStyle w:val="Compact"/>
              <w:jc w:val="left"/>
            </w:pPr>
            <w:r>
              <w:t xml:space="preserve">White</w:t>
            </w:r>
          </w:p>
        </w:tc>
        <w:tc>
          <w:tcPr/>
          <w:p>
            <w:pPr>
              <w:pStyle w:val="Compact"/>
              <w:jc w:val="left"/>
            </w:pPr>
            <w:r>
              <w:t xml:space="preserve">Salts, carbonates, gypsum, quartz sand (bleached E horizon)</w:t>
            </w:r>
          </w:p>
        </w:tc>
      </w:tr>
    </w:tbl>
    <w:p>
      <w:pPr>
        <w:pStyle w:val="BodyText"/>
      </w:pPr>
      <w:r>
        <w:t xml:space="preserve">Colour is an easily observed proxy for drainage class, organic matter and mineralogy. It is also why soil reflectance and brightness indices relate to soil properties.</w:t>
      </w:r>
    </w:p>
    <w:p>
      <w:pPr>
        <w:pStyle w:val="Heading2"/>
      </w:pPr>
      <w:r>
        <w:t xml:space="preserve">14.9 Soil Compaction</w:t>
      </w:r>
    </w:p>
    <w:p>
      <w:pPr>
        <w:pStyle w:val="FirstParagraph"/>
      </w:pPr>
      <w:r>
        <w:rPr>
          <w:bCs/>
          <w:b/>
        </w:rPr>
        <w:t xml:space="preserve">Compaction</w:t>
      </w:r>
      <w:r>
        <w:t xml:space="preserve"> </w:t>
      </w:r>
      <w:r>
        <w:t xml:space="preserve">increases bulk density and penetration resistance and reduces macroporosity, infiltration and root growth. Causes include heavy machinery (especially on wet soil), repeated tillage at the same depth (</w:t>
      </w:r>
      <w:r>
        <w:rPr>
          <w:bCs/>
          <w:b/>
        </w:rPr>
        <w:t xml:space="preserve">ploughpan</w:t>
      </w:r>
      <w:r>
        <w:t xml:space="preserve">), puddling for rice and trampling. It is measured with</w:t>
      </w:r>
      <w:r>
        <w:t xml:space="preserve"> </w:t>
      </w:r>
      <w:r>
        <w:rPr>
          <w:bCs/>
          <w:b/>
        </w:rPr>
        <w:t xml:space="preserve">cone penetrometers</w:t>
      </w:r>
      <w:r>
        <w:t xml:space="preserve"> </w:t>
      </w:r>
      <w:r>
        <w:t xml:space="preserve">(cone index; above 2 MPa restricts roots) and by bulk density. Management: controlled traffic, subsoiling or chiselling, deep-rooted crops, organic matter, conservation tillage, and avoiding tillage at high moisture.</w:t>
      </w:r>
    </w:p>
    <w:p>
      <w:pPr>
        <w:pStyle w:val="Heading3"/>
      </w:pPr>
      <w:r>
        <w:t xml:space="preserve">14.9.1 Likely interview questions</w:t>
      </w:r>
    </w:p>
    <w:p>
      <w:pPr>
        <w:pStyle w:val="FirstParagraph"/>
      </w:pPr>
      <w:r>
        <w:rPr>
          <w:bCs/>
          <w:b/>
        </w:rPr>
        <w:t xml:space="preserve">Q. Write Stokes’ law and state its use and assumptions.</w:t>
      </w:r>
      <w:r>
        <w:t xml:space="preserve"> </w:t>
      </w:r>
      <m:oMath>
        <m:r>
          <m:t>v</m:t>
        </m:r>
        <m:r>
          <m:rPr>
            <m:sty m:val="p"/>
          </m:rPr>
          <m:t>=</m:t>
        </m:r>
        <m:d>
          <m:dPr>
            <m:begChr m:val="("/>
            <m:endChr m:val=")"/>
            <m:sepChr m:val=""/>
            <m:grow/>
          </m:dPr>
          <m:e>
            <m:sSub>
              <m:e>
                <m:r>
                  <m:t>ρ</m:t>
                </m:r>
              </m:e>
              <m:sub>
                <m:r>
                  <m:t>s</m:t>
                </m:r>
              </m:sub>
            </m:sSub>
            <m:r>
              <m:rPr>
                <m:sty m:val="p"/>
              </m:rPr>
              <m:t>−</m:t>
            </m:r>
            <m:sSub>
              <m:e>
                <m:r>
                  <m:t>ρ</m:t>
                </m:r>
              </m:e>
              <m:sub>
                <m:r>
                  <m:t>w</m:t>
                </m:r>
              </m:sub>
            </m:sSub>
          </m:e>
        </m:d>
        <m:r>
          <m:t>g</m:t>
        </m:r>
        <m:sSup>
          <m:e>
            <m:r>
              <m:t>d</m:t>
            </m:r>
          </m:e>
          <m:sup>
            <m:r>
              <m:t>2</m:t>
            </m:r>
          </m:sup>
        </m:sSup>
        <m:r>
          <m:rPr>
            <m:sty m:val="p"/>
          </m:rPr>
          <m:t>/</m:t>
        </m:r>
        <m:r>
          <m:t>18</m:t>
        </m:r>
        <m:r>
          <m:t>η</m:t>
        </m:r>
      </m:oMath>
      <w:r>
        <w:t xml:space="preserve">. It is used in particle-size analysis (pipette or hydrometer). It assumes rigid spherical particles, laminar flow, a dilute suspension and no particle interaction.</w:t>
      </w:r>
    </w:p>
    <w:p>
      <w:pPr>
        <w:pStyle w:val="BodyText"/>
      </w:pPr>
      <w:r>
        <w:rPr>
          <w:bCs/>
          <w:b/>
        </w:rPr>
        <w:t xml:space="preserve">Q. Relate porosity to bulk and particle density.</w:t>
      </w:r>
      <w:r>
        <w:t xml:space="preserve"> </w:t>
      </w:r>
      <m:oMath>
        <m:r>
          <m:t>f</m:t>
        </m:r>
        <m:r>
          <m:rPr>
            <m:sty m:val="p"/>
          </m:rPr>
          <m:t>=</m:t>
        </m:r>
        <m:r>
          <m:t>1</m:t>
        </m:r>
        <m:r>
          <m:rPr>
            <m:sty m:val="p"/>
          </m:rPr>
          <m:t>−</m:t>
        </m:r>
        <m:sSub>
          <m:e>
            <m:r>
              <m:t>ρ</m:t>
            </m:r>
          </m:e>
          <m:sub>
            <m:r>
              <m:t>b</m:t>
            </m:r>
          </m:sub>
        </m:sSub>
        <m:r>
          <m:rPr>
            <m:sty m:val="p"/>
          </m:rPr>
          <m:t>/</m:t>
        </m:r>
        <m:sSub>
          <m:e>
            <m:r>
              <m:t>ρ</m:t>
            </m:r>
          </m:e>
          <m:sub>
            <m:r>
              <m:t>s</m:t>
            </m:r>
          </m:sub>
        </m:sSub>
      </m:oMath>
      <w:r>
        <w:t xml:space="preserve">.</w:t>
      </w:r>
    </w:p>
    <w:p>
      <w:pPr>
        <w:pStyle w:val="BodyText"/>
      </w:pPr>
      <w:r>
        <w:rPr>
          <w:bCs/>
          <w:b/>
        </w:rPr>
        <w:t xml:space="preserve">Q. Which structure type indicates a sodic B horizon?</w:t>
      </w:r>
      <w:r>
        <w:t xml:space="preserve"> </w:t>
      </w:r>
      <w:r>
        <w:t xml:space="preserve">Columnar (prisms with rounded tops).</w:t>
      </w:r>
    </w:p>
    <w:p>
      <w:pPr>
        <w:pStyle w:val="BodyText"/>
      </w:pPr>
      <w:r>
        <w:rPr>
          <w:bCs/>
          <w:b/>
        </w:rPr>
        <w:t xml:space="preserve">Q. Name the five soil-forming factors and identify the active ones.</w:t>
      </w:r>
      <w:r>
        <w:t xml:space="preserve"> </w:t>
      </w:r>
      <w:r>
        <w:t xml:space="preserve">Climate, organisms, relief, parent material and time. Climate and organisms are active.</w:t>
      </w:r>
    </w:p>
    <w:p>
      <w:pPr>
        <w:pStyle w:val="BodyText"/>
      </w:pPr>
      <w:r>
        <w:rPr>
          <w:bCs/>
          <w:b/>
        </w:rPr>
        <w:t xml:space="preserve">Q. What do grey colours and mottles indicate?</w:t>
      </w:r>
      <w:r>
        <w:t xml:space="preserve"> </w:t>
      </w:r>
      <w:r>
        <w:t xml:space="preserve">Reduction of iron under prolonged or periodic waterlogging (gleying).</w:t>
      </w:r>
    </w:p>
    <w:p>
      <w:pPr>
        <w:pStyle w:val="BodyText"/>
      </w:pPr>
      <w:r>
        <w:rPr>
          <w:bCs/>
          <w:b/>
        </w:rPr>
        <w:t xml:space="preserve">Q. What is the largest soil group in India and what are black soils called in taxonomy?</w:t>
      </w:r>
      <w:r>
        <w:t xml:space="preserve"> </w:t>
      </w:r>
      <w:r>
        <w:t xml:space="preserve">Alluvial soils (about 43%). Black soils are Vertisols.</w:t>
      </w:r>
    </w:p>
    <w:p>
      <w:pPr>
        <w:pStyle w:val="Heading1"/>
      </w:pPr>
      <w:r>
        <w:t xml:space="preserve">Chapter 15. Physicochemical and Biological Properties; Soil Colloids and Clay Minerals</w:t>
      </w:r>
    </w:p>
    <w:p>
      <w:pPr>
        <w:pStyle w:val="Heading2"/>
      </w:pPr>
      <w:r>
        <w:t xml:space="preserve">15.1 Soil Colloids</w:t>
      </w:r>
    </w:p>
    <w:p>
      <w:pPr>
        <w:pStyle w:val="FirstParagraph"/>
      </w:pPr>
      <w:r>
        <w:rPr>
          <w:bCs/>
          <w:b/>
        </w:rPr>
        <w:t xml:space="preserve">Colloids</w:t>
      </w:r>
      <w:r>
        <w:t xml:space="preserve"> </w:t>
      </w:r>
      <w:r>
        <w:t xml:space="preserve">are particles small enough (about 1 nm to 1 µm; clay &lt; 2 µm is the soil colloidal fraction) to remain suspended and to exhibit surface-dominated behaviour.</w:t>
      </w:r>
      <w:r>
        <w:t xml:space="preserve"> </w:t>
      </w:r>
      <w:r>
        <w:rPr>
          <w:bCs/>
          <w:b/>
        </w:rPr>
        <w:t xml:space="preserve">Soil colloids are the seat of almost all chemical activity in soil</w:t>
      </w:r>
      <w:r>
        <w:t xml:space="preserve">: nutrient retention, buffering, pesticide adsorption and aggregation.</w:t>
      </w:r>
    </w:p>
    <w:p>
      <w:pPr>
        <w:pStyle w:val="Heading3"/>
      </w:pPr>
      <w:r>
        <w:t xml:space="preserve">15.1.1 Types of soil colloids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Colloid</w:t>
            </w:r>
          </w:p>
        </w:tc>
        <w:tc>
          <w:tcPr/>
          <w:p>
            <w:pPr>
              <w:pStyle w:val="Compact"/>
              <w:jc w:val="left"/>
            </w:pPr>
            <w:r>
              <w:t xml:space="preserve">Examples</w:t>
            </w:r>
          </w:p>
        </w:tc>
        <w:tc>
          <w:tcPr/>
          <w:p>
            <w:pPr>
              <w:pStyle w:val="Compact"/>
              <w:jc w:val="left"/>
            </w:pPr>
            <w:r>
              <w:t xml:space="preserve">Charge</w:t>
            </w:r>
          </w:p>
        </w:tc>
        <w:tc>
          <w:tcPr/>
          <w:p>
            <w:pPr>
              <w:pStyle w:val="Compact"/>
              <w:jc w:val="left"/>
            </w:pPr>
            <w:r>
              <w:t xml:space="preserve">Key property</w:t>
            </w:r>
          </w:p>
        </w:tc>
      </w:tr>
      <w:tr>
        <w:tc>
          <w:tcPr/>
          <w:p>
            <w:pPr>
              <w:pStyle w:val="Compact"/>
              <w:jc w:val="left"/>
            </w:pPr>
            <w:r>
              <w:rPr>
                <w:bCs/>
                <w:b/>
              </w:rPr>
              <w:t xml:space="preserve">Crystalline layer silicate clays</w:t>
            </w:r>
          </w:p>
        </w:tc>
        <w:tc>
          <w:tcPr/>
          <w:p>
            <w:pPr>
              <w:pStyle w:val="Compact"/>
              <w:jc w:val="left"/>
            </w:pPr>
            <w:r>
              <w:t xml:space="preserve">Kaolinite, smectite (montmorillonite), illite, vermiculite, chlorite</w:t>
            </w:r>
          </w:p>
        </w:tc>
        <w:tc>
          <w:tcPr/>
          <w:p>
            <w:pPr>
              <w:pStyle w:val="Compact"/>
              <w:jc w:val="left"/>
            </w:pPr>
            <w:r>
              <w:t xml:space="preserve">Mostly</w:t>
            </w:r>
            <w:r>
              <w:t xml:space="preserve"> </w:t>
            </w:r>
            <w:r>
              <w:rPr>
                <w:bCs/>
                <w:b/>
              </w:rPr>
              <w:t xml:space="preserve">permanent negative</w:t>
            </w:r>
            <w:r>
              <w:t xml:space="preserve"> </w:t>
            </w:r>
            <w:r>
              <w:t xml:space="preserve">(isomorphous substitution) + some pH-dependent</w:t>
            </w:r>
          </w:p>
        </w:tc>
        <w:tc>
          <w:tcPr/>
          <w:p>
            <w:pPr>
              <w:pStyle w:val="Compact"/>
              <w:jc w:val="left"/>
            </w:pPr>
            <w:r>
              <w:t xml:space="preserve">Dominate temperate and Indian soils</w:t>
            </w:r>
          </w:p>
        </w:tc>
      </w:tr>
      <w:tr>
        <w:tc>
          <w:tcPr/>
          <w:p>
            <w:pPr>
              <w:pStyle w:val="Compact"/>
              <w:jc w:val="left"/>
            </w:pPr>
            <w:r>
              <w:rPr>
                <w:bCs/>
                <w:b/>
              </w:rPr>
              <w:t xml:space="preserve">Non-crystalline (amorphous) clays</w:t>
            </w:r>
          </w:p>
        </w:tc>
        <w:tc>
          <w:tcPr/>
          <w:p>
            <w:pPr>
              <w:pStyle w:val="Compact"/>
              <w:jc w:val="left"/>
            </w:pPr>
            <w:r>
              <w:t xml:space="preserve">Allophane, imogolite</w:t>
            </w:r>
          </w:p>
        </w:tc>
        <w:tc>
          <w:tcPr/>
          <w:p>
            <w:pPr>
              <w:pStyle w:val="Compact"/>
              <w:jc w:val="left"/>
            </w:pPr>
            <w:r>
              <w:t xml:space="preserve">High variable charge</w:t>
            </w:r>
          </w:p>
        </w:tc>
        <w:tc>
          <w:tcPr/>
          <w:p>
            <w:pPr>
              <w:pStyle w:val="Compact"/>
              <w:jc w:val="left"/>
            </w:pPr>
            <w:r>
              <w:t xml:space="preserve">Volcanic soils (Andisols); high P fixation</w:t>
            </w:r>
          </w:p>
        </w:tc>
      </w:tr>
      <w:tr>
        <w:tc>
          <w:tcPr/>
          <w:p>
            <w:pPr>
              <w:pStyle w:val="Compact"/>
              <w:jc w:val="left"/>
            </w:pPr>
            <w:r>
              <w:rPr>
                <w:bCs/>
                <w:b/>
              </w:rPr>
              <w:t xml:space="preserve">Iron and aluminium oxides / hydroxides</w:t>
            </w:r>
            <w:r>
              <w:t xml:space="preserve"> </w:t>
            </w:r>
            <w:r>
              <w:t xml:space="preserve">(sesquioxides)</w:t>
            </w:r>
          </w:p>
        </w:tc>
        <w:tc>
          <w:tcPr/>
          <w:p>
            <w:pPr>
              <w:pStyle w:val="Compact"/>
              <w:jc w:val="left"/>
            </w:pPr>
            <w:r>
              <w:t xml:space="preserve">Goethite, haematite, gibbsite</w:t>
            </w:r>
          </w:p>
        </w:tc>
        <w:tc>
          <w:tcPr/>
          <w:p>
            <w:pPr>
              <w:pStyle w:val="Compact"/>
              <w:jc w:val="left"/>
            </w:pPr>
            <w:r>
              <w:rPr>
                <w:bCs/>
                <w:b/>
              </w:rPr>
              <w:t xml:space="preserve">Variable (pH-dependent)</w:t>
            </w:r>
            <w:r>
              <w:t xml:space="preserve">; positive at low pH</w:t>
            </w:r>
          </w:p>
        </w:tc>
        <w:tc>
          <w:tcPr/>
          <w:p>
            <w:pPr>
              <w:pStyle w:val="Compact"/>
              <w:jc w:val="left"/>
            </w:pPr>
            <w:r>
              <w:t xml:space="preserve">Highly weathered tropical soils (Oxisols, laterites); anion exchange, P fixation</w:t>
            </w:r>
          </w:p>
        </w:tc>
      </w:tr>
      <w:tr>
        <w:tc>
          <w:tcPr/>
          <w:p>
            <w:pPr>
              <w:pStyle w:val="Compact"/>
              <w:jc w:val="left"/>
            </w:pPr>
            <w:r>
              <w:rPr>
                <w:bCs/>
                <w:b/>
              </w:rPr>
              <w:t xml:space="preserve">Organic colloids (humus)</w:t>
            </w:r>
          </w:p>
        </w:tc>
        <w:tc>
          <w:tcPr/>
          <w:p>
            <w:pPr>
              <w:pStyle w:val="Compact"/>
              <w:jc w:val="left"/>
            </w:pPr>
            <w:r>
              <w:t xml:space="preserve">Humic acid, fulvic acid, humin</w:t>
            </w:r>
          </w:p>
        </w:tc>
        <w:tc>
          <w:tcPr/>
          <w:p>
            <w:pPr>
              <w:pStyle w:val="Compact"/>
              <w:jc w:val="left"/>
            </w:pPr>
            <w:r>
              <w:t xml:space="preserve">pH-dependent negative (–COOH, phenolic –OH)</w:t>
            </w:r>
          </w:p>
        </w:tc>
        <w:tc>
          <w:tcPr/>
          <w:p>
            <w:pPr>
              <w:pStyle w:val="Compact"/>
              <w:jc w:val="left"/>
            </w:pPr>
            <w:r>
              <w:rPr>
                <w:bCs/>
                <w:b/>
              </w:rPr>
              <w:t xml:space="preserve">Highest CEC (150–300 cmol kg⁻¹)</w:t>
            </w:r>
          </w:p>
        </w:tc>
      </w:tr>
    </w:tbl>
    <w:p>
      <w:pPr>
        <w:pStyle w:val="Heading3"/>
      </w:pPr>
      <w:r>
        <w:t xml:space="preserve">15.1.2 General properties of colloids</w:t>
      </w:r>
    </w:p>
    <w:p>
      <w:pPr>
        <w:pStyle w:val="Compact"/>
        <w:numPr>
          <w:ilvl w:val="0"/>
          <w:numId w:val="1108"/>
        </w:numPr>
      </w:pPr>
      <w:r>
        <w:rPr>
          <w:bCs/>
          <w:b/>
        </w:rPr>
        <w:t xml:space="preserve">Very large specific surface area</w:t>
      </w:r>
      <w:r>
        <w:t xml:space="preserve">: up to 800 m² g⁻¹ for smectites, about 10–30 m² g⁻¹ for kaolinite. Compare sand at less than 0.1 m² g⁻¹.</w:t>
      </w:r>
    </w:p>
    <w:p>
      <w:pPr>
        <w:pStyle w:val="Compact"/>
        <w:numPr>
          <w:ilvl w:val="0"/>
          <w:numId w:val="1108"/>
        </w:numPr>
      </w:pPr>
      <w:r>
        <w:rPr>
          <w:bCs/>
          <w:b/>
        </w:rPr>
        <w:t xml:space="preserve">Electric charge</w:t>
      </w:r>
      <w:r>
        <w:t xml:space="preserve">: mostly negative, which attracts cations and creates the</w:t>
      </w:r>
      <w:r>
        <w:t xml:space="preserve"> </w:t>
      </w:r>
      <w:r>
        <w:rPr>
          <w:bCs/>
          <w:b/>
        </w:rPr>
        <w:t xml:space="preserve">electrical double layer</w:t>
      </w:r>
      <w:r>
        <w:t xml:space="preserve"> </w:t>
      </w:r>
      <w:r>
        <w:t xml:space="preserve">(fixed charge on the surface plus a diffuse swarm of counter-ions).</w:t>
      </w:r>
    </w:p>
    <w:p>
      <w:pPr>
        <w:pStyle w:val="Compact"/>
        <w:numPr>
          <w:ilvl w:val="0"/>
          <w:numId w:val="1108"/>
        </w:numPr>
      </w:pPr>
      <w:r>
        <w:rPr>
          <w:bCs/>
          <w:b/>
        </w:rPr>
        <w:t xml:space="preserve">Adsorption</w:t>
      </w:r>
      <w:r>
        <w:t xml:space="preserve"> </w:t>
      </w:r>
      <w:r>
        <w:t xml:space="preserve">of cations, water, organic molecules and pesticides.</w:t>
      </w:r>
    </w:p>
    <w:p>
      <w:pPr>
        <w:pStyle w:val="Compact"/>
        <w:numPr>
          <w:ilvl w:val="0"/>
          <w:numId w:val="1108"/>
        </w:numPr>
      </w:pPr>
      <w:r>
        <w:rPr>
          <w:bCs/>
          <w:b/>
        </w:rPr>
        <w:t xml:space="preserve">Brownian movement</w:t>
      </w:r>
      <w:r>
        <w:t xml:space="preserve"> </w:t>
      </w:r>
      <w:r>
        <w:t xml:space="preserve">and the</w:t>
      </w:r>
      <w:r>
        <w:t xml:space="preserve"> </w:t>
      </w:r>
      <w:r>
        <w:rPr>
          <w:bCs/>
          <w:b/>
        </w:rPr>
        <w:t xml:space="preserve">Tyndall effect</w:t>
      </w:r>
      <w:r>
        <w:t xml:space="preserve"> </w:t>
      </w:r>
      <w:r>
        <w:t xml:space="preserve">(light scattering).</w:t>
      </w:r>
    </w:p>
    <w:p>
      <w:pPr>
        <w:pStyle w:val="Compact"/>
        <w:numPr>
          <w:ilvl w:val="0"/>
          <w:numId w:val="1108"/>
        </w:numPr>
      </w:pPr>
      <w:r>
        <w:rPr>
          <w:bCs/>
          <w:b/>
        </w:rPr>
        <w:t xml:space="preserve">Flocculation and dispersion:</w:t>
      </w:r>
    </w:p>
    <w:p>
      <w:pPr>
        <w:pStyle w:val="Compact"/>
        <w:numPr>
          <w:ilvl w:val="1"/>
          <w:numId w:val="1109"/>
        </w:numPr>
      </w:pPr>
      <w:r>
        <w:t xml:space="preserve">Divalent and trivalent cations (Ca²⁺, Al³⁺) compress the double layer, so particles</w:t>
      </w:r>
      <w:r>
        <w:t xml:space="preserve"> </w:t>
      </w:r>
      <w:r>
        <w:rPr>
          <w:bCs/>
          <w:b/>
        </w:rPr>
        <w:t xml:space="preserve">flocculate</w:t>
      </w:r>
      <w:r>
        <w:t xml:space="preserve">. This is good for structure.</w:t>
      </w:r>
    </w:p>
    <w:p>
      <w:pPr>
        <w:pStyle w:val="Compact"/>
        <w:numPr>
          <w:ilvl w:val="1"/>
          <w:numId w:val="1109"/>
        </w:numPr>
      </w:pPr>
      <w:r>
        <w:t xml:space="preserve">Na⁺ (large hydrated radius, monovalent) expands the double layer, so particles</w:t>
      </w:r>
      <w:r>
        <w:t xml:space="preserve"> </w:t>
      </w:r>
      <w:r>
        <w:rPr>
          <w:bCs/>
          <w:b/>
        </w:rPr>
        <w:t xml:space="preserve">disperse</w:t>
      </w:r>
      <w:r>
        <w:t xml:space="preserve">. This causes crusting and poor permeability in sodic soils.</w:t>
      </w:r>
    </w:p>
    <w:p>
      <w:pPr>
        <w:pStyle w:val="Compact"/>
        <w:numPr>
          <w:ilvl w:val="1"/>
          <w:numId w:val="1109"/>
        </w:numPr>
      </w:pPr>
      <w:r>
        <w:rPr>
          <w:bCs/>
          <w:b/>
        </w:rPr>
        <w:t xml:space="preserve">Schulze–Hardy rule:</w:t>
      </w:r>
      <w:r>
        <w:t xml:space="preserve"> </w:t>
      </w:r>
      <w:r>
        <w:t xml:space="preserve">flocculating power increases sharply with valency.</w:t>
      </w:r>
      <w:r>
        <w:t xml:space="preserve"> </w:t>
      </w:r>
      <w:r>
        <w:rPr>
          <w:bCs/>
          <w:b/>
        </w:rPr>
        <w:t xml:space="preserve">Lyotropic series</w:t>
      </w:r>
      <w:r>
        <w:t xml:space="preserve"> </w:t>
      </w:r>
      <w:r>
        <w:t xml:space="preserve">(flocculating power): Al³⁺ &gt; Ca²⁺ &gt; Mg²⁺ &gt; K⁺ &gt; NH₄⁺ &gt; Na⁺ &gt; Li⁺.</w:t>
      </w:r>
    </w:p>
    <w:p>
      <w:pPr>
        <w:pStyle w:val="Compact"/>
        <w:numPr>
          <w:ilvl w:val="0"/>
          <w:numId w:val="1108"/>
        </w:numPr>
      </w:pPr>
      <w:r>
        <w:rPr>
          <w:bCs/>
          <w:b/>
        </w:rPr>
        <w:t xml:space="preserve">Swelling and shrinkage, plasticity and cohesion</w:t>
      </w:r>
      <w:r>
        <w:t xml:space="preserve"> </w:t>
      </w:r>
      <w:r>
        <w:t xml:space="preserve">(especially smectites).</w:t>
      </w:r>
    </w:p>
    <w:p>
      <w:pPr>
        <w:pStyle w:val="Heading2"/>
      </w:pPr>
      <w:r>
        <w:t xml:space="preserve">15.2 Structure of Silicate Clay Minerals</w:t>
      </w:r>
    </w:p>
    <w:p>
      <w:pPr>
        <w:pStyle w:val="FirstParagraph"/>
      </w:pPr>
      <w:r>
        <w:t xml:space="preserve">Clay minerals are</w:t>
      </w:r>
      <w:r>
        <w:t xml:space="preserve"> </w:t>
      </w:r>
      <w:r>
        <w:rPr>
          <w:bCs/>
          <w:b/>
        </w:rPr>
        <w:t xml:space="preserve">phyllosilicates</w:t>
      </w:r>
      <w:r>
        <w:t xml:space="preserve"> </w:t>
      </w:r>
      <w:r>
        <w:t xml:space="preserve">built from two kinds of sheets:</w:t>
      </w:r>
    </w:p>
    <w:p>
      <w:pPr>
        <w:pStyle w:val="Compact"/>
        <w:numPr>
          <w:ilvl w:val="0"/>
          <w:numId w:val="1110"/>
        </w:numPr>
      </w:pPr>
      <w:r>
        <w:rPr>
          <w:bCs/>
          <w:b/>
        </w:rPr>
        <w:t xml:space="preserve">Tetrahedral sheet:</w:t>
      </w:r>
      <w:r>
        <w:t xml:space="preserve"> </w:t>
      </w:r>
      <w:r>
        <w:t xml:space="preserve">Si⁴⁺ at the centre of a tetrahedron of four O²⁻, linked at corners. The basic unit is SiO₄.</w:t>
      </w:r>
    </w:p>
    <w:p>
      <w:pPr>
        <w:pStyle w:val="Compact"/>
        <w:numPr>
          <w:ilvl w:val="0"/>
          <w:numId w:val="1110"/>
        </w:numPr>
      </w:pPr>
      <w:r>
        <w:rPr>
          <w:bCs/>
          <w:b/>
        </w:rPr>
        <w:t xml:space="preserve">Octahedral sheet:</w:t>
      </w:r>
      <w:r>
        <w:t xml:space="preserve"> </w:t>
      </w:r>
      <w:r>
        <w:t xml:space="preserve">Al³⁺ (dioctahedral, gibbsite-like) or Mg²⁺ (trioctahedral, brucite-like) surrounded by six O²⁻/OH⁻.</w:t>
      </w:r>
    </w:p>
    <w:p>
      <w:pPr>
        <w:pStyle w:val="FirstParagraph"/>
      </w:pPr>
      <w:r>
        <w:t xml:space="preserve">Sheets stack as</w:t>
      </w:r>
      <w:r>
        <w:t xml:space="preserve"> </w:t>
      </w:r>
      <w:r>
        <w:rPr>
          <w:bCs/>
          <w:b/>
        </w:rPr>
        <w:t xml:space="preserve">1:1</w:t>
      </w:r>
      <w:r>
        <w:t xml:space="preserve"> </w:t>
      </w:r>
      <w:r>
        <w:t xml:space="preserve">(one tetrahedral + one octahedral),</w:t>
      </w:r>
      <w:r>
        <w:t xml:space="preserve"> </w:t>
      </w:r>
      <w:r>
        <w:rPr>
          <w:bCs/>
          <w:b/>
        </w:rPr>
        <w:t xml:space="preserve">2:1</w:t>
      </w:r>
      <w:r>
        <w:t xml:space="preserve"> </w:t>
      </w:r>
      <w:r>
        <w:t xml:space="preserve">(octahedral sandwiched between two tetrahedral) or</w:t>
      </w:r>
      <w:r>
        <w:t xml:space="preserve"> </w:t>
      </w:r>
      <w:r>
        <w:rPr>
          <w:bCs/>
          <w:b/>
        </w:rPr>
        <w:t xml:space="preserve">2:1:1</w:t>
      </w:r>
      <w:r>
        <w:t xml:space="preserve"> </w:t>
      </w:r>
      <w:r>
        <w:t xml:space="preserve">(2:1 plus an interlayer hydroxide sheet).</w:t>
      </w:r>
    </w:p>
    <w:p>
      <w:pPr>
        <w:pStyle w:val="Heading3"/>
      </w:pPr>
      <w:r>
        <w:t xml:space="preserve">15.2.1 Isomorphous substitution: the origin of permanent charge</w:t>
      </w:r>
    </w:p>
    <w:p>
      <w:pPr>
        <w:pStyle w:val="FirstParagraph"/>
      </w:pPr>
      <w:r>
        <w:t xml:space="preserve">During crystallisation, an ion of similar size but lower charge replaces another without changing the crystal structure: Al³⁺ for Si⁴⁺ in tetrahedra, or Mg²⁺/Fe²⁺ for Al³⁺ in octahedra. Each substitution leaves</w:t>
      </w:r>
      <w:r>
        <w:t xml:space="preserve"> </w:t>
      </w:r>
      <w:r>
        <w:rPr>
          <w:bCs/>
          <w:b/>
        </w:rPr>
        <w:t xml:space="preserve">one unsatisfied negative charge</w:t>
      </w:r>
      <w:r>
        <w:t xml:space="preserve">. This charge is</w:t>
      </w:r>
      <w:r>
        <w:t xml:space="preserve"> </w:t>
      </w:r>
      <w:r>
        <w:rPr>
          <w:bCs/>
          <w:b/>
        </w:rPr>
        <w:t xml:space="preserve">permanent</w:t>
      </w:r>
      <w:r>
        <w:t xml:space="preserve"> </w:t>
      </w:r>
      <w:r>
        <w:t xml:space="preserve">(independent of pH). It is greatest in smectite, vermiculite and illite and nearly absent in kaolinite.</w:t>
      </w:r>
    </w:p>
    <w:p>
      <w:pPr>
        <w:pStyle w:val="BodyText"/>
      </w:pPr>
      <w:r>
        <w:rPr>
          <w:bCs/>
          <w:b/>
        </w:rPr>
        <w:t xml:space="preserve">pH-dependent (variable) charge</w:t>
      </w:r>
      <w:r>
        <w:t xml:space="preserve"> </w:t>
      </w:r>
      <w:r>
        <w:t xml:space="preserve">arises from protonation or deprotonation of broken edges (–Al–OH, –Si–OH), oxide surfaces and organic –COOH groups:</w:t>
      </w:r>
    </w:p>
    <w:p>
      <w:pPr>
        <w:pStyle w:val="BodyText"/>
      </w:pPr>
      <m:oMathPara>
        <m:oMathParaPr>
          <m:jc m:val="center"/>
        </m:oMathParaPr>
        <m:oMath>
          <m:r>
            <m:rPr>
              <m:nor/>
              <m:sty m:val="p"/>
            </m:rPr>
            <m:t>–COOH</m:t>
          </m:r>
          <m:r>
            <m:rPr>
              <m:sty m:val="p"/>
            </m:rPr>
            <m:t>⇌</m:t>
          </m:r>
          <m:sSup>
            <m:e>
              <m:r>
                <m:rPr>
                  <m:nor/>
                  <m:sty m:val="p"/>
                </m:rPr>
                <m:t>–COO</m:t>
              </m:r>
            </m:e>
            <m:sup>
              <m:r>
                <m:rPr>
                  <m:sty m:val="p"/>
                </m:rPr>
                <m:t>−</m:t>
              </m:r>
            </m:sup>
          </m:sSup>
          <m:r>
            <m:rPr>
              <m:sty m:val="p"/>
            </m:rPr>
            <m:t>+</m:t>
          </m:r>
          <m:sSup>
            <m:e>
              <m:r>
                <m:rPr>
                  <m:nor/>
                  <m:sty m:val="p"/>
                </m:rPr>
                <m:t>H</m:t>
              </m:r>
            </m:e>
            <m:sup>
              <m:r>
                <m:rPr>
                  <m:sty m:val="p"/>
                </m:rPr>
                <m:t>+</m:t>
              </m:r>
            </m:sup>
          </m:sSup>
        </m:oMath>
      </m:oMathPara>
    </w:p>
    <w:p>
      <w:pPr>
        <w:pStyle w:val="FirstParagraph"/>
      </w:pPr>
      <w:r>
        <w:t xml:space="preserve">Raising pH (liming) increases negative charge and CEC. In variable-charge soils the pH at which net charge is zero is the</w:t>
      </w:r>
      <w:r>
        <w:t xml:space="preserve"> </w:t>
      </w:r>
      <w:r>
        <w:rPr>
          <w:bCs/>
          <w:b/>
        </w:rPr>
        <w:t xml:space="preserve">point of zero charge (PZC)</w:t>
      </w:r>
      <w:r>
        <w:t xml:space="preserve">.</w:t>
      </w:r>
    </w:p>
    <w:p>
      <w:pPr>
        <w:pStyle w:val="Heading3"/>
      </w:pPr>
      <w:r>
        <w:t xml:space="preserve">15.2.2 Comparison of clay minerals</w:t>
      </w:r>
    </w:p>
    <w:tbl>
      <w:tblPr>
        <w:tblStyle w:val="Table"/>
        <w:tblW w:type="pct" w:w="5000"/>
        <w:jc w:val="left"/>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Mineral</w:t>
            </w:r>
          </w:p>
        </w:tc>
        <w:tc>
          <w:tcPr/>
          <w:p>
            <w:pPr>
              <w:pStyle w:val="Compact"/>
              <w:jc w:val="left"/>
            </w:pPr>
            <w:r>
              <w:t xml:space="preserve">Type</w:t>
            </w:r>
          </w:p>
        </w:tc>
        <w:tc>
          <w:tcPr/>
          <w:p>
            <w:pPr>
              <w:pStyle w:val="Compact"/>
              <w:jc w:val="left"/>
            </w:pPr>
            <w:r>
              <w:t xml:space="preserve">Interlayer</w:t>
            </w:r>
          </w:p>
        </w:tc>
        <w:tc>
          <w:tcPr/>
          <w:p>
            <w:pPr>
              <w:pStyle w:val="Compact"/>
              <w:jc w:val="left"/>
            </w:pPr>
            <w:r>
              <w:t xml:space="preserve">Expansion</w:t>
            </w:r>
          </w:p>
        </w:tc>
        <w:tc>
          <w:tcPr/>
          <w:p>
            <w:pPr>
              <w:pStyle w:val="Compact"/>
              <w:jc w:val="left"/>
            </w:pPr>
            <w:r>
              <w:t xml:space="preserve">CEC (cmol kg⁻¹)</w:t>
            </w:r>
          </w:p>
        </w:tc>
        <w:tc>
          <w:tcPr/>
          <w:p>
            <w:pPr>
              <w:pStyle w:val="Compact"/>
              <w:jc w:val="left"/>
            </w:pPr>
            <w:r>
              <w:t xml:space="preserve">Surface area (m² g⁻¹)</w:t>
            </w:r>
          </w:p>
        </w:tc>
        <w:tc>
          <w:tcPr/>
          <w:p>
            <w:pPr>
              <w:pStyle w:val="Compact"/>
              <w:jc w:val="left"/>
            </w:pPr>
            <w:r>
              <w:t xml:space="preserve">Notes</w:t>
            </w:r>
          </w:p>
        </w:tc>
      </w:tr>
      <w:tr>
        <w:tc>
          <w:tcPr/>
          <w:p>
            <w:pPr>
              <w:pStyle w:val="Compact"/>
              <w:jc w:val="left"/>
            </w:pPr>
            <w:r>
              <w:rPr>
                <w:bCs/>
                <w:b/>
              </w:rPr>
              <w:t xml:space="preserve">Kaolinite</w:t>
            </w:r>
          </w:p>
        </w:tc>
        <w:tc>
          <w:tcPr/>
          <w:p>
            <w:pPr>
              <w:pStyle w:val="Compact"/>
              <w:jc w:val="left"/>
            </w:pPr>
            <w:r>
              <w:t xml:space="preserve">1:1</w:t>
            </w:r>
          </w:p>
        </w:tc>
        <w:tc>
          <w:tcPr/>
          <w:p>
            <w:pPr>
              <w:pStyle w:val="Compact"/>
              <w:jc w:val="left"/>
            </w:pPr>
            <w:r>
              <w:t xml:space="preserve">H-bonded, tightly held</w:t>
            </w:r>
          </w:p>
        </w:tc>
        <w:tc>
          <w:tcPr/>
          <w:p>
            <w:pPr>
              <w:pStyle w:val="Compact"/>
              <w:jc w:val="left"/>
            </w:pPr>
            <w:r>
              <w:t xml:space="preserve">Non-expanding</w:t>
            </w:r>
          </w:p>
        </w:tc>
        <w:tc>
          <w:tcPr/>
          <w:p>
            <w:pPr>
              <w:pStyle w:val="Compact"/>
              <w:jc w:val="left"/>
            </w:pPr>
            <w:r>
              <w:rPr>
                <w:bCs/>
                <w:b/>
              </w:rPr>
              <w:t xml:space="preserve">3–15</w:t>
            </w:r>
          </w:p>
        </w:tc>
        <w:tc>
          <w:tcPr/>
          <w:p>
            <w:pPr>
              <w:pStyle w:val="Compact"/>
              <w:jc w:val="left"/>
            </w:pPr>
            <w:r>
              <w:t xml:space="preserve">5–30</w:t>
            </w:r>
          </w:p>
        </w:tc>
        <w:tc>
          <w:tcPr/>
          <w:p>
            <w:pPr>
              <w:pStyle w:val="Compact"/>
              <w:jc w:val="left"/>
            </w:pPr>
            <w:r>
              <w:t xml:space="preserve">Highly weathered red and laterite soils; low fertility; good physical behaviour</w:t>
            </w:r>
          </w:p>
        </w:tc>
      </w:tr>
      <w:tr>
        <w:tc>
          <w:tcPr/>
          <w:p>
            <w:pPr>
              <w:pStyle w:val="Compact"/>
              <w:jc w:val="left"/>
            </w:pPr>
            <w:r>
              <w:rPr>
                <w:bCs/>
                <w:b/>
              </w:rPr>
              <w:t xml:space="preserve">Halloysite</w:t>
            </w:r>
          </w:p>
        </w:tc>
        <w:tc>
          <w:tcPr/>
          <w:p>
            <w:pPr>
              <w:pStyle w:val="Compact"/>
              <w:jc w:val="left"/>
            </w:pPr>
            <w:r>
              <w:t xml:space="preserve">1:1 hydrated</w:t>
            </w:r>
          </w:p>
        </w:tc>
        <w:tc>
          <w:tcPr/>
          <w:p>
            <w:pPr>
              <w:pStyle w:val="Compact"/>
              <w:jc w:val="left"/>
            </w:pPr>
            <w:r>
              <w:t xml:space="preserve">Water between layers</w:t>
            </w:r>
          </w:p>
        </w:tc>
        <w:tc>
          <w:tcPr/>
          <w:p>
            <w:pPr>
              <w:pStyle w:val="Compact"/>
              <w:jc w:val="left"/>
            </w:pPr>
            <w:r>
              <w:t xml:space="preserve">Slight</w:t>
            </w:r>
          </w:p>
        </w:tc>
        <w:tc>
          <w:tcPr/>
          <w:p>
            <w:pPr>
              <w:pStyle w:val="Compact"/>
              <w:jc w:val="left"/>
            </w:pPr>
            <w:r>
              <w:t xml:space="preserve">5–40</w:t>
            </w:r>
          </w:p>
        </w:tc>
        <w:tc>
          <w:tcPr/>
          <w:p>
            <w:pPr>
              <w:pStyle w:val="Compact"/>
              <w:jc w:val="left"/>
            </w:pPr>
            <w:r>
              <w:t xml:space="preserve">—</w:t>
            </w:r>
          </w:p>
        </w:tc>
        <w:tc>
          <w:tcPr/>
          <w:p>
            <w:pPr>
              <w:pStyle w:val="Compact"/>
              <w:jc w:val="left"/>
            </w:pPr>
            <w:r>
              <w:t xml:space="preserve">Tubular</w:t>
            </w:r>
          </w:p>
        </w:tc>
      </w:tr>
      <w:tr>
        <w:tc>
          <w:tcPr/>
          <w:p>
            <w:pPr>
              <w:pStyle w:val="Compact"/>
              <w:jc w:val="left"/>
            </w:pPr>
            <w:r>
              <w:rPr>
                <w:bCs/>
                <w:b/>
              </w:rPr>
              <w:t xml:space="preserve">Montmorillonite / smectite</w:t>
            </w:r>
          </w:p>
        </w:tc>
        <w:tc>
          <w:tcPr/>
          <w:p>
            <w:pPr>
              <w:pStyle w:val="Compact"/>
              <w:jc w:val="left"/>
            </w:pPr>
            <w:r>
              <w:t xml:space="preserve">2:1</w:t>
            </w:r>
          </w:p>
        </w:tc>
        <w:tc>
          <w:tcPr/>
          <w:p>
            <w:pPr>
              <w:pStyle w:val="Compact"/>
              <w:jc w:val="left"/>
            </w:pPr>
            <w:r>
              <w:t xml:space="preserve">Weak (water + exchangeable cations)</w:t>
            </w:r>
          </w:p>
        </w:tc>
        <w:tc>
          <w:tcPr/>
          <w:p>
            <w:pPr>
              <w:pStyle w:val="Compact"/>
              <w:jc w:val="left"/>
            </w:pPr>
            <w:r>
              <w:rPr>
                <w:bCs/>
                <w:b/>
              </w:rPr>
              <w:t xml:space="preserve">Highly expanding</w:t>
            </w:r>
            <w:r>
              <w:t xml:space="preserve"> </w:t>
            </w:r>
            <w:r>
              <w:t xml:space="preserve">(shrink–swell)</w:t>
            </w:r>
          </w:p>
        </w:tc>
        <w:tc>
          <w:tcPr/>
          <w:p>
            <w:pPr>
              <w:pStyle w:val="Compact"/>
              <w:jc w:val="left"/>
            </w:pPr>
            <w:r>
              <w:rPr>
                <w:bCs/>
                <w:b/>
              </w:rPr>
              <w:t xml:space="preserve">80–120</w:t>
            </w:r>
          </w:p>
        </w:tc>
        <w:tc>
          <w:tcPr/>
          <w:p>
            <w:pPr>
              <w:pStyle w:val="Compact"/>
              <w:jc w:val="left"/>
            </w:pPr>
            <w:r>
              <w:rPr>
                <w:bCs/>
                <w:b/>
              </w:rPr>
              <w:t xml:space="preserve">600–800</w:t>
            </w:r>
          </w:p>
        </w:tc>
        <w:tc>
          <w:tcPr/>
          <w:p>
            <w:pPr>
              <w:pStyle w:val="Compact"/>
              <w:jc w:val="left"/>
            </w:pPr>
            <w:r>
              <w:rPr>
                <w:bCs/>
                <w:b/>
              </w:rPr>
              <w:t xml:space="preserve">Black cotton soils (Vertisols)</w:t>
            </w:r>
            <w:r>
              <w:t xml:space="preserve">; high fertility but poor tilth and drainage; cracks</w:t>
            </w:r>
          </w:p>
        </w:tc>
      </w:tr>
      <w:tr>
        <w:tc>
          <w:tcPr/>
          <w:p>
            <w:pPr>
              <w:pStyle w:val="Compact"/>
              <w:jc w:val="left"/>
            </w:pPr>
            <w:r>
              <w:rPr>
                <w:bCs/>
                <w:b/>
              </w:rPr>
              <w:t xml:space="preserve">Vermiculite</w:t>
            </w:r>
          </w:p>
        </w:tc>
        <w:tc>
          <w:tcPr/>
          <w:p>
            <w:pPr>
              <w:pStyle w:val="Compact"/>
              <w:jc w:val="left"/>
            </w:pPr>
            <w:r>
              <w:t xml:space="preserve">2:1</w:t>
            </w:r>
          </w:p>
        </w:tc>
        <w:tc>
          <w:tcPr/>
          <w:p>
            <w:pPr>
              <w:pStyle w:val="Compact"/>
              <w:jc w:val="left"/>
            </w:pPr>
            <w:r>
              <w:t xml:space="preserve">Hydrated Mg²⁺</w:t>
            </w:r>
          </w:p>
        </w:tc>
        <w:tc>
          <w:tcPr/>
          <w:p>
            <w:pPr>
              <w:pStyle w:val="Compact"/>
              <w:jc w:val="left"/>
            </w:pPr>
            <w:r>
              <w:t xml:space="preserve">Limited expansion</w:t>
            </w:r>
          </w:p>
        </w:tc>
        <w:tc>
          <w:tcPr/>
          <w:p>
            <w:pPr>
              <w:pStyle w:val="Compact"/>
              <w:jc w:val="left"/>
            </w:pPr>
            <w:r>
              <w:rPr>
                <w:bCs/>
                <w:b/>
              </w:rPr>
              <w:t xml:space="preserve">100–150 (highest of clays)</w:t>
            </w:r>
          </w:p>
        </w:tc>
        <w:tc>
          <w:tcPr/>
          <w:p>
            <w:pPr>
              <w:pStyle w:val="Compact"/>
              <w:jc w:val="left"/>
            </w:pPr>
            <w:r>
              <w:t xml:space="preserve">600–800</w:t>
            </w:r>
          </w:p>
        </w:tc>
        <w:tc>
          <w:tcPr/>
          <w:p>
            <w:pPr>
              <w:pStyle w:val="Compact"/>
              <w:jc w:val="left"/>
            </w:pPr>
            <w:r>
              <w:t xml:space="preserve">Strong K⁺ and NH₄⁺ fixation</w:t>
            </w:r>
          </w:p>
        </w:tc>
      </w:tr>
      <w:tr>
        <w:tc>
          <w:tcPr/>
          <w:p>
            <w:pPr>
              <w:pStyle w:val="Compact"/>
              <w:jc w:val="left"/>
            </w:pPr>
            <w:r>
              <w:rPr>
                <w:bCs/>
                <w:b/>
              </w:rPr>
              <w:t xml:space="preserve">Illite (fine-grained mica)</w:t>
            </w:r>
          </w:p>
        </w:tc>
        <w:tc>
          <w:tcPr/>
          <w:p>
            <w:pPr>
              <w:pStyle w:val="Compact"/>
              <w:jc w:val="left"/>
            </w:pPr>
            <w:r>
              <w:t xml:space="preserve">2:1</w:t>
            </w:r>
          </w:p>
        </w:tc>
        <w:tc>
          <w:tcPr/>
          <w:p>
            <w:pPr>
              <w:pStyle w:val="Compact"/>
              <w:jc w:val="left"/>
            </w:pPr>
            <w:r>
              <w:rPr>
                <w:bCs/>
                <w:b/>
              </w:rPr>
              <w:t xml:space="preserve">K⁺ ions</w:t>
            </w:r>
            <w:r>
              <w:t xml:space="preserve"> </w:t>
            </w:r>
            <w:r>
              <w:t xml:space="preserve">bridge layers</w:t>
            </w:r>
          </w:p>
        </w:tc>
        <w:tc>
          <w:tcPr/>
          <w:p>
            <w:pPr>
              <w:pStyle w:val="Compact"/>
              <w:jc w:val="left"/>
            </w:pPr>
            <w:r>
              <w:t xml:space="preserve">Non-expanding</w:t>
            </w:r>
          </w:p>
        </w:tc>
        <w:tc>
          <w:tcPr/>
          <w:p>
            <w:pPr>
              <w:pStyle w:val="Compact"/>
              <w:jc w:val="left"/>
            </w:pPr>
            <w:r>
              <w:t xml:space="preserve">15–40</w:t>
            </w:r>
          </w:p>
        </w:tc>
        <w:tc>
          <w:tcPr/>
          <w:p>
            <w:pPr>
              <w:pStyle w:val="Compact"/>
              <w:jc w:val="left"/>
            </w:pPr>
            <w:r>
              <w:t xml:space="preserve">70–150</w:t>
            </w:r>
          </w:p>
        </w:tc>
        <w:tc>
          <w:tcPr/>
          <w:p>
            <w:pPr>
              <w:pStyle w:val="Compact"/>
              <w:jc w:val="left"/>
            </w:pPr>
            <w:r>
              <w:t xml:space="preserve">K-rich alluvial soils (IGP); fixes K</w:t>
            </w:r>
          </w:p>
        </w:tc>
      </w:tr>
      <w:tr>
        <w:tc>
          <w:tcPr/>
          <w:p>
            <w:pPr>
              <w:pStyle w:val="Compact"/>
              <w:jc w:val="left"/>
            </w:pPr>
            <w:r>
              <w:rPr>
                <w:bCs/>
                <w:b/>
              </w:rPr>
              <w:t xml:space="preserve">Chlorite</w:t>
            </w:r>
          </w:p>
        </w:tc>
        <w:tc>
          <w:tcPr/>
          <w:p>
            <w:pPr>
              <w:pStyle w:val="Compact"/>
              <w:jc w:val="left"/>
            </w:pPr>
            <w:r>
              <w:t xml:space="preserve">2:1:1</w:t>
            </w:r>
          </w:p>
        </w:tc>
        <w:tc>
          <w:tcPr/>
          <w:p>
            <w:pPr>
              <w:pStyle w:val="Compact"/>
              <w:jc w:val="left"/>
            </w:pPr>
            <w:r>
              <w:t xml:space="preserve">Hydroxide sheet (brucite)</w:t>
            </w:r>
          </w:p>
        </w:tc>
        <w:tc>
          <w:tcPr/>
          <w:p>
            <w:pPr>
              <w:pStyle w:val="Compact"/>
              <w:jc w:val="left"/>
            </w:pPr>
            <w:r>
              <w:t xml:space="preserve">Non-expanding</w:t>
            </w:r>
          </w:p>
        </w:tc>
        <w:tc>
          <w:tcPr/>
          <w:p>
            <w:pPr>
              <w:pStyle w:val="Compact"/>
              <w:jc w:val="left"/>
            </w:pPr>
            <w:r>
              <w:t xml:space="preserve">10–40</w:t>
            </w:r>
          </w:p>
        </w:tc>
        <w:tc>
          <w:tcPr/>
          <w:p>
            <w:pPr>
              <w:pStyle w:val="Compact"/>
              <w:jc w:val="left"/>
            </w:pPr>
            <w:r>
              <w:t xml:space="preserve">70–150</w:t>
            </w:r>
          </w:p>
        </w:tc>
        <w:tc>
          <w:tcPr/>
          <w:p>
            <w:pPr>
              <w:pStyle w:val="Compact"/>
              <w:jc w:val="left"/>
            </w:pPr>
            <w:r>
              <w:t xml:space="preserve">Mg-rich; temperate soils</w:t>
            </w:r>
          </w:p>
        </w:tc>
      </w:tr>
      <w:tr>
        <w:tc>
          <w:tcPr/>
          <w:p>
            <w:pPr>
              <w:pStyle w:val="Compact"/>
              <w:jc w:val="left"/>
            </w:pPr>
            <w:r>
              <w:rPr>
                <w:bCs/>
                <w:b/>
              </w:rPr>
              <w:t xml:space="preserve">Allophane</w:t>
            </w:r>
          </w:p>
        </w:tc>
        <w:tc>
          <w:tcPr/>
          <w:p>
            <w:pPr>
              <w:pStyle w:val="Compact"/>
              <w:jc w:val="left"/>
            </w:pPr>
            <w:r>
              <w:t xml:space="preserve">Amorphous</w:t>
            </w:r>
          </w:p>
        </w:tc>
        <w:tc>
          <w:tcPr/>
          <w:p>
            <w:pPr>
              <w:pStyle w:val="Compact"/>
              <w:jc w:val="left"/>
            </w:pPr>
            <w:r>
              <w:t xml:space="preserve">—</w:t>
            </w:r>
          </w:p>
        </w:tc>
        <w:tc>
          <w:tcPr/>
          <w:p>
            <w:pPr>
              <w:pStyle w:val="Compact"/>
              <w:jc w:val="left"/>
            </w:pPr>
            <w:r>
              <w:t xml:space="preserve">—</w:t>
            </w:r>
          </w:p>
        </w:tc>
        <w:tc>
          <w:tcPr/>
          <w:p>
            <w:pPr>
              <w:pStyle w:val="Compact"/>
              <w:jc w:val="left"/>
            </w:pPr>
            <w:r>
              <w:t xml:space="preserve">10–150 (variable)</w:t>
            </w:r>
          </w:p>
        </w:tc>
        <w:tc>
          <w:tcPr/>
          <w:p>
            <w:pPr>
              <w:pStyle w:val="Compact"/>
              <w:jc w:val="left"/>
            </w:pPr>
            <w:r>
              <w:t xml:space="preserve">Very high</w:t>
            </w:r>
          </w:p>
        </w:tc>
        <w:tc>
          <w:tcPr/>
          <w:p>
            <w:pPr>
              <w:pStyle w:val="Compact"/>
              <w:jc w:val="left"/>
            </w:pPr>
            <w:r>
              <w:t xml:space="preserve">Volcanic soils</w:t>
            </w:r>
          </w:p>
        </w:tc>
      </w:tr>
      <w:tr>
        <w:tc>
          <w:tcPr/>
          <w:p>
            <w:pPr>
              <w:pStyle w:val="Compact"/>
              <w:jc w:val="left"/>
            </w:pPr>
            <w:r>
              <w:rPr>
                <w:bCs/>
                <w:b/>
              </w:rPr>
              <w:t xml:space="preserve">Sesquioxides</w:t>
            </w:r>
          </w:p>
        </w:tc>
        <w:tc>
          <w:tcPr/>
          <w:p>
            <w:pPr>
              <w:pStyle w:val="Compact"/>
              <w:jc w:val="left"/>
            </w:pPr>
            <w:r>
              <w:t xml:space="preserve">Oxides</w:t>
            </w:r>
          </w:p>
        </w:tc>
        <w:tc>
          <w:tcPr/>
          <w:p>
            <w:pPr>
              <w:pStyle w:val="Compact"/>
              <w:jc w:val="left"/>
            </w:pPr>
            <w:r>
              <w:t xml:space="preserve">—</w:t>
            </w:r>
          </w:p>
        </w:tc>
        <w:tc>
          <w:tcPr/>
          <w:p>
            <w:pPr>
              <w:pStyle w:val="Compact"/>
              <w:jc w:val="left"/>
            </w:pPr>
            <w:r>
              <w:t xml:space="preserve">—</w:t>
            </w:r>
          </w:p>
        </w:tc>
        <w:tc>
          <w:tcPr/>
          <w:p>
            <w:pPr>
              <w:pStyle w:val="Compact"/>
              <w:jc w:val="left"/>
            </w:pPr>
            <w:r>
              <w:t xml:space="preserve">2–5 (variable)</w:t>
            </w:r>
          </w:p>
        </w:tc>
        <w:tc>
          <w:tcPr/>
          <w:p>
            <w:pPr>
              <w:pStyle w:val="Compact"/>
              <w:jc w:val="left"/>
            </w:pPr>
            <w:r>
              <w:t xml:space="preserve">—</w:t>
            </w:r>
          </w:p>
        </w:tc>
        <w:tc>
          <w:tcPr/>
          <w:p>
            <w:pPr>
              <w:pStyle w:val="Compact"/>
              <w:jc w:val="left"/>
            </w:pPr>
            <w:r>
              <w:t xml:space="preserve">Positive charge at low pH; P fixation</w:t>
            </w:r>
          </w:p>
        </w:tc>
      </w:tr>
      <w:tr>
        <w:tc>
          <w:tcPr/>
          <w:p>
            <w:pPr>
              <w:pStyle w:val="Compact"/>
              <w:jc w:val="left"/>
            </w:pPr>
            <w:r>
              <w:rPr>
                <w:bCs/>
                <w:b/>
              </w:rPr>
              <w:t xml:space="preserve">Humus</w:t>
            </w:r>
          </w:p>
        </w:tc>
        <w:tc>
          <w:tcPr/>
          <w:p>
            <w:pPr>
              <w:pStyle w:val="Compact"/>
              <w:jc w:val="left"/>
            </w:pPr>
            <w:r>
              <w:t xml:space="preserve">Organic</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150–300+</w:t>
            </w:r>
          </w:p>
        </w:tc>
        <w:tc>
          <w:tcPr/>
          <w:p>
            <w:pPr>
              <w:pStyle w:val="Compact"/>
              <w:jc w:val="left"/>
            </w:pPr>
            <w:r>
              <w:t xml:space="preserve">Very high</w:t>
            </w:r>
          </w:p>
        </w:tc>
        <w:tc>
          <w:tcPr/>
          <w:p>
            <w:pPr>
              <w:pStyle w:val="Compact"/>
              <w:jc w:val="left"/>
            </w:pPr>
            <w:r>
              <w:t xml:space="preserve">Largest CEC per unit mass</w:t>
            </w:r>
          </w:p>
        </w:tc>
      </w:tr>
    </w:tbl>
    <w:p>
      <w:pPr>
        <w:pStyle w:val="KeyPoint"/>
      </w:pPr>
      <w:r>
        <w:rPr>
          <w:bCs/>
          <w:b/>
        </w:rPr>
        <w:t xml:space="preserve">Memory aid:</w:t>
      </w:r>
      <w:r>
        <w:t xml:space="preserve"> </w:t>
      </w:r>
      <w:r>
        <w:rPr>
          <w:bCs/>
          <w:b/>
        </w:rPr>
        <w:t xml:space="preserve">K</w:t>
      </w:r>
      <w:r>
        <w:t xml:space="preserve">aolinite =</w:t>
      </w:r>
      <w:r>
        <w:t xml:space="preserve"> </w:t>
      </w:r>
      <w:r>
        <w:rPr>
          <w:bCs/>
          <w:b/>
        </w:rPr>
        <w:t xml:space="preserve">K</w:t>
      </w:r>
      <w:r>
        <w:t xml:space="preserve">eeps layers tight (1:1, low CEC).</w:t>
      </w:r>
      <w:r>
        <w:t xml:space="preserve"> </w:t>
      </w:r>
      <w:r>
        <w:rPr>
          <w:bCs/>
          <w:b/>
        </w:rPr>
        <w:t xml:space="preserve">S</w:t>
      </w:r>
      <w:r>
        <w:t xml:space="preserve">mectite =</w:t>
      </w:r>
      <w:r>
        <w:t xml:space="preserve"> </w:t>
      </w:r>
      <w:r>
        <w:rPr>
          <w:bCs/>
          <w:b/>
        </w:rPr>
        <w:t xml:space="preserve">S</w:t>
      </w:r>
      <w:r>
        <w:t xml:space="preserve">wells (2:1, high CEC, Vertisols).</w:t>
      </w:r>
      <w:r>
        <w:t xml:space="preserve"> </w:t>
      </w:r>
      <w:r>
        <w:rPr>
          <w:bCs/>
          <w:b/>
        </w:rPr>
        <w:t xml:space="preserve">I</w:t>
      </w:r>
      <w:r>
        <w:t xml:space="preserve">llite =</w:t>
      </w:r>
      <w:r>
        <w:t xml:space="preserve"> </w:t>
      </w:r>
      <w:r>
        <w:rPr>
          <w:bCs/>
          <w:b/>
        </w:rPr>
        <w:t xml:space="preserve">I</w:t>
      </w:r>
      <w:r>
        <w:t xml:space="preserve">nterlayer K (2:1, K fixation).</w:t>
      </w:r>
      <w:r>
        <w:t xml:space="preserve"> </w:t>
      </w:r>
      <w:r>
        <w:rPr>
          <w:bCs/>
          <w:b/>
        </w:rPr>
        <w:t xml:space="preserve">V</w:t>
      </w:r>
      <w:r>
        <w:t xml:space="preserve">ermiculite =</w:t>
      </w:r>
      <w:r>
        <w:t xml:space="preserve"> </w:t>
      </w:r>
      <w:r>
        <w:rPr>
          <w:bCs/>
          <w:b/>
        </w:rPr>
        <w:t xml:space="preserve">V</w:t>
      </w:r>
      <w:r>
        <w:t xml:space="preserve">ery high CEC. CEC ranking: humus &gt; vermiculite &gt; smectite &gt; illite ≈ chlorite &gt; kaolinite &gt; oxides.</w:t>
      </w:r>
    </w:p>
    <w:p>
      <w:pPr>
        <w:pStyle w:val="Heading2"/>
      </w:pPr>
      <w:r>
        <w:t xml:space="preserve">15.3 Ion Exchange</w:t>
      </w:r>
    </w:p>
    <w:p>
      <w:pPr>
        <w:pStyle w:val="Heading3"/>
      </w:pPr>
      <w:r>
        <w:t xml:space="preserve">15.3.1 Cation exchange capacity (CEC)</w:t>
      </w:r>
    </w:p>
    <w:p>
      <w:pPr>
        <w:pStyle w:val="FirstParagraph"/>
      </w:pPr>
      <w:r>
        <w:t xml:space="preserve">CEC is</w:t>
      </w:r>
      <w:r>
        <w:t xml:space="preserve"> </w:t>
      </w:r>
      <w:r>
        <w:rPr>
          <w:bCs/>
          <w:b/>
        </w:rPr>
        <w:t xml:space="preserve">the total quantity of exchangeable cations a soil can adsorb, per unit mass, at a given pH</w:t>
      </w:r>
      <w:r>
        <w:t xml:space="preserve">. It is expressed in</w:t>
      </w:r>
      <w:r>
        <w:t xml:space="preserve"> </w:t>
      </w:r>
      <w:r>
        <w:rPr>
          <w:bCs/>
          <w:b/>
        </w:rPr>
        <w:t xml:space="preserve">cmol(+) kg⁻¹</w:t>
      </w:r>
      <w:r>
        <w:t xml:space="preserve">, numerically equal to</w:t>
      </w:r>
      <w:r>
        <w:t xml:space="preserve"> </w:t>
      </w:r>
      <w:r>
        <w:rPr>
          <w:bCs/>
          <w:b/>
        </w:rPr>
        <w:t xml:space="preserve">meq 100 g⁻¹</w:t>
      </w:r>
      <w:r>
        <w:t xml:space="preserve">.</w:t>
      </w:r>
    </w:p>
    <w:p>
      <w:pPr>
        <w:pStyle w:val="BodyText"/>
      </w:pPr>
      <w:r>
        <w:t xml:space="preserve">Typical CEC: sands 2–5; red soils (kaolinitic) 5–15; alluvial loams 10–25;</w:t>
      </w:r>
      <w:r>
        <w:t xml:space="preserve"> </w:t>
      </w:r>
      <w:r>
        <w:rPr>
          <w:bCs/>
          <w:b/>
        </w:rPr>
        <w:t xml:space="preserve">Vertisols 40–70</w:t>
      </w:r>
      <w:r>
        <w:t xml:space="preserve">; organic soils 100–200 cmol kg⁻¹.</w:t>
      </w:r>
    </w:p>
    <w:p>
      <w:pPr>
        <w:pStyle w:val="BodyText"/>
      </w:pPr>
      <w:r>
        <w:rPr>
          <w:bCs/>
          <w:b/>
        </w:rPr>
        <w:t xml:space="preserve">Estimation from components:</w:t>
      </w:r>
    </w:p>
    <w:p>
      <w:pPr>
        <w:pStyle w:val="BodyText"/>
      </w:pPr>
      <m:oMathPara>
        <m:oMathParaPr>
          <m:jc m:val="center"/>
        </m:oMathParaPr>
        <m:oMath>
          <m:r>
            <m:t>C</m:t>
          </m:r>
          <m:r>
            <m:t>E</m:t>
          </m:r>
          <m:sSub>
            <m:e>
              <m:r>
                <m:t>C</m:t>
              </m:r>
            </m:e>
            <m:sub>
              <m:r>
                <m:t>s</m:t>
              </m:r>
              <m:r>
                <m:t>o</m:t>
              </m:r>
              <m:r>
                <m:t>i</m:t>
              </m:r>
              <m:r>
                <m:t>l</m:t>
              </m:r>
            </m:sub>
          </m:sSub>
          <m:r>
            <m:rPr>
              <m:sty m:val="p"/>
            </m:rPr>
            <m:t>≈</m:t>
          </m:r>
          <m:d>
            <m:dPr>
              <m:begChr m:val="("/>
              <m:endChr m:val=")"/>
              <m:sepChr m:val=""/>
              <m:grow/>
            </m:dPr>
            <m:e>
              <m:r>
                <m:rPr>
                  <m:sty m:val="p"/>
                </m:rPr>
                <m:t>%</m:t>
              </m:r>
              <m:r>
                <m:rPr>
                  <m:nor/>
                  <m:sty m:val="p"/>
                </m:rPr>
                <m:t>clay</m:t>
              </m:r>
              <m:r>
                <m:rPr>
                  <m:sty m:val="p"/>
                </m:rPr>
                <m:t>×</m:t>
              </m:r>
              <m:r>
                <m:t>C</m:t>
              </m:r>
              <m:r>
                <m:t>E</m:t>
              </m:r>
              <m:sSub>
                <m:e>
                  <m:r>
                    <m:t>C</m:t>
                  </m:r>
                </m:e>
                <m:sub>
                  <m:r>
                    <m:t>c</m:t>
                  </m:r>
                  <m:r>
                    <m:t>l</m:t>
                  </m:r>
                  <m:r>
                    <m:t>a</m:t>
                  </m:r>
                  <m:r>
                    <m:t>y</m:t>
                  </m:r>
                </m:sub>
              </m:sSub>
              <m:r>
                <m:rPr>
                  <m:sty m:val="p"/>
                </m:rPr>
                <m:t>+</m:t>
              </m:r>
              <m:r>
                <m:rPr>
                  <m:sty m:val="p"/>
                </m:rPr>
                <m:t>%</m:t>
              </m:r>
              <m:r>
                <m:t>O</m:t>
              </m:r>
              <m:r>
                <m:t>M</m:t>
              </m:r>
              <m:r>
                <m:rPr>
                  <m:sty m:val="p"/>
                </m:rPr>
                <m:t>×</m:t>
              </m:r>
              <m:r>
                <m:t>C</m:t>
              </m:r>
              <m:r>
                <m:t>E</m:t>
              </m:r>
              <m:sSub>
                <m:e>
                  <m:r>
                    <m:t>C</m:t>
                  </m:r>
                </m:e>
                <m:sub>
                  <m:r>
                    <m:t>O</m:t>
                  </m:r>
                  <m:r>
                    <m:t>M</m:t>
                  </m:r>
                </m:sub>
              </m:sSub>
            </m:e>
          </m:d>
          <m:r>
            <m:rPr>
              <m:sty m:val="p"/>
            </m:rPr>
            <m:t>/</m:t>
          </m:r>
          <m:r>
            <m:t>100</m:t>
          </m:r>
        </m:oMath>
      </m:oMathPara>
    </w:p>
    <w:p>
      <w:pPr>
        <w:pStyle w:val="FirstParagraph"/>
      </w:pPr>
      <w:r>
        <w:rPr>
          <w:bCs/>
          <w:b/>
        </w:rPr>
        <w:t xml:space="preserve">Measurement:</w:t>
      </w:r>
      <w:r>
        <w:t xml:space="preserve"> </w:t>
      </w:r>
      <w:r>
        <w:t xml:space="preserve">saturate exchange sites with an index cation (1 N</w:t>
      </w:r>
      <w:r>
        <w:t xml:space="preserve"> </w:t>
      </w:r>
      <w:r>
        <w:rPr>
          <w:bCs/>
          <w:b/>
        </w:rPr>
        <w:t xml:space="preserve">ammonium acetate at pH 7.0</w:t>
      </w:r>
      <w:r>
        <w:t xml:space="preserve">, the standard method), remove excess, displace the NH₄⁺ and determine it. The</w:t>
      </w:r>
      <w:r>
        <w:t xml:space="preserve"> </w:t>
      </w:r>
      <w:r>
        <w:rPr>
          <w:bCs/>
          <w:b/>
        </w:rPr>
        <w:t xml:space="preserve">effective CEC (ECEC)</w:t>
      </w:r>
      <w:r>
        <w:t xml:space="preserve"> </w:t>
      </w:r>
      <w:r>
        <w:t xml:space="preserve">is the sum of exchangeable bases plus exchangeable acidity at the soil’s own pH. It is more relevant for acid soils.</w:t>
      </w:r>
    </w:p>
    <w:p>
      <w:pPr>
        <w:pStyle w:val="BodyText"/>
      </w:pPr>
      <w:r>
        <w:rPr>
          <w:bCs/>
          <w:b/>
        </w:rPr>
        <w:t xml:space="preserve">Cation exchange is reversible, stoichiometric (equivalent for equivalent) and rapid.</w:t>
      </w:r>
      <w:r>
        <w:t xml:space="preserve"> </w:t>
      </w:r>
      <w:r>
        <w:t xml:space="preserve">The</w:t>
      </w:r>
      <w:r>
        <w:t xml:space="preserve"> </w:t>
      </w:r>
      <w:r>
        <w:rPr>
          <w:bCs/>
          <w:b/>
        </w:rPr>
        <w:t xml:space="preserve">replacing power</w:t>
      </w:r>
      <w:r>
        <w:t xml:space="preserve"> </w:t>
      </w:r>
      <w:r>
        <w:t xml:space="preserve">of cations generally follows the lyotropic series. Divalent cations are held more strongly than monovalent cations (H⁺ behaves as if strongly held).</w:t>
      </w:r>
      <w:r>
        <w:t xml:space="preserve"> </w:t>
      </w:r>
      <w:r>
        <w:rPr>
          <w:bCs/>
          <w:b/>
        </w:rPr>
        <w:t xml:space="preserve">Gapon equation</w:t>
      </w:r>
      <w:r>
        <w:t xml:space="preserve"> </w:t>
      </w:r>
      <w:r>
        <w:t xml:space="preserve">(exchange between Na⁺ and Ca²⁺ + Mg²⁺):</w:t>
      </w:r>
    </w:p>
    <w:p>
      <w:pPr>
        <w:pStyle w:val="BodyText"/>
      </w:pPr>
      <m:oMathPara>
        <m:oMathParaPr>
          <m:jc m:val="center"/>
        </m:oMathParaPr>
        <m:oMath>
          <m:f>
            <m:fPr>
              <m:type m:val="bar"/>
            </m:fPr>
            <m:num>
              <m:r>
                <m:t>N</m:t>
              </m:r>
              <m:sSub>
                <m:e>
                  <m:r>
                    <m:t>a</m:t>
                  </m:r>
                </m:e>
                <m:sub>
                  <m:r>
                    <m:t>e</m:t>
                  </m:r>
                  <m:r>
                    <m:t>x</m:t>
                  </m:r>
                </m:sub>
              </m:sSub>
            </m:num>
            <m:den>
              <m:sSub>
                <m:e>
                  <m:d>
                    <m:dPr>
                      <m:begChr m:val="("/>
                      <m:endChr m:val=")"/>
                      <m:sepChr m:val=""/>
                      <m:grow/>
                    </m:dPr>
                    <m:e>
                      <m:r>
                        <m:t>C</m:t>
                      </m:r>
                      <m:r>
                        <m:t>a</m:t>
                      </m:r>
                      <m:r>
                        <m:rPr>
                          <m:sty m:val="p"/>
                        </m:rPr>
                        <m:t>+</m:t>
                      </m:r>
                      <m:r>
                        <m:t>M</m:t>
                      </m:r>
                      <m:r>
                        <m:t>g</m:t>
                      </m:r>
                    </m:e>
                  </m:d>
                </m:e>
                <m:sub>
                  <m:r>
                    <m:t>e</m:t>
                  </m:r>
                  <m:r>
                    <m:t>x</m:t>
                  </m:r>
                </m:sub>
              </m:sSub>
            </m:den>
          </m:f>
          <m:r>
            <m:rPr>
              <m:sty m:val="p"/>
            </m:rPr>
            <m:t>=</m:t>
          </m:r>
          <m:sSub>
            <m:e>
              <m:r>
                <m:t>K</m:t>
              </m:r>
            </m:e>
            <m:sub>
              <m:r>
                <m:t>G</m:t>
              </m:r>
            </m:sub>
          </m:sSub>
          <m:r>
            <m:t> </m:t>
          </m:r>
          <m:f>
            <m:fPr>
              <m:type m:val="bar"/>
            </m:fPr>
            <m:num>
              <m:d>
                <m:dPr>
                  <m:begChr m:val="["/>
                  <m:endChr m:val="]"/>
                  <m:sepChr m:val=""/>
                  <m:grow/>
                </m:dPr>
                <m:e>
                  <m:r>
                    <m:t>N</m:t>
                  </m:r>
                  <m:sSup>
                    <m:e>
                      <m:r>
                        <m:t>a</m:t>
                      </m:r>
                    </m:e>
                    <m:sup>
                      <m:r>
                        <m:rPr>
                          <m:sty m:val="p"/>
                        </m:rPr>
                        <m:t>+</m:t>
                      </m:r>
                    </m:sup>
                  </m:sSup>
                </m:e>
              </m:d>
            </m:num>
            <m:den>
              <m:rad>
                <m:radPr>
                  <m:degHide m:val="on"/>
                </m:radPr>
                <m:deg/>
                <m:e>
                  <m:d>
                    <m:dPr>
                      <m:begChr m:val="["/>
                      <m:endChr m:val="]"/>
                      <m:sepChr m:val=""/>
                      <m:grow/>
                    </m:dPr>
                    <m:e>
                      <m:r>
                        <m:t>C</m:t>
                      </m:r>
                      <m:sSup>
                        <m:e>
                          <m:r>
                            <m:t>a</m:t>
                          </m:r>
                        </m:e>
                        <m:sup>
                          <m:r>
                            <m:t>2</m:t>
                          </m:r>
                          <m:r>
                            <m:rPr>
                              <m:sty m:val="p"/>
                            </m:rPr>
                            <m:t>+</m:t>
                          </m:r>
                        </m:sup>
                      </m:sSup>
                      <m:r>
                        <m:rPr>
                          <m:sty m:val="p"/>
                        </m:rPr>
                        <m:t>+</m:t>
                      </m:r>
                      <m:r>
                        <m:t>M</m:t>
                      </m:r>
                      <m:sSup>
                        <m:e>
                          <m:r>
                            <m:t>g</m:t>
                          </m:r>
                        </m:e>
                        <m:sup>
                          <m:r>
                            <m:t>2</m:t>
                          </m:r>
                          <m:r>
                            <m:rPr>
                              <m:sty m:val="p"/>
                            </m:rPr>
                            <m:t>+</m:t>
                          </m:r>
                        </m:sup>
                      </m:sSup>
                    </m:e>
                  </m:d>
                  <m:r>
                    <m:rPr>
                      <m:sty m:val="p"/>
                    </m:rPr>
                    <m:t>/</m:t>
                  </m:r>
                  <m:r>
                    <m:t>2</m:t>
                  </m:r>
                </m:e>
              </m:rad>
            </m:den>
          </m:f>
          <m:r>
            <m:rPr>
              <m:sty m:val="p"/>
            </m:rPr>
            <m:t>=</m:t>
          </m:r>
          <m:sSub>
            <m:e>
              <m:r>
                <m:t>K</m:t>
              </m:r>
            </m:e>
            <m:sub>
              <m:r>
                <m:t>G</m:t>
              </m:r>
            </m:sub>
          </m:sSub>
          <m:r>
            <m:rPr>
              <m:sty m:val="p"/>
            </m:rPr>
            <m:t>⋅</m:t>
          </m:r>
          <m:r>
            <m:t>S</m:t>
          </m:r>
          <m:r>
            <m:t>A</m:t>
          </m:r>
          <m:r>
            <m:t>R</m:t>
          </m:r>
        </m:oMath>
      </m:oMathPara>
    </w:p>
    <w:p>
      <w:pPr>
        <w:pStyle w:val="FirstParagraph"/>
      </w:pPr>
      <w:r>
        <w:t xml:space="preserve">This links the solution</w:t>
      </w:r>
      <w:r>
        <w:t xml:space="preserve"> </w:t>
      </w:r>
      <w:r>
        <w:rPr>
          <w:bCs/>
          <w:b/>
        </w:rPr>
        <w:t xml:space="preserve">SAR</w:t>
      </w:r>
      <w:r>
        <w:t xml:space="preserve"> </w:t>
      </w:r>
      <w:r>
        <w:t xml:space="preserve">to the exchangeable sodium.</w:t>
      </w:r>
    </w:p>
    <w:p>
      <w:pPr>
        <w:pStyle w:val="Heading3"/>
      </w:pPr>
      <w:r>
        <w:t xml:space="preserve">15.3.2 Base saturation and exchangeable sodium</w:t>
      </w:r>
    </w:p>
    <w:p>
      <w:pPr>
        <w:pStyle w:val="FirstParagraph"/>
      </w:pPr>
      <m:oMathPara>
        <m:oMathParaPr>
          <m:jc m:val="center"/>
        </m:oMathParaPr>
        <m:oMath>
          <m:r>
            <m:rPr>
              <m:nor/>
              <m:sty m:val="p"/>
            </m:rPr>
            <m:t>Base saturation (%)</m:t>
          </m:r>
          <m:r>
            <m:rPr>
              <m:sty m:val="p"/>
            </m:rPr>
            <m:t>=</m:t>
          </m:r>
          <m:f>
            <m:fPr>
              <m:type m:val="bar"/>
            </m:fPr>
            <m:num>
              <m:r>
                <m:t>C</m:t>
              </m:r>
              <m:sSup>
                <m:e>
                  <m:r>
                    <m:t>a</m:t>
                  </m:r>
                </m:e>
                <m:sup>
                  <m:r>
                    <m:t>2</m:t>
                  </m:r>
                  <m:r>
                    <m:rPr>
                      <m:sty m:val="p"/>
                    </m:rPr>
                    <m:t>+</m:t>
                  </m:r>
                </m:sup>
              </m:sSup>
              <m:r>
                <m:rPr>
                  <m:sty m:val="p"/>
                </m:rPr>
                <m:t>+</m:t>
              </m:r>
              <m:r>
                <m:t>M</m:t>
              </m:r>
              <m:sSup>
                <m:e>
                  <m:r>
                    <m:t>g</m:t>
                  </m:r>
                </m:e>
                <m:sup>
                  <m:r>
                    <m:t>2</m:t>
                  </m:r>
                  <m:r>
                    <m:rPr>
                      <m:sty m:val="p"/>
                    </m:rPr>
                    <m:t>+</m:t>
                  </m:r>
                </m:sup>
              </m:sSup>
              <m:r>
                <m:rPr>
                  <m:sty m:val="p"/>
                </m:rPr>
                <m:t>+</m:t>
              </m:r>
              <m:sSup>
                <m:e>
                  <m:r>
                    <m:t>K</m:t>
                  </m:r>
                </m:e>
                <m:sup>
                  <m:r>
                    <m:rPr>
                      <m:sty m:val="p"/>
                    </m:rPr>
                    <m:t>+</m:t>
                  </m:r>
                </m:sup>
              </m:sSup>
              <m:r>
                <m:rPr>
                  <m:sty m:val="p"/>
                </m:rPr>
                <m:t>+</m:t>
              </m:r>
              <m:r>
                <m:t>N</m:t>
              </m:r>
              <m:sSup>
                <m:e>
                  <m:r>
                    <m:t>a</m:t>
                  </m:r>
                </m:e>
                <m:sup>
                  <m:r>
                    <m:rPr>
                      <m:sty m:val="p"/>
                    </m:rPr>
                    <m:t>+</m:t>
                  </m:r>
                </m:sup>
              </m:sSup>
            </m:num>
            <m:den>
              <m:r>
                <m:t>C</m:t>
              </m:r>
              <m:r>
                <m:t>E</m:t>
              </m:r>
              <m:r>
                <m:t>C</m:t>
              </m:r>
            </m:den>
          </m:f>
          <m:r>
            <m:rPr>
              <m:sty m:val="p"/>
            </m:rPr>
            <m:t>×</m:t>
          </m:r>
          <m:r>
            <m:t>100</m:t>
          </m:r>
        </m:oMath>
      </m:oMathPara>
    </w:p>
    <w:p>
      <w:pPr>
        <w:pStyle w:val="FirstParagraph"/>
      </w:pPr>
      <w:r>
        <w:t xml:space="preserve">High base saturation (&gt; 80%) occurs in neutral and alkaline soils (Vertisols, alluvial). Low base saturation (&lt; 35%) occurs in acid Ultisols and Oxisols. Under pH 5.5 the exchangeable Al³⁺ fraction (</w:t>
      </w:r>
      <w:r>
        <w:rPr>
          <w:bCs/>
          <w:b/>
        </w:rPr>
        <w:t xml:space="preserve">Al saturation</w:t>
      </w:r>
      <w:r>
        <w:t xml:space="preserve">) becomes toxic.</w:t>
      </w:r>
    </w:p>
    <w:p>
      <w:pPr>
        <w:pStyle w:val="BodyText"/>
      </w:pPr>
      <m:oMathPara>
        <m:oMathParaPr>
          <m:jc m:val="center"/>
        </m:oMathParaPr>
        <m:oMath>
          <m:r>
            <m:t>E</m:t>
          </m:r>
          <m:r>
            <m:t>S</m:t>
          </m:r>
          <m:r>
            <m:t>P</m:t>
          </m:r>
          <m:r>
            <m:rPr>
              <m:sty m:val="p"/>
            </m:rPr>
            <m:t>=</m:t>
          </m:r>
          <m:f>
            <m:fPr>
              <m:type m:val="bar"/>
            </m:fPr>
            <m:num>
              <m:r>
                <m:t>N</m:t>
              </m:r>
              <m:sSub>
                <m:e>
                  <m:r>
                    <m:t>a</m:t>
                  </m:r>
                </m:e>
                <m:sub>
                  <m:r>
                    <m:t>e</m:t>
                  </m:r>
                  <m:r>
                    <m:t>x</m:t>
                  </m:r>
                </m:sub>
              </m:sSub>
            </m:num>
            <m:den>
              <m:r>
                <m:t>C</m:t>
              </m:r>
              <m:r>
                <m:t>E</m:t>
              </m:r>
              <m:r>
                <m:t>C</m:t>
              </m:r>
            </m:den>
          </m:f>
          <m:r>
            <m:rPr>
              <m:sty m:val="p"/>
            </m:rPr>
            <m:t>×</m:t>
          </m:r>
          <m:r>
            <m:t>100</m:t>
          </m:r>
          <m:r>
            <m:rPr>
              <m:sty m:val="p"/>
            </m:rPr>
            <m:t>,</m:t>
          </m:r>
          <m:r>
            <m:t>  </m:t>
          </m:r>
          <m:r>
            <m:t>S</m:t>
          </m:r>
          <m:r>
            <m:t>A</m:t>
          </m:r>
          <m:r>
            <m:t>R</m:t>
          </m:r>
          <m:r>
            <m:rPr>
              <m:sty m:val="p"/>
            </m:rPr>
            <m:t>=</m:t>
          </m:r>
          <m:f>
            <m:fPr>
              <m:type m:val="bar"/>
            </m:fPr>
            <m:num>
              <m:r>
                <m:t>N</m:t>
              </m:r>
              <m:sSup>
                <m:e>
                  <m:r>
                    <m:t>a</m:t>
                  </m:r>
                </m:e>
                <m:sup>
                  <m:r>
                    <m:rPr>
                      <m:sty m:val="p"/>
                    </m:rPr>
                    <m:t>+</m:t>
                  </m:r>
                </m:sup>
              </m:sSup>
            </m:num>
            <m:den>
              <m:rad>
                <m:radPr>
                  <m:degHide m:val="on"/>
                </m:radPr>
                <m:deg/>
                <m:e>
                  <m:d>
                    <m:dPr>
                      <m:begChr m:val="("/>
                      <m:endChr m:val=")"/>
                      <m:sepChr m:val=""/>
                      <m:grow/>
                    </m:dPr>
                    <m:e>
                      <m:r>
                        <m:t>C</m:t>
                      </m:r>
                      <m:sSup>
                        <m:e>
                          <m:r>
                            <m:t>a</m:t>
                          </m:r>
                        </m:e>
                        <m:sup>
                          <m:r>
                            <m:t>2</m:t>
                          </m:r>
                          <m:r>
                            <m:rPr>
                              <m:sty m:val="p"/>
                            </m:rPr>
                            <m:t>+</m:t>
                          </m:r>
                        </m:sup>
                      </m:sSup>
                      <m:r>
                        <m:rPr>
                          <m:sty m:val="p"/>
                        </m:rPr>
                        <m:t>+</m:t>
                      </m:r>
                      <m:r>
                        <m:t>M</m:t>
                      </m:r>
                      <m:sSup>
                        <m:e>
                          <m:r>
                            <m:t>g</m:t>
                          </m:r>
                        </m:e>
                        <m:sup>
                          <m:r>
                            <m:t>2</m:t>
                          </m:r>
                          <m:r>
                            <m:rPr>
                              <m:sty m:val="p"/>
                            </m:rPr>
                            <m:t>+</m:t>
                          </m:r>
                        </m:sup>
                      </m:sSup>
                    </m:e>
                  </m:d>
                  <m:r>
                    <m:rPr>
                      <m:sty m:val="p"/>
                    </m:rPr>
                    <m:t>/</m:t>
                  </m:r>
                  <m:r>
                    <m:t>2</m:t>
                  </m:r>
                </m:e>
              </m:rad>
            </m:den>
          </m:f>
          <m:r>
            <m:t> </m:t>
          </m:r>
          <m:r>
            <m:t> </m:t>
          </m:r>
          <m:d>
            <m:dPr>
              <m:begChr m:val="("/>
              <m:endChr m:val=")"/>
              <m:sepChr m:val=""/>
              <m:grow/>
            </m:dPr>
            <m:e>
              <m:sSup>
                <m:e>
                  <m:r>
                    <m:rPr>
                      <m:nor/>
                      <m:sty m:val="p"/>
                    </m:rPr>
                    <m:t>meq L</m:t>
                  </m:r>
                </m:e>
                <m:sup>
                  <m:r>
                    <m:rPr>
                      <m:sty m:val="p"/>
                    </m:rPr>
                    <m:t>−</m:t>
                  </m:r>
                  <m:r>
                    <m:t>1</m:t>
                  </m:r>
                </m:sup>
              </m:sSup>
            </m:e>
          </m:d>
        </m:oMath>
      </m:oMathPara>
    </w:p>
    <w:p>
      <w:pPr>
        <w:pStyle w:val="FirstParagraph"/>
      </w:pPr>
      <w:r>
        <w:rPr>
          <w:bCs/>
          <w:b/>
        </w:rPr>
        <w:t xml:space="preserve">ESP &gt; 15</w:t>
      </w:r>
      <w:r>
        <w:t xml:space="preserve"> </w:t>
      </w:r>
      <w:r>
        <w:t xml:space="preserve">defines sodic soils. Empirically,</w:t>
      </w:r>
      <w:r>
        <w:t xml:space="preserve"> </w:t>
      </w:r>
      <m:oMath>
        <m:r>
          <m:t>E</m:t>
        </m:r>
        <m:r>
          <m:t>S</m:t>
        </m:r>
        <m:r>
          <m:t>P</m:t>
        </m:r>
        <m:r>
          <m:rPr>
            <m:sty m:val="p"/>
          </m:rPr>
          <m:t>≈</m:t>
        </m:r>
        <m:f>
          <m:fPr>
            <m:type m:val="bar"/>
          </m:fPr>
          <m:num>
            <m:r>
              <m:t>100</m:t>
            </m:r>
            <m:d>
              <m:dPr>
                <m:begChr m:val="("/>
                <m:endChr m:val=")"/>
                <m:sepChr m:val=""/>
                <m:grow/>
              </m:dPr>
              <m:e>
                <m:r>
                  <m:rPr>
                    <m:sty m:val="p"/>
                  </m:rPr>
                  <m:t>−</m:t>
                </m:r>
                <m:r>
                  <m:t>0.0126</m:t>
                </m:r>
                <m:r>
                  <m:rPr>
                    <m:sty m:val="p"/>
                  </m:rPr>
                  <m:t>+</m:t>
                </m:r>
                <m:r>
                  <m:t>0.01475</m:t>
                </m:r>
                <m:r>
                  <m:t> </m:t>
                </m:r>
                <m:r>
                  <m:t>S</m:t>
                </m:r>
                <m:r>
                  <m:t>A</m:t>
                </m:r>
                <m:r>
                  <m:t>R</m:t>
                </m:r>
              </m:e>
            </m:d>
          </m:num>
          <m:den>
            <m:r>
              <m:t>1</m:t>
            </m:r>
            <m:r>
              <m:rPr>
                <m:sty m:val="p"/>
              </m:rPr>
              <m:t>+</m:t>
            </m:r>
            <m:d>
              <m:dPr>
                <m:begChr m:val="("/>
                <m:endChr m:val=")"/>
                <m:sepChr m:val=""/>
                <m:grow/>
              </m:dPr>
              <m:e>
                <m:r>
                  <m:rPr>
                    <m:sty m:val="p"/>
                  </m:rPr>
                  <m:t>−</m:t>
                </m:r>
                <m:r>
                  <m:t>0.0126</m:t>
                </m:r>
                <m:r>
                  <m:rPr>
                    <m:sty m:val="p"/>
                  </m:rPr>
                  <m:t>+</m:t>
                </m:r>
                <m:r>
                  <m:t>0.01475</m:t>
                </m:r>
                <m:r>
                  <m:t> </m:t>
                </m:r>
                <m:r>
                  <m:t>S</m:t>
                </m:r>
                <m:r>
                  <m:t>A</m:t>
                </m:r>
                <m:r>
                  <m:t>R</m:t>
                </m:r>
              </m:e>
            </m:d>
          </m:den>
        </m:f>
      </m:oMath>
      <w:r>
        <w:t xml:space="preserve"> </w:t>
      </w:r>
      <w:r>
        <w:t xml:space="preserve">(USSL). For practical purposes</w:t>
      </w:r>
      <w:r>
        <w:t xml:space="preserve"> </w:t>
      </w:r>
      <w:r>
        <w:rPr>
          <w:bCs/>
          <w:b/>
        </w:rPr>
        <w:t xml:space="preserve">ESP ≈ SAR</w:t>
      </w:r>
      <w:r>
        <w:t xml:space="preserve"> </w:t>
      </w:r>
      <w:r>
        <w:t xml:space="preserve">for SAR below about 30.</w:t>
      </w:r>
    </w:p>
    <w:p>
      <w:pPr>
        <w:pStyle w:val="Heading3"/>
      </w:pPr>
      <w:r>
        <w:t xml:space="preserve">15.3.3 Anion exchange capacity (AEC)</w:t>
      </w:r>
    </w:p>
    <w:p>
      <w:pPr>
        <w:pStyle w:val="FirstParagraph"/>
      </w:pPr>
      <w:r>
        <w:t xml:space="preserve">AEC is the positive charge on oxides, allophane and broken clay edges at low pH. It retains NO₃⁻, SO₄²⁻, Cl⁻ and especially H₂PO₄⁻ (as</w:t>
      </w:r>
      <w:r>
        <w:t xml:space="preserve"> </w:t>
      </w:r>
      <w:r>
        <w:rPr>
          <w:bCs/>
          <w:b/>
        </w:rPr>
        <w:t xml:space="preserve">specific adsorption</w:t>
      </w:r>
      <w:r>
        <w:t xml:space="preserve">, i.e. P fixation). It is important in acid, highly weathered soils.</w:t>
      </w:r>
    </w:p>
    <w:p>
      <w:pPr>
        <w:pStyle w:val="Heading2"/>
      </w:pPr>
      <w:r>
        <w:t xml:space="preserve">15.4 Soil Reaction (pH)</w:t>
      </w:r>
    </w:p>
    <w:p>
      <w:pPr>
        <w:pStyle w:val="FirstParagraph"/>
      </w:pPr>
      <m:oMathPara>
        <m:oMathParaPr>
          <m:jc m:val="center"/>
        </m:oMathParaPr>
        <m:oMath>
          <m:r>
            <m:t>p</m:t>
          </m:r>
          <m:r>
            <m:t>H</m:t>
          </m:r>
          <m:r>
            <m:rPr>
              <m:sty m:val="p"/>
            </m:rPr>
            <m:t>=</m:t>
          </m:r>
          <m:r>
            <m:rPr>
              <m:sty m:val="p"/>
            </m:rPr>
            <m:t>−</m:t>
          </m:r>
          <m:sSub>
            <m:e>
              <m:r>
                <m:rPr>
                  <m:sty m:val="p"/>
                </m:rPr>
                <m:t>log</m:t>
              </m:r>
            </m:e>
            <m:sub>
              <m:r>
                <m:t>10</m:t>
              </m:r>
            </m:sub>
          </m:sSub>
          <m:d>
            <m:dPr>
              <m:begChr m:val="["/>
              <m:endChr m:val="]"/>
              <m:sepChr m:val=""/>
              <m:grow/>
            </m:dPr>
            <m:e>
              <m:sSup>
                <m:e>
                  <m:r>
                    <m:t>H</m:t>
                  </m:r>
                </m:e>
                <m:sup>
                  <m:r>
                    <m:rPr>
                      <m:sty m:val="p"/>
                    </m:rPr>
                    <m:t>+</m:t>
                  </m:r>
                </m:sup>
              </m:sSup>
            </m:e>
          </m:d>
        </m:oMath>
      </m:oMathPara>
    </w:p>
    <w:p>
      <w:pPr>
        <w:pStyle w:val="FirstParagraph"/>
      </w:pPr>
      <w:r>
        <w:t xml:space="preserve">Measured potentiometrically (glass electrode) in</w:t>
      </w:r>
      <w:r>
        <w:t xml:space="preserve"> </w:t>
      </w:r>
      <w:r>
        <w:rPr>
          <w:bCs/>
          <w:b/>
        </w:rPr>
        <w:t xml:space="preserve">1:2.5 soil:water</w:t>
      </w:r>
      <w:r>
        <w:t xml:space="preserve"> </w:t>
      </w:r>
      <w:r>
        <w:t xml:space="preserve">(also 1:2, 1:5, or 0.01 M CaCl₂, which reads about 0.5 unit lower).</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pH</w:t>
            </w:r>
          </w:p>
        </w:tc>
        <w:tc>
          <w:tcPr/>
          <w:p>
            <w:pPr>
              <w:pStyle w:val="Compact"/>
              <w:jc w:val="left"/>
            </w:pPr>
            <w:r>
              <w:t xml:space="preserve">Class</w:t>
            </w:r>
          </w:p>
        </w:tc>
        <w:tc>
          <w:tcPr/>
          <w:p>
            <w:pPr>
              <w:pStyle w:val="Compact"/>
              <w:jc w:val="left"/>
            </w:pPr>
            <w:r>
              <w:t xml:space="preserve">Typical soils</w:t>
            </w:r>
          </w:p>
        </w:tc>
      </w:tr>
      <w:tr>
        <w:tc>
          <w:tcPr/>
          <w:p>
            <w:pPr>
              <w:pStyle w:val="Compact"/>
              <w:jc w:val="left"/>
            </w:pPr>
            <w:r>
              <w:t xml:space="preserve">&lt; 4.5</w:t>
            </w:r>
          </w:p>
        </w:tc>
        <w:tc>
          <w:tcPr/>
          <w:p>
            <w:pPr>
              <w:pStyle w:val="Compact"/>
              <w:jc w:val="left"/>
            </w:pPr>
            <w:r>
              <w:t xml:space="preserve">Extremely acidic</w:t>
            </w:r>
          </w:p>
        </w:tc>
        <w:tc>
          <w:tcPr/>
          <w:p>
            <w:pPr>
              <w:pStyle w:val="Compact"/>
              <w:jc w:val="left"/>
            </w:pPr>
            <w:r>
              <w:t xml:space="preserve">Acid sulphate soils, peat</w:t>
            </w:r>
          </w:p>
        </w:tc>
      </w:tr>
      <w:tr>
        <w:tc>
          <w:tcPr/>
          <w:p>
            <w:pPr>
              <w:pStyle w:val="Compact"/>
              <w:jc w:val="left"/>
            </w:pPr>
            <w:r>
              <w:t xml:space="preserve">4.5–5.5</w:t>
            </w:r>
          </w:p>
        </w:tc>
        <w:tc>
          <w:tcPr/>
          <w:p>
            <w:pPr>
              <w:pStyle w:val="Compact"/>
              <w:jc w:val="left"/>
            </w:pPr>
            <w:r>
              <w:t xml:space="preserve">Strongly acidic</w:t>
            </w:r>
          </w:p>
        </w:tc>
        <w:tc>
          <w:tcPr/>
          <w:p>
            <w:pPr>
              <w:pStyle w:val="Compact"/>
              <w:jc w:val="left"/>
            </w:pPr>
            <w:r>
              <w:t xml:space="preserve">Laterites, hill soils (NE, Kerala, Western Ghats)</w:t>
            </w:r>
          </w:p>
        </w:tc>
      </w:tr>
      <w:tr>
        <w:tc>
          <w:tcPr/>
          <w:p>
            <w:pPr>
              <w:pStyle w:val="Compact"/>
              <w:jc w:val="left"/>
            </w:pPr>
            <w:r>
              <w:t xml:space="preserve">5.5–6.5</w:t>
            </w:r>
          </w:p>
        </w:tc>
        <w:tc>
          <w:tcPr/>
          <w:p>
            <w:pPr>
              <w:pStyle w:val="Compact"/>
              <w:jc w:val="left"/>
            </w:pPr>
            <w:r>
              <w:t xml:space="preserve">Moderately to slightly acidic</w:t>
            </w:r>
          </w:p>
        </w:tc>
        <w:tc>
          <w:tcPr/>
          <w:p>
            <w:pPr>
              <w:pStyle w:val="Compact"/>
              <w:jc w:val="left"/>
            </w:pPr>
            <w:r>
              <w:t xml:space="preserve">Red soils</w:t>
            </w:r>
          </w:p>
        </w:tc>
      </w:tr>
      <w:tr>
        <w:tc>
          <w:tcPr/>
          <w:p>
            <w:pPr>
              <w:pStyle w:val="Compact"/>
              <w:jc w:val="left"/>
            </w:pPr>
            <w:r>
              <w:t xml:space="preserve">6.5–7.5</w:t>
            </w:r>
          </w:p>
        </w:tc>
        <w:tc>
          <w:tcPr/>
          <w:p>
            <w:pPr>
              <w:pStyle w:val="Compact"/>
              <w:jc w:val="left"/>
            </w:pPr>
            <w:r>
              <w:t xml:space="preserve">Neutral</w:t>
            </w:r>
          </w:p>
        </w:tc>
        <w:tc>
          <w:tcPr/>
          <w:p>
            <w:pPr>
              <w:pStyle w:val="Compact"/>
              <w:jc w:val="left"/>
            </w:pPr>
            <w:r>
              <w:t xml:space="preserve">Best for most crops</w:t>
            </w:r>
          </w:p>
        </w:tc>
      </w:tr>
      <w:tr>
        <w:tc>
          <w:tcPr/>
          <w:p>
            <w:pPr>
              <w:pStyle w:val="Compact"/>
              <w:jc w:val="left"/>
            </w:pPr>
            <w:r>
              <w:t xml:space="preserve">7.5–8.5</w:t>
            </w:r>
          </w:p>
        </w:tc>
        <w:tc>
          <w:tcPr/>
          <w:p>
            <w:pPr>
              <w:pStyle w:val="Compact"/>
              <w:jc w:val="left"/>
            </w:pPr>
            <w:r>
              <w:t xml:space="preserve">Mildly to moderately alkaline</w:t>
            </w:r>
          </w:p>
        </w:tc>
        <w:tc>
          <w:tcPr/>
          <w:p>
            <w:pPr>
              <w:pStyle w:val="Compact"/>
              <w:jc w:val="left"/>
            </w:pPr>
            <w:r>
              <w:t xml:space="preserve">Calcareous soils, Vertisols</w:t>
            </w:r>
          </w:p>
        </w:tc>
      </w:tr>
      <w:tr>
        <w:tc>
          <w:tcPr/>
          <w:p>
            <w:pPr>
              <w:pStyle w:val="Compact"/>
              <w:jc w:val="left"/>
            </w:pPr>
            <w:r>
              <w:t xml:space="preserve">&gt; 8.5</w:t>
            </w:r>
          </w:p>
        </w:tc>
        <w:tc>
          <w:tcPr/>
          <w:p>
            <w:pPr>
              <w:pStyle w:val="Compact"/>
              <w:jc w:val="left"/>
            </w:pPr>
            <w:r>
              <w:t xml:space="preserve">Strongly alkaline</w:t>
            </w:r>
          </w:p>
        </w:tc>
        <w:tc>
          <w:tcPr/>
          <w:p>
            <w:pPr>
              <w:pStyle w:val="Compact"/>
              <w:jc w:val="left"/>
            </w:pPr>
            <w:r>
              <w:rPr>
                <w:bCs/>
                <w:b/>
              </w:rPr>
              <w:t xml:space="preserve">Sodic soils</w:t>
            </w:r>
            <w:r>
              <w:t xml:space="preserve"> </w:t>
            </w:r>
            <w:r>
              <w:t xml:space="preserve">(Na₂CO₃, NaHCO₃)</w:t>
            </w:r>
          </w:p>
        </w:tc>
      </w:tr>
    </w:tbl>
    <w:p>
      <w:pPr>
        <w:pStyle w:val="BodyText"/>
      </w:pPr>
      <w:r>
        <w:rPr>
          <w:bCs/>
          <w:b/>
        </w:rPr>
        <w:t xml:space="preserve">Sources of acidity:</w:t>
      </w:r>
      <w:r>
        <w:t xml:space="preserve"> </w:t>
      </w:r>
      <w:r>
        <w:t xml:space="preserve">leaching of bases by high rainfall; acidic parent material; organic-matter decomposition (organic acids, CO₂ to H₂CO₃); NH₄⁺ fertilisers (nitrification releases H⁺); crop removal of bases; acid rain; oxidation of pyrite (acid sulphate).</w:t>
      </w:r>
      <w:r>
        <w:t xml:space="preserve"> </w:t>
      </w:r>
      <w:r>
        <w:rPr>
          <w:bCs/>
          <w:b/>
        </w:rPr>
        <w:t xml:space="preserve">Active acidity</w:t>
      </w:r>
      <w:r>
        <w:t xml:space="preserve"> </w:t>
      </w:r>
      <w:r>
        <w:t xml:space="preserve">(H⁺ in solution) is tiny compared with</w:t>
      </w:r>
      <w:r>
        <w:t xml:space="preserve"> </w:t>
      </w:r>
      <w:r>
        <w:rPr>
          <w:bCs/>
          <w:b/>
        </w:rPr>
        <w:t xml:space="preserve">reserve or potential acidity</w:t>
      </w:r>
      <w:r>
        <w:t xml:space="preserve"> </w:t>
      </w:r>
      <w:r>
        <w:t xml:space="preserve">(exchangeable H⁺ and Al³⁺ plus non-exchangeable acidity), which determines lime requirement.</w:t>
      </w:r>
    </w:p>
    <w:p>
      <w:pPr>
        <w:pStyle w:val="BodyText"/>
      </w:pPr>
      <w:r>
        <w:rPr>
          <w:bCs/>
          <w:b/>
        </w:rPr>
        <w:t xml:space="preserve">Buffering capacity</w:t>
      </w:r>
      <w:r>
        <w:t xml:space="preserve"> </w:t>
      </w:r>
      <w:r>
        <w:t xml:space="preserve">is the soil’s resistance to pH change. It is high in clayey, high-CEC and high-OM soils, which therefore need more lime or gypsum to change pH.</w:t>
      </w:r>
    </w:p>
    <w:p>
      <w:pPr>
        <w:pStyle w:val="BodyText"/>
      </w:pPr>
      <w:r>
        <w:rPr>
          <w:bCs/>
          <w:b/>
        </w:rPr>
        <w:t xml:space="preserve">pH and nutrient availability:</w:t>
      </w:r>
      <w:r>
        <w:t xml:space="preserve"> </w:t>
      </w:r>
      <w:r>
        <w:t xml:space="preserve">most nutrients are optimally available at</w:t>
      </w:r>
      <w:r>
        <w:t xml:space="preserve"> </w:t>
      </w:r>
      <w:r>
        <w:rPr>
          <w:bCs/>
          <w:b/>
        </w:rPr>
        <w:t xml:space="preserve">pH 6.0–7.5</w:t>
      </w:r>
      <w:r>
        <w:t xml:space="preserve">.</w:t>
      </w:r>
    </w:p>
    <w:p>
      <w:pPr>
        <w:pStyle w:val="Compact"/>
        <w:numPr>
          <w:ilvl w:val="0"/>
          <w:numId w:val="1111"/>
        </w:numPr>
      </w:pPr>
      <w:r>
        <w:rPr>
          <w:bCs/>
          <w:b/>
        </w:rPr>
        <w:t xml:space="preserve">P</w:t>
      </w:r>
      <w:r>
        <w:t xml:space="preserve"> </w:t>
      </w:r>
      <w:r>
        <w:t xml:space="preserve">is fixed as Fe/Al phosphates below pH 5.5 and as Ca phosphates above 7.5.</w:t>
      </w:r>
    </w:p>
    <w:p>
      <w:pPr>
        <w:pStyle w:val="Compact"/>
        <w:numPr>
          <w:ilvl w:val="0"/>
          <w:numId w:val="1111"/>
        </w:numPr>
      </w:pPr>
      <w:r>
        <w:rPr>
          <w:bCs/>
          <w:b/>
        </w:rPr>
        <w:t xml:space="preserve">Fe, Mn, Zn and Cu</w:t>
      </w:r>
      <w:r>
        <w:t xml:space="preserve"> </w:t>
      </w:r>
      <w:r>
        <w:t xml:space="preserve">are less available at high pH (chlorosis in calcareous soils).</w:t>
      </w:r>
    </w:p>
    <w:p>
      <w:pPr>
        <w:pStyle w:val="Compact"/>
        <w:numPr>
          <w:ilvl w:val="0"/>
          <w:numId w:val="1111"/>
        </w:numPr>
      </w:pPr>
      <w:r>
        <w:rPr>
          <w:bCs/>
          <w:b/>
        </w:rPr>
        <w:t xml:space="preserve">Mo</w:t>
      </w:r>
      <w:r>
        <w:t xml:space="preserve"> </w:t>
      </w:r>
      <w:r>
        <w:t xml:space="preserve">is less available at low pH.</w:t>
      </w:r>
    </w:p>
    <w:p>
      <w:pPr>
        <w:pStyle w:val="Compact"/>
        <w:numPr>
          <w:ilvl w:val="0"/>
          <w:numId w:val="1111"/>
        </w:numPr>
      </w:pPr>
      <w:r>
        <w:rPr>
          <w:bCs/>
          <w:b/>
        </w:rPr>
        <w:t xml:space="preserve">Al and Mn toxicity</w:t>
      </w:r>
      <w:r>
        <w:t xml:space="preserve"> </w:t>
      </w:r>
      <w:r>
        <w:t xml:space="preserve">occur below pH 5.0–5.5.</w:t>
      </w:r>
    </w:p>
    <w:p>
      <w:pPr>
        <w:pStyle w:val="Compact"/>
        <w:numPr>
          <w:ilvl w:val="0"/>
          <w:numId w:val="1111"/>
        </w:numPr>
      </w:pPr>
      <w:r>
        <w:rPr>
          <w:bCs/>
          <w:b/>
        </w:rPr>
        <w:t xml:space="preserve">N fixation and nitrification</w:t>
      </w:r>
      <w:r>
        <w:t xml:space="preserve"> </w:t>
      </w:r>
      <w:r>
        <w:t xml:space="preserve">slow down in acid soils.</w:t>
      </w:r>
    </w:p>
    <w:p>
      <w:pPr>
        <w:pStyle w:val="Heading2"/>
      </w:pPr>
      <w:r>
        <w:t xml:space="preserve">15.5 Electrical Conductivity and Soluble Salts</w:t>
      </w:r>
    </w:p>
    <w:p>
      <w:pPr>
        <w:pStyle w:val="FirstParagraph"/>
      </w:pPr>
      <w:r>
        <w:rPr>
          <w:bCs/>
          <w:b/>
        </w:rPr>
        <w:t xml:space="preserve">Electrical conductivity (EC)</w:t>
      </w:r>
      <w:r>
        <w:t xml:space="preserve"> </w:t>
      </w:r>
      <w:r>
        <w:t xml:space="preserve">measures total dissolved salts. It is reported in</w:t>
      </w:r>
      <w:r>
        <w:t xml:space="preserve"> </w:t>
      </w:r>
      <w:r>
        <w:rPr>
          <w:bCs/>
          <w:b/>
        </w:rPr>
        <w:t xml:space="preserve">dS m⁻¹</w:t>
      </w:r>
      <w:r>
        <w:t xml:space="preserve"> </w:t>
      </w:r>
      <w:r>
        <w:t xml:space="preserve">(= mmhos cm⁻¹) at 25 °C, in the saturation-paste extract (</w:t>
      </w:r>
      <w:r>
        <w:rPr>
          <w:bCs/>
          <w:b/>
        </w:rPr>
        <w:t xml:space="preserve">ECe</w:t>
      </w:r>
      <w:r>
        <w:t xml:space="preserve">, the reference) or in 1:2 or 1:5 suspensions.</w:t>
      </w:r>
    </w:p>
    <w:p>
      <w:pPr>
        <w:pStyle w:val="Compact"/>
        <w:numPr>
          <w:ilvl w:val="0"/>
          <w:numId w:val="1112"/>
        </w:numPr>
      </w:pPr>
      <w:r>
        <w:t xml:space="preserve">Total dissolved salts: TDS (mg L⁻¹) ≈ 640 × EC (dS m⁻¹).</w:t>
      </w:r>
    </w:p>
    <w:p>
      <w:pPr>
        <w:pStyle w:val="Compact"/>
        <w:numPr>
          <w:ilvl w:val="0"/>
          <w:numId w:val="1112"/>
        </w:numPr>
      </w:pPr>
      <w:r>
        <w:t xml:space="preserve">Salt concentration (meq L⁻¹) ≈ 10 × EC.</w:t>
      </w:r>
    </w:p>
    <w:p>
      <w:pPr>
        <w:pStyle w:val="Compact"/>
        <w:numPr>
          <w:ilvl w:val="0"/>
          <w:numId w:val="1112"/>
        </w:numPr>
      </w:pPr>
      <w:r>
        <w:t xml:space="preserve">Osmotic potential (bar) ≈ −0.36 × EC.</w:t>
      </w:r>
    </w:p>
    <w:p>
      <w:pPr>
        <w:pStyle w:val="FirstParagraph"/>
      </w:pPr>
      <w:r>
        <w:rPr>
          <w:bCs/>
          <w:b/>
        </w:rPr>
        <w:t xml:space="preserve">ECe &gt; 4 dS m⁻¹ defines saline soils.</w:t>
      </w:r>
      <w:r>
        <w:t xml:space="preserve"> </w:t>
      </w:r>
      <w:r>
        <w:t xml:space="preserve">Sensitive crops (beans, citrus) are affected at 1–2 dS m⁻¹, and tolerant crops (barley, cotton, sugar beet) tolerate 7–10.</w:t>
      </w:r>
    </w:p>
    <w:p>
      <w:pPr>
        <w:pStyle w:val="Heading2"/>
      </w:pPr>
      <w:r>
        <w:t xml:space="preserve">15.6 Redox Potential</w:t>
      </w:r>
    </w:p>
    <w:p>
      <w:pPr>
        <w:pStyle w:val="FirstParagraph"/>
      </w:pPr>
      <w:r>
        <w:rPr>
          <w:bCs/>
          <w:b/>
        </w:rPr>
        <w:t xml:space="preserve">Redox potential (Eh)</w:t>
      </w:r>
      <w:r>
        <w:t xml:space="preserve"> </w:t>
      </w:r>
      <w:r>
        <w:t xml:space="preserve">measures the tendency of the soil environment to accept or donate electrons:</w:t>
      </w:r>
    </w:p>
    <w:p>
      <w:pPr>
        <w:pStyle w:val="BodyText"/>
      </w:pPr>
      <m:oMathPara>
        <m:oMathParaPr>
          <m:jc m:val="center"/>
        </m:oMathParaPr>
        <m:oMath>
          <m:r>
            <m:t>E</m:t>
          </m:r>
          <m:r>
            <m:t>h</m:t>
          </m:r>
          <m:r>
            <m:rPr>
              <m:sty m:val="p"/>
            </m:rPr>
            <m:t>=</m:t>
          </m:r>
          <m:sSup>
            <m:e>
              <m:r>
                <m:t>E</m:t>
              </m:r>
            </m:e>
            <m:sup>
              <m:r>
                <m:t>0</m:t>
              </m:r>
            </m:sup>
          </m:sSup>
          <m:r>
            <m:rPr>
              <m:sty m:val="p"/>
            </m:rPr>
            <m:t>+</m:t>
          </m:r>
          <m:f>
            <m:fPr>
              <m:type m:val="bar"/>
            </m:fPr>
            <m:num>
              <m:r>
                <m:t>R</m:t>
              </m:r>
              <m:r>
                <m:t>T</m:t>
              </m:r>
            </m:num>
            <m:den>
              <m:r>
                <m:t>n</m:t>
              </m:r>
              <m:r>
                <m:t>F</m:t>
              </m:r>
            </m:den>
          </m:f>
          <m:r>
            <m:rPr>
              <m:sty m:val="p"/>
            </m:rPr>
            <m:t>ln</m:t>
          </m:r>
          <m:f>
            <m:fPr>
              <m:type m:val="bar"/>
            </m:fPr>
            <m:num>
              <m:d>
                <m:dPr>
                  <m:begChr m:val="["/>
                  <m:endChr m:val="]"/>
                  <m:sepChr m:val=""/>
                  <m:grow/>
                </m:dPr>
                <m:e>
                  <m:r>
                    <m:rPr>
                      <m:nor/>
                      <m:sty m:val="p"/>
                    </m:rPr>
                    <m:t>oxidant</m:t>
                  </m:r>
                </m:e>
              </m:d>
            </m:num>
            <m:den>
              <m:d>
                <m:dPr>
                  <m:begChr m:val="["/>
                  <m:endChr m:val="]"/>
                  <m:sepChr m:val=""/>
                  <m:grow/>
                </m:dPr>
                <m:e>
                  <m:r>
                    <m:rPr>
                      <m:nor/>
                      <m:sty m:val="p"/>
                    </m:rPr>
                    <m:t>reductant</m:t>
                  </m:r>
                </m:e>
              </m:d>
            </m:den>
          </m:f>
        </m:oMath>
      </m:oMathPara>
    </w:p>
    <w:p>
      <w:pPr>
        <w:pStyle w:val="FirstParagraph"/>
      </w:pPr>
      <w:r>
        <w:t xml:space="preserve">Well-aerated soils have Eh of +400 to +700 mV. Waterlogged soils fall to −200 to −300 mV. Redox reactions control the chemistry of submerged rice soils (sequential reduction of O₂, NO₃⁻, Mn⁴⁺, Fe³⁺, SO₄²⁻ and CO₂), described in the chapter on problem soils.</w:t>
      </w:r>
    </w:p>
    <w:p>
      <w:pPr>
        <w:pStyle w:val="Heading2"/>
      </w:pPr>
      <w:r>
        <w:t xml:space="preserve">15.7 Soil Organic Matter</w:t>
      </w:r>
    </w:p>
    <w:p>
      <w:pPr>
        <w:pStyle w:val="FirstParagraph"/>
      </w:pPr>
      <w:r>
        <w:rPr>
          <w:bCs/>
          <w:b/>
        </w:rPr>
        <w:t xml:space="preserve">Soil organic matter (SOM)</w:t>
      </w:r>
      <w:r>
        <w:t xml:space="preserve"> </w:t>
      </w:r>
      <w:r>
        <w:t xml:space="preserve">comprises living biomass, fresh residues, and decomposed, stabilised</w:t>
      </w:r>
      <w:r>
        <w:t xml:space="preserve"> </w:t>
      </w:r>
      <w:r>
        <w:rPr>
          <w:bCs/>
          <w:b/>
        </w:rPr>
        <w:t xml:space="preserve">humus</w:t>
      </w:r>
      <w:r>
        <w:t xml:space="preserve">. Indian soils typically have 0.2–1.0% organic carbon (low), because high temperatures speed decomposition.</w:t>
      </w:r>
    </w:p>
    <w:p>
      <w:pPr>
        <w:pStyle w:val="Compact"/>
        <w:numPr>
          <w:ilvl w:val="0"/>
          <w:numId w:val="1113"/>
        </w:numPr>
      </w:pPr>
      <w:r>
        <w:rPr>
          <w:bCs/>
          <w:b/>
        </w:rPr>
        <w:t xml:space="preserve">SOM ≈ OC × 1.724</w:t>
      </w:r>
      <w:r>
        <w:t xml:space="preserve"> </w:t>
      </w:r>
      <w:r>
        <w:t xml:space="preserve">(Van Bemmelen factor, assuming humus is 58% C).</w:t>
      </w:r>
    </w:p>
    <w:p>
      <w:pPr>
        <w:pStyle w:val="Compact"/>
        <w:numPr>
          <w:ilvl w:val="0"/>
          <w:numId w:val="1113"/>
        </w:numPr>
      </w:pPr>
      <w:r>
        <w:t xml:space="preserve">Determined by</w:t>
      </w:r>
      <w:r>
        <w:t xml:space="preserve"> </w:t>
      </w:r>
      <w:r>
        <w:rPr>
          <w:bCs/>
          <w:b/>
        </w:rPr>
        <w:t xml:space="preserve">Walkley–Black wet oxidation</w:t>
      </w:r>
      <w:r>
        <w:t xml:space="preserve"> </w:t>
      </w:r>
      <w:r>
        <w:t xml:space="preserve">(dichromate–sulphuric acid, back-titrated with ferrous ammonium sulphate). It recovers about 77% of carbon, so results are multiplied by 1.3 for total OC. The alternative is dry combustion (CHN analyser).</w:t>
      </w:r>
    </w:p>
    <w:p>
      <w:pPr>
        <w:pStyle w:val="FirstParagraph"/>
      </w:pPr>
      <w:r>
        <w:rPr>
          <w:bCs/>
          <w:b/>
        </w:rPr>
        <w:t xml:space="preserve">Humus fractions</w:t>
      </w:r>
      <w:r>
        <w:t xml:space="preserve"> </w:t>
      </w:r>
      <w:r>
        <w:t xml:space="preserve">(by solubility):</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Fraction</w:t>
            </w:r>
          </w:p>
        </w:tc>
        <w:tc>
          <w:tcPr/>
          <w:p>
            <w:pPr>
              <w:pStyle w:val="Compact"/>
              <w:jc w:val="left"/>
            </w:pPr>
            <w:r>
              <w:t xml:space="preserve">Alkali</w:t>
            </w:r>
          </w:p>
        </w:tc>
        <w:tc>
          <w:tcPr/>
          <w:p>
            <w:pPr>
              <w:pStyle w:val="Compact"/>
              <w:jc w:val="left"/>
            </w:pPr>
            <w:r>
              <w:t xml:space="preserve">Acid</w:t>
            </w:r>
          </w:p>
        </w:tc>
        <w:tc>
          <w:tcPr/>
          <w:p>
            <w:pPr>
              <w:pStyle w:val="Compact"/>
              <w:jc w:val="left"/>
            </w:pPr>
            <w:r>
              <w:t xml:space="preserve">Molecular weight / colour</w:t>
            </w:r>
          </w:p>
        </w:tc>
      </w:tr>
      <w:tr>
        <w:tc>
          <w:tcPr/>
          <w:p>
            <w:pPr>
              <w:pStyle w:val="Compact"/>
              <w:jc w:val="left"/>
            </w:pPr>
            <w:r>
              <w:rPr>
                <w:bCs/>
                <w:b/>
              </w:rPr>
              <w:t xml:space="preserve">Fulvic acid</w:t>
            </w:r>
          </w:p>
        </w:tc>
        <w:tc>
          <w:tcPr/>
          <w:p>
            <w:pPr>
              <w:pStyle w:val="Compact"/>
              <w:jc w:val="left"/>
            </w:pPr>
            <w:r>
              <w:t xml:space="preserve">Soluble</w:t>
            </w:r>
          </w:p>
        </w:tc>
        <w:tc>
          <w:tcPr/>
          <w:p>
            <w:pPr>
              <w:pStyle w:val="Compact"/>
              <w:jc w:val="left"/>
            </w:pPr>
            <w:r>
              <w:t xml:space="preserve">Soluble</w:t>
            </w:r>
          </w:p>
        </w:tc>
        <w:tc>
          <w:tcPr/>
          <w:p>
            <w:pPr>
              <w:pStyle w:val="Compact"/>
              <w:jc w:val="left"/>
            </w:pPr>
            <w:r>
              <w:t xml:space="preserve">Low MW, yellow; most reactive; mobile</w:t>
            </w:r>
          </w:p>
        </w:tc>
      </w:tr>
      <w:tr>
        <w:tc>
          <w:tcPr/>
          <w:p>
            <w:pPr>
              <w:pStyle w:val="Compact"/>
              <w:jc w:val="left"/>
            </w:pPr>
            <w:r>
              <w:rPr>
                <w:bCs/>
                <w:b/>
              </w:rPr>
              <w:t xml:space="preserve">Humic acid</w:t>
            </w:r>
          </w:p>
        </w:tc>
        <w:tc>
          <w:tcPr/>
          <w:p>
            <w:pPr>
              <w:pStyle w:val="Compact"/>
              <w:jc w:val="left"/>
            </w:pPr>
            <w:r>
              <w:t xml:space="preserve">Soluble</w:t>
            </w:r>
          </w:p>
        </w:tc>
        <w:tc>
          <w:tcPr/>
          <w:p>
            <w:pPr>
              <w:pStyle w:val="Compact"/>
              <w:jc w:val="left"/>
            </w:pPr>
            <w:r>
              <w:t xml:space="preserve">Insoluble</w:t>
            </w:r>
          </w:p>
        </w:tc>
        <w:tc>
          <w:tcPr/>
          <w:p>
            <w:pPr>
              <w:pStyle w:val="Compact"/>
              <w:jc w:val="left"/>
            </w:pPr>
            <w:r>
              <w:t xml:space="preserve">Medium–high MW, dark brown</w:t>
            </w:r>
          </w:p>
        </w:tc>
      </w:tr>
      <w:tr>
        <w:tc>
          <w:tcPr/>
          <w:p>
            <w:pPr>
              <w:pStyle w:val="Compact"/>
              <w:jc w:val="left"/>
            </w:pPr>
            <w:r>
              <w:rPr>
                <w:bCs/>
                <w:b/>
              </w:rPr>
              <w:t xml:space="preserve">Humin</w:t>
            </w:r>
          </w:p>
        </w:tc>
        <w:tc>
          <w:tcPr/>
          <w:p>
            <w:pPr>
              <w:pStyle w:val="Compact"/>
              <w:jc w:val="left"/>
            </w:pPr>
            <w:r>
              <w:t xml:space="preserve">Insoluble</w:t>
            </w:r>
          </w:p>
        </w:tc>
        <w:tc>
          <w:tcPr/>
          <w:p>
            <w:pPr>
              <w:pStyle w:val="Compact"/>
              <w:jc w:val="left"/>
            </w:pPr>
            <w:r>
              <w:t xml:space="preserve">Insoluble</w:t>
            </w:r>
          </w:p>
        </w:tc>
        <w:tc>
          <w:tcPr/>
          <w:p>
            <w:pPr>
              <w:pStyle w:val="Compact"/>
              <w:jc w:val="left"/>
            </w:pPr>
            <w:r>
              <w:t xml:space="preserve">Highest MW, black; most stable</w:t>
            </w:r>
          </w:p>
        </w:tc>
      </w:tr>
    </w:tbl>
    <w:p>
      <w:pPr>
        <w:pStyle w:val="BodyText"/>
      </w:pPr>
      <w:r>
        <w:rPr>
          <w:bCs/>
          <w:b/>
        </w:rPr>
        <w:t xml:space="preserve">Functions of SOM:</w:t>
      </w:r>
      <w:r>
        <w:t xml:space="preserve"> </w:t>
      </w:r>
      <w:r>
        <w:t xml:space="preserve">nutrient reservoir (about 95% of soil N, 5–60% of P, most S); high CEC; buffering; aggregate stability (crumb structure); water retention; microbial food; chelation of micronutrients; reduced P fixation; reduced Al toxicity; dark colour warms soil; carbon sequestration.</w:t>
      </w:r>
    </w:p>
    <w:p>
      <w:pPr>
        <w:pStyle w:val="BodyText"/>
      </w:pPr>
      <w:r>
        <w:rPr>
          <w:bCs/>
          <w:b/>
        </w:rPr>
        <w:t xml:space="preserve">C:N ratio.</w:t>
      </w:r>
      <w:r>
        <w:t xml:space="preserve"> </w:t>
      </w:r>
      <w:r>
        <w:t xml:space="preserve">Humus has about</w:t>
      </w:r>
      <w:r>
        <w:t xml:space="preserve"> </w:t>
      </w:r>
      <w:r>
        <w:rPr>
          <w:bCs/>
          <w:b/>
        </w:rPr>
        <w:t xml:space="preserve">10–12:1</w:t>
      </w:r>
      <w:r>
        <w:t xml:space="preserve">. Microbial tissue has about 8:1. Residues vary: legumes 15–25:1, cereal straw</w:t>
      </w:r>
      <w:r>
        <w:t xml:space="preserve"> </w:t>
      </w:r>
      <w:r>
        <w:rPr>
          <w:bCs/>
          <w:b/>
        </w:rPr>
        <w:t xml:space="preserve">80–100:1</w:t>
      </w:r>
      <w:r>
        <w:t xml:space="preserve">, sawdust 400:1.</w:t>
      </w:r>
    </w:p>
    <w:p>
      <w:pPr>
        <w:pStyle w:val="Compact"/>
        <w:numPr>
          <w:ilvl w:val="0"/>
          <w:numId w:val="1114"/>
        </w:numPr>
      </w:pPr>
      <w:r>
        <w:t xml:space="preserve">Residues with C:N</w:t>
      </w:r>
      <w:r>
        <w:t xml:space="preserve"> </w:t>
      </w:r>
      <w:r>
        <w:rPr>
          <w:bCs/>
          <w:b/>
        </w:rPr>
        <w:t xml:space="preserve">&gt; 30:1</w:t>
      </w:r>
      <w:r>
        <w:t xml:space="preserve"> </w:t>
      </w:r>
      <w:r>
        <w:t xml:space="preserve">cause</w:t>
      </w:r>
      <w:r>
        <w:t xml:space="preserve"> </w:t>
      </w:r>
      <w:r>
        <w:rPr>
          <w:bCs/>
          <w:b/>
        </w:rPr>
        <w:t xml:space="preserve">net immobilisation</w:t>
      </w:r>
      <w:r>
        <w:t xml:space="preserve">: microbes lock up soil mineral N, so crops show temporary N deficiency.</w:t>
      </w:r>
    </w:p>
    <w:p>
      <w:pPr>
        <w:pStyle w:val="Compact"/>
        <w:numPr>
          <w:ilvl w:val="0"/>
          <w:numId w:val="1114"/>
        </w:numPr>
      </w:pPr>
      <w:r>
        <w:t xml:space="preserve">Residues with C:N</w:t>
      </w:r>
      <w:r>
        <w:t xml:space="preserve"> </w:t>
      </w:r>
      <w:r>
        <w:rPr>
          <w:bCs/>
          <w:b/>
        </w:rPr>
        <w:t xml:space="preserve">&lt; 20:1</w:t>
      </w:r>
      <w:r>
        <w:t xml:space="preserve"> </w:t>
      </w:r>
      <w:r>
        <w:t xml:space="preserve">cause</w:t>
      </w:r>
      <w:r>
        <w:t xml:space="preserve"> </w:t>
      </w:r>
      <w:r>
        <w:rPr>
          <w:bCs/>
          <w:b/>
        </w:rPr>
        <w:t xml:space="preserve">net mineralisation</w:t>
      </w:r>
      <w:r>
        <w:t xml:space="preserve">: N is released.</w:t>
      </w:r>
    </w:p>
    <w:p>
      <w:pPr>
        <w:pStyle w:val="FirstParagraph"/>
      </w:pPr>
      <w:r>
        <w:t xml:space="preserve">This is why straw is incorporated with extra N, or composted first.</w:t>
      </w:r>
    </w:p>
    <w:p>
      <w:pPr>
        <w:pStyle w:val="BodyText"/>
      </w:pPr>
      <w:r>
        <w:rPr>
          <w:bCs/>
          <w:b/>
        </w:rPr>
        <w:t xml:space="preserve">Priming effect:</w:t>
      </w:r>
      <w:r>
        <w:t xml:space="preserve"> </w:t>
      </w:r>
      <w:r>
        <w:t xml:space="preserve">adding fresh organic matter can accelerate decomposition of native SOM.</w:t>
      </w:r>
    </w:p>
    <w:p>
      <w:pPr>
        <w:pStyle w:val="Heading2"/>
      </w:pPr>
      <w:r>
        <w:t xml:space="preserve">15.8 Soil Biological Properties</w:t>
      </w:r>
    </w:p>
    <w:p>
      <w:pPr>
        <w:pStyle w:val="Heading3"/>
      </w:pPr>
      <w:r>
        <w:t xml:space="preserve">15.8.1 Soil organisms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Size</w:t>
            </w:r>
          </w:p>
        </w:tc>
        <w:tc>
          <w:tcPr/>
          <w:p>
            <w:pPr>
              <w:pStyle w:val="Compact"/>
              <w:jc w:val="left"/>
            </w:pPr>
            <w:r>
              <w:t xml:space="preserve">Examples</w:t>
            </w:r>
          </w:p>
        </w:tc>
        <w:tc>
          <w:tcPr/>
          <w:p>
            <w:pPr>
              <w:pStyle w:val="Compact"/>
              <w:jc w:val="left"/>
            </w:pPr>
            <w:r>
              <w:t xml:space="preserve">Roles</w:t>
            </w:r>
          </w:p>
        </w:tc>
      </w:tr>
      <w:tr>
        <w:tc>
          <w:tcPr/>
          <w:p>
            <w:pPr>
              <w:pStyle w:val="Compact"/>
              <w:jc w:val="left"/>
            </w:pPr>
            <w:r>
              <w:rPr>
                <w:bCs/>
                <w:b/>
              </w:rPr>
              <w:t xml:space="preserve">Macrofauna</w:t>
            </w:r>
          </w:p>
        </w:tc>
        <w:tc>
          <w:tcPr/>
          <w:p>
            <w:pPr>
              <w:pStyle w:val="Compact"/>
              <w:jc w:val="left"/>
            </w:pPr>
            <w:r>
              <w:t xml:space="preserve">&gt; 2 mm</w:t>
            </w:r>
          </w:p>
        </w:tc>
        <w:tc>
          <w:tcPr/>
          <w:p>
            <w:pPr>
              <w:pStyle w:val="Compact"/>
              <w:jc w:val="left"/>
            </w:pPr>
            <w:r>
              <w:t xml:space="preserve">Earthworms, termites, ants, beetles, millipedes</w:t>
            </w:r>
          </w:p>
        </w:tc>
        <w:tc>
          <w:tcPr/>
          <w:p>
            <w:pPr>
              <w:pStyle w:val="Compact"/>
              <w:jc w:val="left"/>
            </w:pPr>
            <w:r>
              <w:t xml:space="preserve">Comminution, burrowing, mixing; earthworm casts are nutrient-rich and well aggregated (</w:t>
            </w:r>
            <w:r>
              <w:t xml:space="preserve">“</w:t>
            </w:r>
            <w:r>
              <w:t xml:space="preserve">ecosystem engineers</w:t>
            </w:r>
            <w:r>
              <w:t xml:space="preserve">”</w:t>
            </w:r>
            <w:r>
              <w:t xml:space="preserve">)</w:t>
            </w:r>
          </w:p>
        </w:tc>
      </w:tr>
      <w:tr>
        <w:tc>
          <w:tcPr/>
          <w:p>
            <w:pPr>
              <w:pStyle w:val="Compact"/>
              <w:jc w:val="left"/>
            </w:pPr>
            <w:r>
              <w:rPr>
                <w:bCs/>
                <w:b/>
              </w:rPr>
              <w:t xml:space="preserve">Mesofauna</w:t>
            </w:r>
          </w:p>
        </w:tc>
        <w:tc>
          <w:tcPr/>
          <w:p>
            <w:pPr>
              <w:pStyle w:val="Compact"/>
              <w:jc w:val="left"/>
            </w:pPr>
            <w:r>
              <w:t xml:space="preserve">0.1–2 mm</w:t>
            </w:r>
          </w:p>
        </w:tc>
        <w:tc>
          <w:tcPr/>
          <w:p>
            <w:pPr>
              <w:pStyle w:val="Compact"/>
              <w:jc w:val="left"/>
            </w:pPr>
            <w:r>
              <w:t xml:space="preserve">Mites, springtails (Collembola), enchytraeids</w:t>
            </w:r>
          </w:p>
        </w:tc>
        <w:tc>
          <w:tcPr/>
          <w:p>
            <w:pPr>
              <w:pStyle w:val="Compact"/>
              <w:jc w:val="left"/>
            </w:pPr>
            <w:r>
              <w:t xml:space="preserve">Litter fragmentation, microbial grazing</w:t>
            </w:r>
          </w:p>
        </w:tc>
      </w:tr>
      <w:tr>
        <w:tc>
          <w:tcPr/>
          <w:p>
            <w:pPr>
              <w:pStyle w:val="Compact"/>
              <w:jc w:val="left"/>
            </w:pPr>
            <w:r>
              <w:rPr>
                <w:bCs/>
                <w:b/>
              </w:rPr>
              <w:t xml:space="preserve">Microfauna</w:t>
            </w:r>
          </w:p>
        </w:tc>
        <w:tc>
          <w:tcPr/>
          <w:p>
            <w:pPr>
              <w:pStyle w:val="Compact"/>
              <w:jc w:val="left"/>
            </w:pPr>
            <w:r>
              <w:t xml:space="preserve">&lt; 0.1 mm</w:t>
            </w:r>
          </w:p>
        </w:tc>
        <w:tc>
          <w:tcPr/>
          <w:p>
            <w:pPr>
              <w:pStyle w:val="Compact"/>
              <w:jc w:val="left"/>
            </w:pPr>
            <w:r>
              <w:t xml:space="preserve">Protozoa, nematodes</w:t>
            </w:r>
          </w:p>
        </w:tc>
        <w:tc>
          <w:tcPr/>
          <w:p>
            <w:pPr>
              <w:pStyle w:val="Compact"/>
              <w:jc w:val="left"/>
            </w:pPr>
            <w:r>
              <w:t xml:space="preserve">Grazing on bacteria, releasing N (the</w:t>
            </w:r>
            <w:r>
              <w:t xml:space="preserve"> </w:t>
            </w:r>
            <w:r>
              <w:t xml:space="preserve">“</w:t>
            </w:r>
            <w:r>
              <w:t xml:space="preserve">microbial loop</w:t>
            </w:r>
            <w:r>
              <w:t xml:space="preserve">”</w:t>
            </w:r>
            <w:r>
              <w:t xml:space="preserve">)</w:t>
            </w:r>
          </w:p>
        </w:tc>
      </w:tr>
      <w:tr>
        <w:tc>
          <w:tcPr/>
          <w:p>
            <w:pPr>
              <w:pStyle w:val="Compact"/>
              <w:jc w:val="left"/>
            </w:pPr>
            <w:r>
              <w:rPr>
                <w:bCs/>
                <w:b/>
              </w:rPr>
              <w:t xml:space="preserve">Bacteria</w:t>
            </w:r>
          </w:p>
        </w:tc>
        <w:tc>
          <w:tcPr/>
          <w:p>
            <w:pPr>
              <w:pStyle w:val="Compact"/>
              <w:jc w:val="left"/>
            </w:pPr>
            <w:r>
              <w:t xml:space="preserve">0.5–5 µm</w:t>
            </w:r>
          </w:p>
        </w:tc>
        <w:tc>
          <w:tcPr/>
          <w:p>
            <w:pPr>
              <w:pStyle w:val="Compact"/>
              <w:jc w:val="left"/>
            </w:pPr>
            <w:r>
              <w:t xml:space="preserve">10⁸–10⁹ per g soil; Rhizobium, Azotobacter, Nitrosomonas, Nitrobacter, Bacillus, Pseudomonas</w:t>
            </w:r>
          </w:p>
        </w:tc>
        <w:tc>
          <w:tcPr/>
          <w:p>
            <w:pPr>
              <w:pStyle w:val="Compact"/>
              <w:jc w:val="left"/>
            </w:pPr>
            <w:r>
              <w:t xml:space="preserve">Decomposition, N fixation, nitrification, denitrification, P solubilisation</w:t>
            </w:r>
          </w:p>
        </w:tc>
      </w:tr>
      <w:tr>
        <w:tc>
          <w:tcPr/>
          <w:p>
            <w:pPr>
              <w:pStyle w:val="Compact"/>
              <w:jc w:val="left"/>
            </w:pPr>
            <w:r>
              <w:rPr>
                <w:bCs/>
                <w:b/>
              </w:rPr>
              <w:t xml:space="preserve">Actinomycetes</w:t>
            </w:r>
          </w:p>
        </w:tc>
        <w:tc>
          <w:tcPr/>
          <w:p>
            <w:pPr>
              <w:pStyle w:val="Compact"/>
              <w:jc w:val="left"/>
            </w:pPr>
            <w:r>
              <w:t xml:space="preserve">Filamentous bacteria</w:t>
            </w:r>
          </w:p>
        </w:tc>
        <w:tc>
          <w:tcPr/>
          <w:p>
            <w:pPr>
              <w:pStyle w:val="Compact"/>
              <w:jc w:val="left"/>
            </w:pPr>
            <w:r>
              <w:t xml:space="preserve">Streptomyces, Frankia</w:t>
            </w:r>
          </w:p>
        </w:tc>
        <w:tc>
          <w:tcPr/>
          <w:p>
            <w:pPr>
              <w:pStyle w:val="Compact"/>
              <w:jc w:val="left"/>
            </w:pPr>
            <w:r>
              <w:t xml:space="preserve">Decompose resistant compounds; antibiotics;</w:t>
            </w:r>
            <w:r>
              <w:t xml:space="preserve"> </w:t>
            </w:r>
            <w:r>
              <w:rPr>
                <w:bCs/>
                <w:b/>
              </w:rPr>
              <w:t xml:space="preserve">geosmin gives the earthy smell</w:t>
            </w:r>
          </w:p>
        </w:tc>
      </w:tr>
      <w:tr>
        <w:tc>
          <w:tcPr/>
          <w:p>
            <w:pPr>
              <w:pStyle w:val="Compact"/>
              <w:jc w:val="left"/>
            </w:pPr>
            <w:r>
              <w:rPr>
                <w:bCs/>
                <w:b/>
              </w:rPr>
              <w:t xml:space="preserve">Fungi</w:t>
            </w:r>
          </w:p>
        </w:tc>
        <w:tc>
          <w:tcPr/>
          <w:p>
            <w:pPr>
              <w:pStyle w:val="Compact"/>
              <w:jc w:val="left"/>
            </w:pPr>
            <w:r>
              <w:t xml:space="preserve">Hyphae</w:t>
            </w:r>
          </w:p>
        </w:tc>
        <w:tc>
          <w:tcPr/>
          <w:p>
            <w:pPr>
              <w:pStyle w:val="Compact"/>
              <w:jc w:val="left"/>
            </w:pPr>
            <w:r>
              <w:t xml:space="preserve">Penicillium, Aspergillus, Trichoderma,</w:t>
            </w:r>
            <w:r>
              <w:t xml:space="preserve"> </w:t>
            </w:r>
            <w:r>
              <w:rPr>
                <w:bCs/>
                <w:b/>
              </w:rPr>
              <w:t xml:space="preserve">mycorrhizae</w:t>
            </w:r>
          </w:p>
        </w:tc>
        <w:tc>
          <w:tcPr/>
          <w:p>
            <w:pPr>
              <w:pStyle w:val="Compact"/>
              <w:jc w:val="left"/>
            </w:pPr>
            <w:r>
              <w:t xml:space="preserve">Dominant decomposers in acid soils; lignin breakdown; aggregation; P uptake</w:t>
            </w:r>
          </w:p>
        </w:tc>
      </w:tr>
      <w:tr>
        <w:tc>
          <w:tcPr/>
          <w:p>
            <w:pPr>
              <w:pStyle w:val="Compact"/>
              <w:jc w:val="left"/>
            </w:pPr>
            <w:r>
              <w:rPr>
                <w:bCs/>
                <w:b/>
              </w:rPr>
              <w:t xml:space="preserve">Algae and cyanobacteria</w:t>
            </w:r>
          </w:p>
        </w:tc>
        <w:tc>
          <w:tcPr/>
          <w:p>
            <w:pPr>
              <w:pStyle w:val="Compact"/>
              <w:jc w:val="left"/>
            </w:pPr>
            <w:r>
              <w:t xml:space="preserve">—</w:t>
            </w:r>
          </w:p>
        </w:tc>
        <w:tc>
          <w:tcPr/>
          <w:p>
            <w:pPr>
              <w:pStyle w:val="Compact"/>
              <w:jc w:val="left"/>
            </w:pPr>
            <w:r>
              <w:t xml:space="preserve">Anabaena, Nostoc</w:t>
            </w:r>
          </w:p>
        </w:tc>
        <w:tc>
          <w:tcPr/>
          <w:p>
            <w:pPr>
              <w:pStyle w:val="Compact"/>
              <w:jc w:val="left"/>
            </w:pPr>
            <w:r>
              <w:t xml:space="preserve">Photosynthesis; N fixation in paddies</w:t>
            </w:r>
          </w:p>
        </w:tc>
      </w:tr>
    </w:tbl>
    <w:p>
      <w:pPr>
        <w:pStyle w:val="Heading3"/>
      </w:pPr>
      <w:r>
        <w:t xml:space="preserve">15.8.2 Key biological processes and indicators</w:t>
      </w:r>
    </w:p>
    <w:p>
      <w:pPr>
        <w:pStyle w:val="Compact"/>
        <w:numPr>
          <w:ilvl w:val="0"/>
          <w:numId w:val="1115"/>
        </w:numPr>
      </w:pPr>
      <w:r>
        <w:rPr>
          <w:bCs/>
          <w:b/>
        </w:rPr>
        <w:t xml:space="preserve">Decomposition and mineralisation</w:t>
      </w:r>
      <w:r>
        <w:t xml:space="preserve">, which convert organic N, P and S into plant-available inorganic forms.</w:t>
      </w:r>
    </w:p>
    <w:p>
      <w:pPr>
        <w:pStyle w:val="Compact"/>
        <w:numPr>
          <w:ilvl w:val="0"/>
          <w:numId w:val="1115"/>
        </w:numPr>
      </w:pPr>
      <w:r>
        <w:rPr>
          <w:bCs/>
          <w:b/>
        </w:rPr>
        <w:t xml:space="preserve">Immobilisation</w:t>
      </w:r>
      <w:r>
        <w:t xml:space="preserve">, the reverse (microbial uptake of inorganic nutrients).</w:t>
      </w:r>
    </w:p>
    <w:p>
      <w:pPr>
        <w:pStyle w:val="Compact"/>
        <w:numPr>
          <w:ilvl w:val="0"/>
          <w:numId w:val="1115"/>
        </w:numPr>
      </w:pPr>
      <w:r>
        <w:rPr>
          <w:bCs/>
          <w:b/>
        </w:rPr>
        <w:t xml:space="preserve">Biological nitrogen fixation:</w:t>
      </w:r>
      <w:r>
        <w:t xml:space="preserve"> </w:t>
      </w:r>
      <w:r>
        <w:t xml:space="preserve">N₂ → NH₃ by the nitrogenase enzyme (needs Mo and Fe; O₂-sensitive).</w:t>
      </w:r>
    </w:p>
    <w:p>
      <w:pPr>
        <w:pStyle w:val="Compact"/>
        <w:numPr>
          <w:ilvl w:val="0"/>
          <w:numId w:val="1115"/>
        </w:numPr>
      </w:pPr>
      <w:r>
        <w:rPr>
          <w:bCs/>
          <w:b/>
        </w:rPr>
        <w:t xml:space="preserve">Nitrification</w:t>
      </w:r>
      <w:r>
        <w:t xml:space="preserve"> </w:t>
      </w:r>
      <w:r>
        <w:t xml:space="preserve">(NH₄⁺ → NO₂⁻ by</w:t>
      </w:r>
      <w:r>
        <w:t xml:space="preserve"> </w:t>
      </w:r>
      <w:r>
        <w:rPr>
          <w:iCs/>
          <w:i/>
        </w:rPr>
        <w:t xml:space="preserve">Nitrosomonas</w:t>
      </w:r>
      <w:r>
        <w:t xml:space="preserve">, NO₂⁻ → NO₃⁻ by</w:t>
      </w:r>
      <w:r>
        <w:t xml:space="preserve"> </w:t>
      </w:r>
      <w:r>
        <w:rPr>
          <w:iCs/>
          <w:i/>
        </w:rPr>
        <w:t xml:space="preserve">Nitrobacter</w:t>
      </w:r>
      <w:r>
        <w:t xml:space="preserve">) and</w:t>
      </w:r>
      <w:r>
        <w:t xml:space="preserve"> </w:t>
      </w:r>
      <w:r>
        <w:rPr>
          <w:bCs/>
          <w:b/>
        </w:rPr>
        <w:t xml:space="preserve">denitrification</w:t>
      </w:r>
      <w:r>
        <w:t xml:space="preserve"> </w:t>
      </w:r>
      <w:r>
        <w:t xml:space="preserve">(NO₃⁻ → N₂O → N₂ under anaerobic conditions).</w:t>
      </w:r>
    </w:p>
    <w:p>
      <w:pPr>
        <w:pStyle w:val="Compact"/>
        <w:numPr>
          <w:ilvl w:val="0"/>
          <w:numId w:val="1115"/>
        </w:numPr>
      </w:pPr>
      <w:r>
        <w:rPr>
          <w:bCs/>
          <w:b/>
        </w:rPr>
        <w:t xml:space="preserve">Rhizosphere effect:</w:t>
      </w:r>
      <w:r>
        <w:t xml:space="preserve"> </w:t>
      </w:r>
      <w:r>
        <w:t xml:space="preserve">the narrow zone around roots enriched by exudates. The</w:t>
      </w:r>
      <w:r>
        <w:t xml:space="preserve"> </w:t>
      </w:r>
      <w:r>
        <w:rPr>
          <w:bCs/>
          <w:b/>
        </w:rPr>
        <w:t xml:space="preserve">R:S ratio</w:t>
      </w:r>
      <w:r>
        <w:t xml:space="preserve"> </w:t>
      </w:r>
      <w:r>
        <w:t xml:space="preserve">(microbes in rhizosphere : non-rhizosphere soil) is 5–50.</w:t>
      </w:r>
    </w:p>
    <w:p>
      <w:pPr>
        <w:pStyle w:val="Compact"/>
        <w:numPr>
          <w:ilvl w:val="0"/>
          <w:numId w:val="1115"/>
        </w:numPr>
      </w:pPr>
      <w:r>
        <w:rPr>
          <w:bCs/>
          <w:b/>
        </w:rPr>
        <w:t xml:space="preserve">Mycorrhizae:</w:t>
      </w:r>
      <w:r>
        <w:t xml:space="preserve"> </w:t>
      </w:r>
      <w:r>
        <w:t xml:space="preserve">arbuscular mycorrhizal fungi (AMF;</w:t>
      </w:r>
      <w:r>
        <w:t xml:space="preserve"> </w:t>
      </w:r>
      <w:r>
        <w:rPr>
          <w:iCs/>
          <w:i/>
        </w:rPr>
        <w:t xml:space="preserve">Glomus</w:t>
      </w:r>
      <w:r>
        <w:t xml:space="preserve">) extend the root system, improving P, Zn and water uptake. Ectomycorrhizae occur on forest trees.</w:t>
      </w:r>
    </w:p>
    <w:p>
      <w:pPr>
        <w:pStyle w:val="Compact"/>
        <w:numPr>
          <w:ilvl w:val="0"/>
          <w:numId w:val="1115"/>
        </w:numPr>
      </w:pPr>
      <w:r>
        <w:rPr>
          <w:bCs/>
          <w:b/>
        </w:rPr>
        <w:t xml:space="preserve">Indicators of soil biological health:</w:t>
      </w:r>
    </w:p>
    <w:p>
      <w:pPr>
        <w:pStyle w:val="Compact"/>
        <w:numPr>
          <w:ilvl w:val="1"/>
          <w:numId w:val="1116"/>
        </w:numPr>
      </w:pPr>
      <w:r>
        <w:rPr>
          <w:bCs/>
          <w:b/>
        </w:rPr>
        <w:t xml:space="preserve">Microbial biomass carbon</w:t>
      </w:r>
      <w:r>
        <w:t xml:space="preserve"> </w:t>
      </w:r>
      <w:r>
        <w:t xml:space="preserve">(chloroform fumigation–extraction), usually 1–4% of OC.</w:t>
      </w:r>
    </w:p>
    <w:p>
      <w:pPr>
        <w:pStyle w:val="Compact"/>
        <w:numPr>
          <w:ilvl w:val="1"/>
          <w:numId w:val="1116"/>
        </w:numPr>
      </w:pPr>
      <w:r>
        <w:rPr>
          <w:bCs/>
          <w:b/>
        </w:rPr>
        <w:t xml:space="preserve">Soil respiration</w:t>
      </w:r>
      <w:r>
        <w:t xml:space="preserve"> </w:t>
      </w:r>
      <w:r>
        <w:t xml:space="preserve">(CO₂ evolution) and</w:t>
      </w:r>
      <w:r>
        <w:t xml:space="preserve"> </w:t>
      </w:r>
      <w:r>
        <w:rPr>
          <w:bCs/>
          <w:b/>
        </w:rPr>
        <w:t xml:space="preserve">metabolic quotient</w:t>
      </w:r>
      <w:r>
        <w:t xml:space="preserve"> </w:t>
      </w:r>
      <w:r>
        <w:t xml:space="preserve">qCO₂.</w:t>
      </w:r>
    </w:p>
    <w:p>
      <w:pPr>
        <w:pStyle w:val="Compact"/>
        <w:numPr>
          <w:ilvl w:val="1"/>
          <w:numId w:val="1116"/>
        </w:numPr>
      </w:pPr>
      <w:r>
        <w:rPr>
          <w:bCs/>
          <w:b/>
        </w:rPr>
        <w:t xml:space="preserve">Enzyme activity:</w:t>
      </w:r>
      <w:r>
        <w:t xml:space="preserve"> </w:t>
      </w:r>
      <w:r>
        <w:t xml:space="preserve">dehydrogenase (overall microbial activity), phosphatases, urease, β-glucosidase.</w:t>
      </w:r>
    </w:p>
    <w:p>
      <w:pPr>
        <w:pStyle w:val="Compact"/>
        <w:numPr>
          <w:ilvl w:val="1"/>
          <w:numId w:val="1116"/>
        </w:numPr>
      </w:pPr>
      <w:r>
        <w:t xml:space="preserve">Earthworm counts.</w:t>
      </w:r>
    </w:p>
    <w:p>
      <w:pPr>
        <w:pStyle w:val="Compact"/>
        <w:numPr>
          <w:ilvl w:val="1"/>
          <w:numId w:val="1116"/>
        </w:numPr>
      </w:pPr>
      <w:r>
        <w:t xml:space="preserve">Potentially mineralisable N.</w:t>
      </w:r>
    </w:p>
    <w:p>
      <w:pPr>
        <w:pStyle w:val="CaptionedFigure"/>
      </w:pPr>
      <w:r>
        <w:drawing>
          <wp:inline>
            <wp:extent cx="5334000" cy="2506980"/>
            <wp:effectExtent b="0" l="0" r="0" t="0"/>
            <wp:docPr descr="Organic matter turnover in soil" title="" id="63" name="Picture"/>
            <a:graphic>
              <a:graphicData uri="http://schemas.openxmlformats.org/drawingml/2006/picture">
                <pic:pic>
                  <pic:nvPicPr>
                    <pic:cNvPr descr="/tmp/claude-0/-home-user-sonu/ab07c29a-21cd-5a4a-9d2d-68ad72d07153/scratchpad/build/../flows/flow_011.png" id="64" name="Picture"/>
                    <pic:cNvPicPr>
                      <a:picLocks noChangeArrowheads="1" noChangeAspect="1"/>
                    </pic:cNvPicPr>
                  </pic:nvPicPr>
                  <pic:blipFill>
                    <a:blip r:embed="rId62"/>
                    <a:stretch>
                      <a:fillRect/>
                    </a:stretch>
                  </pic:blipFill>
                  <pic:spPr bwMode="auto">
                    <a:xfrm>
                      <a:off x="0" y="0"/>
                      <a:ext cx="5334000" cy="2506980"/>
                    </a:xfrm>
                    <a:prstGeom prst="rect">
                      <a:avLst/>
                    </a:prstGeom>
                    <a:noFill/>
                    <a:ln w="9525">
                      <a:noFill/>
                      <a:headEnd/>
                      <a:tailEnd/>
                    </a:ln>
                  </pic:spPr>
                </pic:pic>
              </a:graphicData>
            </a:graphic>
          </wp:inline>
        </w:drawing>
      </w:r>
    </w:p>
    <w:p>
      <w:pPr>
        <w:pStyle w:val="ImageCaption"/>
      </w:pPr>
      <w:r>
        <w:t xml:space="preserve">Organic matter turnover in soil</w:t>
      </w:r>
    </w:p>
    <w:p>
      <w:pPr>
        <w:pStyle w:val="Heading3"/>
      </w:pPr>
      <w:r>
        <w:t xml:space="preserve">15.8.3 Likely interview questions</w:t>
      </w:r>
    </w:p>
    <w:p>
      <w:pPr>
        <w:pStyle w:val="FirstParagraph"/>
      </w:pPr>
      <w:r>
        <w:rPr>
          <w:bCs/>
          <w:b/>
        </w:rPr>
        <w:t xml:space="preserve">Q. Why do Vertisols swell and crack?</w:t>
      </w:r>
      <w:r>
        <w:t xml:space="preserve"> </w:t>
      </w:r>
      <w:r>
        <w:t xml:space="preserve">They are dominated by smectite, a 2:1 expanding clay whose interlayers adsorb water and exchangeable cations. They swell when wet and shrink and crack when dry.</w:t>
      </w:r>
    </w:p>
    <w:p>
      <w:pPr>
        <w:pStyle w:val="BodyText"/>
      </w:pPr>
      <w:r>
        <w:rPr>
          <w:bCs/>
          <w:b/>
        </w:rPr>
        <w:t xml:space="preserve">Q. What is isomorphous substitution?</w:t>
      </w:r>
      <w:r>
        <w:t xml:space="preserve"> </w:t>
      </w:r>
      <w:r>
        <w:t xml:space="preserve">Replacement of an ion in the clay lattice by another of similar size but lower valency (Al³⁺ for Si⁴⁺, Mg²⁺ for Al³⁺) during formation. It gives permanent negative charge.</w:t>
      </w:r>
    </w:p>
    <w:p>
      <w:pPr>
        <w:pStyle w:val="BodyText"/>
      </w:pPr>
      <w:r>
        <w:rPr>
          <w:bCs/>
          <w:b/>
        </w:rPr>
        <w:t xml:space="preserve">Q. Define CEC and give its units and standard method.</w:t>
      </w:r>
      <w:r>
        <w:t xml:space="preserve"> </w:t>
      </w:r>
      <w:r>
        <w:t xml:space="preserve">Total exchangeable cations held per unit mass, in cmol(+) kg⁻¹ (= meq 100 g⁻¹). The standard method uses 1 N NH₄OAc at pH 7.</w:t>
      </w:r>
    </w:p>
    <w:p>
      <w:pPr>
        <w:pStyle w:val="BodyText"/>
      </w:pPr>
      <w:r>
        <w:rPr>
          <w:bCs/>
          <w:b/>
        </w:rPr>
        <w:t xml:space="preserve">Q. Why does adding wheat straw cause temporary N deficiency?</w:t>
      </w:r>
      <w:r>
        <w:t xml:space="preserve"> </w:t>
      </w:r>
      <w:r>
        <w:t xml:space="preserve">Its high C:N ratio (about 80:1) makes microbes immobilise soil mineral N while decomposing the straw.</w:t>
      </w:r>
    </w:p>
    <w:p>
      <w:pPr>
        <w:pStyle w:val="BodyText"/>
      </w:pPr>
      <w:r>
        <w:rPr>
          <w:bCs/>
          <w:b/>
        </w:rPr>
        <w:t xml:space="preserve">Q. What is the Walkley–Black method and the Van Bemmelen factor?</w:t>
      </w:r>
      <w:r>
        <w:t xml:space="preserve"> </w:t>
      </w:r>
      <w:r>
        <w:t xml:space="preserve">Dichromate wet oxidation of organic carbon. SOM = OC × 1.724.</w:t>
      </w:r>
    </w:p>
    <w:p>
      <w:pPr>
        <w:pStyle w:val="BodyText"/>
      </w:pPr>
      <w:r>
        <w:rPr>
          <w:bCs/>
          <w:b/>
        </w:rPr>
        <w:t xml:space="preserve">Q. Which cation disperses clay and why?</w:t>
      </w:r>
      <w:r>
        <w:t xml:space="preserve"> </w:t>
      </w:r>
      <w:r>
        <w:t xml:space="preserve">Na⁺. Its large hydrated radius and single charge expand the diffuse double layer.</w:t>
      </w:r>
    </w:p>
    <w:p>
      <w:pPr>
        <w:pStyle w:val="Heading1"/>
      </w:pPr>
      <w:r>
        <w:t xml:space="preserve">Chapter 16. Soil Water, Soil Temperature and Soil Air; Field Water Balance and WUE</w:t>
      </w:r>
    </w:p>
    <w:p>
      <w:pPr>
        <w:pStyle w:val="Heading2"/>
      </w:pPr>
      <w:r>
        <w:t xml:space="preserve">16.1 Soil Water: Forces and Energy Concept</w:t>
      </w:r>
    </w:p>
    <w:p>
      <w:pPr>
        <w:pStyle w:val="FirstParagraph"/>
      </w:pPr>
      <w:r>
        <w:t xml:space="preserve">Water is held in soil by</w:t>
      </w:r>
      <w:r>
        <w:t xml:space="preserve"> </w:t>
      </w:r>
      <w:r>
        <w:rPr>
          <w:bCs/>
          <w:b/>
        </w:rPr>
        <w:t xml:space="preserve">adhesion</w:t>
      </w:r>
      <w:r>
        <w:t xml:space="preserve"> </w:t>
      </w:r>
      <w:r>
        <w:t xml:space="preserve">(attraction of water to solid surfaces),</w:t>
      </w:r>
      <w:r>
        <w:t xml:space="preserve"> </w:t>
      </w:r>
      <w:r>
        <w:rPr>
          <w:bCs/>
          <w:b/>
        </w:rPr>
        <w:t xml:space="preserve">cohesion</w:t>
      </w:r>
      <w:r>
        <w:t xml:space="preserve"> </w:t>
      </w:r>
      <w:r>
        <w:t xml:space="preserve">(water-to-water hydrogen bonding) and</w:t>
      </w:r>
      <w:r>
        <w:t xml:space="preserve"> </w:t>
      </w:r>
      <w:r>
        <w:rPr>
          <w:bCs/>
          <w:b/>
        </w:rPr>
        <w:t xml:space="preserve">surface tension</w:t>
      </w:r>
      <w:r>
        <w:t xml:space="preserve"> </w:t>
      </w:r>
      <w:r>
        <w:t xml:space="preserve">at air–water interfaces in pores. Capillary rise in a tube of radius</w:t>
      </w:r>
      <w:r>
        <w:t xml:space="preserve"> </w:t>
      </w:r>
      <m:oMath>
        <m:r>
          <m:t>r</m:t>
        </m:r>
      </m:oMath>
      <w:r>
        <w:t xml:space="preserve"> </w:t>
      </w:r>
      <w:r>
        <w:t xml:space="preserve">is</w:t>
      </w:r>
    </w:p>
    <w:p>
      <w:pPr>
        <w:pStyle w:val="BodyText"/>
      </w:pPr>
      <m:oMathPara>
        <m:oMathParaPr>
          <m:jc m:val="center"/>
        </m:oMathParaPr>
        <m:oMath>
          <m:r>
            <m:t>h</m:t>
          </m:r>
          <m:r>
            <m:rPr>
              <m:sty m:val="p"/>
            </m:rPr>
            <m:t>=</m:t>
          </m:r>
          <m:f>
            <m:fPr>
              <m:type m:val="bar"/>
            </m:fPr>
            <m:num>
              <m:r>
                <m:t>2</m:t>
              </m:r>
              <m:r>
                <m:t>σ</m:t>
              </m:r>
              <m:r>
                <m:rPr>
                  <m:sty m:val="p"/>
                </m:rPr>
                <m:t>cos</m:t>
              </m:r>
              <m:r>
                <m:t>α</m:t>
              </m:r>
            </m:num>
            <m:den>
              <m:sSub>
                <m:e>
                  <m:r>
                    <m:t>ρ</m:t>
                  </m:r>
                </m:e>
                <m:sub>
                  <m:r>
                    <m:t>w</m:t>
                  </m:r>
                </m:sub>
              </m:sSub>
              <m:r>
                <m:t> </m:t>
              </m:r>
              <m:r>
                <m:t>g</m:t>
              </m:r>
              <m:r>
                <m:t> </m:t>
              </m:r>
              <m:r>
                <m:t>r</m:t>
              </m:r>
            </m:den>
          </m:f>
        </m:oMath>
      </m:oMathPara>
    </w:p>
    <w:p>
      <w:pPr>
        <w:pStyle w:val="FirstParagraph"/>
      </w:pPr>
      <w:r>
        <w:t xml:space="preserve">(</w:t>
      </w:r>
      <m:oMath>
        <m:r>
          <m:t>σ</m:t>
        </m:r>
      </m:oMath>
      <w:r>
        <w:t xml:space="preserve"> </w:t>
      </w:r>
      <w:r>
        <w:t xml:space="preserve">= surface tension, 0.0728 N m⁻¹ at 20 °C;</w:t>
      </w:r>
      <w:r>
        <w:t xml:space="preserve"> </w:t>
      </w:r>
      <m:oMath>
        <m:r>
          <m:t>α</m:t>
        </m:r>
      </m:oMath>
      <w:r>
        <w:t xml:space="preserve"> </w:t>
      </w:r>
      <w:r>
        <w:t xml:space="preserve">= contact angle). The smaller the pore, the higher the rise and the more tightly water is held.</w:t>
      </w:r>
      <w:r>
        <w:t xml:space="preserve"> </w:t>
      </w:r>
      <w:r>
        <w:rPr>
          <w:bCs/>
          <w:b/>
        </w:rPr>
        <w:t xml:space="preserve">Clays retain more water than sands.</w:t>
      </w:r>
    </w:p>
    <w:p>
      <w:pPr>
        <w:pStyle w:val="Heading3"/>
      </w:pPr>
      <w:r>
        <w:t xml:space="preserve">16.1.1 Soil water potential</w:t>
      </w:r>
    </w:p>
    <w:p>
      <w:pPr>
        <w:pStyle w:val="FirstParagraph"/>
      </w:pPr>
      <w:r>
        <w:t xml:space="preserve">The modern description of soil water uses</w:t>
      </w:r>
      <w:r>
        <w:t xml:space="preserve"> </w:t>
      </w:r>
      <w:r>
        <w:rPr>
          <w:bCs/>
          <w:b/>
        </w:rPr>
        <w:t xml:space="preserve">energy</w:t>
      </w:r>
      <w:r>
        <w:t xml:space="preserve">. Water moves from</w:t>
      </w:r>
      <w:r>
        <w:t xml:space="preserve"> </w:t>
      </w:r>
      <w:r>
        <w:rPr>
          <w:bCs/>
          <w:b/>
        </w:rPr>
        <w:t xml:space="preserve">higher to lower potential</w:t>
      </w:r>
      <w:r>
        <w:t xml:space="preserve">. The</w:t>
      </w:r>
      <w:r>
        <w:t xml:space="preserve"> </w:t>
      </w:r>
      <w:r>
        <w:rPr>
          <w:bCs/>
          <w:b/>
        </w:rPr>
        <w:t xml:space="preserve">total soil water potential</w:t>
      </w:r>
      <w:r>
        <w:t xml:space="preserve"> </w:t>
      </w:r>
      <w:r>
        <w:t xml:space="preserve">is the sum of its components:</w:t>
      </w:r>
    </w:p>
    <w:p>
      <w:pPr>
        <w:pStyle w:val="BodyText"/>
      </w:pPr>
      <m:oMathPara>
        <m:oMathParaPr>
          <m:jc m:val="center"/>
        </m:oMathParaPr>
        <m:oMath>
          <m:sSub>
            <m:e>
              <m:r>
                <m:t>ψ</m:t>
              </m:r>
            </m:e>
            <m:sub>
              <m:r>
                <m:t>t</m:t>
              </m:r>
            </m:sub>
          </m:sSub>
          <m:r>
            <m:rPr>
              <m:sty m:val="p"/>
            </m:rPr>
            <m:t>=</m:t>
          </m:r>
          <m:sSub>
            <m:e>
              <m:r>
                <m:t>ψ</m:t>
              </m:r>
            </m:e>
            <m:sub>
              <m:r>
                <m:t>m</m:t>
              </m:r>
            </m:sub>
          </m:sSub>
          <m:r>
            <m:rPr>
              <m:sty m:val="p"/>
            </m:rPr>
            <m:t>+</m:t>
          </m:r>
          <m:sSub>
            <m:e>
              <m:r>
                <m:t>ψ</m:t>
              </m:r>
            </m:e>
            <m:sub>
              <m:r>
                <m:t>o</m:t>
              </m:r>
            </m:sub>
          </m:sSub>
          <m:r>
            <m:rPr>
              <m:sty m:val="p"/>
            </m:rPr>
            <m:t>+</m:t>
          </m:r>
          <m:sSub>
            <m:e>
              <m:r>
                <m:t>ψ</m:t>
              </m:r>
            </m:e>
            <m:sub>
              <m:r>
                <m:t>g</m:t>
              </m:r>
            </m:sub>
          </m:sSub>
          <m:r>
            <m:rPr>
              <m:sty m:val="p"/>
            </m:rPr>
            <m:t>+</m:t>
          </m:r>
          <m:sSub>
            <m:e>
              <m:r>
                <m:t>ψ</m:t>
              </m:r>
            </m:e>
            <m:sub>
              <m:r>
                <m:t>p</m:t>
              </m:r>
            </m:sub>
          </m:sSub>
        </m:oMath>
      </m:oMathPara>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Cause</w:t>
            </w:r>
          </w:p>
        </w:tc>
        <w:tc>
          <w:tcPr/>
          <w:p>
            <w:pPr>
              <w:pStyle w:val="Compact"/>
              <w:jc w:val="left"/>
            </w:pPr>
            <w:r>
              <w:t xml:space="preserve">Sign</w:t>
            </w:r>
          </w:p>
        </w:tc>
      </w:tr>
      <w:tr>
        <w:tc>
          <w:tcPr/>
          <w:p>
            <w:pPr>
              <w:pStyle w:val="Compact"/>
              <w:jc w:val="left"/>
            </w:pPr>
            <w:r>
              <w:rPr>
                <w:bCs/>
                <w:b/>
              </w:rPr>
              <w:t xml:space="preserve">Matric</w:t>
            </w:r>
            <w:r>
              <w:t xml:space="preserve"> </w:t>
            </w:r>
            <m:oMath>
              <m:sSub>
                <m:e>
                  <m:r>
                    <m:t>ψ</m:t>
                  </m:r>
                </m:e>
                <m:sub>
                  <m:r>
                    <m:t>m</m:t>
                  </m:r>
                </m:sub>
              </m:sSub>
            </m:oMath>
          </w:p>
        </w:tc>
        <w:tc>
          <w:tcPr/>
          <w:p>
            <w:pPr>
              <w:pStyle w:val="Compact"/>
              <w:jc w:val="left"/>
            </w:pPr>
            <w:r>
              <w:t xml:space="preserve">Adsorption and capillarity of the soil matrix</w:t>
            </w:r>
          </w:p>
        </w:tc>
        <w:tc>
          <w:tcPr/>
          <w:p>
            <w:pPr>
              <w:pStyle w:val="Compact"/>
              <w:jc w:val="left"/>
            </w:pPr>
            <w:r>
              <w:t xml:space="preserve">Negative (suction) in unsaturated soil</w:t>
            </w:r>
          </w:p>
        </w:tc>
      </w:tr>
      <w:tr>
        <w:tc>
          <w:tcPr/>
          <w:p>
            <w:pPr>
              <w:pStyle w:val="Compact"/>
              <w:jc w:val="left"/>
            </w:pPr>
            <w:r>
              <w:rPr>
                <w:bCs/>
                <w:b/>
              </w:rPr>
              <w:t xml:space="preserve">Osmotic (solute)</w:t>
            </w:r>
            <w:r>
              <w:t xml:space="preserve"> </w:t>
            </w:r>
            <m:oMath>
              <m:sSub>
                <m:e>
                  <m:r>
                    <m:t>ψ</m:t>
                  </m:r>
                </m:e>
                <m:sub>
                  <m:r>
                    <m:t>o</m:t>
                  </m:r>
                </m:sub>
              </m:sSub>
            </m:oMath>
          </w:p>
        </w:tc>
        <w:tc>
          <w:tcPr/>
          <w:p>
            <w:pPr>
              <w:pStyle w:val="Compact"/>
              <w:jc w:val="left"/>
            </w:pPr>
            <w:r>
              <w:t xml:space="preserve">Dissolved salts</w:t>
            </w:r>
          </w:p>
        </w:tc>
        <w:tc>
          <w:tcPr/>
          <w:p>
            <w:pPr>
              <w:pStyle w:val="Compact"/>
              <w:jc w:val="left"/>
            </w:pPr>
            <w:r>
              <w:t xml:space="preserve">Negative; important in saline soils and across root membranes</w:t>
            </w:r>
          </w:p>
        </w:tc>
      </w:tr>
      <w:tr>
        <w:tc>
          <w:tcPr/>
          <w:p>
            <w:pPr>
              <w:pStyle w:val="Compact"/>
              <w:jc w:val="left"/>
            </w:pPr>
            <w:r>
              <w:rPr>
                <w:bCs/>
                <w:b/>
              </w:rPr>
              <w:t xml:space="preserve">Gravitational</w:t>
            </w:r>
            <w:r>
              <w:t xml:space="preserve"> </w:t>
            </w:r>
            <m:oMath>
              <m:sSub>
                <m:e>
                  <m:r>
                    <m:t>ψ</m:t>
                  </m:r>
                </m:e>
                <m:sub>
                  <m:r>
                    <m:t>g</m:t>
                  </m:r>
                </m:sub>
              </m:sSub>
            </m:oMath>
          </w:p>
        </w:tc>
        <w:tc>
          <w:tcPr/>
          <w:p>
            <w:pPr>
              <w:pStyle w:val="Compact"/>
              <w:jc w:val="left"/>
            </w:pPr>
            <w:r>
              <w:t xml:space="preserve">Elevation above a reference</w:t>
            </w:r>
          </w:p>
        </w:tc>
        <w:tc>
          <w:tcPr/>
          <w:p>
            <w:pPr>
              <w:pStyle w:val="Compact"/>
              <w:jc w:val="left"/>
            </w:pPr>
            <w:r>
              <w:t xml:space="preserve">Positive above the reference</w:t>
            </w:r>
          </w:p>
        </w:tc>
      </w:tr>
      <w:tr>
        <w:tc>
          <w:tcPr/>
          <w:p>
            <w:pPr>
              <w:pStyle w:val="Compact"/>
              <w:jc w:val="left"/>
            </w:pPr>
            <w:r>
              <w:rPr>
                <w:bCs/>
                <w:b/>
              </w:rPr>
              <w:t xml:space="preserve">Pressure</w:t>
            </w:r>
            <w:r>
              <w:t xml:space="preserve"> </w:t>
            </w:r>
            <m:oMath>
              <m:sSub>
                <m:e>
                  <m:r>
                    <m:t>ψ</m:t>
                  </m:r>
                </m:e>
                <m:sub>
                  <m:r>
                    <m:t>p</m:t>
                  </m:r>
                </m:sub>
              </m:sSub>
            </m:oMath>
          </w:p>
        </w:tc>
        <w:tc>
          <w:tcPr/>
          <w:p>
            <w:pPr>
              <w:pStyle w:val="Compact"/>
              <w:jc w:val="left"/>
            </w:pPr>
            <w:r>
              <w:t xml:space="preserve">Hydrostatic pressure below a water table</w:t>
            </w:r>
          </w:p>
        </w:tc>
        <w:tc>
          <w:tcPr/>
          <w:p>
            <w:pPr>
              <w:pStyle w:val="Compact"/>
              <w:jc w:val="left"/>
            </w:pPr>
            <w:r>
              <w:t xml:space="preserve">Positive in saturated soil</w:t>
            </w:r>
          </w:p>
        </w:tc>
      </w:tr>
    </w:tbl>
    <w:p>
      <w:pPr>
        <w:pStyle w:val="BodyText"/>
      </w:pPr>
      <w:r>
        <w:rPr>
          <w:bCs/>
          <w:b/>
        </w:rPr>
        <w:t xml:space="preserve">Units:</w:t>
      </w:r>
      <w:r>
        <w:t xml:space="preserve"> </w:t>
      </w:r>
      <w:r>
        <w:t xml:space="preserve">1 bar = 100 kPa = 0.1 MPa ≈ 1020 cm of water ≈ 0.987 atm. The</w:t>
      </w:r>
      <w:r>
        <w:t xml:space="preserve"> </w:t>
      </w:r>
      <w:r>
        <w:rPr>
          <w:bCs/>
          <w:b/>
        </w:rPr>
        <w:t xml:space="preserve">pF scale</w:t>
      </w:r>
      <w:r>
        <w:t xml:space="preserve"> </w:t>
      </w:r>
      <w:r>
        <w:t xml:space="preserve">is</w:t>
      </w:r>
      <w:r>
        <w:t xml:space="preserve"> </w:t>
      </w:r>
      <m:oMath>
        <m:r>
          <m:t>p</m:t>
        </m:r>
        <m:r>
          <m:t>F</m:t>
        </m:r>
        <m:r>
          <m:rPr>
            <m:sty m:val="p"/>
          </m:rPr>
          <m:t>=</m:t>
        </m:r>
        <m:sSub>
          <m:e>
            <m:r>
              <m:rPr>
                <m:sty m:val="p"/>
              </m:rPr>
              <m:t>log</m:t>
            </m:r>
          </m:e>
          <m:sub>
            <m:r>
              <m:t>10</m:t>
            </m:r>
          </m:sub>
        </m:sSub>
        <m:d>
          <m:dPr>
            <m:begChr m:val="|"/>
            <m:endChr m:val="|"/>
            <m:sepChr m:val=""/>
            <m:grow/>
          </m:dPr>
          <m:e>
            <m:r>
              <m:t>h</m:t>
            </m:r>
            <m:r>
              <m:t> </m:t>
            </m:r>
            <m:d>
              <m:dPr>
                <m:begChr m:val="("/>
                <m:endChr m:val=")"/>
                <m:sepChr m:val=""/>
                <m:grow/>
              </m:dPr>
              <m:e>
                <m:r>
                  <m:rPr>
                    <m:nor/>
                    <m:sty m:val="p"/>
                  </m:rPr>
                  <m:t>cm of water</m:t>
                </m:r>
              </m:e>
            </m:d>
          </m:e>
        </m:d>
      </m:oMath>
      <w:r>
        <w:t xml:space="preserve">: field capacity ≈ pF 2.5 (−33 kPa) and permanent wilting point ≈ pF 4.2 (−1500 kPa).</w:t>
      </w:r>
    </w:p>
    <w:p>
      <w:pPr>
        <w:pStyle w:val="Heading3"/>
      </w:pPr>
      <w:r>
        <w:t xml:space="preserve">16.1.2 Soil moisture constants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Constant</w:t>
            </w:r>
          </w:p>
        </w:tc>
        <w:tc>
          <w:tcPr/>
          <w:p>
            <w:pPr>
              <w:pStyle w:val="Compact"/>
              <w:jc w:val="left"/>
            </w:pPr>
            <w:r>
              <w:t xml:space="preserve">Potential</w:t>
            </w:r>
          </w:p>
        </w:tc>
        <w:tc>
          <w:tcPr/>
          <w:p>
            <w:pPr>
              <w:pStyle w:val="Compact"/>
              <w:jc w:val="left"/>
            </w:pPr>
            <w:r>
              <w:t xml:space="preserve">Meaning</w:t>
            </w:r>
          </w:p>
        </w:tc>
      </w:tr>
      <w:tr>
        <w:tc>
          <w:tcPr/>
          <w:p>
            <w:pPr>
              <w:pStyle w:val="Compact"/>
              <w:jc w:val="left"/>
            </w:pPr>
            <w:r>
              <w:rPr>
                <w:bCs/>
                <w:b/>
              </w:rPr>
              <w:t xml:space="preserve">Saturation</w:t>
            </w:r>
          </w:p>
        </w:tc>
        <w:tc>
          <w:tcPr/>
          <w:p>
            <w:pPr>
              <w:pStyle w:val="Compact"/>
              <w:jc w:val="left"/>
            </w:pPr>
            <w:r>
              <w:t xml:space="preserve">0</w:t>
            </w:r>
          </w:p>
        </w:tc>
        <w:tc>
          <w:tcPr/>
          <w:p>
            <w:pPr>
              <w:pStyle w:val="Compact"/>
              <w:jc w:val="left"/>
            </w:pPr>
            <w:r>
              <w:t xml:space="preserve">All pores filled; water content = porosity</w:t>
            </w:r>
          </w:p>
        </w:tc>
      </w:tr>
      <w:tr>
        <w:tc>
          <w:tcPr/>
          <w:p>
            <w:pPr>
              <w:pStyle w:val="Compact"/>
              <w:jc w:val="left"/>
            </w:pPr>
            <w:r>
              <w:rPr>
                <w:bCs/>
                <w:b/>
              </w:rPr>
              <w:t xml:space="preserve">Field capacity (FC)</w:t>
            </w:r>
          </w:p>
        </w:tc>
        <w:tc>
          <w:tcPr/>
          <w:p>
            <w:pPr>
              <w:pStyle w:val="Compact"/>
              <w:jc w:val="left"/>
            </w:pPr>
            <w:r>
              <w:rPr>
                <w:bCs/>
                <w:b/>
              </w:rPr>
              <w:t xml:space="preserve">−33 kPa (−1/3 bar)</w:t>
            </w:r>
            <w:r>
              <w:t xml:space="preserve">; −10 kPa for sands</w:t>
            </w:r>
          </w:p>
        </w:tc>
        <w:tc>
          <w:tcPr/>
          <w:p>
            <w:pPr>
              <w:pStyle w:val="Compact"/>
              <w:jc w:val="left"/>
            </w:pPr>
            <w:r>
              <w:t xml:space="preserve">Water held after free (gravitational) drainage has practically stopped, 2–3 days after thorough wetting</w:t>
            </w:r>
          </w:p>
        </w:tc>
      </w:tr>
      <w:tr>
        <w:tc>
          <w:tcPr/>
          <w:p>
            <w:pPr>
              <w:pStyle w:val="Compact"/>
              <w:jc w:val="left"/>
            </w:pPr>
            <w:r>
              <w:rPr>
                <w:bCs/>
                <w:b/>
              </w:rPr>
              <w:t xml:space="preserve">Permanent wilting point (PWP)</w:t>
            </w:r>
          </w:p>
        </w:tc>
        <w:tc>
          <w:tcPr/>
          <w:p>
            <w:pPr>
              <w:pStyle w:val="Compact"/>
              <w:jc w:val="left"/>
            </w:pPr>
            <w:r>
              <w:rPr>
                <w:bCs/>
                <w:b/>
              </w:rPr>
              <w:t xml:space="preserve">−1500 kPa (−15 bar)</w:t>
            </w:r>
          </w:p>
        </w:tc>
        <w:tc>
          <w:tcPr/>
          <w:p>
            <w:pPr>
              <w:pStyle w:val="Compact"/>
              <w:jc w:val="left"/>
            </w:pPr>
            <w:r>
              <w:t xml:space="preserve">Plants wilt and do not recover overnight even in a humid atmosphere (sunflower test)</w:t>
            </w:r>
          </w:p>
        </w:tc>
      </w:tr>
      <w:tr>
        <w:tc>
          <w:tcPr/>
          <w:p>
            <w:pPr>
              <w:pStyle w:val="Compact"/>
              <w:jc w:val="left"/>
            </w:pPr>
            <w:r>
              <w:rPr>
                <w:bCs/>
                <w:b/>
              </w:rPr>
              <w:t xml:space="preserve">Hygroscopic coefficient</w:t>
            </w:r>
          </w:p>
        </w:tc>
        <w:tc>
          <w:tcPr/>
          <w:p>
            <w:pPr>
              <w:pStyle w:val="Compact"/>
              <w:jc w:val="left"/>
            </w:pPr>
            <w:r>
              <w:t xml:space="preserve">about −3100 kPa (−31 bar)</w:t>
            </w:r>
          </w:p>
        </w:tc>
        <w:tc>
          <w:tcPr/>
          <w:p>
            <w:pPr>
              <w:pStyle w:val="Compact"/>
              <w:jc w:val="left"/>
            </w:pPr>
            <w:r>
              <w:t xml:space="preserve">Water adsorbed from saturated air</w:t>
            </w:r>
          </w:p>
        </w:tc>
      </w:tr>
      <w:tr>
        <w:tc>
          <w:tcPr/>
          <w:p>
            <w:pPr>
              <w:pStyle w:val="Compact"/>
              <w:jc w:val="left"/>
            </w:pPr>
            <w:r>
              <w:rPr>
                <w:bCs/>
                <w:b/>
              </w:rPr>
              <w:t xml:space="preserve">Oven-dry</w:t>
            </w:r>
          </w:p>
        </w:tc>
        <w:tc>
          <w:tcPr/>
          <w:p>
            <w:pPr>
              <w:pStyle w:val="Compact"/>
              <w:jc w:val="left"/>
            </w:pPr>
            <w:r>
              <w:t xml:space="preserve">about −10⁶ kPa</w:t>
            </w:r>
          </w:p>
        </w:tc>
        <w:tc>
          <w:tcPr/>
          <w:p>
            <w:pPr>
              <w:pStyle w:val="Compact"/>
              <w:jc w:val="left"/>
            </w:pPr>
            <w:r>
              <w:t xml:space="preserve">Dried at 105 °C</w:t>
            </w:r>
          </w:p>
        </w:tc>
      </w:tr>
    </w:tbl>
    <w:p>
      <w:pPr>
        <w:pStyle w:val="BodyText"/>
      </w:pPr>
      <w:r>
        <w:rPr>
          <w:bCs/>
          <w:b/>
        </w:rPr>
        <w:t xml:space="preserve">Physical classification of soil water:</w:t>
      </w:r>
    </w:p>
    <w:p>
      <w:pPr>
        <w:pStyle w:val="Compact"/>
        <w:numPr>
          <w:ilvl w:val="0"/>
          <w:numId w:val="1117"/>
        </w:numPr>
      </w:pPr>
      <w:r>
        <w:rPr>
          <w:bCs/>
          <w:b/>
        </w:rPr>
        <w:t xml:space="preserve">Gravitational water</w:t>
      </w:r>
      <w:r>
        <w:t xml:space="preserve"> </w:t>
      </w:r>
      <w:r>
        <w:t xml:space="preserve">(saturation to FC): drains through macropores. Not available and causes poor aeration.</w:t>
      </w:r>
    </w:p>
    <w:p>
      <w:pPr>
        <w:pStyle w:val="Compact"/>
        <w:numPr>
          <w:ilvl w:val="0"/>
          <w:numId w:val="1117"/>
        </w:numPr>
      </w:pPr>
      <w:r>
        <w:rPr>
          <w:bCs/>
          <w:b/>
        </w:rPr>
        <w:t xml:space="preserve">Capillary water</w:t>
      </w:r>
      <w:r>
        <w:t xml:space="preserve"> </w:t>
      </w:r>
      <w:r>
        <w:t xml:space="preserve">(FC to hygroscopic coefficient): held in micropores; the</w:t>
      </w:r>
      <w:r>
        <w:t xml:space="preserve"> </w:t>
      </w:r>
      <w:r>
        <w:rPr>
          <w:bCs/>
          <w:b/>
        </w:rPr>
        <w:t xml:space="preserve">plant-available</w:t>
      </w:r>
      <w:r>
        <w:t xml:space="preserve"> </w:t>
      </w:r>
      <w:r>
        <w:t xml:space="preserve">part lies between FC and PWP.</w:t>
      </w:r>
    </w:p>
    <w:p>
      <w:pPr>
        <w:pStyle w:val="Compact"/>
        <w:numPr>
          <w:ilvl w:val="0"/>
          <w:numId w:val="1117"/>
        </w:numPr>
      </w:pPr>
      <w:r>
        <w:rPr>
          <w:bCs/>
          <w:b/>
        </w:rPr>
        <w:t xml:space="preserve">Hygroscopic water</w:t>
      </w:r>
      <w:r>
        <w:t xml:space="preserve"> </w:t>
      </w:r>
      <w:r>
        <w:t xml:space="preserve">(below about −31 bar): unavailable.</w:t>
      </w:r>
    </w:p>
    <w:p>
      <w:pPr>
        <w:pStyle w:val="Heading3"/>
      </w:pPr>
      <w:r>
        <w:t xml:space="preserve">16.1.3 Available water capacity</w:t>
      </w:r>
    </w:p>
    <w:p>
      <w:pPr>
        <w:pStyle w:val="FirstParagraph"/>
      </w:pPr>
      <m:oMathPara>
        <m:oMathParaPr>
          <m:jc m:val="center"/>
        </m:oMathParaPr>
        <m:oMath>
          <m:r>
            <m:t>A</m:t>
          </m:r>
          <m:r>
            <m:t>W</m:t>
          </m:r>
          <m:r>
            <m:t>C</m:t>
          </m:r>
          <m:r>
            <m:t> </m:t>
          </m:r>
          <m:d>
            <m:dPr>
              <m:begChr m:val="("/>
              <m:endChr m:val=")"/>
              <m:sepChr m:val=""/>
              <m:grow/>
            </m:dPr>
            <m:e>
              <m:r>
                <m:rPr>
                  <m:nor/>
                  <m:sty m:val="p"/>
                </m:rPr>
                <m:t>mm</m:t>
              </m:r>
            </m:e>
          </m:d>
          <m:r>
            <m:rPr>
              <m:sty m:val="p"/>
            </m:rPr>
            <m:t>=</m:t>
          </m:r>
          <m:f>
            <m:fPr>
              <m:type m:val="bar"/>
            </m:fPr>
            <m:num>
              <m:d>
                <m:dPr>
                  <m:begChr m:val="("/>
                  <m:endChr m:val=")"/>
                  <m:sepChr m:val=""/>
                  <m:grow/>
                </m:dPr>
                <m:e>
                  <m:sSub>
                    <m:e>
                      <m:r>
                        <m:t>θ</m:t>
                      </m:r>
                    </m:e>
                    <m:sub>
                      <m:r>
                        <m:t>g</m:t>
                      </m:r>
                      <m:r>
                        <m:rPr>
                          <m:sty m:val="p"/>
                        </m:rPr>
                        <m:t>,</m:t>
                      </m:r>
                      <m:r>
                        <m:t>F</m:t>
                      </m:r>
                      <m:r>
                        <m:t>C</m:t>
                      </m:r>
                    </m:sub>
                  </m:sSub>
                  <m:r>
                    <m:rPr>
                      <m:sty m:val="p"/>
                    </m:rPr>
                    <m:t>−</m:t>
                  </m:r>
                  <m:sSub>
                    <m:e>
                      <m:r>
                        <m:t>θ</m:t>
                      </m:r>
                    </m:e>
                    <m:sub>
                      <m:r>
                        <m:t>g</m:t>
                      </m:r>
                      <m:r>
                        <m:rPr>
                          <m:sty m:val="p"/>
                        </m:rPr>
                        <m:t>,</m:t>
                      </m:r>
                      <m:r>
                        <m:t>P</m:t>
                      </m:r>
                      <m:r>
                        <m:t>W</m:t>
                      </m:r>
                      <m:r>
                        <m:t>P</m:t>
                      </m:r>
                    </m:sub>
                  </m:sSub>
                </m:e>
              </m:d>
            </m:num>
            <m:den>
              <m:r>
                <m:t>100</m:t>
              </m:r>
            </m:den>
          </m:f>
          <m:r>
            <m:rPr>
              <m:sty m:val="p"/>
            </m:rPr>
            <m:t>×</m:t>
          </m:r>
          <m:f>
            <m:fPr>
              <m:type m:val="bar"/>
            </m:fPr>
            <m:num>
              <m:sSub>
                <m:e>
                  <m:r>
                    <m:t>ρ</m:t>
                  </m:r>
                </m:e>
                <m:sub>
                  <m:r>
                    <m:t>b</m:t>
                  </m:r>
                </m:sub>
              </m:sSub>
            </m:num>
            <m:den>
              <m:sSub>
                <m:e>
                  <m:r>
                    <m:t>ρ</m:t>
                  </m:r>
                </m:e>
                <m:sub>
                  <m:r>
                    <m:t>w</m:t>
                  </m:r>
                </m:sub>
              </m:sSub>
            </m:den>
          </m:f>
          <m:r>
            <m:rPr>
              <m:sty m:val="p"/>
            </m:rPr>
            <m:t>×</m:t>
          </m:r>
          <m:r>
            <m:t>D</m:t>
          </m:r>
          <m:r>
            <m:t> </m:t>
          </m:r>
          <m:d>
            <m:dPr>
              <m:begChr m:val="("/>
              <m:endChr m:val=")"/>
              <m:sepChr m:val=""/>
              <m:grow/>
            </m:dPr>
            <m:e>
              <m:r>
                <m:rPr>
                  <m:nor/>
                  <m:sty m:val="p"/>
                </m:rPr>
                <m:t>mm</m:t>
              </m:r>
            </m:e>
          </m:d>
        </m:oMath>
      </m:oMathPara>
    </w:p>
    <w:p>
      <w:pPr>
        <w:pStyle w:val="FirstParagraph"/>
      </w:pPr>
      <w:r>
        <w:t xml:space="preserve">or with volumetric contents simply</w:t>
      </w:r>
      <w:r>
        <w:t xml:space="preserve"> </w:t>
      </w:r>
      <m:oMath>
        <m:r>
          <m:t>A</m:t>
        </m:r>
        <m:r>
          <m:t>W</m:t>
        </m:r>
        <m:r>
          <m:t>C</m:t>
        </m:r>
        <m:r>
          <m:rPr>
            <m:sty m:val="p"/>
          </m:rPr>
          <m:t>=</m:t>
        </m:r>
        <m:d>
          <m:dPr>
            <m:begChr m:val="("/>
            <m:endChr m:val=")"/>
            <m:sepChr m:val=""/>
            <m:grow/>
          </m:dPr>
          <m:e>
            <m:sSub>
              <m:e>
                <m:r>
                  <m:t>θ</m:t>
                </m:r>
              </m:e>
              <m:sub>
                <m:r>
                  <m:t>v</m:t>
                </m:r>
                <m:r>
                  <m:rPr>
                    <m:sty m:val="p"/>
                  </m:rPr>
                  <m:t>,</m:t>
                </m:r>
                <m:r>
                  <m:t>F</m:t>
                </m:r>
                <m:r>
                  <m:t>C</m:t>
                </m:r>
              </m:sub>
            </m:sSub>
            <m:r>
              <m:rPr>
                <m:sty m:val="p"/>
              </m:rPr>
              <m:t>−</m:t>
            </m:r>
            <m:sSub>
              <m:e>
                <m:r>
                  <m:t>θ</m:t>
                </m:r>
              </m:e>
              <m:sub>
                <m:r>
                  <m:t>v</m:t>
                </m:r>
                <m:r>
                  <m:rPr>
                    <m:sty m:val="p"/>
                  </m:rPr>
                  <m:t>,</m:t>
                </m:r>
                <m:r>
                  <m:t>P</m:t>
                </m:r>
                <m:r>
                  <m:t>W</m:t>
                </m:r>
                <m:r>
                  <m:t>P</m:t>
                </m:r>
              </m:sub>
            </m:sSub>
          </m:e>
        </m:d>
        <m:r>
          <m:rPr>
            <m:sty m:val="p"/>
          </m:rPr>
          <m:t>×</m:t>
        </m:r>
        <m:r>
          <m:t>D</m:t>
        </m:r>
      </m:oMath>
      <w:r>
        <w:t xml:space="preserve">.</w:t>
      </w:r>
    </w:p>
    <w:p>
      <w:pPr>
        <w:pStyle w:val="BodyText"/>
      </w:pPr>
      <w:r>
        <w:t xml:space="preserve">Typical AWC (mm per m depth): sand 40–80, sandy loam 100–130, loam 150–200, clay loam 180–220, clay 150–200 (Vertisols up to 250).</w:t>
      </w:r>
      <w:r>
        <w:t xml:space="preserve"> </w:t>
      </w:r>
      <w:r>
        <w:rPr>
          <w:bCs/>
          <w:b/>
        </w:rPr>
        <w:t xml:space="preserve">Readily available water (RAW)</w:t>
      </w:r>
      <w:r>
        <w:t xml:space="preserve"> </w:t>
      </w:r>
      <w:r>
        <w:t xml:space="preserve">= p × AWC, where p is about 0.5 for most crops (depletion fraction, FAO-56). Irrigation is scheduled when depletion reaches RAW.</w:t>
      </w:r>
    </w:p>
    <w:p>
      <w:pPr>
        <w:pStyle w:val="ExamTip"/>
      </w:pPr>
      <w:r>
        <w:rPr>
          <w:bCs/>
          <w:b/>
        </w:rPr>
        <w:t xml:space="preserve">Worked example.</w:t>
      </w:r>
      <w:r>
        <w:t xml:space="preserve"> </w:t>
      </w:r>
      <w:r>
        <w:t xml:space="preserve">A loam soil has FC = 28% and PWP = 12% (gravimetric), ρb = 1.4 g cm⁻³, root zone 60 cm. AWC = (0.28 − 0.12) × 1.4 × 600 mm =</w:t>
      </w:r>
      <w:r>
        <w:t xml:space="preserve"> </w:t>
      </w:r>
      <w:r>
        <w:rPr>
          <w:bCs/>
          <w:b/>
        </w:rPr>
        <w:t xml:space="preserve">134 mm</w:t>
      </w:r>
      <w:r>
        <w:t xml:space="preserve">. Allowing 50% depletion, irrigate when about 67 mm has been used. With ET = 5 mm day⁻¹ that is roughly every 13 days.</w:t>
      </w:r>
    </w:p>
    <w:p>
      <w:pPr>
        <w:pStyle w:val="Heading3"/>
      </w:pPr>
      <w:r>
        <w:t xml:space="preserve">16.1.4 Soil moisture characteristic (retention) curve</w:t>
      </w:r>
    </w:p>
    <w:p>
      <w:pPr>
        <w:pStyle w:val="FirstParagraph"/>
      </w:pPr>
      <w:r>
        <w:t xml:space="preserve">The curve of</w:t>
      </w:r>
      <w:r>
        <w:t xml:space="preserve"> </w:t>
      </w:r>
      <m:oMath>
        <m:r>
          <m:t>θ</m:t>
        </m:r>
      </m:oMath>
      <w:r>
        <w:t xml:space="preserve"> </w:t>
      </w:r>
      <w:r>
        <w:t xml:space="preserve">against</w:t>
      </w:r>
      <w:r>
        <w:t xml:space="preserve"> </w:t>
      </w:r>
      <m:oMath>
        <m:sSub>
          <m:e>
            <m:r>
              <m:t>ψ</m:t>
            </m:r>
          </m:e>
          <m:sub>
            <m:r>
              <m:t>m</m:t>
            </m:r>
          </m:sub>
        </m:sSub>
      </m:oMath>
      <w:r>
        <w:t xml:space="preserve"> </w:t>
      </w:r>
      <w:r>
        <w:t xml:space="preserve">(or pF) depends on texture and structure. Clays hold more water at every suction, and sands drain sharply at low suction.</w:t>
      </w:r>
      <w:r>
        <w:t xml:space="preserve"> </w:t>
      </w:r>
      <w:r>
        <w:rPr>
          <w:bCs/>
          <w:b/>
        </w:rPr>
        <w:t xml:space="preserve">Hysteresis</w:t>
      </w:r>
      <w:r>
        <w:t xml:space="preserve">: at the same suction, a soil holds more water while drying (desorption) than while wetting (sorption). Causes are the ink-bottle effect, contact angle and entrapped air.</w:t>
      </w:r>
    </w:p>
    <w:p>
      <w:pPr>
        <w:pStyle w:val="BodyText"/>
      </w:pPr>
      <w:r>
        <w:t xml:space="preserve">The</w:t>
      </w:r>
      <w:r>
        <w:t xml:space="preserve"> </w:t>
      </w:r>
      <w:r>
        <w:rPr>
          <w:bCs/>
          <w:b/>
        </w:rPr>
        <w:t xml:space="preserve">van Genuchten (1980)</w:t>
      </w:r>
      <w:r>
        <w:t xml:space="preserve"> </w:t>
      </w:r>
      <w:r>
        <w:t xml:space="preserve">equation is widely used in models:</w:t>
      </w:r>
    </w:p>
    <w:p>
      <w:pPr>
        <w:pStyle w:val="BodyText"/>
      </w:pPr>
      <m:oMathPara>
        <m:oMathParaPr>
          <m:jc m:val="center"/>
        </m:oMathParaPr>
        <m:oMath>
          <m:r>
            <m:t>θ</m:t>
          </m:r>
          <m:d>
            <m:dPr>
              <m:begChr m:val="("/>
              <m:endChr m:val=")"/>
              <m:sepChr m:val=""/>
              <m:grow/>
            </m:dPr>
            <m:e>
              <m:r>
                <m:t>h</m:t>
              </m:r>
            </m:e>
          </m:d>
          <m:r>
            <m:rPr>
              <m:sty m:val="p"/>
            </m:rPr>
            <m:t>=</m:t>
          </m:r>
          <m:sSub>
            <m:e>
              <m:r>
                <m:t>θ</m:t>
              </m:r>
            </m:e>
            <m:sub>
              <m:r>
                <m:t>r</m:t>
              </m:r>
            </m:sub>
          </m:sSub>
          <m:r>
            <m:rPr>
              <m:sty m:val="p"/>
            </m:rPr>
            <m:t>+</m:t>
          </m:r>
          <m:f>
            <m:fPr>
              <m:type m:val="bar"/>
            </m:fPr>
            <m:num>
              <m:sSub>
                <m:e>
                  <m:r>
                    <m:t>θ</m:t>
                  </m:r>
                </m:e>
                <m:sub>
                  <m:r>
                    <m:t>s</m:t>
                  </m:r>
                </m:sub>
              </m:sSub>
              <m:r>
                <m:rPr>
                  <m:sty m:val="p"/>
                </m:rPr>
                <m:t>−</m:t>
              </m:r>
              <m:sSub>
                <m:e>
                  <m:r>
                    <m:t>θ</m:t>
                  </m:r>
                </m:e>
                <m:sub>
                  <m:r>
                    <m:t>r</m:t>
                  </m:r>
                </m:sub>
              </m:sSub>
            </m:num>
            <m:den>
              <m:sSup>
                <m:e>
                  <m:d>
                    <m:dPr>
                      <m:begChr m:val="["/>
                      <m:endChr m:val="]"/>
                      <m:sepChr m:val=""/>
                      <m:grow/>
                    </m:dPr>
                    <m:e>
                      <m:r>
                        <m:t>1</m:t>
                      </m:r>
                      <m:r>
                        <m:rPr>
                          <m:sty m:val="p"/>
                        </m:rPr>
                        <m:t>+</m:t>
                      </m:r>
                      <m:sSup>
                        <m:e>
                          <m:d>
                            <m:dPr>
                              <m:begChr m:val="("/>
                              <m:endChr m:val=")"/>
                              <m:sepChr m:val=""/>
                              <m:grow/>
                            </m:dPr>
                            <m:e>
                              <m:r>
                                <m:t>α</m:t>
                              </m:r>
                              <m:d>
                                <m:dPr>
                                  <m:begChr m:val="|"/>
                                  <m:endChr m:val="|"/>
                                  <m:sepChr m:val=""/>
                                  <m:grow/>
                                </m:dPr>
                                <m:e>
                                  <m:r>
                                    <m:t>h</m:t>
                                  </m:r>
                                </m:e>
                              </m:d>
                            </m:e>
                          </m:d>
                        </m:e>
                        <m:sup>
                          <m:r>
                            <m:t>n</m:t>
                          </m:r>
                        </m:sup>
                      </m:sSup>
                    </m:e>
                  </m:d>
                </m:e>
                <m:sup>
                  <m:r>
                    <m:t>m</m:t>
                  </m:r>
                </m:sup>
              </m:sSup>
            </m:den>
          </m:f>
          <m:r>
            <m:rPr>
              <m:sty m:val="p"/>
            </m:rPr>
            <m:t>,</m:t>
          </m:r>
          <m:r>
            <m:t>  </m:t>
          </m:r>
          <m:r>
            <m:t>m</m:t>
          </m:r>
          <m:r>
            <m:rPr>
              <m:sty m:val="p"/>
            </m:rPr>
            <m:t>=</m:t>
          </m:r>
          <m:r>
            <m:t>1</m:t>
          </m:r>
          <m:r>
            <m:rPr>
              <m:sty m:val="p"/>
            </m:rPr>
            <m:t>−</m:t>
          </m:r>
          <m:f>
            <m:fPr>
              <m:type m:val="bar"/>
            </m:fPr>
            <m:num>
              <m:r>
                <m:t>1</m:t>
              </m:r>
            </m:num>
            <m:den>
              <m:r>
                <m:t>n</m:t>
              </m:r>
            </m:den>
          </m:f>
        </m:oMath>
      </m:oMathPara>
    </w:p>
    <w:p>
      <w:pPr>
        <w:pStyle w:val="FirstParagraph"/>
      </w:pPr>
      <w:r>
        <w:t xml:space="preserve">(</w:t>
      </w:r>
      <m:oMath>
        <m:sSub>
          <m:e>
            <m:r>
              <m:t>θ</m:t>
            </m:r>
          </m:e>
          <m:sub>
            <m:r>
              <m:t>r</m:t>
            </m:r>
          </m:sub>
        </m:sSub>
      </m:oMath>
      <w:r>
        <w:t xml:space="preserve"> </w:t>
      </w:r>
      <w:r>
        <w:t xml:space="preserve">residual and</w:t>
      </w:r>
      <w:r>
        <w:t xml:space="preserve"> </w:t>
      </w:r>
      <m:oMath>
        <m:sSub>
          <m:e>
            <m:r>
              <m:t>θ</m:t>
            </m:r>
          </m:e>
          <m:sub>
            <m:r>
              <m:t>s</m:t>
            </m:r>
          </m:sub>
        </m:sSub>
      </m:oMath>
      <w:r>
        <w:t xml:space="preserve"> </w:t>
      </w:r>
      <w:r>
        <w:t xml:space="preserve">saturated water content;</w:t>
      </w:r>
      <w:r>
        <w:t xml:space="preserve"> </w:t>
      </w:r>
      <m:oMath>
        <m:r>
          <m:t>α</m:t>
        </m:r>
      </m:oMath>
      <w:r>
        <w:t xml:space="preserve"> </w:t>
      </w:r>
      <w:r>
        <w:t xml:space="preserve">and</w:t>
      </w:r>
      <w:r>
        <w:t xml:space="preserve"> </w:t>
      </w:r>
      <m:oMath>
        <m:r>
          <m:t>n</m:t>
        </m:r>
      </m:oMath>
      <w:r>
        <w:t xml:space="preserve"> </w:t>
      </w:r>
      <w:r>
        <w:t xml:space="preserve">shape parameters).</w:t>
      </w:r>
      <w:r>
        <w:t xml:space="preserve"> </w:t>
      </w:r>
      <w:r>
        <w:rPr>
          <w:bCs/>
          <w:b/>
        </w:rPr>
        <w:t xml:space="preserve">Pedotransfer functions</w:t>
      </w:r>
      <w:r>
        <w:t xml:space="preserve"> </w:t>
      </w:r>
      <w:r>
        <w:t xml:space="preserve">estimate these parameters from texture, bulk density and organic carbon.</w:t>
      </w:r>
    </w:p>
    <w:p>
      <w:pPr>
        <w:pStyle w:val="Heading2"/>
      </w:pPr>
      <w:r>
        <w:t xml:space="preserve">16.2 Measurement of Soil Moisture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Principle</w:t>
            </w:r>
          </w:p>
        </w:tc>
        <w:tc>
          <w:tcPr/>
          <w:p>
            <w:pPr>
              <w:pStyle w:val="Compact"/>
              <w:jc w:val="left"/>
            </w:pPr>
            <w:r>
              <w:t xml:space="preserve">Range / notes</w:t>
            </w:r>
          </w:p>
        </w:tc>
      </w:tr>
      <w:tr>
        <w:tc>
          <w:tcPr/>
          <w:p>
            <w:pPr>
              <w:pStyle w:val="Compact"/>
              <w:jc w:val="left"/>
            </w:pPr>
            <w:r>
              <w:rPr>
                <w:bCs/>
                <w:b/>
              </w:rPr>
              <w:t xml:space="preserve">Gravimetric (thermo-gravimetric)</w:t>
            </w:r>
          </w:p>
        </w:tc>
        <w:tc>
          <w:tcPr/>
          <w:p>
            <w:pPr>
              <w:pStyle w:val="Compact"/>
              <w:jc w:val="left"/>
            </w:pPr>
            <w:r>
              <w:t xml:space="preserve">Weigh, oven-dry at 105 °C for 24 h, reweigh</w:t>
            </w:r>
          </w:p>
        </w:tc>
        <w:tc>
          <w:tcPr/>
          <w:p>
            <w:pPr>
              <w:pStyle w:val="Compact"/>
              <w:jc w:val="left"/>
            </w:pPr>
            <w:r>
              <w:t xml:space="preserve">Standard reference; destructive; slow</w:t>
            </w:r>
          </w:p>
        </w:tc>
      </w:tr>
      <w:tr>
        <w:tc>
          <w:tcPr/>
          <w:p>
            <w:pPr>
              <w:pStyle w:val="Compact"/>
              <w:jc w:val="left"/>
            </w:pPr>
            <w:r>
              <w:rPr>
                <w:bCs/>
                <w:b/>
              </w:rPr>
              <w:t xml:space="preserve">Neutron moisture meter</w:t>
            </w:r>
          </w:p>
        </w:tc>
        <w:tc>
          <w:tcPr/>
          <w:p>
            <w:pPr>
              <w:pStyle w:val="Compact"/>
              <w:jc w:val="left"/>
            </w:pPr>
            <w:r>
              <w:t xml:space="preserve">Fast neutrons are slowed (thermalised) by H atoms in water</w:t>
            </w:r>
          </w:p>
        </w:tc>
        <w:tc>
          <w:tcPr/>
          <w:p>
            <w:pPr>
              <w:pStyle w:val="Compact"/>
              <w:jc w:val="left"/>
            </w:pPr>
            <w:r>
              <w:t xml:space="preserve">Volumetric; deep profiles; radiation hazard; needs calibration</w:t>
            </w:r>
          </w:p>
        </w:tc>
      </w:tr>
      <w:tr>
        <w:tc>
          <w:tcPr/>
          <w:p>
            <w:pPr>
              <w:pStyle w:val="Compact"/>
              <w:jc w:val="left"/>
            </w:pPr>
            <w:r>
              <w:rPr>
                <w:bCs/>
                <w:b/>
              </w:rPr>
              <w:t xml:space="preserve">TDR</w:t>
            </w:r>
            <w:r>
              <w:t xml:space="preserve"> </w:t>
            </w:r>
            <w:r>
              <w:t xml:space="preserve">(time domain reflectometry)</w:t>
            </w:r>
          </w:p>
        </w:tc>
        <w:tc>
          <w:tcPr/>
          <w:p>
            <w:pPr>
              <w:pStyle w:val="Compact"/>
              <w:jc w:val="left"/>
            </w:pPr>
            <w:r>
              <w:t xml:space="preserve">Travel time of an EM pulse along rods depends on the dielectric constant</w:t>
            </w:r>
            <w:r>
              <w:t xml:space="preserve"> </w:t>
            </w:r>
            <m:oMath>
              <m:r>
                <m:t>ε</m:t>
              </m:r>
            </m:oMath>
            <w:r>
              <w:t xml:space="preserve"> </w:t>
            </w:r>
            <w:r>
              <w:t xml:space="preserve">(water ≈ 80, dry soil 3–5)</w:t>
            </w:r>
          </w:p>
        </w:tc>
        <w:tc>
          <w:tcPr/>
          <w:p>
            <w:pPr>
              <w:pStyle w:val="Compact"/>
              <w:jc w:val="left"/>
            </w:pPr>
            <w:r>
              <w:t xml:space="preserve">Volumetric; Topp equation</w:t>
            </w:r>
          </w:p>
        </w:tc>
      </w:tr>
      <w:tr>
        <w:tc>
          <w:tcPr/>
          <w:p>
            <w:pPr>
              <w:pStyle w:val="Compact"/>
              <w:jc w:val="left"/>
            </w:pPr>
            <w:r>
              <w:rPr>
                <w:bCs/>
                <w:b/>
              </w:rPr>
              <w:t xml:space="preserve">FDR / capacitance</w:t>
            </w:r>
          </w:p>
        </w:tc>
        <w:tc>
          <w:tcPr/>
          <w:p>
            <w:pPr>
              <w:pStyle w:val="Compact"/>
              <w:jc w:val="left"/>
            </w:pPr>
            <w:r>
              <w:t xml:space="preserve">Frequency of an oscillating circuit depends on soil capacitance (dielectric)</w:t>
            </w:r>
          </w:p>
        </w:tc>
        <w:tc>
          <w:tcPr/>
          <w:p>
            <w:pPr>
              <w:pStyle w:val="Compact"/>
              <w:jc w:val="left"/>
            </w:pPr>
            <w:r>
              <w:t xml:space="preserve">Cheap; IoT sensor networks</w:t>
            </w:r>
          </w:p>
        </w:tc>
      </w:tr>
      <w:tr>
        <w:tc>
          <w:tcPr/>
          <w:p>
            <w:pPr>
              <w:pStyle w:val="Compact"/>
              <w:jc w:val="left"/>
            </w:pPr>
            <w:r>
              <w:rPr>
                <w:bCs/>
                <w:b/>
              </w:rPr>
              <w:t xml:space="preserve">Tensiometer</w:t>
            </w:r>
          </w:p>
        </w:tc>
        <w:tc>
          <w:tcPr/>
          <w:p>
            <w:pPr>
              <w:pStyle w:val="Compact"/>
              <w:jc w:val="left"/>
            </w:pPr>
            <w:r>
              <w:t xml:space="preserve">Porous cup + water column + vacuum gauge measures matric suction</w:t>
            </w:r>
          </w:p>
        </w:tc>
        <w:tc>
          <w:tcPr/>
          <w:p>
            <w:pPr>
              <w:pStyle w:val="Compact"/>
              <w:jc w:val="left"/>
            </w:pPr>
            <w:r>
              <w:t xml:space="preserve">0 to about −85 kPa only (wet range); irrigation scheduling</w:t>
            </w:r>
          </w:p>
        </w:tc>
      </w:tr>
      <w:tr>
        <w:tc>
          <w:tcPr/>
          <w:p>
            <w:pPr>
              <w:pStyle w:val="Compact"/>
              <w:jc w:val="left"/>
            </w:pPr>
            <w:r>
              <w:rPr>
                <w:bCs/>
                <w:b/>
              </w:rPr>
              <w:t xml:space="preserve">Gypsum (electrical resistance) blocks</w:t>
            </w:r>
          </w:p>
        </w:tc>
        <w:tc>
          <w:tcPr/>
          <w:p>
            <w:pPr>
              <w:pStyle w:val="Compact"/>
              <w:jc w:val="left"/>
            </w:pPr>
            <w:r>
              <w:t xml:space="preserve">Resistance of a porous block equilibrated with soil</w:t>
            </w:r>
          </w:p>
        </w:tc>
        <w:tc>
          <w:tcPr/>
          <w:p>
            <w:pPr>
              <w:pStyle w:val="Compact"/>
              <w:jc w:val="left"/>
            </w:pPr>
            <w:r>
              <w:t xml:space="preserve">Dry range; salinity affects reading</w:t>
            </w:r>
          </w:p>
        </w:tc>
      </w:tr>
      <w:tr>
        <w:tc>
          <w:tcPr/>
          <w:p>
            <w:pPr>
              <w:pStyle w:val="Compact"/>
              <w:jc w:val="left"/>
            </w:pPr>
            <w:r>
              <w:rPr>
                <w:bCs/>
                <w:b/>
              </w:rPr>
              <w:t xml:space="preserve">Pressure plate / membrane apparatus</w:t>
            </w:r>
            <w:r>
              <w:t xml:space="preserve"> </w:t>
            </w:r>
            <w:r>
              <w:t xml:space="preserve">(Richards)</w:t>
            </w:r>
          </w:p>
        </w:tc>
        <w:tc>
          <w:tcPr/>
          <w:p>
            <w:pPr>
              <w:pStyle w:val="Compact"/>
              <w:jc w:val="left"/>
            </w:pPr>
            <w:r>
              <w:t xml:space="preserve">Apply known pressures to saturated samples, measure equilibrium θ</w:t>
            </w:r>
          </w:p>
        </w:tc>
        <w:tc>
          <w:tcPr/>
          <w:p>
            <w:pPr>
              <w:pStyle w:val="Compact"/>
              <w:jc w:val="left"/>
            </w:pPr>
            <w:r>
              <w:t xml:space="preserve">Laboratory retention curve (FC at 0.33 bar, PWP at 15 bar)</w:t>
            </w:r>
          </w:p>
        </w:tc>
      </w:tr>
      <w:tr>
        <w:tc>
          <w:tcPr/>
          <w:p>
            <w:pPr>
              <w:pStyle w:val="Compact"/>
              <w:jc w:val="left"/>
            </w:pPr>
            <w:r>
              <w:rPr>
                <w:bCs/>
                <w:b/>
              </w:rPr>
              <w:t xml:space="preserve">Remote sensing</w:t>
            </w:r>
          </w:p>
        </w:tc>
        <w:tc>
          <w:tcPr/>
          <w:p>
            <w:pPr>
              <w:pStyle w:val="Compact"/>
              <w:jc w:val="left"/>
            </w:pPr>
            <w:r>
              <w:t xml:space="preserve">Microwave dielectric response; thermal inertia; optical/thermal triangle</w:t>
            </w:r>
          </w:p>
        </w:tc>
        <w:tc>
          <w:tcPr/>
          <w:p>
            <w:pPr>
              <w:pStyle w:val="Compact"/>
              <w:jc w:val="left"/>
            </w:pPr>
            <w:r>
              <w:t xml:space="preserve">Surface 0–5 cm; regional; SMAP, SMOS, SAR</w:t>
            </w:r>
          </w:p>
        </w:tc>
      </w:tr>
    </w:tbl>
    <w:p>
      <w:pPr>
        <w:pStyle w:val="BodyText"/>
      </w:pPr>
      <w:r>
        <w:rPr>
          <w:bCs/>
          <w:b/>
        </w:rPr>
        <w:t xml:space="preserve">Topp equation</w:t>
      </w:r>
      <w:r>
        <w:t xml:space="preserve"> </w:t>
      </w:r>
      <w:r>
        <w:t xml:space="preserve">(TDR):</w:t>
      </w:r>
    </w:p>
    <w:p>
      <w:pPr>
        <w:pStyle w:val="BodyText"/>
      </w:pPr>
      <m:oMathPara>
        <m:oMathParaPr>
          <m:jc m:val="center"/>
        </m:oMathParaPr>
        <m:oMath>
          <m:sSub>
            <m:e>
              <m:r>
                <m:t>θ</m:t>
              </m:r>
            </m:e>
            <m:sub>
              <m:r>
                <m:t>v</m:t>
              </m:r>
            </m:sub>
          </m:sSub>
          <m:r>
            <m:rPr>
              <m:sty m:val="p"/>
            </m:rPr>
            <m:t>=</m:t>
          </m:r>
          <m:r>
            <m:rPr>
              <m:sty m:val="p"/>
            </m:rPr>
            <m:t>−</m:t>
          </m:r>
          <m:r>
            <m:t>5.3</m:t>
          </m:r>
          <m:r>
            <m:rPr>
              <m:sty m:val="p"/>
            </m:rPr>
            <m:t>×</m:t>
          </m:r>
          <m:sSup>
            <m:e>
              <m:r>
                <m:t>10</m:t>
              </m:r>
            </m:e>
            <m:sup>
              <m:r>
                <m:rPr>
                  <m:sty m:val="p"/>
                </m:rPr>
                <m:t>−</m:t>
              </m:r>
              <m:r>
                <m:t>2</m:t>
              </m:r>
            </m:sup>
          </m:sSup>
          <m:r>
            <m:rPr>
              <m:sty m:val="p"/>
            </m:rPr>
            <m:t>+</m:t>
          </m:r>
          <m:r>
            <m:t>2.92</m:t>
          </m:r>
          <m:r>
            <m:rPr>
              <m:sty m:val="p"/>
            </m:rPr>
            <m:t>×</m:t>
          </m:r>
          <m:sSup>
            <m:e>
              <m:r>
                <m:t>10</m:t>
              </m:r>
            </m:e>
            <m:sup>
              <m:r>
                <m:rPr>
                  <m:sty m:val="p"/>
                </m:rPr>
                <m:t>−</m:t>
              </m:r>
              <m:r>
                <m:t>2</m:t>
              </m:r>
            </m:sup>
          </m:sSup>
          <m:r>
            <m:t>ε</m:t>
          </m:r>
          <m:r>
            <m:rPr>
              <m:sty m:val="p"/>
            </m:rPr>
            <m:t>−</m:t>
          </m:r>
          <m:r>
            <m:t>5.5</m:t>
          </m:r>
          <m:r>
            <m:rPr>
              <m:sty m:val="p"/>
            </m:rPr>
            <m:t>×</m:t>
          </m:r>
          <m:sSup>
            <m:e>
              <m:r>
                <m:t>10</m:t>
              </m:r>
            </m:e>
            <m:sup>
              <m:r>
                <m:rPr>
                  <m:sty m:val="p"/>
                </m:rPr>
                <m:t>−</m:t>
              </m:r>
              <m:r>
                <m:t>4</m:t>
              </m:r>
            </m:sup>
          </m:sSup>
          <m:sSup>
            <m:e>
              <m:r>
                <m:t>ε</m:t>
              </m:r>
            </m:e>
            <m:sup>
              <m:r>
                <m:t>2</m:t>
              </m:r>
            </m:sup>
          </m:sSup>
          <m:r>
            <m:rPr>
              <m:sty m:val="p"/>
            </m:rPr>
            <m:t>+</m:t>
          </m:r>
          <m:r>
            <m:t>4.3</m:t>
          </m:r>
          <m:r>
            <m:rPr>
              <m:sty m:val="p"/>
            </m:rPr>
            <m:t>×</m:t>
          </m:r>
          <m:sSup>
            <m:e>
              <m:r>
                <m:t>10</m:t>
              </m:r>
            </m:e>
            <m:sup>
              <m:r>
                <m:rPr>
                  <m:sty m:val="p"/>
                </m:rPr>
                <m:t>−</m:t>
              </m:r>
              <m:r>
                <m:t>6</m:t>
              </m:r>
            </m:sup>
          </m:sSup>
          <m:sSup>
            <m:e>
              <m:r>
                <m:t>ε</m:t>
              </m:r>
            </m:e>
            <m:sup>
              <m:r>
                <m:t>3</m:t>
              </m:r>
            </m:sup>
          </m:sSup>
        </m:oMath>
      </m:oMathPara>
    </w:p>
    <w:p>
      <w:pPr>
        <w:pStyle w:val="FirstParagraph"/>
      </w:pPr>
      <w:r>
        <w:t xml:space="preserve">This same dielectric principle underlies SAR and passive microwave soil moisture retrieval.</w:t>
      </w:r>
    </w:p>
    <w:p>
      <w:pPr>
        <w:pStyle w:val="Heading2"/>
      </w:pPr>
      <w:r>
        <w:t xml:space="preserve">16.3 Movement of Water in Soil</w:t>
      </w:r>
    </w:p>
    <w:p>
      <w:pPr>
        <w:pStyle w:val="Heading3"/>
      </w:pPr>
      <w:r>
        <w:t xml:space="preserve">16.3.1 Saturated flow: Darcy’s law</w:t>
      </w:r>
    </w:p>
    <w:p>
      <w:pPr>
        <w:pStyle w:val="FirstParagraph"/>
      </w:pPr>
      <m:oMathPara>
        <m:oMathParaPr>
          <m:jc m:val="center"/>
        </m:oMathParaPr>
        <m:oMath>
          <m:r>
            <m:t>q</m:t>
          </m:r>
          <m:r>
            <m:rPr>
              <m:sty m:val="p"/>
            </m:rPr>
            <m:t>=</m:t>
          </m:r>
          <m:f>
            <m:fPr>
              <m:type m:val="bar"/>
            </m:fPr>
            <m:num>
              <m:r>
                <m:t>Q</m:t>
              </m:r>
            </m:num>
            <m:den>
              <m:r>
                <m:t>A</m:t>
              </m:r>
            </m:den>
          </m:f>
          <m:r>
            <m:rPr>
              <m:sty m:val="p"/>
            </m:rPr>
            <m:t>=</m:t>
          </m:r>
          <m:r>
            <m:rPr>
              <m:sty m:val="p"/>
            </m:rPr>
            <m:t>−</m:t>
          </m:r>
          <m:sSub>
            <m:e>
              <m:r>
                <m:t>K</m:t>
              </m:r>
            </m:e>
            <m:sub>
              <m:r>
                <m:t>s</m:t>
              </m:r>
            </m:sub>
          </m:sSub>
          <m:r>
            <m:t> </m:t>
          </m:r>
          <m:f>
            <m:fPr>
              <m:type m:val="bar"/>
            </m:fPr>
            <m:num>
              <m:r>
                <m:t>Δ</m:t>
              </m:r>
              <m:r>
                <m:t>H</m:t>
              </m:r>
            </m:num>
            <m:den>
              <m:r>
                <m:t>Δ</m:t>
              </m:r>
              <m:r>
                <m:t>L</m:t>
              </m:r>
            </m:den>
          </m:f>
        </m:oMath>
      </m:oMathPara>
    </w:p>
    <w:p>
      <w:pPr>
        <w:pStyle w:val="FirstParagraph"/>
      </w:pPr>
      <m:oMath>
        <m:r>
          <m:t>q</m:t>
        </m:r>
      </m:oMath>
      <w:r>
        <w:t xml:space="preserve"> </w:t>
      </w:r>
      <w:r>
        <w:t xml:space="preserve">is the flux density (cm s⁻¹),</w:t>
      </w:r>
      <w:r>
        <w:t xml:space="preserve"> </w:t>
      </w:r>
      <m:oMath>
        <m:sSub>
          <m:e>
            <m:r>
              <m:t>K</m:t>
            </m:r>
          </m:e>
          <m:sub>
            <m:r>
              <m:t>s</m:t>
            </m:r>
          </m:sub>
        </m:sSub>
      </m:oMath>
      <w:r>
        <w:t xml:space="preserve"> </w:t>
      </w:r>
      <w:r>
        <w:t xml:space="preserve">the</w:t>
      </w:r>
      <w:r>
        <w:t xml:space="preserve"> </w:t>
      </w:r>
      <w:r>
        <w:rPr>
          <w:bCs/>
          <w:b/>
        </w:rPr>
        <w:t xml:space="preserve">saturated hydraulic conductivity</w:t>
      </w:r>
      <w:r>
        <w:t xml:space="preserve">, and</w:t>
      </w:r>
      <w:r>
        <w:t xml:space="preserve"> </w:t>
      </w:r>
      <m:oMath>
        <m:r>
          <m:t>Δ</m:t>
        </m:r>
        <m:r>
          <m:t>H</m:t>
        </m:r>
        <m:r>
          <m:rPr>
            <m:sty m:val="p"/>
          </m:rPr>
          <m:t>/</m:t>
        </m:r>
        <m:r>
          <m:t>Δ</m:t>
        </m:r>
        <m:r>
          <m:t>L</m:t>
        </m:r>
      </m:oMath>
      <w:r>
        <w:t xml:space="preserve"> </w:t>
      </w:r>
      <w:r>
        <w:t xml:space="preserve">the hydraulic gradient (H = pressure head + elevation head). The negative sign shows flow in the direction of decreasing head.</w:t>
      </w:r>
    </w:p>
    <w:p>
      <w:pPr>
        <w:pStyle w:val="BodyText"/>
      </w:pPr>
      <w:r>
        <w:t xml:space="preserve">Typical</w:t>
      </w:r>
      <w:r>
        <w:t xml:space="preserve"> </w:t>
      </w:r>
      <m:oMath>
        <m:sSub>
          <m:e>
            <m:r>
              <m:t>K</m:t>
            </m:r>
          </m:e>
          <m:sub>
            <m:r>
              <m:t>s</m:t>
            </m:r>
          </m:sub>
        </m:sSub>
      </m:oMath>
      <w:r>
        <w:t xml:space="preserve">: sand 10⁻²–10⁻³ cm s⁻¹; loam 10⁻³–10⁻⁴; clay &lt; 10⁻⁵ (Vertisols, sodic soils almost impermeable).</w:t>
      </w:r>
    </w:p>
    <w:p>
      <w:pPr>
        <w:pStyle w:val="BodyText"/>
      </w:pPr>
      <w:r>
        <w:t xml:space="preserve">Permeability classes (cm h⁻¹): very slow &lt; 0.125; slow 0.125–0.5; moderate 2–6.25; rapid 12.5–25; very rapid &gt; 25.</w:t>
      </w:r>
    </w:p>
    <w:p>
      <w:pPr>
        <w:pStyle w:val="BodyText"/>
      </w:pPr>
      <w:r>
        <w:t xml:space="preserve">Measured by the constant-head permeameter (coarse soils), falling-head permeameter (fine soils), and auger-hole or Guelph permeameter in the field.</w:t>
      </w:r>
    </w:p>
    <w:p>
      <w:pPr>
        <w:pStyle w:val="Heading3"/>
      </w:pPr>
      <w:r>
        <w:t xml:space="preserve">16.3.2 Unsaturated flow: Richards’ equation</w:t>
      </w:r>
    </w:p>
    <w:p>
      <w:pPr>
        <w:pStyle w:val="FirstParagraph"/>
      </w:pPr>
      <w:r>
        <w:t xml:space="preserve">In unsaturated soil, conductivity</w:t>
      </w:r>
      <w:r>
        <w:t xml:space="preserve"> </w:t>
      </w:r>
      <m:oMath>
        <m:r>
          <m:t>K</m:t>
        </m:r>
        <m:d>
          <m:dPr>
            <m:begChr m:val="("/>
            <m:endChr m:val=")"/>
            <m:sepChr m:val=""/>
            <m:grow/>
          </m:dPr>
          <m:e>
            <m:r>
              <m:t>θ</m:t>
            </m:r>
          </m:e>
        </m:d>
      </m:oMath>
      <w:r>
        <w:t xml:space="preserve"> </w:t>
      </w:r>
      <w:r>
        <w:t xml:space="preserve">falls steeply as the soil dries, because large pores empty first. Combining Darcy’s law with mass continuity gives</w:t>
      </w:r>
      <w:r>
        <w:t xml:space="preserve"> </w:t>
      </w:r>
      <w:r>
        <w:rPr>
          <w:bCs/>
          <w:b/>
        </w:rPr>
        <w:t xml:space="preserve">Richards’ equation</w:t>
      </w:r>
      <w:r>
        <w:t xml:space="preserve"> </w:t>
      </w:r>
      <w:r>
        <w:t xml:space="preserve">(vertical flow):</w:t>
      </w:r>
    </w:p>
    <w:p>
      <w:pPr>
        <w:pStyle w:val="BodyText"/>
      </w:pPr>
      <m:oMathPara>
        <m:oMathParaPr>
          <m:jc m:val="center"/>
        </m:oMathParaPr>
        <m:oMath>
          <m:f>
            <m:fPr>
              <m:type m:val="bar"/>
            </m:fPr>
            <m:num>
              <m:r>
                <m:rPr>
                  <m:sty m:val="p"/>
                </m:rPr>
                <m:t>∂</m:t>
              </m:r>
              <m:r>
                <m:t>θ</m:t>
              </m:r>
            </m:num>
            <m:den>
              <m:r>
                <m:rPr>
                  <m:sty m:val="p"/>
                </m:rPr>
                <m:t>∂</m:t>
              </m:r>
              <m:r>
                <m:t>t</m:t>
              </m:r>
            </m:den>
          </m:f>
          <m:r>
            <m:rPr>
              <m:sty m:val="p"/>
            </m:rPr>
            <m:t>=</m:t>
          </m:r>
          <m:f>
            <m:fPr>
              <m:type m:val="bar"/>
            </m:fPr>
            <m:num>
              <m:r>
                <m:rPr>
                  <m:sty m:val="p"/>
                </m:rPr>
                <m:t>∂</m:t>
              </m:r>
            </m:num>
            <m:den>
              <m:r>
                <m:rPr>
                  <m:sty m:val="p"/>
                </m:rPr>
                <m:t>∂</m:t>
              </m:r>
              <m:r>
                <m:t>z</m:t>
              </m:r>
            </m:den>
          </m:f>
          <m:d>
            <m:dPr>
              <m:begChr m:val="["/>
              <m:endChr m:val="]"/>
              <m:sepChr m:val=""/>
              <m:grow/>
            </m:dPr>
            <m:e>
              <m:r>
                <m:t>K</m:t>
              </m:r>
              <m:d>
                <m:dPr>
                  <m:begChr m:val="("/>
                  <m:endChr m:val=")"/>
                  <m:sepChr m:val=""/>
                  <m:grow/>
                </m:dPr>
                <m:e>
                  <m:r>
                    <m:t>θ</m:t>
                  </m:r>
                </m:e>
              </m:d>
              <m:d>
                <m:dPr>
                  <m:begChr m:val="("/>
                  <m:endChr m:val=")"/>
                  <m:sepChr m:val=""/>
                  <m:grow/>
                </m:dPr>
                <m:e>
                  <m:f>
                    <m:fPr>
                      <m:type m:val="bar"/>
                    </m:fPr>
                    <m:num>
                      <m:r>
                        <m:rPr>
                          <m:sty m:val="p"/>
                        </m:rPr>
                        <m:t>∂</m:t>
                      </m:r>
                      <m:r>
                        <m:t>h</m:t>
                      </m:r>
                    </m:num>
                    <m:den>
                      <m:r>
                        <m:rPr>
                          <m:sty m:val="p"/>
                        </m:rPr>
                        <m:t>∂</m:t>
                      </m:r>
                      <m:r>
                        <m:t>z</m:t>
                      </m:r>
                    </m:den>
                  </m:f>
                  <m:r>
                    <m:rPr>
                      <m:sty m:val="p"/>
                    </m:rPr>
                    <m:t>+</m:t>
                  </m:r>
                  <m:r>
                    <m:t>1</m:t>
                  </m:r>
                </m:e>
              </m:d>
            </m:e>
          </m:d>
          <m:r>
            <m:rPr>
              <m:sty m:val="p"/>
            </m:rPr>
            <m:t>−</m:t>
          </m:r>
          <m:r>
            <m:t>S</m:t>
          </m:r>
          <m:d>
            <m:dPr>
              <m:begChr m:val="("/>
              <m:endChr m:val=")"/>
              <m:sepChr m:val=""/>
              <m:grow/>
            </m:dPr>
            <m:e>
              <m:r>
                <m:t>z</m:t>
              </m:r>
              <m:r>
                <m:rPr>
                  <m:sty m:val="p"/>
                </m:rPr>
                <m:t>,</m:t>
              </m:r>
              <m:r>
                <m:t>t</m:t>
              </m:r>
            </m:e>
          </m:d>
        </m:oMath>
      </m:oMathPara>
    </w:p>
    <w:p>
      <w:pPr>
        <w:pStyle w:val="FirstParagraph"/>
      </w:pPr>
      <w:r>
        <w:t xml:space="preserve">where</w:t>
      </w:r>
      <w:r>
        <w:t xml:space="preserve"> </w:t>
      </w:r>
      <m:oMath>
        <m:r>
          <m:t>S</m:t>
        </m:r>
      </m:oMath>
      <w:r>
        <w:t xml:space="preserve"> </w:t>
      </w:r>
      <w:r>
        <w:t xml:space="preserve">is root water uptake. This is solved numerically in models such as HYDRUS, SWAP and the soil modules of crop models.</w:t>
      </w:r>
    </w:p>
    <w:p>
      <w:pPr>
        <w:pStyle w:val="Heading3"/>
      </w:pPr>
      <w:r>
        <w:t xml:space="preserve">16.3.3 Infiltration</w:t>
      </w:r>
    </w:p>
    <w:p>
      <w:pPr>
        <w:pStyle w:val="FirstParagraph"/>
      </w:pPr>
      <w:r>
        <w:rPr>
          <w:bCs/>
          <w:b/>
        </w:rPr>
        <w:t xml:space="preserve">Infiltration</w:t>
      </w:r>
      <w:r>
        <w:t xml:space="preserve"> </w:t>
      </w:r>
      <w:r>
        <w:t xml:space="preserve">is the entry of water into soil through its surface. The</w:t>
      </w:r>
      <w:r>
        <w:t xml:space="preserve"> </w:t>
      </w:r>
      <w:r>
        <w:rPr>
          <w:bCs/>
          <w:b/>
        </w:rPr>
        <w:t xml:space="preserve">infiltration rate</w:t>
      </w:r>
      <w:r>
        <w:t xml:space="preserve"> </w:t>
      </w:r>
      <w:r>
        <w:t xml:space="preserve">is initially high (strong matric gradient in dry soil) and declines to a nearly steady</w:t>
      </w:r>
      <w:r>
        <w:t xml:space="preserve"> </w:t>
      </w:r>
      <w:r>
        <w:rPr>
          <w:bCs/>
          <w:b/>
        </w:rPr>
        <w:t xml:space="preserve">basic infiltration rate</w:t>
      </w:r>
      <w:r>
        <w:t xml:space="preserve"> </w:t>
      </w:r>
      <w:r>
        <w:t xml:space="preserve">approaching</w:t>
      </w:r>
      <w:r>
        <w:t xml:space="preserve"> </w:t>
      </w:r>
      <m:oMath>
        <m:sSub>
          <m:e>
            <m:r>
              <m:t>K</m:t>
            </m:r>
          </m:e>
          <m:sub>
            <m:r>
              <m:t>s</m:t>
            </m:r>
          </m:sub>
        </m:sSub>
      </m:oMath>
      <w:r>
        <w:t xml:space="preserv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Equation</w:t>
            </w:r>
          </w:p>
        </w:tc>
        <w:tc>
          <w:tcPr/>
          <w:p>
            <w:pPr>
              <w:pStyle w:val="Compact"/>
              <w:jc w:val="left"/>
            </w:pPr>
            <w:r>
              <w:t xml:space="preserve">Notes</w:t>
            </w:r>
          </w:p>
        </w:tc>
      </w:tr>
      <w:tr>
        <w:tc>
          <w:tcPr/>
          <w:p>
            <w:pPr>
              <w:pStyle w:val="Compact"/>
              <w:jc w:val="left"/>
            </w:pPr>
            <w:r>
              <w:rPr>
                <w:bCs/>
                <w:b/>
              </w:rPr>
              <w:t xml:space="preserve">Kostiakov</w:t>
            </w:r>
          </w:p>
        </w:tc>
        <w:tc>
          <w:tcPr/>
          <w:p>
            <w:pPr>
              <w:pStyle w:val="Compact"/>
              <w:jc w:val="left"/>
            </w:pPr>
            <m:oMath>
              <m:r>
                <m:t>I</m:t>
              </m:r>
              <m:r>
                <m:rPr>
                  <m:sty m:val="p"/>
                </m:rPr>
                <m:t>=</m:t>
              </m:r>
              <m:r>
                <m:t>a</m:t>
              </m:r>
              <m:r>
                <m:t> </m:t>
              </m:r>
              <m:sSup>
                <m:e>
                  <m:r>
                    <m:t>t</m:t>
                  </m:r>
                </m:e>
                <m:sup>
                  <m:r>
                    <m:t>b</m:t>
                  </m:r>
                </m:sup>
              </m:sSup>
            </m:oMath>
            <w:r>
              <w:t xml:space="preserve"> </w:t>
            </w:r>
            <w:r>
              <w:t xml:space="preserve">(</w:t>
            </w:r>
            <m:oMath>
              <m:r>
                <m:t>0</m:t>
              </m:r>
              <m:r>
                <m:rPr>
                  <m:sty m:val="p"/>
                </m:rPr>
                <m:t>&lt;</m:t>
              </m:r>
              <m:r>
                <m:t>b</m:t>
              </m:r>
              <m:r>
                <m:rPr>
                  <m:sty m:val="p"/>
                </m:rPr>
                <m:t>&lt;</m:t>
              </m:r>
              <m:r>
                <m:t>1</m:t>
              </m:r>
            </m:oMath>
            <w:r>
              <w:t xml:space="preserve">)</w:t>
            </w:r>
          </w:p>
        </w:tc>
        <w:tc>
          <w:tcPr/>
          <w:p>
            <w:pPr>
              <w:pStyle w:val="Compact"/>
              <w:jc w:val="left"/>
            </w:pPr>
            <w:r>
              <w:t xml:space="preserve">Empirical; widely used in irrigation design</w:t>
            </w:r>
          </w:p>
        </w:tc>
      </w:tr>
      <w:tr>
        <w:tc>
          <w:tcPr/>
          <w:p>
            <w:pPr>
              <w:pStyle w:val="Compact"/>
              <w:jc w:val="left"/>
            </w:pPr>
            <w:r>
              <w:rPr>
                <w:bCs/>
                <w:b/>
              </w:rPr>
              <w:t xml:space="preserve">Horton</w:t>
            </w:r>
          </w:p>
        </w:tc>
        <w:tc>
          <w:tcPr/>
          <w:p>
            <w:pPr>
              <w:pStyle w:val="Compact"/>
              <w:jc w:val="left"/>
            </w:pPr>
            <m:oMath>
              <m:r>
                <m:t>f</m:t>
              </m:r>
              <m:r>
                <m:rPr>
                  <m:sty m:val="p"/>
                </m:rPr>
                <m:t>=</m:t>
              </m:r>
              <m:sSub>
                <m:e>
                  <m:r>
                    <m:t>f</m:t>
                  </m:r>
                </m:e>
                <m:sub>
                  <m:r>
                    <m:t>c</m:t>
                  </m:r>
                </m:sub>
              </m:sSub>
              <m:r>
                <m:rPr>
                  <m:sty m:val="p"/>
                </m:rPr>
                <m:t>+</m:t>
              </m:r>
              <m:d>
                <m:dPr>
                  <m:begChr m:val="("/>
                  <m:endChr m:val=")"/>
                  <m:sepChr m:val=""/>
                  <m:grow/>
                </m:dPr>
                <m:e>
                  <m:sSub>
                    <m:e>
                      <m:r>
                        <m:t>f</m:t>
                      </m:r>
                    </m:e>
                    <m:sub>
                      <m:r>
                        <m:t>0</m:t>
                      </m:r>
                    </m:sub>
                  </m:sSub>
                  <m:r>
                    <m:rPr>
                      <m:sty m:val="p"/>
                    </m:rPr>
                    <m:t>−</m:t>
                  </m:r>
                  <m:sSub>
                    <m:e>
                      <m:r>
                        <m:t>f</m:t>
                      </m:r>
                    </m:e>
                    <m:sub>
                      <m:r>
                        <m:t>c</m:t>
                      </m:r>
                    </m:sub>
                  </m:sSub>
                </m:e>
              </m:d>
              <m:r>
                <m:t> </m:t>
              </m:r>
              <m:sSup>
                <m:e>
                  <m:r>
                    <m:t>e</m:t>
                  </m:r>
                </m:e>
                <m:sup>
                  <m:r>
                    <m:rPr>
                      <m:sty m:val="p"/>
                    </m:rPr>
                    <m:t>−</m:t>
                  </m:r>
                  <m:r>
                    <m:t>k</m:t>
                  </m:r>
                  <m:r>
                    <m:t>t</m:t>
                  </m:r>
                </m:sup>
              </m:sSup>
            </m:oMath>
          </w:p>
        </w:tc>
        <w:tc>
          <w:tcPr/>
          <w:p>
            <w:pPr>
              <w:pStyle w:val="Compact"/>
              <w:jc w:val="left"/>
            </w:pPr>
            <w:r>
              <w:t xml:space="preserve">Exponential decay from initial</w:t>
            </w:r>
            <w:r>
              <w:t xml:space="preserve"> </w:t>
            </w:r>
            <m:oMath>
              <m:sSub>
                <m:e>
                  <m:r>
                    <m:t>f</m:t>
                  </m:r>
                </m:e>
                <m:sub>
                  <m:r>
                    <m:t>0</m:t>
                  </m:r>
                </m:sub>
              </m:sSub>
            </m:oMath>
            <w:r>
              <w:t xml:space="preserve"> </w:t>
            </w:r>
            <w:r>
              <w:t xml:space="preserve">to final</w:t>
            </w:r>
            <w:r>
              <w:t xml:space="preserve"> </w:t>
            </w:r>
            <m:oMath>
              <m:sSub>
                <m:e>
                  <m:r>
                    <m:t>f</m:t>
                  </m:r>
                </m:e>
                <m:sub>
                  <m:r>
                    <m:t>c</m:t>
                  </m:r>
                </m:sub>
              </m:sSub>
            </m:oMath>
          </w:p>
        </w:tc>
      </w:tr>
      <w:tr>
        <w:tc>
          <w:tcPr/>
          <w:p>
            <w:pPr>
              <w:pStyle w:val="Compact"/>
              <w:jc w:val="left"/>
            </w:pPr>
            <w:r>
              <w:rPr>
                <w:bCs/>
                <w:b/>
              </w:rPr>
              <w:t xml:space="preserve">Philip</w:t>
            </w:r>
          </w:p>
        </w:tc>
        <w:tc>
          <w:tcPr/>
          <w:p>
            <w:pPr>
              <w:pStyle w:val="Compact"/>
              <w:jc w:val="left"/>
            </w:pPr>
            <m:oMath>
              <m:r>
                <m:t>I</m:t>
              </m:r>
              <m:r>
                <m:rPr>
                  <m:sty m:val="p"/>
                </m:rPr>
                <m:t>=</m:t>
              </m:r>
              <m:r>
                <m:t>S</m:t>
              </m:r>
              <m:r>
                <m:t> </m:t>
              </m:r>
              <m:sSup>
                <m:e>
                  <m:r>
                    <m:t>t</m:t>
                  </m:r>
                </m:e>
                <m:sup>
                  <m:r>
                    <m:t>1</m:t>
                  </m:r>
                  <m:r>
                    <m:rPr>
                      <m:sty m:val="p"/>
                    </m:rPr>
                    <m:t>/</m:t>
                  </m:r>
                  <m:r>
                    <m:t>2</m:t>
                  </m:r>
                </m:sup>
              </m:sSup>
              <m:r>
                <m:rPr>
                  <m:sty m:val="p"/>
                </m:rPr>
                <m:t>+</m:t>
              </m:r>
              <m:r>
                <m:t>A</m:t>
              </m:r>
              <m:r>
                <m:t> </m:t>
              </m:r>
              <m:r>
                <m:t>t</m:t>
              </m:r>
            </m:oMath>
          </w:p>
        </w:tc>
        <w:tc>
          <w:tcPr/>
          <w:p>
            <w:pPr>
              <w:pStyle w:val="Compact"/>
              <w:jc w:val="left"/>
            </w:pPr>
            <w:r>
              <w:t xml:space="preserve">Physically based; S = sorptivity</w:t>
            </w:r>
          </w:p>
        </w:tc>
      </w:tr>
      <w:tr>
        <w:tc>
          <w:tcPr/>
          <w:p>
            <w:pPr>
              <w:pStyle w:val="Compact"/>
              <w:jc w:val="left"/>
            </w:pPr>
            <w:r>
              <w:rPr>
                <w:bCs/>
                <w:b/>
              </w:rPr>
              <w:t xml:space="preserve">Green–Ampt</w:t>
            </w:r>
          </w:p>
        </w:tc>
        <w:tc>
          <w:tcPr/>
          <w:p>
            <w:pPr>
              <w:pStyle w:val="Compact"/>
              <w:jc w:val="left"/>
            </w:pPr>
            <m:oMath>
              <m:r>
                <m:t>f</m:t>
              </m:r>
              <m:r>
                <m:rPr>
                  <m:sty m:val="p"/>
                </m:rPr>
                <m:t>=</m:t>
              </m:r>
              <m:sSub>
                <m:e>
                  <m:r>
                    <m:t>K</m:t>
                  </m:r>
                </m:e>
                <m:sub>
                  <m:r>
                    <m:t>s</m:t>
                  </m:r>
                </m:sub>
              </m:sSub>
              <m:d>
                <m:dPr>
                  <m:begChr m:val="("/>
                  <m:endChr m:val=")"/>
                  <m:sepChr m:val=""/>
                  <m:grow/>
                </m:dPr>
                <m:e>
                  <m:r>
                    <m:t>1</m:t>
                  </m:r>
                  <m:r>
                    <m:rPr>
                      <m:sty m:val="p"/>
                    </m:rPr>
                    <m:t>+</m:t>
                  </m:r>
                  <m:f>
                    <m:fPr>
                      <m:type m:val="bar"/>
                    </m:fPr>
                    <m:num>
                      <m:sSub>
                        <m:e>
                          <m:r>
                            <m:t>ψ</m:t>
                          </m:r>
                        </m:e>
                        <m:sub>
                          <m:r>
                            <m:t>f</m:t>
                          </m:r>
                        </m:sub>
                      </m:sSub>
                      <m:r>
                        <m:t> </m:t>
                      </m:r>
                      <m:r>
                        <m:t>Δ</m:t>
                      </m:r>
                      <m:r>
                        <m:t>θ</m:t>
                      </m:r>
                    </m:num>
                    <m:den>
                      <m:r>
                        <m:t>F</m:t>
                      </m:r>
                    </m:den>
                  </m:f>
                </m:e>
              </m:d>
            </m:oMath>
          </w:p>
        </w:tc>
        <w:tc>
          <w:tcPr/>
          <w:p>
            <w:pPr>
              <w:pStyle w:val="Compact"/>
              <w:jc w:val="left"/>
            </w:pPr>
            <w:r>
              <w:t xml:space="preserve">Sharp wetting front; used in hydrological models</w:t>
            </w:r>
          </w:p>
        </w:tc>
      </w:tr>
    </w:tbl>
    <w:p>
      <w:pPr>
        <w:pStyle w:val="BodyText"/>
      </w:pPr>
      <w:r>
        <w:t xml:space="preserve">Basic infiltration rates (mm h⁻¹): sand &gt; 30; sandy loam 20–30; loam 10–20; clay loam 5–10; clay 1–5. Infiltration is measured with a</w:t>
      </w:r>
      <w:r>
        <w:t xml:space="preserve"> </w:t>
      </w:r>
      <w:r>
        <w:rPr>
          <w:bCs/>
          <w:b/>
        </w:rPr>
        <w:t xml:space="preserve">double-ring infiltrometer</w:t>
      </w:r>
      <w:r>
        <w:t xml:space="preserve"> </w:t>
      </w:r>
      <w:r>
        <w:t xml:space="preserve">(the outer ring prevents lateral flow). Crusting, compaction, sodicity and fine texture reduce infiltration and increase runoff and erosion.</w:t>
      </w:r>
    </w:p>
    <w:p>
      <w:pPr>
        <w:pStyle w:val="BodyText"/>
      </w:pPr>
      <w:r>
        <w:rPr>
          <w:bCs/>
          <w:b/>
        </w:rPr>
        <w:t xml:space="preserve">Percolation</w:t>
      </w:r>
      <w:r>
        <w:t xml:space="preserve"> </w:t>
      </w:r>
      <w:r>
        <w:t xml:space="preserve">is downward movement through the profile below the root zone (deep drainage).</w:t>
      </w:r>
      <w:r>
        <w:t xml:space="preserve"> </w:t>
      </w:r>
      <w:r>
        <w:rPr>
          <w:bCs/>
          <w:b/>
        </w:rPr>
        <w:t xml:space="preserve">Redistribution</w:t>
      </w:r>
      <w:r>
        <w:t xml:space="preserve"> </w:t>
      </w:r>
      <w:r>
        <w:t xml:space="preserve">is movement after infiltration stops.</w:t>
      </w:r>
    </w:p>
    <w:p>
      <w:pPr>
        <w:pStyle w:val="Heading3"/>
      </w:pPr>
      <w:r>
        <w:t xml:space="preserve">16.3.4 Evaporation from bare soil: three stages</w:t>
      </w:r>
    </w:p>
    <w:p>
      <w:pPr>
        <w:pStyle w:val="Compact"/>
        <w:numPr>
          <w:ilvl w:val="0"/>
          <w:numId w:val="1118"/>
        </w:numPr>
      </w:pPr>
      <w:r>
        <w:rPr>
          <w:bCs/>
          <w:b/>
        </w:rPr>
        <w:t xml:space="preserve">Constant-rate (energy-limited) stage:</w:t>
      </w:r>
      <w:r>
        <w:t xml:space="preserve"> </w:t>
      </w:r>
      <w:r>
        <w:t xml:space="preserve">the surface is wet, and evaporation is governed by atmospheric demand.</w:t>
      </w:r>
    </w:p>
    <w:p>
      <w:pPr>
        <w:pStyle w:val="Compact"/>
        <w:numPr>
          <w:ilvl w:val="0"/>
          <w:numId w:val="1118"/>
        </w:numPr>
      </w:pPr>
      <w:r>
        <w:rPr>
          <w:bCs/>
          <w:b/>
        </w:rPr>
        <w:t xml:space="preserve">Falling-rate (soil-limited) stage:</w:t>
      </w:r>
      <w:r>
        <w:t xml:space="preserve"> </w:t>
      </w:r>
      <w:r>
        <w:t xml:space="preserve">the surface dries, and the rate depends on the soil’s ability to conduct water upward.</w:t>
      </w:r>
    </w:p>
    <w:p>
      <w:pPr>
        <w:pStyle w:val="Compact"/>
        <w:numPr>
          <w:ilvl w:val="0"/>
          <w:numId w:val="1118"/>
        </w:numPr>
      </w:pPr>
      <w:r>
        <w:rPr>
          <w:bCs/>
          <w:b/>
        </w:rPr>
        <w:t xml:space="preserve">Residual (vapour diffusion) stage:</w:t>
      </w:r>
      <w:r>
        <w:t xml:space="preserve"> </w:t>
      </w:r>
      <w:r>
        <w:t xml:space="preserve">very slow, through a dry surface layer.</w:t>
      </w:r>
    </w:p>
    <w:p>
      <w:pPr>
        <w:pStyle w:val="FirstParagraph"/>
      </w:pPr>
      <w:r>
        <w:t xml:space="preserve">A dry surface</w:t>
      </w:r>
      <w:r>
        <w:t xml:space="preserve"> </w:t>
      </w:r>
      <w:r>
        <w:rPr>
          <w:bCs/>
          <w:b/>
        </w:rPr>
        <w:t xml:space="preserve">mulch</w:t>
      </w:r>
      <w:r>
        <w:t xml:space="preserve"> </w:t>
      </w:r>
      <w:r>
        <w:t xml:space="preserve">(dust mulch or residue) cuts stage-2 losses. This is the logic of conservation tillage in dryland farming.</w:t>
      </w:r>
    </w:p>
    <w:p>
      <w:pPr>
        <w:pStyle w:val="Heading2"/>
      </w:pPr>
      <w:r>
        <w:t xml:space="preserve">16.4 Soil Temperature</w:t>
      </w:r>
    </w:p>
    <w:p>
      <w:pPr>
        <w:pStyle w:val="FirstParagraph"/>
      </w:pPr>
      <w:r>
        <w:t xml:space="preserve">Soil temperature controls germination, root growth, microbial activity, nutrient mineralisation, water viscosity and the physical state of water. Its main source is solar radiation. Minor sources are geothermal heat, microbial respiration and rain.</w:t>
      </w:r>
    </w:p>
    <w:p>
      <w:pPr>
        <w:pStyle w:val="Heading3"/>
      </w:pPr>
      <w:r>
        <w:t xml:space="preserve">16.4.1 Thermal properties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Definition</w:t>
            </w:r>
          </w:p>
        </w:tc>
        <w:tc>
          <w:tcPr/>
          <w:p>
            <w:pPr>
              <w:pStyle w:val="Compact"/>
              <w:jc w:val="left"/>
            </w:pPr>
            <w:r>
              <w:t xml:space="preserve">Effect of moisture</w:t>
            </w:r>
          </w:p>
        </w:tc>
      </w:tr>
      <w:tr>
        <w:tc>
          <w:tcPr/>
          <w:p>
            <w:pPr>
              <w:pStyle w:val="Compact"/>
              <w:jc w:val="left"/>
            </w:pPr>
            <w:r>
              <w:rPr>
                <w:bCs/>
                <w:b/>
              </w:rPr>
              <w:t xml:space="preserve">Volumetric heat capacity</w:t>
            </w:r>
            <w:r>
              <w:t xml:space="preserve"> </w:t>
            </w:r>
            <m:oMath>
              <m:r>
                <m:t>C</m:t>
              </m:r>
            </m:oMath>
          </w:p>
        </w:tc>
        <w:tc>
          <w:tcPr/>
          <w:p>
            <w:pPr>
              <w:pStyle w:val="Compact"/>
              <w:jc w:val="left"/>
            </w:pPr>
            <w:r>
              <w:t xml:space="preserve">Heat to raise 1 m³ by 1 K:</w:t>
            </w:r>
            <w:r>
              <w:t xml:space="preserve"> </w:t>
            </w:r>
            <m:oMath>
              <m:r>
                <m:t>C</m:t>
              </m:r>
              <m:r>
                <m:rPr>
                  <m:sty m:val="p"/>
                </m:rPr>
                <m:t>=</m:t>
              </m:r>
              <m:sSub>
                <m:e>
                  <m:r>
                    <m:t>ρ</m:t>
                  </m:r>
                </m:e>
                <m:sub>
                  <m:r>
                    <m:t>b</m:t>
                  </m:r>
                </m:sub>
              </m:sSub>
              <m:sSub>
                <m:e>
                  <m:r>
                    <m:t>c</m:t>
                  </m:r>
                </m:e>
                <m:sub>
                  <m:r>
                    <m:t>s</m:t>
                  </m:r>
                </m:sub>
              </m:sSub>
              <m:r>
                <m:rPr>
                  <m:sty m:val="p"/>
                </m:rPr>
                <m:t>+</m:t>
              </m:r>
              <m:sSub>
                <m:e>
                  <m:r>
                    <m:t>θ</m:t>
                  </m:r>
                </m:e>
                <m:sub>
                  <m:r>
                    <m:t>v</m:t>
                  </m:r>
                </m:sub>
              </m:sSub>
              <m:sSub>
                <m:e>
                  <m:r>
                    <m:t>ρ</m:t>
                  </m:r>
                </m:e>
                <m:sub>
                  <m:r>
                    <m:t>w</m:t>
                  </m:r>
                </m:sub>
              </m:sSub>
              <m:sSub>
                <m:e>
                  <m:r>
                    <m:t>c</m:t>
                  </m:r>
                </m:e>
                <m:sub>
                  <m:r>
                    <m:t>w</m:t>
                  </m:r>
                </m:sub>
              </m:sSub>
            </m:oMath>
            <w:r>
              <w:t xml:space="preserve"> </w:t>
            </w:r>
            <w:r>
              <w:t xml:space="preserve">(≈ 1.92 x_mineral + 2.51 x_organic + 4.18 θ, MJ m⁻³ K⁻¹; de Vries)</w:t>
            </w:r>
          </w:p>
        </w:tc>
        <w:tc>
          <w:tcPr/>
          <w:p>
            <w:pPr>
              <w:pStyle w:val="Compact"/>
              <w:jc w:val="left"/>
            </w:pPr>
            <w:r>
              <w:t xml:space="preserve">Increases (water has the highest heat capacity, 4.18 MJ m⁻³ K⁻¹)</w:t>
            </w:r>
          </w:p>
        </w:tc>
      </w:tr>
      <w:tr>
        <w:tc>
          <w:tcPr/>
          <w:p>
            <w:pPr>
              <w:pStyle w:val="Compact"/>
              <w:jc w:val="left"/>
            </w:pPr>
            <w:r>
              <w:rPr>
                <w:bCs/>
                <w:b/>
              </w:rPr>
              <w:t xml:space="preserve">Thermal conductivity</w:t>
            </w:r>
            <w:r>
              <w:t xml:space="preserve"> </w:t>
            </w:r>
            <m:oMath>
              <m:r>
                <m:t>k</m:t>
              </m:r>
            </m:oMath>
          </w:p>
        </w:tc>
        <w:tc>
          <w:tcPr/>
          <w:p>
            <w:pPr>
              <w:pStyle w:val="Compact"/>
              <w:jc w:val="left"/>
            </w:pPr>
            <w:r>
              <w:t xml:space="preserve">Heat flux per unit temperature gradient (W m⁻¹ K⁻¹)</w:t>
            </w:r>
          </w:p>
        </w:tc>
        <w:tc>
          <w:tcPr/>
          <w:p>
            <w:pPr>
              <w:pStyle w:val="Compact"/>
              <w:jc w:val="left"/>
            </w:pPr>
            <w:r>
              <w:t xml:space="preserve">Increases sharply as water bridges particles (air is a poor conductor, 0.025)</w:t>
            </w:r>
          </w:p>
        </w:tc>
      </w:tr>
      <w:tr>
        <w:tc>
          <w:tcPr/>
          <w:p>
            <w:pPr>
              <w:pStyle w:val="Compact"/>
              <w:jc w:val="left"/>
            </w:pPr>
            <w:r>
              <w:rPr>
                <w:bCs/>
                <w:b/>
              </w:rPr>
              <w:t xml:space="preserve">Thermal diffusivity</w:t>
            </w:r>
            <w:r>
              <w:t xml:space="preserve"> </w:t>
            </w:r>
            <m:oMath>
              <m:sSub>
                <m:e>
                  <m:r>
                    <m:t>D</m:t>
                  </m:r>
                </m:e>
                <m:sub>
                  <m:r>
                    <m:t>h</m:t>
                  </m:r>
                </m:sub>
              </m:sSub>
              <m:r>
                <m:rPr>
                  <m:sty m:val="p"/>
                </m:rPr>
                <m:t>=</m:t>
              </m:r>
              <m:r>
                <m:t>k</m:t>
              </m:r>
              <m:r>
                <m:rPr>
                  <m:sty m:val="p"/>
                </m:rPr>
                <m:t>/</m:t>
              </m:r>
              <m:r>
                <m:t>C</m:t>
              </m:r>
            </m:oMath>
          </w:p>
        </w:tc>
        <w:tc>
          <w:tcPr/>
          <w:p>
            <w:pPr>
              <w:pStyle w:val="Compact"/>
              <w:jc w:val="left"/>
            </w:pPr>
            <w:r>
              <w:t xml:space="preserve">Speed of propagation of a temperature change</w:t>
            </w:r>
          </w:p>
        </w:tc>
        <w:tc>
          <w:tcPr/>
          <w:p>
            <w:pPr>
              <w:pStyle w:val="Compact"/>
              <w:jc w:val="left"/>
            </w:pPr>
            <w:r>
              <w:t xml:space="preserve">Rises then falls with moisture (maximum at intermediate water content)</w:t>
            </w:r>
          </w:p>
        </w:tc>
      </w:tr>
    </w:tbl>
    <w:p>
      <w:pPr>
        <w:pStyle w:val="BodyText"/>
      </w:pPr>
      <w:r>
        <w:rPr>
          <w:bCs/>
          <w:b/>
        </w:rPr>
        <w:t xml:space="preserve">Fourier’s law</w:t>
      </w:r>
      <w:r>
        <w:t xml:space="preserve"> </w:t>
      </w:r>
      <w:r>
        <w:t xml:space="preserve">(soil heat flux):</w:t>
      </w:r>
    </w:p>
    <w:p>
      <w:pPr>
        <w:pStyle w:val="BodyText"/>
      </w:pPr>
      <m:oMathPara>
        <m:oMathParaPr>
          <m:jc m:val="center"/>
        </m:oMathParaPr>
        <m:oMath>
          <m:r>
            <m:t>G</m:t>
          </m:r>
          <m:r>
            <m:rPr>
              <m:sty m:val="p"/>
            </m:rPr>
            <m:t>=</m:t>
          </m:r>
          <m:r>
            <m:rPr>
              <m:sty m:val="p"/>
            </m:rPr>
            <m:t>−</m:t>
          </m:r>
          <m:r>
            <m:t>k</m:t>
          </m:r>
          <m:r>
            <m:t> </m:t>
          </m:r>
          <m:f>
            <m:fPr>
              <m:type m:val="bar"/>
            </m:fPr>
            <m:num>
              <m:r>
                <m:rPr>
                  <m:sty m:val="p"/>
                </m:rPr>
                <m:t>∂</m:t>
              </m:r>
              <m:r>
                <m:t>T</m:t>
              </m:r>
            </m:num>
            <m:den>
              <m:r>
                <m:rPr>
                  <m:sty m:val="p"/>
                </m:rPr>
                <m:t>∂</m:t>
              </m:r>
              <m:r>
                <m:t>z</m:t>
              </m:r>
            </m:den>
          </m:f>
        </m:oMath>
      </m:oMathPara>
    </w:p>
    <w:p>
      <w:pPr>
        <w:pStyle w:val="Heading3"/>
      </w:pPr>
      <w:r>
        <w:t xml:space="preserve">16.4.2 Diurnal and annual temperature waves</w:t>
      </w:r>
    </w:p>
    <w:p>
      <w:pPr>
        <w:pStyle w:val="FirstParagraph"/>
      </w:pPr>
      <w:r>
        <w:t xml:space="preserve">Surface temperature varies roughly sinusoidally. At depth</w:t>
      </w:r>
      <w:r>
        <w:t xml:space="preserve"> </w:t>
      </w:r>
      <m:oMath>
        <m:r>
          <m:t>z</m:t>
        </m:r>
      </m:oMath>
      <w:r>
        <w:t xml:space="preserve">:</w:t>
      </w:r>
    </w:p>
    <w:p>
      <w:pPr>
        <w:pStyle w:val="BodyText"/>
      </w:pPr>
      <m:oMathPara>
        <m:oMathParaPr>
          <m:jc m:val="center"/>
        </m:oMathParaPr>
        <m:oMath>
          <m:r>
            <m:t>T</m:t>
          </m:r>
          <m:d>
            <m:dPr>
              <m:begChr m:val="("/>
              <m:endChr m:val=")"/>
              <m:sepChr m:val=""/>
              <m:grow/>
            </m:dPr>
            <m:e>
              <m:r>
                <m:t>z</m:t>
              </m:r>
              <m:r>
                <m:rPr>
                  <m:sty m:val="p"/>
                </m:rPr>
                <m:t>,</m:t>
              </m:r>
              <m:r>
                <m:t>t</m:t>
              </m:r>
            </m:e>
          </m:d>
          <m:r>
            <m:rPr>
              <m:sty m:val="p"/>
            </m:rPr>
            <m:t>=</m:t>
          </m:r>
          <m:acc>
            <m:accPr>
              <m:chr m:val="‾"/>
            </m:accPr>
            <m:e>
              <m:r>
                <m:t>T</m:t>
              </m:r>
            </m:e>
          </m:acc>
          <m:r>
            <m:rPr>
              <m:sty m:val="p"/>
            </m:rPr>
            <m:t>+</m:t>
          </m:r>
          <m:sSub>
            <m:e>
              <m:r>
                <m:t>A</m:t>
              </m:r>
            </m:e>
            <m:sub>
              <m:r>
                <m:t>0</m:t>
              </m:r>
            </m:sub>
          </m:sSub>
          <m:r>
            <m:t> </m:t>
          </m:r>
          <m:sSup>
            <m:e>
              <m:r>
                <m:t>e</m:t>
              </m:r>
            </m:e>
            <m:sup>
              <m:r>
                <m:rPr>
                  <m:sty m:val="p"/>
                </m:rPr>
                <m:t>−</m:t>
              </m:r>
              <m:r>
                <m:t>z</m:t>
              </m:r>
              <m:r>
                <m:rPr>
                  <m:sty m:val="p"/>
                </m:rPr>
                <m:t>/</m:t>
              </m:r>
              <m:r>
                <m:t>d</m:t>
              </m:r>
            </m:sup>
          </m:sSup>
          <m:r>
            <m:rPr>
              <m:sty m:val="p"/>
            </m:rPr>
            <m:t>sin</m:t>
          </m:r>
          <m:r>
            <m:t>​</m:t>
          </m:r>
          <m:d>
            <m:dPr>
              <m:begChr m:val="("/>
              <m:endChr m:val=")"/>
              <m:sepChr m:val=""/>
              <m:grow/>
            </m:dPr>
            <m:e>
              <m:r>
                <m:t>ω</m:t>
              </m:r>
              <m:r>
                <m:t>t</m:t>
              </m:r>
              <m:r>
                <m:rPr>
                  <m:sty m:val="p"/>
                </m:rPr>
                <m:t>−</m:t>
              </m:r>
              <m:f>
                <m:fPr>
                  <m:type m:val="bar"/>
                </m:fPr>
                <m:num>
                  <m:r>
                    <m:t>z</m:t>
                  </m:r>
                </m:num>
                <m:den>
                  <m:r>
                    <m:t>d</m:t>
                  </m:r>
                </m:den>
              </m:f>
            </m:e>
          </m:d>
          <m:r>
            <m:rPr>
              <m:sty m:val="p"/>
            </m:rPr>
            <m:t>,</m:t>
          </m:r>
          <m:r>
            <m:t>  </m:t>
          </m:r>
          <m:r>
            <m:t>d</m:t>
          </m:r>
          <m:r>
            <m:rPr>
              <m:sty m:val="p"/>
            </m:rPr>
            <m:t>=</m:t>
          </m:r>
          <m:rad>
            <m:radPr>
              <m:degHide m:val="on"/>
            </m:radPr>
            <m:deg/>
            <m:e>
              <m:f>
                <m:fPr>
                  <m:type m:val="bar"/>
                </m:fPr>
                <m:num>
                  <m:r>
                    <m:t>2</m:t>
                  </m:r>
                  <m:sSub>
                    <m:e>
                      <m:r>
                        <m:t>D</m:t>
                      </m:r>
                    </m:e>
                    <m:sub>
                      <m:r>
                        <m:t>h</m:t>
                      </m:r>
                    </m:sub>
                  </m:sSub>
                </m:num>
                <m:den>
                  <m:r>
                    <m:t>ω</m:t>
                  </m:r>
                </m:den>
              </m:f>
            </m:e>
          </m:rad>
        </m:oMath>
      </m:oMathPara>
    </w:p>
    <w:p>
      <w:pPr>
        <w:pStyle w:val="Compact"/>
        <w:numPr>
          <w:ilvl w:val="0"/>
          <w:numId w:val="1119"/>
        </w:numPr>
      </w:pPr>
      <w:r>
        <w:rPr>
          <w:bCs/>
          <w:b/>
        </w:rPr>
        <w:t xml:space="preserve">Amplitude decreases exponentially</w:t>
      </w:r>
      <w:r>
        <w:t xml:space="preserve"> </w:t>
      </w:r>
      <w:r>
        <w:t xml:space="preserve">with depth.</w:t>
      </w:r>
    </w:p>
    <w:p>
      <w:pPr>
        <w:pStyle w:val="Compact"/>
        <w:numPr>
          <w:ilvl w:val="0"/>
          <w:numId w:val="1119"/>
        </w:numPr>
      </w:pPr>
      <w:r>
        <w:rPr>
          <w:bCs/>
          <w:b/>
        </w:rPr>
        <w:t xml:space="preserve">Phase lags</w:t>
      </w:r>
      <w:r>
        <w:t xml:space="preserve"> </w:t>
      </w:r>
      <w:r>
        <w:t xml:space="preserve">linearly with depth: the maximum occurs later at greater depths.</w:t>
      </w:r>
    </w:p>
    <w:p>
      <w:pPr>
        <w:pStyle w:val="Compact"/>
        <w:numPr>
          <w:ilvl w:val="0"/>
          <w:numId w:val="1119"/>
        </w:numPr>
      </w:pPr>
      <w:r>
        <w:t xml:space="preserve">The</w:t>
      </w:r>
      <w:r>
        <w:t xml:space="preserve"> </w:t>
      </w:r>
      <w:r>
        <w:rPr>
          <w:bCs/>
          <w:b/>
        </w:rPr>
        <w:t xml:space="preserve">damping depth</w:t>
      </w:r>
      <w:r>
        <w:t xml:space="preserve"> </w:t>
      </w:r>
      <m:oMath>
        <m:r>
          <m:t>d</m:t>
        </m:r>
      </m:oMath>
      <w:r>
        <w:t xml:space="preserve"> </w:t>
      </w:r>
      <w:r>
        <w:t xml:space="preserve">is the depth where amplitude falls to</w:t>
      </w:r>
      <w:r>
        <w:t xml:space="preserve"> </w:t>
      </w:r>
      <m:oMath>
        <m:r>
          <m:t>1</m:t>
        </m:r>
        <m:r>
          <m:rPr>
            <m:sty m:val="p"/>
          </m:rPr>
          <m:t>/</m:t>
        </m:r>
        <m:r>
          <m:t>e</m:t>
        </m:r>
      </m:oMath>
      <w:r>
        <w:t xml:space="preserve"> </w:t>
      </w:r>
      <w:r>
        <w:t xml:space="preserve">(37%). It is about 10–15 cm for the diurnal wave and about 2–3 m for the annual wave (</w:t>
      </w:r>
      <m:oMath>
        <m:sSub>
          <m:e>
            <m:r>
              <m:t>d</m:t>
            </m:r>
          </m:e>
          <m:sub>
            <m:r>
              <m:t>a</m:t>
            </m:r>
            <m:r>
              <m:t>n</m:t>
            </m:r>
            <m:r>
              <m:t>n</m:t>
            </m:r>
            <m:r>
              <m:t>u</m:t>
            </m:r>
            <m:r>
              <m:t>a</m:t>
            </m:r>
            <m:r>
              <m:t>l</m:t>
            </m:r>
          </m:sub>
        </m:sSub>
        <m:r>
          <m:rPr>
            <m:sty m:val="p"/>
          </m:rPr>
          <m:t>=</m:t>
        </m:r>
        <m:rad>
          <m:radPr>
            <m:degHide m:val="on"/>
          </m:radPr>
          <m:deg/>
          <m:e>
            <m:r>
              <m:t>365</m:t>
            </m:r>
          </m:e>
        </m:rad>
        <m:r>
          <m:t> </m:t>
        </m:r>
        <m:sSub>
          <m:e>
            <m:r>
              <m:t>d</m:t>
            </m:r>
          </m:e>
          <m:sub>
            <m:r>
              <m:t>d</m:t>
            </m:r>
            <m:r>
              <m:t>a</m:t>
            </m:r>
            <m:r>
              <m:t>i</m:t>
            </m:r>
            <m:r>
              <m:t>l</m:t>
            </m:r>
            <m:r>
              <m:t>y</m:t>
            </m:r>
          </m:sub>
        </m:sSub>
      </m:oMath>
      <w:r>
        <w:t xml:space="preserve">).</w:t>
      </w:r>
    </w:p>
    <w:p>
      <w:pPr>
        <w:pStyle w:val="Compact"/>
        <w:numPr>
          <w:ilvl w:val="0"/>
          <w:numId w:val="1119"/>
        </w:numPr>
      </w:pPr>
      <w:r>
        <w:t xml:space="preserve">Diurnal variation becomes negligible below about 50 cm and annual variation below about 10–20 m.</w:t>
      </w:r>
    </w:p>
    <w:p>
      <w:pPr>
        <w:pStyle w:val="FirstParagraph"/>
      </w:pPr>
      <w:r>
        <w:rPr>
          <w:bCs/>
          <w:b/>
        </w:rPr>
        <w:t xml:space="preserve">Factors affecting soil temperature:</w:t>
      </w:r>
      <w:r>
        <w:t xml:space="preserve"> </w:t>
      </w:r>
      <w:r>
        <w:t xml:space="preserve">radiation (latitude, season, slope and aspect, with south-facing slopes warmer in the northern hemisphere), cloud, albedo (dark soils absorb more), moisture (wet soils warm slowly), vegetation and mulch (insulate), tillage (loose soil has low conductivity, so the surface heats more), and evaporation (cooling).</w:t>
      </w:r>
    </w:p>
    <w:p>
      <w:pPr>
        <w:pStyle w:val="BodyText"/>
      </w:pPr>
      <w:r>
        <w:rPr>
          <w:bCs/>
          <w:b/>
        </w:rPr>
        <w:t xml:space="preserve">Crop relevance:</w:t>
      </w:r>
      <w:r>
        <w:t xml:space="preserve"> </w:t>
      </w:r>
      <w:r>
        <w:t xml:space="preserve">most seeds germinate between 10 and 35 °C (wheat optimum about 20–25 °C, maize and cotton above 15–18 °C). High soil temperature (&gt; 40 °C) in summer kills seedlings in dryland areas.</w:t>
      </w:r>
    </w:p>
    <w:p>
      <w:pPr>
        <w:pStyle w:val="BodyText"/>
      </w:pPr>
      <w:r>
        <w:rPr>
          <w:bCs/>
          <w:b/>
        </w:rPr>
        <w:t xml:space="preserve">Management:</w:t>
      </w:r>
      <w:r>
        <w:t xml:space="preserve"> </w:t>
      </w:r>
      <w:r>
        <w:t xml:space="preserve">mulching (straw lowers maximum temperature; black plastic raises it), irrigation, shading, ridge-and-furrow, and soil solarisation (clear polyethylene in summer to kill pathogens and weeds).</w:t>
      </w:r>
    </w:p>
    <w:p>
      <w:pPr>
        <w:pStyle w:val="Heading2"/>
      </w:pPr>
      <w:r>
        <w:t xml:space="preserve">16.5 Soil Air and Aeration</w:t>
      </w:r>
    </w:p>
    <w:tbl>
      <w:tblPr>
        <w:tblStyle w:val="Table"/>
        <w:tblW w:type="auto" w:w="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Gas</w:t>
            </w:r>
          </w:p>
        </w:tc>
        <w:tc>
          <w:tcPr/>
          <w:p>
            <w:pPr>
              <w:pStyle w:val="Compact"/>
              <w:jc w:val="left"/>
            </w:pPr>
            <w:r>
              <w:t xml:space="preserve">Atmosphere</w:t>
            </w:r>
          </w:p>
        </w:tc>
        <w:tc>
          <w:tcPr/>
          <w:p>
            <w:pPr>
              <w:pStyle w:val="Compact"/>
              <w:jc w:val="left"/>
            </w:pPr>
            <w:r>
              <w:t xml:space="preserve">Soil air (typical)</w:t>
            </w:r>
          </w:p>
        </w:tc>
      </w:tr>
      <w:tr>
        <w:tc>
          <w:tcPr/>
          <w:p>
            <w:pPr>
              <w:pStyle w:val="Compact"/>
              <w:jc w:val="left"/>
            </w:pPr>
            <w:r>
              <w:t xml:space="preserve">N₂</w:t>
            </w:r>
          </w:p>
        </w:tc>
        <w:tc>
          <w:tcPr/>
          <w:p>
            <w:pPr>
              <w:pStyle w:val="Compact"/>
              <w:jc w:val="left"/>
            </w:pPr>
            <w:r>
              <w:t xml:space="preserve">78%</w:t>
            </w:r>
          </w:p>
        </w:tc>
        <w:tc>
          <w:tcPr/>
          <w:p>
            <w:pPr>
              <w:pStyle w:val="Compact"/>
              <w:jc w:val="left"/>
            </w:pPr>
            <w:r>
              <w:t xml:space="preserve">~79%</w:t>
            </w:r>
          </w:p>
        </w:tc>
      </w:tr>
      <w:tr>
        <w:tc>
          <w:tcPr/>
          <w:p>
            <w:pPr>
              <w:pStyle w:val="Compact"/>
              <w:jc w:val="left"/>
            </w:pPr>
            <w:r>
              <w:t xml:space="preserve">O₂</w:t>
            </w:r>
          </w:p>
        </w:tc>
        <w:tc>
          <w:tcPr/>
          <w:p>
            <w:pPr>
              <w:pStyle w:val="Compact"/>
              <w:jc w:val="left"/>
            </w:pPr>
            <w:r>
              <w:t xml:space="preserve">20.9%</w:t>
            </w:r>
          </w:p>
        </w:tc>
        <w:tc>
          <w:tcPr/>
          <w:p>
            <w:pPr>
              <w:pStyle w:val="Compact"/>
              <w:jc w:val="left"/>
            </w:pPr>
            <w:r>
              <w:t xml:space="preserve">10–20% (can fall to &lt; 2% in waterlogged soil)</w:t>
            </w:r>
          </w:p>
        </w:tc>
      </w:tr>
      <w:tr>
        <w:tc>
          <w:tcPr/>
          <w:p>
            <w:pPr>
              <w:pStyle w:val="Compact"/>
              <w:jc w:val="left"/>
            </w:pPr>
            <w:r>
              <w:t xml:space="preserve">CO₂</w:t>
            </w:r>
          </w:p>
        </w:tc>
        <w:tc>
          <w:tcPr/>
          <w:p>
            <w:pPr>
              <w:pStyle w:val="Compact"/>
              <w:jc w:val="left"/>
            </w:pPr>
            <w:r>
              <w:t xml:space="preserve">~0.04%</w:t>
            </w:r>
          </w:p>
        </w:tc>
        <w:tc>
          <w:tcPr/>
          <w:p>
            <w:pPr>
              <w:pStyle w:val="Compact"/>
              <w:jc w:val="left"/>
            </w:pPr>
            <w:r>
              <w:rPr>
                <w:bCs/>
                <w:b/>
              </w:rPr>
              <w:t xml:space="preserve">0.2–2% (up to 10%)</w:t>
            </w:r>
          </w:p>
        </w:tc>
      </w:tr>
      <w:tr>
        <w:tc>
          <w:tcPr/>
          <w:p>
            <w:pPr>
              <w:pStyle w:val="Compact"/>
              <w:jc w:val="left"/>
            </w:pPr>
            <w:r>
              <w:t xml:space="preserve">Water vapour</w:t>
            </w:r>
          </w:p>
        </w:tc>
        <w:tc>
          <w:tcPr/>
          <w:p>
            <w:pPr>
              <w:pStyle w:val="Compact"/>
              <w:jc w:val="left"/>
            </w:pPr>
            <w:r>
              <w:t xml:space="preserve">Variable</w:t>
            </w:r>
          </w:p>
        </w:tc>
        <w:tc>
          <w:tcPr/>
          <w:p>
            <w:pPr>
              <w:pStyle w:val="Compact"/>
              <w:jc w:val="left"/>
            </w:pPr>
            <w:r>
              <w:t xml:space="preserve">Near saturation (RH ≈ 100%)</w:t>
            </w:r>
          </w:p>
        </w:tc>
      </w:tr>
    </w:tbl>
    <w:p>
      <w:pPr>
        <w:pStyle w:val="BodyText"/>
      </w:pPr>
      <w:r>
        <w:t xml:space="preserve">Soil air has more CO₂ and less O₂ because of root and microbial respiration.</w:t>
      </w:r>
    </w:p>
    <w:p>
      <w:pPr>
        <w:pStyle w:val="BodyText"/>
      </w:pPr>
      <w:r>
        <w:rPr>
          <w:bCs/>
          <w:b/>
        </w:rPr>
        <w:t xml:space="preserve">Gas exchange</w:t>
      </w:r>
      <w:r>
        <w:t xml:space="preserve"> </w:t>
      </w:r>
      <w:r>
        <w:t xml:space="preserve">happens mainly by</w:t>
      </w:r>
      <w:r>
        <w:t xml:space="preserve"> </w:t>
      </w:r>
      <w:r>
        <w:rPr>
          <w:bCs/>
          <w:b/>
        </w:rPr>
        <w:t xml:space="preserve">diffusion</w:t>
      </w:r>
      <w:r>
        <w:t xml:space="preserve"> </w:t>
      </w:r>
      <w:r>
        <w:t xml:space="preserve">(Fick’s law,</w:t>
      </w:r>
      <w:r>
        <w:t xml:space="preserve"> </w:t>
      </w:r>
      <m:oMath>
        <m:r>
          <m:t>F</m:t>
        </m:r>
        <m:r>
          <m:rPr>
            <m:sty m:val="p"/>
          </m:rPr>
          <m:t>=</m:t>
        </m:r>
        <m:r>
          <m:rPr>
            <m:sty m:val="p"/>
          </m:rPr>
          <m:t>−</m:t>
        </m:r>
        <m:r>
          <m:t>D</m:t>
        </m:r>
        <m:r>
          <m:t> </m:t>
        </m:r>
        <m:r>
          <m:rPr>
            <m:sty m:val="p"/>
          </m:rPr>
          <m:t>∂</m:t>
        </m:r>
        <m:r>
          <m:t>C</m:t>
        </m:r>
        <m:r>
          <m:rPr>
            <m:sty m:val="p"/>
          </m:rPr>
          <m:t>/</m:t>
        </m:r>
        <m:r>
          <m:rPr>
            <m:sty m:val="p"/>
          </m:rPr>
          <m:t>∂</m:t>
        </m:r>
        <m:r>
          <m:t>z</m:t>
        </m:r>
      </m:oMath>
      <w:r>
        <w:t xml:space="preserve">), plus mass flow driven by temperature, pressure, wind and rain.</w:t>
      </w:r>
    </w:p>
    <w:p>
      <w:pPr>
        <w:pStyle w:val="BodyText"/>
      </w:pPr>
      <w:r>
        <w:rPr>
          <w:bCs/>
          <w:b/>
        </w:rPr>
        <w:t xml:space="preserve">Aeration indicators:</w:t>
      </w:r>
    </w:p>
    <w:p>
      <w:pPr>
        <w:pStyle w:val="Compact"/>
        <w:numPr>
          <w:ilvl w:val="0"/>
          <w:numId w:val="1120"/>
        </w:numPr>
      </w:pPr>
      <w:r>
        <w:rPr>
          <w:bCs/>
          <w:b/>
        </w:rPr>
        <w:t xml:space="preserve">Air-filled porosity</w:t>
      </w:r>
      <w:r>
        <w:t xml:space="preserve"> </w:t>
      </w:r>
      <w:r>
        <w:t xml:space="preserve">above 10–15% is needed by most crops.</w:t>
      </w:r>
    </w:p>
    <w:p>
      <w:pPr>
        <w:pStyle w:val="Compact"/>
        <w:numPr>
          <w:ilvl w:val="0"/>
          <w:numId w:val="1120"/>
        </w:numPr>
      </w:pPr>
      <w:r>
        <w:rPr>
          <w:bCs/>
          <w:b/>
        </w:rPr>
        <w:t xml:space="preserve">Oxygen diffusion rate (ODR):</w:t>
      </w:r>
      <w:r>
        <w:t xml:space="preserve"> </w:t>
      </w:r>
      <w:r>
        <w:t xml:space="preserve">below about 0.2 µg cm⁻² min⁻¹ root growth stops, and above 0.4 is adequate.</w:t>
      </w:r>
    </w:p>
    <w:p>
      <w:pPr>
        <w:pStyle w:val="Compact"/>
        <w:numPr>
          <w:ilvl w:val="0"/>
          <w:numId w:val="1120"/>
        </w:numPr>
      </w:pPr>
      <w:r>
        <w:rPr>
          <w:bCs/>
          <w:b/>
        </w:rPr>
        <w:t xml:space="preserve">Redox potential</w:t>
      </w:r>
      <w:r>
        <w:t xml:space="preserve"> </w:t>
      </w:r>
      <w:r>
        <w:t xml:space="preserve">(Eh).</w:t>
      </w:r>
    </w:p>
    <w:p>
      <w:pPr>
        <w:pStyle w:val="FirstParagraph"/>
      </w:pPr>
      <w:r>
        <w:rPr>
          <w:bCs/>
          <w:b/>
        </w:rPr>
        <w:t xml:space="preserve">Effects of poor aeration:</w:t>
      </w:r>
      <w:r>
        <w:t xml:space="preserve"> </w:t>
      </w:r>
      <w:r>
        <w:t xml:space="preserve">reduced root respiration and nutrient uptake; accumulation of toxic reduced compounds (Fe²⁺, Mn²⁺, H₂S, ethylene, organic acids); denitrification losses; root diseases.</w:t>
      </w:r>
      <w:r>
        <w:t xml:space="preserve"> </w:t>
      </w:r>
      <w:r>
        <w:rPr>
          <w:bCs/>
          <w:b/>
        </w:rPr>
        <w:t xml:space="preserve">Rice</w:t>
      </w:r>
      <w:r>
        <w:t xml:space="preserve"> </w:t>
      </w:r>
      <w:r>
        <w:t xml:space="preserve">tolerates submergence through</w:t>
      </w:r>
      <w:r>
        <w:t xml:space="preserve"> </w:t>
      </w:r>
      <w:r>
        <w:rPr>
          <w:bCs/>
          <w:b/>
        </w:rPr>
        <w:t xml:space="preserve">aerenchyma</w:t>
      </w:r>
      <w:r>
        <w:t xml:space="preserve"> </w:t>
      </w:r>
      <w:r>
        <w:t xml:space="preserve">that conducts O₂ to the roots and oxidises the rhizosphere.</w:t>
      </w:r>
    </w:p>
    <w:p>
      <w:pPr>
        <w:pStyle w:val="BodyText"/>
      </w:pPr>
      <w:r>
        <w:rPr>
          <w:bCs/>
          <w:b/>
        </w:rPr>
        <w:t xml:space="preserve">Management:</w:t>
      </w:r>
      <w:r>
        <w:t xml:space="preserve"> </w:t>
      </w:r>
      <w:r>
        <w:t xml:space="preserve">drainage, tillage, organic matter (aggregation, macropores), avoiding compaction, raised beds, and controlled irrigation.</w:t>
      </w:r>
    </w:p>
    <w:p>
      <w:pPr>
        <w:pStyle w:val="Heading2"/>
      </w:pPr>
      <w:r>
        <w:t xml:space="preserve">16.6 Field Water Balance</w:t>
      </w:r>
    </w:p>
    <w:p>
      <w:pPr>
        <w:pStyle w:val="FirstParagraph"/>
      </w:pPr>
      <w:r>
        <w:t xml:space="preserve">The</w:t>
      </w:r>
      <w:r>
        <w:t xml:space="preserve"> </w:t>
      </w:r>
      <w:r>
        <w:rPr>
          <w:bCs/>
          <w:b/>
        </w:rPr>
        <w:t xml:space="preserve">field (root-zone) water balance</w:t>
      </w:r>
      <w:r>
        <w:t xml:space="preserve"> </w:t>
      </w:r>
      <w:r>
        <w:t xml:space="preserve">is the conservation of mass applied to the root zone over a period:</w:t>
      </w:r>
    </w:p>
    <w:p>
      <w:pPr>
        <w:pStyle w:val="BodyText"/>
      </w:pPr>
      <m:oMathPara>
        <m:oMathParaPr>
          <m:jc m:val="center"/>
        </m:oMathParaPr>
        <m:oMath>
          <m:r>
            <m:t>P</m:t>
          </m:r>
          <m:r>
            <m:rPr>
              <m:sty m:val="p"/>
            </m:rPr>
            <m:t>+</m:t>
          </m:r>
          <m:r>
            <m:t>I</m:t>
          </m:r>
          <m:r>
            <m:rPr>
              <m:sty m:val="p"/>
            </m:rPr>
            <m:t>+</m:t>
          </m:r>
          <m:r>
            <m:t>C</m:t>
          </m:r>
          <m:r>
            <m:t>R</m:t>
          </m:r>
          <m:r>
            <m:rPr>
              <m:sty m:val="p"/>
            </m:rPr>
            <m:t>=</m:t>
          </m:r>
          <m:r>
            <m:t>E</m:t>
          </m:r>
          <m:r>
            <m:t>T</m:t>
          </m:r>
          <m:r>
            <m:rPr>
              <m:sty m:val="p"/>
            </m:rPr>
            <m:t>+</m:t>
          </m:r>
          <m:r>
            <m:t>R</m:t>
          </m:r>
          <m:r>
            <m:rPr>
              <m:sty m:val="p"/>
            </m:rPr>
            <m:t>+</m:t>
          </m:r>
          <m:r>
            <m:t>D</m:t>
          </m:r>
          <m:r>
            <m:rPr>
              <m:sty m:val="p"/>
            </m:rPr>
            <m:t>+</m:t>
          </m:r>
          <m:r>
            <m:t>Δ</m:t>
          </m:r>
          <m:r>
            <m:t>S</m:t>
          </m:r>
        </m:oMath>
      </m:oMathPara>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m:oMath>
              <m:r>
                <m:t>P</m:t>
              </m:r>
            </m:oMath>
          </w:p>
        </w:tc>
        <w:tc>
          <w:tcPr/>
          <w:p>
            <w:pPr>
              <w:pStyle w:val="Compact"/>
              <w:jc w:val="left"/>
            </w:pPr>
            <w:r>
              <w:t xml:space="preserve">Precipitation (effective rainfall after interception)</w:t>
            </w:r>
          </w:p>
        </w:tc>
      </w:tr>
      <w:tr>
        <w:tc>
          <w:tcPr/>
          <w:p>
            <w:pPr>
              <w:pStyle w:val="Compact"/>
              <w:jc w:val="left"/>
            </w:pPr>
            <m:oMath>
              <m:r>
                <m:t>I</m:t>
              </m:r>
            </m:oMath>
          </w:p>
        </w:tc>
        <w:tc>
          <w:tcPr/>
          <w:p>
            <w:pPr>
              <w:pStyle w:val="Compact"/>
              <w:jc w:val="left"/>
            </w:pPr>
            <w:r>
              <w:t xml:space="preserve">Irrigation</w:t>
            </w:r>
          </w:p>
        </w:tc>
      </w:tr>
      <w:tr>
        <w:tc>
          <w:tcPr/>
          <w:p>
            <w:pPr>
              <w:pStyle w:val="Compact"/>
              <w:jc w:val="left"/>
            </w:pPr>
            <m:oMath>
              <m:r>
                <m:t>C</m:t>
              </m:r>
              <m:r>
                <m:t>R</m:t>
              </m:r>
            </m:oMath>
          </w:p>
        </w:tc>
        <w:tc>
          <w:tcPr/>
          <w:p>
            <w:pPr>
              <w:pStyle w:val="Compact"/>
              <w:jc w:val="left"/>
            </w:pPr>
            <w:r>
              <w:t xml:space="preserve">Capillary rise from a shallow water table</w:t>
            </w:r>
          </w:p>
        </w:tc>
      </w:tr>
      <w:tr>
        <w:tc>
          <w:tcPr/>
          <w:p>
            <w:pPr>
              <w:pStyle w:val="Compact"/>
              <w:jc w:val="left"/>
            </w:pPr>
            <m:oMath>
              <m:r>
                <m:t>E</m:t>
              </m:r>
              <m:r>
                <m:t>T</m:t>
              </m:r>
            </m:oMath>
          </w:p>
        </w:tc>
        <w:tc>
          <w:tcPr/>
          <w:p>
            <w:pPr>
              <w:pStyle w:val="Compact"/>
              <w:jc w:val="left"/>
            </w:pPr>
            <w:r>
              <w:t xml:space="preserve">Evapotranspiration (soil evaporation + transpiration)</w:t>
            </w:r>
          </w:p>
        </w:tc>
      </w:tr>
      <w:tr>
        <w:tc>
          <w:tcPr/>
          <w:p>
            <w:pPr>
              <w:pStyle w:val="Compact"/>
              <w:jc w:val="left"/>
            </w:pPr>
            <m:oMath>
              <m:r>
                <m:t>R</m:t>
              </m:r>
            </m:oMath>
          </w:p>
        </w:tc>
        <w:tc>
          <w:tcPr/>
          <w:p>
            <w:pPr>
              <w:pStyle w:val="Compact"/>
              <w:jc w:val="left"/>
            </w:pPr>
            <w:r>
              <w:t xml:space="preserve">Surface runoff (and run-on)</w:t>
            </w:r>
          </w:p>
        </w:tc>
      </w:tr>
      <w:tr>
        <w:tc>
          <w:tcPr/>
          <w:p>
            <w:pPr>
              <w:pStyle w:val="Compact"/>
              <w:jc w:val="left"/>
            </w:pPr>
            <m:oMath>
              <m:r>
                <m:t>D</m:t>
              </m:r>
            </m:oMath>
          </w:p>
        </w:tc>
        <w:tc>
          <w:tcPr/>
          <w:p>
            <w:pPr>
              <w:pStyle w:val="Compact"/>
              <w:jc w:val="left"/>
            </w:pPr>
            <w:r>
              <w:t xml:space="preserve">Deep percolation (drainage below the root zone)</w:t>
            </w:r>
          </w:p>
        </w:tc>
      </w:tr>
      <w:tr>
        <w:tc>
          <w:tcPr/>
          <w:p>
            <w:pPr>
              <w:pStyle w:val="Compact"/>
              <w:jc w:val="left"/>
            </w:pPr>
            <m:oMath>
              <m:r>
                <m:t>Δ</m:t>
              </m:r>
              <m:r>
                <m:t>S</m:t>
              </m:r>
            </m:oMath>
          </w:p>
        </w:tc>
        <w:tc>
          <w:tcPr/>
          <w:p>
            <w:pPr>
              <w:pStyle w:val="Compact"/>
              <w:jc w:val="left"/>
            </w:pPr>
            <w:r>
              <w:t xml:space="preserve">Change in root-zone soil water storage</w:t>
            </w:r>
          </w:p>
        </w:tc>
      </w:tr>
    </w:tbl>
    <w:p>
      <w:pPr>
        <w:pStyle w:val="BodyText"/>
      </w:pPr>
      <w:r>
        <w:t xml:space="preserve">Each term is measured or estimated: P from rain gauges or satellites, I from flow meters, ET from lysimeters, EC towers, Penman–Monteith × Kc, or SEB models, R from flumes or SCS-CN, D from the Darcy flux at the root-zone base, and ΔS from soil moisture measurement. The water balance underlies irrigation scheduling, drought indices (water requirement satisfaction index, Thornthwaite–Mather bookkeeping) and crop-model soil water modules.</w:t>
      </w:r>
    </w:p>
    <w:p>
      <w:pPr>
        <w:pStyle w:val="CaptionedFigure"/>
      </w:pPr>
      <w:r>
        <w:drawing>
          <wp:inline>
            <wp:extent cx="5334000" cy="2386964"/>
            <wp:effectExtent b="0" l="0" r="0" t="0"/>
            <wp:docPr descr="Field water balance and irrigation scheduling logic" title="" id="66" name="Picture"/>
            <a:graphic>
              <a:graphicData uri="http://schemas.openxmlformats.org/drawingml/2006/picture">
                <pic:pic>
                  <pic:nvPicPr>
                    <pic:cNvPr descr="/tmp/claude-0/-home-user-sonu/ab07c29a-21cd-5a4a-9d2d-68ad72d07153/scratchpad/build/../flows/flow_012.png" id="67" name="Picture"/>
                    <pic:cNvPicPr>
                      <a:picLocks noChangeArrowheads="1" noChangeAspect="1"/>
                    </pic:cNvPicPr>
                  </pic:nvPicPr>
                  <pic:blipFill>
                    <a:blip r:embed="rId65"/>
                    <a:stretch>
                      <a:fillRect/>
                    </a:stretch>
                  </pic:blipFill>
                  <pic:spPr bwMode="auto">
                    <a:xfrm>
                      <a:off x="0" y="0"/>
                      <a:ext cx="5334000" cy="2386964"/>
                    </a:xfrm>
                    <a:prstGeom prst="rect">
                      <a:avLst/>
                    </a:prstGeom>
                    <a:noFill/>
                    <a:ln w="9525">
                      <a:noFill/>
                      <a:headEnd/>
                      <a:tailEnd/>
                    </a:ln>
                  </pic:spPr>
                </pic:pic>
              </a:graphicData>
            </a:graphic>
          </wp:inline>
        </w:drawing>
      </w:r>
    </w:p>
    <w:p>
      <w:pPr>
        <w:pStyle w:val="ImageCaption"/>
      </w:pPr>
      <w:r>
        <w:t xml:space="preserve">Field water balance and irrigation scheduling logic</w:t>
      </w:r>
    </w:p>
    <w:p>
      <w:pPr>
        <w:pStyle w:val="Heading2"/>
      </w:pPr>
      <w:r>
        <w:t xml:space="preserve">16.7 Water Use Efficiency</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Definition</w:t>
            </w:r>
          </w:p>
        </w:tc>
        <w:tc>
          <w:tcPr/>
          <w:p>
            <w:pPr>
              <w:pStyle w:val="Compact"/>
              <w:jc w:val="left"/>
            </w:pPr>
            <w:r>
              <w:t xml:space="preserve">Unit</w:t>
            </w:r>
          </w:p>
        </w:tc>
      </w:tr>
      <w:tr>
        <w:tc>
          <w:tcPr/>
          <w:p>
            <w:pPr>
              <w:pStyle w:val="Compact"/>
              <w:jc w:val="left"/>
            </w:pPr>
            <w:r>
              <w:rPr>
                <w:bCs/>
                <w:b/>
              </w:rPr>
              <w:t xml:space="preserve">Crop (consumptive) WUE</w:t>
            </w:r>
          </w:p>
        </w:tc>
        <w:tc>
          <w:tcPr/>
          <w:p>
            <w:pPr>
              <w:pStyle w:val="Compact"/>
              <w:jc w:val="left"/>
            </w:pPr>
            <w:r>
              <w:t xml:space="preserve">Economic yield / ET</w:t>
            </w:r>
          </w:p>
        </w:tc>
        <w:tc>
          <w:tcPr/>
          <w:p>
            <w:pPr>
              <w:pStyle w:val="Compact"/>
              <w:jc w:val="left"/>
            </w:pPr>
            <w:r>
              <w:t xml:space="preserve">kg ha⁻¹ mm⁻¹ or kg m⁻³</w:t>
            </w:r>
          </w:p>
        </w:tc>
      </w:tr>
      <w:tr>
        <w:tc>
          <w:tcPr/>
          <w:p>
            <w:pPr>
              <w:pStyle w:val="Compact"/>
              <w:jc w:val="left"/>
            </w:pPr>
            <w:r>
              <w:rPr>
                <w:bCs/>
                <w:b/>
              </w:rPr>
              <w:t xml:space="preserve">Field WUE</w:t>
            </w:r>
          </w:p>
        </w:tc>
        <w:tc>
          <w:tcPr/>
          <w:p>
            <w:pPr>
              <w:pStyle w:val="Compact"/>
              <w:jc w:val="left"/>
            </w:pPr>
            <w:r>
              <w:t xml:space="preserve">Yield / total water applied to the field (ET + losses)</w:t>
            </w:r>
          </w:p>
        </w:tc>
        <w:tc>
          <w:tcPr/>
          <w:p>
            <w:pPr>
              <w:pStyle w:val="Compact"/>
              <w:jc w:val="left"/>
            </w:pPr>
            <w:r>
              <w:t xml:space="preserve">kg ha⁻¹ mm⁻¹</w:t>
            </w:r>
          </w:p>
        </w:tc>
      </w:tr>
      <w:tr>
        <w:tc>
          <w:tcPr/>
          <w:p>
            <w:pPr>
              <w:pStyle w:val="Compact"/>
              <w:jc w:val="left"/>
            </w:pPr>
            <w:r>
              <w:rPr>
                <w:bCs/>
                <w:b/>
              </w:rPr>
              <w:t xml:space="preserve">Irrigation WUE</w:t>
            </w:r>
          </w:p>
        </w:tc>
        <w:tc>
          <w:tcPr/>
          <w:p>
            <w:pPr>
              <w:pStyle w:val="Compact"/>
              <w:jc w:val="left"/>
            </w:pPr>
            <w:r>
              <w:t xml:space="preserve">(Yield irrigated − yield rainfed) / irrigation water applied</w:t>
            </w:r>
          </w:p>
        </w:tc>
        <w:tc>
          <w:tcPr/>
          <w:p>
            <w:pPr>
              <w:pStyle w:val="Compact"/>
              <w:jc w:val="left"/>
            </w:pPr>
            <w:r>
              <w:t xml:space="preserve">kg ha⁻¹ mm⁻¹</w:t>
            </w:r>
          </w:p>
        </w:tc>
      </w:tr>
      <w:tr>
        <w:tc>
          <w:tcPr/>
          <w:p>
            <w:pPr>
              <w:pStyle w:val="Compact"/>
              <w:jc w:val="left"/>
            </w:pPr>
            <w:r>
              <w:rPr>
                <w:bCs/>
                <w:b/>
              </w:rPr>
              <w:t xml:space="preserve">Water productivity (WP)</w:t>
            </w:r>
          </w:p>
        </w:tc>
        <w:tc>
          <w:tcPr/>
          <w:p>
            <w:pPr>
              <w:pStyle w:val="Compact"/>
              <w:jc w:val="left"/>
            </w:pPr>
            <w:r>
              <w:t xml:space="preserve">Output (kg, ₹, kcal) per m³ of water consumed or applied</w:t>
            </w:r>
          </w:p>
        </w:tc>
        <w:tc>
          <w:tcPr/>
          <w:p>
            <w:pPr>
              <w:pStyle w:val="Compact"/>
              <w:jc w:val="left"/>
            </w:pPr>
            <w:r>
              <w:t xml:space="preserve">kg m⁻³, ₹ m⁻³</w:t>
            </w:r>
          </w:p>
        </w:tc>
      </w:tr>
      <w:tr>
        <w:tc>
          <w:tcPr/>
          <w:p>
            <w:pPr>
              <w:pStyle w:val="Compact"/>
              <w:jc w:val="left"/>
            </w:pPr>
            <w:r>
              <w:rPr>
                <w:bCs/>
                <w:b/>
              </w:rPr>
              <w:t xml:space="preserve">Transpiration efficiency</w:t>
            </w:r>
          </w:p>
        </w:tc>
        <w:tc>
          <w:tcPr/>
          <w:p>
            <w:pPr>
              <w:pStyle w:val="Compact"/>
              <w:jc w:val="left"/>
            </w:pPr>
            <w:r>
              <w:t xml:space="preserve">Biomass / transpiration</w:t>
            </w:r>
          </w:p>
        </w:tc>
        <w:tc>
          <w:tcPr/>
          <w:p>
            <w:pPr>
              <w:pStyle w:val="Compact"/>
              <w:jc w:val="left"/>
            </w:pPr>
            <w:r>
              <w:t xml:space="preserve">g kg⁻¹ (C₄ &gt; C₃)</w:t>
            </w:r>
          </w:p>
        </w:tc>
      </w:tr>
      <w:tr>
        <w:tc>
          <w:tcPr/>
          <w:p>
            <w:pPr>
              <w:pStyle w:val="Compact"/>
              <w:jc w:val="left"/>
            </w:pPr>
            <w:r>
              <w:rPr>
                <w:bCs/>
                <w:b/>
              </w:rPr>
              <w:t xml:space="preserve">Ecosystem WUE</w:t>
            </w:r>
          </w:p>
        </w:tc>
        <w:tc>
          <w:tcPr/>
          <w:p>
            <w:pPr>
              <w:pStyle w:val="Compact"/>
              <w:jc w:val="left"/>
            </w:pPr>
            <w:r>
              <w:t xml:space="preserve">GPP / ET (from flux towers)</w:t>
            </w:r>
          </w:p>
        </w:tc>
        <w:tc>
          <w:tcPr/>
          <w:p>
            <w:pPr>
              <w:pStyle w:val="Compact"/>
              <w:jc w:val="left"/>
            </w:pPr>
            <w:r>
              <w:t xml:space="preserve">g C kg⁻¹ H₂O</w:t>
            </w:r>
          </w:p>
        </w:tc>
      </w:tr>
    </w:tbl>
    <w:p>
      <w:pPr>
        <w:pStyle w:val="BodyText"/>
      </w:pPr>
      <w:r>
        <w:rPr>
          <w:bCs/>
          <w:b/>
        </w:rPr>
        <w:t xml:space="preserve">Irrigation efficiencies:</w:t>
      </w:r>
    </w:p>
    <w:p>
      <w:pPr>
        <w:pStyle w:val="Compact"/>
        <w:numPr>
          <w:ilvl w:val="0"/>
          <w:numId w:val="1121"/>
        </w:numPr>
      </w:pPr>
      <w:r>
        <w:t xml:space="preserve">Conveyance efficiency</w:t>
      </w:r>
      <w:r>
        <w:t xml:space="preserve"> </w:t>
      </w:r>
      <m:oMath>
        <m:sSub>
          <m:e>
            <m:r>
              <m:t>E</m:t>
            </m:r>
          </m:e>
          <m:sub>
            <m:r>
              <m:t>c</m:t>
            </m:r>
          </m:sub>
        </m:sSub>
      </m:oMath>
      <w:r>
        <w:t xml:space="preserve"> </w:t>
      </w:r>
      <w:r>
        <w:t xml:space="preserve">= water delivered to the field / water diverted from the source.</w:t>
      </w:r>
    </w:p>
    <w:p>
      <w:pPr>
        <w:pStyle w:val="Compact"/>
        <w:numPr>
          <w:ilvl w:val="0"/>
          <w:numId w:val="1121"/>
        </w:numPr>
      </w:pPr>
      <w:r>
        <w:t xml:space="preserve">Application efficiency</w:t>
      </w:r>
      <w:r>
        <w:t xml:space="preserve"> </w:t>
      </w:r>
      <m:oMath>
        <m:sSub>
          <m:e>
            <m:r>
              <m:t>E</m:t>
            </m:r>
          </m:e>
          <m:sub>
            <m:r>
              <m:t>a</m:t>
            </m:r>
          </m:sub>
        </m:sSub>
      </m:oMath>
      <w:r>
        <w:t xml:space="preserve"> </w:t>
      </w:r>
      <w:r>
        <w:t xml:space="preserve">= water stored in the root zone / water applied to the field. Surface irrigation 40–60%, sprinkler 70–80%,</w:t>
      </w:r>
      <w:r>
        <w:t xml:space="preserve"> </w:t>
      </w:r>
      <w:r>
        <w:rPr>
          <w:bCs/>
          <w:b/>
        </w:rPr>
        <w:t xml:space="preserve">drip 85–95%</w:t>
      </w:r>
      <w:r>
        <w:t xml:space="preserve">.</w:t>
      </w:r>
    </w:p>
    <w:p>
      <w:pPr>
        <w:pStyle w:val="Compact"/>
        <w:numPr>
          <w:ilvl w:val="0"/>
          <w:numId w:val="1121"/>
        </w:numPr>
      </w:pPr>
      <w:r>
        <w:t xml:space="preserve">Storage efficiency, distribution uniformity, and project efficiency</w:t>
      </w:r>
      <w:r>
        <w:t xml:space="preserve"> </w:t>
      </w:r>
      <m:oMath>
        <m:sSub>
          <m:e>
            <m:r>
              <m:t>E</m:t>
            </m:r>
          </m:e>
          <m:sub>
            <m:r>
              <m:t>p</m:t>
            </m:r>
          </m:sub>
        </m:sSub>
        <m:r>
          <m:rPr>
            <m:sty m:val="p"/>
          </m:rPr>
          <m:t>=</m:t>
        </m:r>
        <m:sSub>
          <m:e>
            <m:r>
              <m:t>E</m:t>
            </m:r>
          </m:e>
          <m:sub>
            <m:r>
              <m:t>c</m:t>
            </m:r>
          </m:sub>
        </m:sSub>
        <m:r>
          <m:rPr>
            <m:sty m:val="p"/>
          </m:rPr>
          <m:t>×</m:t>
        </m:r>
        <m:sSub>
          <m:e>
            <m:r>
              <m:t>E</m:t>
            </m:r>
          </m:e>
          <m:sub>
            <m:r>
              <m:t>a</m:t>
            </m:r>
          </m:sub>
        </m:sSub>
      </m:oMath>
      <w:r>
        <w:t xml:space="preserve">.</w:t>
      </w:r>
    </w:p>
    <w:p>
      <w:pPr>
        <w:pStyle w:val="FirstParagraph"/>
      </w:pPr>
      <w:r>
        <w:rPr>
          <w:bCs/>
          <w:b/>
        </w:rPr>
        <w:t xml:space="preserve">Ways to raise WUE:</w:t>
      </w:r>
      <w:r>
        <w:t xml:space="preserve"> </w:t>
      </w:r>
      <w:r>
        <w:t xml:space="preserve">irrigating at</w:t>
      </w:r>
      <w:r>
        <w:t xml:space="preserve"> </w:t>
      </w:r>
      <w:r>
        <w:rPr>
          <w:bCs/>
          <w:b/>
        </w:rPr>
        <w:t xml:space="preserve">critical growth stages</w:t>
      </w:r>
      <w:r>
        <w:t xml:space="preserve">; deficit irrigation; drip and sprinklers; mulching; laser land levelling; conservation tillage; alternate wetting and drying (AWD) in rice; furrow and alternate-furrow irrigation; choosing short-duration, drought-tolerant varieties; optimum nutrients (well-fed crops use water better); weed control; scheduling by</w:t>
      </w:r>
      <w:r>
        <w:t xml:space="preserve"> </w:t>
      </w:r>
      <w:r>
        <w:rPr>
          <w:bCs/>
          <w:b/>
        </w:rPr>
        <w:t xml:space="preserve">IW/CPE ratio</w:t>
      </w:r>
      <w:r>
        <w:t xml:space="preserve"> </w:t>
      </w:r>
      <w:r>
        <w:t xml:space="preserve">(irrigation water depth / cumulative pan evaporation, typically 0.6–1.2) or by soil moisture depletion, tensiometers, or canopy temperature (CWSI).</w:t>
      </w:r>
    </w:p>
    <w:p>
      <w:pPr>
        <w:pStyle w:val="BodyText"/>
      </w:pPr>
      <w:r>
        <w:rPr>
          <w:bCs/>
          <w:b/>
        </w:rPr>
        <w:t xml:space="preserve">Critical stages for irrigation:</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Crop</w:t>
            </w:r>
          </w:p>
        </w:tc>
        <w:tc>
          <w:tcPr/>
          <w:p>
            <w:pPr>
              <w:pStyle w:val="Compact"/>
              <w:jc w:val="left"/>
            </w:pPr>
            <w:r>
              <w:t xml:space="preserve">Most critical stage(s)</w:t>
            </w:r>
          </w:p>
        </w:tc>
      </w:tr>
      <w:tr>
        <w:tc>
          <w:tcPr/>
          <w:p>
            <w:pPr>
              <w:pStyle w:val="Compact"/>
              <w:jc w:val="left"/>
            </w:pPr>
            <w:r>
              <w:t xml:space="preserve">Wheat</w:t>
            </w:r>
          </w:p>
        </w:tc>
        <w:tc>
          <w:tcPr/>
          <w:p>
            <w:pPr>
              <w:pStyle w:val="Compact"/>
              <w:jc w:val="left"/>
            </w:pPr>
            <w:r>
              <w:rPr>
                <w:bCs/>
                <w:b/>
              </w:rPr>
              <w:t xml:space="preserve">Crown root initiation (CRI, 20–25 DAS)</w:t>
            </w:r>
            <w:r>
              <w:t xml:space="preserve">, then jointing, flowering, milk</w:t>
            </w:r>
          </w:p>
        </w:tc>
      </w:tr>
      <w:tr>
        <w:tc>
          <w:tcPr/>
          <w:p>
            <w:pPr>
              <w:pStyle w:val="Compact"/>
              <w:jc w:val="left"/>
            </w:pPr>
            <w:r>
              <w:t xml:space="preserve">Rice</w:t>
            </w:r>
          </w:p>
        </w:tc>
        <w:tc>
          <w:tcPr/>
          <w:p>
            <w:pPr>
              <w:pStyle w:val="Compact"/>
              <w:jc w:val="left"/>
            </w:pPr>
            <w:r>
              <w:t xml:space="preserve">Panicle initiation, booting,</w:t>
            </w:r>
            <w:r>
              <w:t xml:space="preserve"> </w:t>
            </w:r>
            <w:r>
              <w:rPr>
                <w:bCs/>
                <w:b/>
              </w:rPr>
              <w:t xml:space="preserve">flowering</w:t>
            </w:r>
            <w:r>
              <w:t xml:space="preserve">; maintain shallow submergence</w:t>
            </w:r>
          </w:p>
        </w:tc>
      </w:tr>
      <w:tr>
        <w:tc>
          <w:tcPr/>
          <w:p>
            <w:pPr>
              <w:pStyle w:val="Compact"/>
              <w:jc w:val="left"/>
            </w:pPr>
            <w:r>
              <w:t xml:space="preserve">Maize</w:t>
            </w:r>
          </w:p>
        </w:tc>
        <w:tc>
          <w:tcPr/>
          <w:p>
            <w:pPr>
              <w:pStyle w:val="Compact"/>
              <w:jc w:val="left"/>
            </w:pPr>
            <w:r>
              <w:rPr>
                <w:bCs/>
                <w:b/>
              </w:rPr>
              <w:t xml:space="preserve">Tasselling–silking</w:t>
            </w:r>
            <w:r>
              <w:t xml:space="preserve">, grain filling</w:t>
            </w:r>
          </w:p>
        </w:tc>
      </w:tr>
      <w:tr>
        <w:tc>
          <w:tcPr/>
          <w:p>
            <w:pPr>
              <w:pStyle w:val="Compact"/>
              <w:jc w:val="left"/>
            </w:pPr>
            <w:r>
              <w:t xml:space="preserve">Groundnut</w:t>
            </w:r>
          </w:p>
        </w:tc>
        <w:tc>
          <w:tcPr/>
          <w:p>
            <w:pPr>
              <w:pStyle w:val="Compact"/>
              <w:jc w:val="left"/>
            </w:pPr>
            <w:r>
              <w:t xml:space="preserve">Pegging, pod development</w:t>
            </w:r>
          </w:p>
        </w:tc>
      </w:tr>
      <w:tr>
        <w:tc>
          <w:tcPr/>
          <w:p>
            <w:pPr>
              <w:pStyle w:val="Compact"/>
              <w:jc w:val="left"/>
            </w:pPr>
            <w:r>
              <w:t xml:space="preserve">Cotton</w:t>
            </w:r>
          </w:p>
        </w:tc>
        <w:tc>
          <w:tcPr/>
          <w:p>
            <w:pPr>
              <w:pStyle w:val="Compact"/>
              <w:jc w:val="left"/>
            </w:pPr>
            <w:r>
              <w:t xml:space="preserve">Flowering, boll development</w:t>
            </w:r>
          </w:p>
        </w:tc>
      </w:tr>
      <w:tr>
        <w:tc>
          <w:tcPr/>
          <w:p>
            <w:pPr>
              <w:pStyle w:val="Compact"/>
              <w:jc w:val="left"/>
            </w:pPr>
            <w:r>
              <w:t xml:space="preserve">Sugarcane</w:t>
            </w:r>
          </w:p>
        </w:tc>
        <w:tc>
          <w:tcPr/>
          <w:p>
            <w:pPr>
              <w:pStyle w:val="Compact"/>
              <w:jc w:val="left"/>
            </w:pPr>
            <w:r>
              <w:t xml:space="preserve">Formative (tillering) phase</w:t>
            </w:r>
          </w:p>
        </w:tc>
      </w:tr>
      <w:tr>
        <w:tc>
          <w:tcPr/>
          <w:p>
            <w:pPr>
              <w:pStyle w:val="Compact"/>
              <w:jc w:val="left"/>
            </w:pPr>
            <w:r>
              <w:t xml:space="preserve">Pulses</w:t>
            </w:r>
          </w:p>
        </w:tc>
        <w:tc>
          <w:tcPr/>
          <w:p>
            <w:pPr>
              <w:pStyle w:val="Compact"/>
              <w:jc w:val="left"/>
            </w:pPr>
            <w:r>
              <w:t xml:space="preserve">Flowering, pod filling</w:t>
            </w:r>
          </w:p>
        </w:tc>
      </w:tr>
    </w:tbl>
    <w:p>
      <w:pPr>
        <w:pStyle w:val="Heading3"/>
      </w:pPr>
      <w:r>
        <w:t xml:space="preserve">16.7.1 Likely interview questions</w:t>
      </w:r>
    </w:p>
    <w:p>
      <w:pPr>
        <w:pStyle w:val="FirstParagraph"/>
      </w:pPr>
      <w:r>
        <w:rPr>
          <w:bCs/>
          <w:b/>
        </w:rPr>
        <w:t xml:space="preserve">Q. Define field capacity and permanent wilting point with their potentials.</w:t>
      </w:r>
      <w:r>
        <w:t xml:space="preserve"> </w:t>
      </w:r>
      <w:r>
        <w:t xml:space="preserve">FC is water held after free drainage, at about −33 kPa. PWP is the point at which plants wilt permanently, at −1500 kPa. Available water lies between them.</w:t>
      </w:r>
    </w:p>
    <w:p>
      <w:pPr>
        <w:pStyle w:val="BodyText"/>
      </w:pPr>
      <w:r>
        <w:rPr>
          <w:bCs/>
          <w:b/>
        </w:rPr>
        <w:t xml:space="preserve">Q. Write Darcy’s law and Richards’ equation.</w:t>
      </w:r>
      <w:r>
        <w:t xml:space="preserve"> </w:t>
      </w:r>
      <m:oMath>
        <m:r>
          <m:t>q</m:t>
        </m:r>
        <m:r>
          <m:rPr>
            <m:sty m:val="p"/>
          </m:rPr>
          <m:t>=</m:t>
        </m:r>
        <m:r>
          <m:rPr>
            <m:sty m:val="p"/>
          </m:rPr>
          <m:t>−</m:t>
        </m:r>
        <m:r>
          <m:t>K</m:t>
        </m:r>
        <m:r>
          <m:t> </m:t>
        </m:r>
        <m:r>
          <m:t>Δ</m:t>
        </m:r>
        <m:r>
          <m:t>H</m:t>
        </m:r>
        <m:r>
          <m:rPr>
            <m:sty m:val="p"/>
          </m:rPr>
          <m:t>/</m:t>
        </m:r>
        <m:r>
          <m:t>Δ</m:t>
        </m:r>
        <m:r>
          <m:t>L</m:t>
        </m:r>
      </m:oMath>
      <w:r>
        <w:t xml:space="preserve">.</w:t>
      </w:r>
      <w:r>
        <w:t xml:space="preserve"> </w:t>
      </w:r>
      <m:oMath>
        <m:r>
          <m:rPr>
            <m:sty m:val="p"/>
          </m:rPr>
          <m:t>∂</m:t>
        </m:r>
        <m:r>
          <m:t>θ</m:t>
        </m:r>
        <m:r>
          <m:rPr>
            <m:sty m:val="p"/>
          </m:rPr>
          <m:t>/</m:t>
        </m:r>
        <m:r>
          <m:rPr>
            <m:sty m:val="p"/>
          </m:rPr>
          <m:t>∂</m:t>
        </m:r>
        <m:r>
          <m:t>t</m:t>
        </m:r>
        <m:r>
          <m:rPr>
            <m:sty m:val="p"/>
          </m:rPr>
          <m:t>=</m:t>
        </m:r>
        <m:r>
          <m:rPr>
            <m:sty m:val="p"/>
          </m:rPr>
          <m:t>∂</m:t>
        </m:r>
        <m:r>
          <m:rPr>
            <m:sty m:val="p"/>
          </m:rPr>
          <m:t>/</m:t>
        </m:r>
        <m:r>
          <m:rPr>
            <m:sty m:val="p"/>
          </m:rPr>
          <m:t>∂</m:t>
        </m:r>
        <m:r>
          <m:t>z</m:t>
        </m:r>
        <m:d>
          <m:dPr>
            <m:begChr m:val="["/>
            <m:endChr m:val="]"/>
            <m:sepChr m:val=""/>
            <m:grow/>
          </m:dPr>
          <m:e>
            <m:r>
              <m:t>K</m:t>
            </m:r>
            <m:d>
              <m:dPr>
                <m:begChr m:val="("/>
                <m:endChr m:val=")"/>
                <m:sepChr m:val=""/>
                <m:grow/>
              </m:dPr>
              <m:e>
                <m:r>
                  <m:t>θ</m:t>
                </m:r>
              </m:e>
            </m:d>
            <m:d>
              <m:dPr>
                <m:begChr m:val="("/>
                <m:endChr m:val=")"/>
                <m:sepChr m:val=""/>
                <m:grow/>
              </m:dPr>
              <m:e>
                <m:r>
                  <m:rPr>
                    <m:sty m:val="p"/>
                  </m:rPr>
                  <m:t>∂</m:t>
                </m:r>
                <m:r>
                  <m:t>h</m:t>
                </m:r>
                <m:r>
                  <m:rPr>
                    <m:sty m:val="p"/>
                  </m:rPr>
                  <m:t>/</m:t>
                </m:r>
                <m:r>
                  <m:rPr>
                    <m:sty m:val="p"/>
                  </m:rPr>
                  <m:t>∂</m:t>
                </m:r>
                <m:r>
                  <m:t>z</m:t>
                </m:r>
                <m:r>
                  <m:rPr>
                    <m:sty m:val="p"/>
                  </m:rPr>
                  <m:t>+</m:t>
                </m:r>
                <m:r>
                  <m:t>1</m:t>
                </m:r>
              </m:e>
            </m:d>
          </m:e>
        </m:d>
        <m:r>
          <m:rPr>
            <m:sty m:val="p"/>
          </m:rPr>
          <m:t>−</m:t>
        </m:r>
        <m:r>
          <m:t>S</m:t>
        </m:r>
      </m:oMath>
      <w:r>
        <w:t xml:space="preserve">.</w:t>
      </w:r>
    </w:p>
    <w:p>
      <w:pPr>
        <w:pStyle w:val="BodyText"/>
      </w:pPr>
      <w:r>
        <w:rPr>
          <w:bCs/>
          <w:b/>
        </w:rPr>
        <w:t xml:space="preserve">Q. How does TDR measure soil moisture?</w:t>
      </w:r>
      <w:r>
        <w:t xml:space="preserve"> </w:t>
      </w:r>
      <w:r>
        <w:t xml:space="preserve">EM pulse travel time along rods gives the bulk dielectric constant, which is converted to θv by the Topp equation, because water’s dielectric constant (about 80) dominates.</w:t>
      </w:r>
    </w:p>
    <w:p>
      <w:pPr>
        <w:pStyle w:val="BodyText"/>
      </w:pPr>
      <w:r>
        <w:rPr>
          <w:bCs/>
          <w:b/>
        </w:rPr>
        <w:t xml:space="preserve">Q. Why does soil temperature amplitude decrease with depth?</w:t>
      </w:r>
      <w:r>
        <w:t xml:space="preserve"> </w:t>
      </w:r>
      <w:r>
        <w:t xml:space="preserve">Heat diffuses with damping depth</w:t>
      </w:r>
      <w:r>
        <w:t xml:space="preserve"> </w:t>
      </w:r>
      <m:oMath>
        <m:r>
          <m:t>d</m:t>
        </m:r>
        <m:r>
          <m:rPr>
            <m:sty m:val="p"/>
          </m:rPr>
          <m:t>=</m:t>
        </m:r>
        <m:rad>
          <m:radPr>
            <m:degHide m:val="on"/>
          </m:radPr>
          <m:deg/>
          <m:e>
            <m:r>
              <m:t>2</m:t>
            </m:r>
            <m:sSub>
              <m:e>
                <m:r>
                  <m:t>D</m:t>
                </m:r>
              </m:e>
              <m:sub>
                <m:r>
                  <m:t>h</m:t>
                </m:r>
              </m:sub>
            </m:sSub>
            <m:r>
              <m:rPr>
                <m:sty m:val="p"/>
              </m:rPr>
              <m:t>/</m:t>
            </m:r>
            <m:r>
              <m:t>ω</m:t>
            </m:r>
          </m:e>
        </m:rad>
      </m:oMath>
      <w:r>
        <w:t xml:space="preserve">, so amplitude decays as</w:t>
      </w:r>
      <w:r>
        <w:t xml:space="preserve"> </w:t>
      </w:r>
      <m:oMath>
        <m:sSup>
          <m:e>
            <m:r>
              <m:t>e</m:t>
            </m:r>
          </m:e>
          <m:sup>
            <m:r>
              <m:rPr>
                <m:sty m:val="p"/>
              </m:rPr>
              <m:t>−</m:t>
            </m:r>
            <m:r>
              <m:t>z</m:t>
            </m:r>
            <m:r>
              <m:rPr>
                <m:sty m:val="p"/>
              </m:rPr>
              <m:t>/</m:t>
            </m:r>
            <m:r>
              <m:t>d</m:t>
            </m:r>
          </m:sup>
        </m:sSup>
      </m:oMath>
      <w:r>
        <w:t xml:space="preserve"> </w:t>
      </w:r>
      <w:r>
        <w:t xml:space="preserve">and the phase lags.</w:t>
      </w:r>
    </w:p>
    <w:p>
      <w:pPr>
        <w:pStyle w:val="BodyText"/>
      </w:pPr>
      <w:r>
        <w:rPr>
          <w:bCs/>
          <w:b/>
        </w:rPr>
        <w:t xml:space="preserve">Q. Write the field water balance equation.</w:t>
      </w:r>
      <w:r>
        <w:t xml:space="preserve"> </w:t>
      </w:r>
      <m:oMath>
        <m:r>
          <m:t>P</m:t>
        </m:r>
        <m:r>
          <m:rPr>
            <m:sty m:val="p"/>
          </m:rPr>
          <m:t>+</m:t>
        </m:r>
        <m:r>
          <m:t>I</m:t>
        </m:r>
        <m:r>
          <m:rPr>
            <m:sty m:val="p"/>
          </m:rPr>
          <m:t>+</m:t>
        </m:r>
        <m:r>
          <m:t>C</m:t>
        </m:r>
        <m:r>
          <m:t>R</m:t>
        </m:r>
        <m:r>
          <m:rPr>
            <m:sty m:val="p"/>
          </m:rPr>
          <m:t>=</m:t>
        </m:r>
        <m:r>
          <m:t>E</m:t>
        </m:r>
        <m:r>
          <m:t>T</m:t>
        </m:r>
        <m:r>
          <m:rPr>
            <m:sty m:val="p"/>
          </m:rPr>
          <m:t>+</m:t>
        </m:r>
        <m:r>
          <m:t>R</m:t>
        </m:r>
        <m:r>
          <m:rPr>
            <m:sty m:val="p"/>
          </m:rPr>
          <m:t>+</m:t>
        </m:r>
        <m:r>
          <m:t>D</m:t>
        </m:r>
        <m:r>
          <m:rPr>
            <m:sty m:val="p"/>
          </m:rPr>
          <m:t>+</m:t>
        </m:r>
        <m:r>
          <m:t>Δ</m:t>
        </m:r>
        <m:r>
          <m:t>S</m:t>
        </m:r>
      </m:oMath>
      <w:r>
        <w:t xml:space="preserve">.</w:t>
      </w:r>
    </w:p>
    <w:p>
      <w:pPr>
        <w:pStyle w:val="BodyText"/>
      </w:pPr>
      <w:r>
        <w:rPr>
          <w:bCs/>
          <w:b/>
        </w:rPr>
        <w:t xml:space="preserve">Q. Distinguish crop WUE and field WUE.</w:t>
      </w:r>
      <w:r>
        <w:t xml:space="preserve"> </w:t>
      </w:r>
      <w:r>
        <w:t xml:space="preserve">Crop WUE = yield/ET. Field WUE = yield/total water applied, which includes runoff, percolation and other losses.</w:t>
      </w:r>
    </w:p>
    <w:p>
      <w:pPr>
        <w:pStyle w:val="Heading2"/>
      </w:pPr>
      <w:r>
        <w:t xml:space="preserve">16.8 Soil–Water Relationships: Soil–Liquid Ratio and Volumetric Water Content</w:t>
      </w:r>
    </w:p>
    <w:p>
      <w:pPr>
        <w:pStyle w:val="Heading3"/>
      </w:pPr>
      <w:r>
        <w:t xml:space="preserve">16.8.1 Gravimetric versus volumetric water content</w:t>
      </w:r>
    </w:p>
    <w:p>
      <w:pPr>
        <w:pStyle w:val="FirstParagraph"/>
      </w:pPr>
      <w:r>
        <w:rPr>
          <w:bCs/>
          <w:b/>
        </w:rPr>
        <w:t xml:space="preserve">Gravimetric water content (θg or w)</w:t>
      </w:r>
      <w:r>
        <w:t xml:space="preserve"> </w:t>
      </w:r>
      <w:r>
        <w:t xml:space="preserve">is the mass of water per unit mass of oven-dry soil:</w:t>
      </w:r>
    </w:p>
    <w:p>
      <w:pPr>
        <w:pStyle w:val="BodyText"/>
      </w:pPr>
      <w:r>
        <w:t xml:space="preserve">θg = Mwater / Mdry-soil (dimensionless, or expressed as a percentage)</w:t>
      </w:r>
    </w:p>
    <w:p>
      <w:pPr>
        <w:pStyle w:val="BodyText"/>
      </w:pPr>
      <w:r>
        <w:rPr>
          <w:bCs/>
          <w:b/>
        </w:rPr>
        <w:t xml:space="preserve">Volumetric water content (θv)</w:t>
      </w:r>
      <w:r>
        <w:t xml:space="preserve">, the quantity most directly relevant to remote sensing (since microwave dielectric response and most process models are formulated in volumetric terms), is the volume of water per unit total (bulk) soil volume:</w:t>
      </w:r>
    </w:p>
    <w:p>
      <w:pPr>
        <w:pStyle w:val="BodyText"/>
      </w:pPr>
      <w:r>
        <w:t xml:space="preserve">θv = Vwater / Vtotal-soil = θg × (ρb/ρw)</w:t>
      </w:r>
    </w:p>
    <w:p>
      <w:pPr>
        <w:pStyle w:val="BodyText"/>
      </w:pPr>
      <w:r>
        <w:t xml:space="preserve">where ρb is soil bulk density (mass of oven-dry soil per unit total volume, typically 1.1–1.6 g cm⁻³ for agricultural soils) and ρw is the density of water (≈1.0 g cm⁻³). This θg-to-θv conversion via bulk density is a standard, frequently tested relationship — a soil with the same gravimetric water content but higher bulk density (more compacted) has proportionally higher volumetric water content, since more soil mass (and hence more absorbed water at the same gravimetric ratio) is packed into the same volume.</w:t>
      </w:r>
    </w:p>
    <w:p>
      <w:pPr>
        <w:pStyle w:val="Heading3"/>
      </w:pPr>
      <w:r>
        <w:t xml:space="preserve">16.8.2 Soil-to-liquid (soil-to-water) ratio in laboratory analysis</w:t>
      </w:r>
    </w:p>
    <w:p>
      <w:pPr>
        <w:pStyle w:val="FirstParagraph"/>
      </w:pPr>
      <w:r>
        <w:t xml:space="preserve">Distinct from the field water-content terms above, the</w:t>
      </w:r>
      <w:r>
        <w:t xml:space="preserve"> </w:t>
      </w:r>
      <w:r>
        <w:rPr>
          <w:bCs/>
          <w:b/>
        </w:rPr>
        <w:t xml:space="preserve">soil-to-liquid ratio</w:t>
      </w:r>
      <w:r>
        <w:t xml:space="preserve"> </w:t>
      </w:r>
      <w:r>
        <w:t xml:space="preserve">(commonly 1:1, 1:2, 1:2.5 or 1:5 soil-to-water, by mass or volume) is a standardised laboratory extraction/measurement protocol — soil is mixed with a fixed multiple of distilled water (or, for salinity, water is added to reach a saturated soil paste) and, after equilibration, the pH, electrical conductivity (EC, a proxy for soluble-salt/salinity status) or extractable-nutrient concentration of the supernatant/extract is measured. Because the measured EC or pH value depends systematically on the soil:water dilution ratio used (more dilution generally lowers apparent EC and shifts pH slightly), standard protocols specify the ratio explicitly (e.g.,</w:t>
      </w:r>
      <w:r>
        <w:t xml:space="preserve"> </w:t>
      </w:r>
      <w:r>
        <w:t xml:space="preserve">“</w:t>
      </w:r>
      <w:r>
        <w:t xml:space="preserve">EC1:2</w:t>
      </w:r>
      <w:r>
        <w:t xml:space="preserve">”</w:t>
      </w:r>
      <w:r>
        <w:t xml:space="preserve"> </w:t>
      </w:r>
      <w:r>
        <w:t xml:space="preserve">or</w:t>
      </w:r>
      <w:r>
        <w:t xml:space="preserve"> </w:t>
      </w:r>
      <w:r>
        <w:t xml:space="preserve">“</w:t>
      </w:r>
      <w:r>
        <w:t xml:space="preserve">ECe</w:t>
      </w:r>
      <w:r>
        <w:t xml:space="preserve">”</w:t>
      </w:r>
      <w:r>
        <w:t xml:space="preserve"> </w:t>
      </w:r>
      <w:r>
        <w:t xml:space="preserve">from a saturation extract) so that results are inter-comparable and can be related to established crop-salinity-tolerance threshold values (which are conventionally calibrated against the saturation-extract, ECe, standard).</w:t>
      </w:r>
    </w:p>
    <w:p>
      <w:pPr>
        <w:pStyle w:val="Heading3"/>
      </w:pPr>
      <w:r>
        <w:t xml:space="preserve">16.8.3 Volumetric water content retrieval from remote sensing — link to dielectric properties</w:t>
      </w:r>
    </w:p>
    <w:p>
      <w:pPr>
        <w:pStyle w:val="FirstParagraph"/>
      </w:pPr>
      <w:r>
        <w:t xml:space="preserve">Microwave remote sensing (radiometers, scatterometers, SAR) retrieves soil moisture because liquid water has an anomalously high</w:t>
      </w:r>
      <w:r>
        <w:t xml:space="preserve"> </w:t>
      </w:r>
      <w:r>
        <w:rPr>
          <w:bCs/>
          <w:b/>
        </w:rPr>
        <w:t xml:space="preserve">dielectric constant</w:t>
      </w:r>
      <w:r>
        <w:t xml:space="preserve"> </w:t>
      </w:r>
      <w:r>
        <w:t xml:space="preserve">(relative permittivity, ε′ ≈ 80 at microwave frequencies) compared with dry soil mineral matter (ε′ ≈ 3–5) or air (ε′ = 1); as volumetric water content θv rises, the bulk soil dielectric constant rises steeply and near-monotonically (captured empirically by semi-empirical mixing models such as the Dobson or Hallikainen dielectric-mixing models, which express soil dielectric constant as a function of θv, soil texture — sand/clay fraction — and frequency), and this dielectric change directly controls microwave emissivity (for passive radiometry) and backscatter (for active radar), forming the physical basis of essentially all satellite soil-moisture products, including ISRO’s own EOS-04-based operational soil-moisture product.</w:t>
      </w:r>
    </w:p>
    <w:p>
      <w:pPr>
        <w:pStyle w:val="Heading2"/>
      </w:pPr>
      <w:r>
        <w:t xml:space="preserve">16.9 Converting Gravimetric to Volumetric Soil Water Content</w:t>
      </w:r>
    </w:p>
    <w:p>
      <w:pPr>
        <w:pStyle w:val="FirstParagraph"/>
      </w:pPr>
      <w:r>
        <w:rPr>
          <w:bCs/>
          <w:b/>
        </w:rPr>
        <w:t xml:space="preserve">Problem:</w:t>
      </w:r>
      <w:r>
        <w:t xml:space="preserve"> </w:t>
      </w:r>
      <w:r>
        <w:t xml:space="preserve">A field soil sample has a gravimetric water content θg = 18% (0.18 g water per g dry soil) and a measured bulk density ρb = 1.35 g cm⁻³. Find the volumetric water content, and express the equivalent depth of water stored in the top 30 cm of soil.</w:t>
      </w:r>
    </w:p>
    <w:p>
      <w:pPr>
        <w:pStyle w:val="BodyText"/>
      </w:pPr>
      <w:r>
        <w:rPr>
          <w:bCs/>
          <w:b/>
        </w:rPr>
        <w:t xml:space="preserve">Step 1 — Apply θv = θg × (ρb/ρw).</w:t>
      </w:r>
      <w:r>
        <w:t xml:space="preserve"> </w:t>
      </w:r>
      <w:r>
        <w:t xml:space="preserve">θv = 0.18 × (1.35/1.00) = 0.18 × 1.35 =</w:t>
      </w:r>
      <w:r>
        <w:t xml:space="preserve"> </w:t>
      </w:r>
      <w:r>
        <w:rPr>
          <w:bCs/>
          <w:b/>
        </w:rPr>
        <w:t xml:space="preserve">0.243, i.e. 24.3% by volume</w:t>
      </w:r>
    </w:p>
    <w:p>
      <w:pPr>
        <w:pStyle w:val="BodyText"/>
      </w:pPr>
      <w:r>
        <w:rPr>
          <w:bCs/>
          <w:b/>
        </w:rPr>
        <w:t xml:space="preserve">Step 2 — Convert to equivalent water depth over a 30 cm profile.</w:t>
      </w:r>
      <w:r>
        <w:t xml:space="preserve"> </w:t>
      </w:r>
      <w:r>
        <w:t xml:space="preserve">Depth of water = θv × profile depth = 0.243 × 300 mm =</w:t>
      </w:r>
      <w:r>
        <w:t xml:space="preserve"> </w:t>
      </w:r>
      <w:r>
        <w:rPr>
          <w:bCs/>
          <w:b/>
        </w:rPr>
        <w:t xml:space="preserve">72.9 mm</w:t>
      </w:r>
      <w:r>
        <w:t xml:space="preserve"> </w:t>
      </w:r>
      <w:r>
        <w:t xml:space="preserve">of plant-available-relevant stored water equivalent in the top 30 cm (note: this is total volumetric water, not necessarily all plant-available — plant-available water would further subtract the water held below the wilting point).</w:t>
      </w:r>
    </w:p>
    <w:p>
      <w:pPr>
        <w:pStyle w:val="BodyText"/>
      </w:pPr>
      <w:r>
        <w:rPr>
          <w:bCs/>
          <w:b/>
        </w:rPr>
        <w:t xml:space="preserve">Interview note:</w:t>
      </w:r>
      <w:r>
        <w:t xml:space="preserve"> </w:t>
      </w:r>
      <w:r>
        <w:t xml:space="preserve">if instead only θv were given and bulk density were unknown, θg could not be back-calculated without an assumed or measured ρb — a common trap question to test whether the candidate remembers that the conversion is not simply unit-free.</w:t>
      </w:r>
    </w:p>
    <w:p>
      <w:pPr>
        <w:pStyle w:val="Heading1"/>
      </w:pPr>
      <w:r>
        <w:t xml:space="preserve">Chapter 17. Soil Erosion, Conservation and Runoff Modelling</w:t>
      </w:r>
    </w:p>
    <w:p>
      <w:pPr>
        <w:pStyle w:val="Heading2"/>
      </w:pPr>
      <w:r>
        <w:t xml:space="preserve">17.1 Soil Erosion: Definition, Scale and Impacts</w:t>
      </w:r>
    </w:p>
    <w:p>
      <w:pPr>
        <w:pStyle w:val="FirstParagraph"/>
      </w:pPr>
      <w:r>
        <w:rPr>
          <w:bCs/>
          <w:b/>
        </w:rPr>
        <w:t xml:space="preserve">Soil erosion</w:t>
      </w:r>
      <w:r>
        <w:t xml:space="preserve"> </w:t>
      </w:r>
      <w:r>
        <w:t xml:space="preserve">is the detachment and transport of soil particles by water, wind, ice or gravity (and by tillage), followed by their deposition elsewhere.</w:t>
      </w:r>
      <w:r>
        <w:t xml:space="preserve"> </w:t>
      </w:r>
      <w:r>
        <w:rPr>
          <w:bCs/>
          <w:b/>
        </w:rPr>
        <w:t xml:space="preserve">Geological (natural) erosion</w:t>
      </w:r>
      <w:r>
        <w:t xml:space="preserve"> </w:t>
      </w:r>
      <w:r>
        <w:t xml:space="preserve">is slow and balanced by soil formation.</w:t>
      </w:r>
      <w:r>
        <w:t xml:space="preserve"> </w:t>
      </w:r>
      <w:r>
        <w:rPr>
          <w:bCs/>
          <w:b/>
        </w:rPr>
        <w:t xml:space="preserve">Accelerated erosion</w:t>
      </w:r>
      <w:r>
        <w:t xml:space="preserve">, driven by human disturbance such as deforestation, overgrazing, cultivation of slopes and bare fallows, exceeds soil formation and degrades land.</w:t>
      </w:r>
    </w:p>
    <w:p>
      <w:pPr>
        <w:pStyle w:val="BodyText"/>
      </w:pPr>
      <w:r>
        <w:rPr>
          <w:bCs/>
          <w:b/>
        </w:rPr>
        <w:t xml:space="preserve">Scale:</w:t>
      </w:r>
    </w:p>
    <w:p>
      <w:pPr>
        <w:pStyle w:val="Compact"/>
        <w:numPr>
          <w:ilvl w:val="0"/>
          <w:numId w:val="1122"/>
        </w:numPr>
      </w:pPr>
      <w:r>
        <w:t xml:space="preserve">Globally, human-induced soil degradation affects about 2 billion ha. Of this, water erosion affects about</w:t>
      </w:r>
      <w:r>
        <w:t xml:space="preserve"> </w:t>
      </w:r>
      <w:r>
        <w:rPr>
          <w:bCs/>
          <w:b/>
        </w:rPr>
        <w:t xml:space="preserve">1094 Mha</w:t>
      </w:r>
      <w:r>
        <w:t xml:space="preserve"> </w:t>
      </w:r>
      <w:r>
        <w:t xml:space="preserve">and wind erosion about</w:t>
      </w:r>
      <w:r>
        <w:t xml:space="preserve"> </w:t>
      </w:r>
      <w:r>
        <w:rPr>
          <w:bCs/>
          <w:b/>
        </w:rPr>
        <w:t xml:space="preserve">548 Mha</w:t>
      </w:r>
      <w:r>
        <w:t xml:space="preserve"> </w:t>
      </w:r>
      <w:r>
        <w:t xml:space="preserve">(Lal, 2001). South Asia is among the worst affected regions.</w:t>
      </w:r>
    </w:p>
    <w:p>
      <w:pPr>
        <w:pStyle w:val="Compact"/>
        <w:numPr>
          <w:ilvl w:val="0"/>
          <w:numId w:val="1122"/>
        </w:numPr>
      </w:pPr>
      <w:r>
        <w:t xml:space="preserve">In India, classic estimates (Narayana and Ram Babu, 1983) put soil loss at about</w:t>
      </w:r>
      <w:r>
        <w:t xml:space="preserve"> </w:t>
      </w:r>
      <w:r>
        <w:rPr>
          <w:bCs/>
          <w:b/>
        </w:rPr>
        <w:t xml:space="preserve">5.3 billion tonnes per year (≈16.4 t ha⁻¹ yr⁻¹)</w:t>
      </w:r>
      <w:r>
        <w:t xml:space="preserve">. About 29% is carried to the sea, about 10% is deposited in reservoirs (loss of storage capacity), and the rest is displaced within the landscape.</w:t>
      </w:r>
    </w:p>
    <w:p>
      <w:pPr>
        <w:pStyle w:val="Compact"/>
        <w:numPr>
          <w:ilvl w:val="0"/>
          <w:numId w:val="1122"/>
        </w:numPr>
      </w:pPr>
      <w:r>
        <w:t xml:space="preserve">Water erosion is the dominant land-degradation process in SAC’s Desertification and Land Degradation Atlas.</w:t>
      </w:r>
    </w:p>
    <w:p>
      <w:pPr>
        <w:pStyle w:val="FirstParagraph"/>
      </w:pPr>
      <w:r>
        <w:rPr>
          <w:bCs/>
          <w:b/>
        </w:rPr>
        <w:t xml:space="preserve">Soil loss tolerance (T):</w:t>
      </w:r>
      <w:r>
        <w:t xml:space="preserve"> </w:t>
      </w:r>
      <w:r>
        <w:t xml:space="preserve">the maximum rate of erosion that still permits sustained productivity, about 2.5–12.5 t ha⁻¹ yr⁻¹ depending on soil depth.</w:t>
      </w:r>
      <w:r>
        <w:t xml:space="preserve"> </w:t>
      </w:r>
      <w:r>
        <w:rPr>
          <w:bCs/>
          <w:b/>
        </w:rPr>
        <w:t xml:space="preserve">11.2 t ha⁻¹ yr⁻¹</w:t>
      </w:r>
      <w:r>
        <w:t xml:space="preserve"> </w:t>
      </w:r>
      <w:r>
        <w:t xml:space="preserve">is the commonly used upper limit.</w:t>
      </w:r>
    </w:p>
    <w:p>
      <w:pPr>
        <w:pStyle w:val="Heading3"/>
      </w:pPr>
      <w:r>
        <w:t xml:space="preserve">17.1.1 On-site and off-site effects</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On-site (productivity)</w:t>
            </w:r>
          </w:p>
        </w:tc>
        <w:tc>
          <w:tcPr/>
          <w:p>
            <w:pPr>
              <w:pStyle w:val="Compact"/>
              <w:jc w:val="left"/>
            </w:pPr>
            <w:r>
              <w:t xml:space="preserve">Off-site (environmental and economic)</w:t>
            </w:r>
          </w:p>
        </w:tc>
      </w:tr>
      <w:tr>
        <w:tc>
          <w:tcPr/>
          <w:p>
            <w:pPr>
              <w:pStyle w:val="Compact"/>
              <w:jc w:val="left"/>
            </w:pPr>
            <w:r>
              <w:t xml:space="preserve">Loss of fertile topsoil, organic matter and nutrients</w:t>
            </w:r>
          </w:p>
        </w:tc>
        <w:tc>
          <w:tcPr/>
          <w:p>
            <w:pPr>
              <w:pStyle w:val="Compact"/>
              <w:jc w:val="left"/>
            </w:pPr>
            <w:r>
              <w:t xml:space="preserve">Siltation of reservoirs, canals and harbours (dredging costs, lost storage)</w:t>
            </w:r>
          </w:p>
        </w:tc>
      </w:tr>
      <w:tr>
        <w:tc>
          <w:tcPr/>
          <w:p>
            <w:pPr>
              <w:pStyle w:val="Compact"/>
              <w:jc w:val="left"/>
            </w:pPr>
            <w:r>
              <w:t xml:space="preserve">Reduced rooting depth and available water capacity</w:t>
            </w:r>
          </w:p>
        </w:tc>
        <w:tc>
          <w:tcPr/>
          <w:p>
            <w:pPr>
              <w:pStyle w:val="Compact"/>
              <w:jc w:val="left"/>
            </w:pPr>
            <w:r>
              <w:t xml:space="preserve">Floods, damage to roads, bridges and communications</w:t>
            </w:r>
          </w:p>
        </w:tc>
      </w:tr>
      <w:tr>
        <w:tc>
          <w:tcPr/>
          <w:p>
            <w:pPr>
              <w:pStyle w:val="Compact"/>
              <w:jc w:val="left"/>
            </w:pPr>
            <w:r>
              <w:t xml:space="preserve">Decline in soil structure; crusting</w:t>
            </w:r>
          </w:p>
        </w:tc>
        <w:tc>
          <w:tcPr/>
          <w:p>
            <w:pPr>
              <w:pStyle w:val="Compact"/>
              <w:jc w:val="left"/>
            </w:pPr>
            <w:r>
              <w:t xml:space="preserve">Sediment-borne pollution (P, pesticides), eutrophication</w:t>
            </w:r>
          </w:p>
        </w:tc>
      </w:tr>
      <w:tr>
        <w:tc>
          <w:tcPr/>
          <w:p>
            <w:pPr>
              <w:pStyle w:val="Compact"/>
              <w:jc w:val="left"/>
            </w:pPr>
            <w:r>
              <w:t xml:space="preserve">Exposure of infertile subsoil; gullying makes land unusable</w:t>
            </w:r>
          </w:p>
        </w:tc>
        <w:tc>
          <w:tcPr/>
          <w:p>
            <w:pPr>
              <w:pStyle w:val="Compact"/>
              <w:jc w:val="left"/>
            </w:pPr>
            <w:r>
              <w:t xml:space="preserve">Burial of seedlings and fertile lowlands by infertile sediment</w:t>
            </w:r>
          </w:p>
        </w:tc>
      </w:tr>
      <w:tr>
        <w:tc>
          <w:tcPr/>
          <w:p>
            <w:pPr>
              <w:pStyle w:val="Compact"/>
              <w:jc w:val="left"/>
            </w:pPr>
            <w:r>
              <w:t xml:space="preserve">Loss of seed and fertiliser; re-sowing; delayed sowing</w:t>
            </w:r>
          </w:p>
        </w:tc>
        <w:tc>
          <w:tcPr/>
          <w:p>
            <w:pPr>
              <w:pStyle w:val="Compact"/>
              <w:jc w:val="left"/>
            </w:pPr>
            <w:r>
              <w:t xml:space="preserve">Damage to aquatic ecosystems and fisheries; loss of recreation</w:t>
            </w:r>
          </w:p>
        </w:tc>
      </w:tr>
      <w:tr>
        <w:tc>
          <w:tcPr/>
          <w:p>
            <w:pPr>
              <w:pStyle w:val="Compact"/>
              <w:jc w:val="left"/>
            </w:pPr>
            <w:r>
              <w:t xml:space="preserve">Lower crop yields (short and long term)</w:t>
            </w:r>
          </w:p>
        </w:tc>
        <w:tc>
          <w:tcPr/>
          <w:p>
            <w:pPr>
              <w:pStyle w:val="Compact"/>
              <w:jc w:val="left"/>
            </w:pPr>
            <w:r>
              <w:t xml:space="preserve">Dust storms, air pollution, health effects (wind erosion)</w:t>
            </w:r>
          </w:p>
        </w:tc>
      </w:tr>
    </w:tbl>
    <w:p>
      <w:pPr>
        <w:pStyle w:val="Heading2"/>
      </w:pPr>
      <w:r>
        <w:t xml:space="preserve">17.2 Mechanics of Erosion</w:t>
      </w:r>
    </w:p>
    <w:p>
      <w:pPr>
        <w:pStyle w:val="FirstParagraph"/>
      </w:pPr>
      <w:r>
        <w:t xml:space="preserve">Erosion is a</w:t>
      </w:r>
      <w:r>
        <w:t xml:space="preserve"> </w:t>
      </w:r>
      <w:r>
        <w:rPr>
          <w:bCs/>
          <w:b/>
        </w:rPr>
        <w:t xml:space="preserve">three-stage process</w:t>
      </w:r>
      <w:r>
        <w:t xml:space="preserve">:</w:t>
      </w:r>
    </w:p>
    <w:p>
      <w:pPr>
        <w:pStyle w:val="Compact"/>
        <w:numPr>
          <w:ilvl w:val="0"/>
          <w:numId w:val="1123"/>
        </w:numPr>
      </w:pPr>
      <w:r>
        <w:rPr>
          <w:bCs/>
          <w:b/>
        </w:rPr>
        <w:t xml:space="preserve">Detachment</w:t>
      </w:r>
      <w:r>
        <w:t xml:space="preserve"> </w:t>
      </w:r>
      <w:r>
        <w:t xml:space="preserve">of particles from the soil mass, by raindrop impact, the shear stress of flowing water, or wind drag.</w:t>
      </w:r>
    </w:p>
    <w:p>
      <w:pPr>
        <w:pStyle w:val="Compact"/>
        <w:numPr>
          <w:ilvl w:val="0"/>
          <w:numId w:val="1123"/>
        </w:numPr>
      </w:pPr>
      <w:r>
        <w:rPr>
          <w:bCs/>
          <w:b/>
        </w:rPr>
        <w:t xml:space="preserve">Transport</w:t>
      </w:r>
      <w:r>
        <w:t xml:space="preserve"> </w:t>
      </w:r>
      <w:r>
        <w:t xml:space="preserve">by overland flow, rills, streams or wind.</w:t>
      </w:r>
    </w:p>
    <w:p>
      <w:pPr>
        <w:pStyle w:val="Compact"/>
        <w:numPr>
          <w:ilvl w:val="0"/>
          <w:numId w:val="1123"/>
        </w:numPr>
      </w:pPr>
      <w:r>
        <w:rPr>
          <w:bCs/>
          <w:b/>
        </w:rPr>
        <w:t xml:space="preserve">Deposition</w:t>
      </w:r>
      <w:r>
        <w:t xml:space="preserve"> </w:t>
      </w:r>
      <w:r>
        <w:t xml:space="preserve">when the velocity (transport capacity) falls, for example at a slope foot or behind vegetation.</w:t>
      </w:r>
    </w:p>
    <w:p>
      <w:pPr>
        <w:pStyle w:val="FirstParagraph"/>
      </w:pPr>
      <w:r>
        <w:rPr>
          <w:bCs/>
          <w:b/>
        </w:rPr>
        <w:t xml:space="preserve">Dispersion, compaction and crusting</w:t>
      </w:r>
      <w:r>
        <w:t xml:space="preserve"> </w:t>
      </w:r>
      <w:r>
        <w:t xml:space="preserve">accelerate erosion: they reduce aggregate stability and infiltration and increase runoff. Erosion is</w:t>
      </w:r>
      <w:r>
        <w:t xml:space="preserve"> </w:t>
      </w:r>
      <w:r>
        <w:rPr>
          <w:iCs/>
          <w:i/>
        </w:rPr>
        <w:t xml:space="preserve">detachment-limited</w:t>
      </w:r>
      <w:r>
        <w:t xml:space="preserve"> </w:t>
      </w:r>
      <w:r>
        <w:t xml:space="preserve">when the flow could carry more than is detached, and</w:t>
      </w:r>
      <w:r>
        <w:t xml:space="preserve"> </w:t>
      </w:r>
      <w:r>
        <w:rPr>
          <w:iCs/>
          <w:i/>
        </w:rPr>
        <w:t xml:space="preserve">transport-limited</w:t>
      </w:r>
      <w:r>
        <w:t xml:space="preserve"> </w:t>
      </w:r>
      <w:r>
        <w:t xml:space="preserve">when more is detached than the flow can carry.</w:t>
      </w:r>
    </w:p>
    <w:p>
      <w:pPr>
        <w:pStyle w:val="Heading2"/>
      </w:pPr>
      <w:r>
        <w:t xml:space="preserve">17.3 Water Erosion</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Type</w:t>
            </w:r>
          </w:p>
        </w:tc>
        <w:tc>
          <w:tcPr/>
          <w:p>
            <w:pPr>
              <w:pStyle w:val="Compact"/>
              <w:jc w:val="left"/>
            </w:pPr>
            <w:r>
              <w:t xml:space="preserve">Description</w:t>
            </w:r>
          </w:p>
        </w:tc>
      </w:tr>
      <w:tr>
        <w:tc>
          <w:tcPr/>
          <w:p>
            <w:pPr>
              <w:pStyle w:val="Compact"/>
              <w:jc w:val="left"/>
            </w:pPr>
            <w:r>
              <w:rPr>
                <w:bCs/>
                <w:b/>
              </w:rPr>
              <w:t xml:space="preserve">Splash (raindrop) erosion</w:t>
            </w:r>
          </w:p>
        </w:tc>
        <w:tc>
          <w:tcPr/>
          <w:p>
            <w:pPr>
              <w:pStyle w:val="Compact"/>
              <w:jc w:val="left"/>
            </w:pPr>
            <w:r>
              <w:t xml:space="preserve">Raindrop kinetic energy (drops up to about 6 mm at about 9 m s⁻¹) detaches particles and splashes them up to 1 m. Splashed particles seal pores, forming a</w:t>
            </w:r>
            <w:r>
              <w:t xml:space="preserve"> </w:t>
            </w:r>
            <w:r>
              <w:rPr>
                <w:bCs/>
                <w:b/>
              </w:rPr>
              <w:t xml:space="preserve">crust</w:t>
            </w:r>
            <w:r>
              <w:t xml:space="preserve">. This is the first stage of all water erosion.</w:t>
            </w:r>
          </w:p>
        </w:tc>
      </w:tr>
      <w:tr>
        <w:tc>
          <w:tcPr/>
          <w:p>
            <w:pPr>
              <w:pStyle w:val="Compact"/>
              <w:jc w:val="left"/>
            </w:pPr>
            <w:r>
              <w:rPr>
                <w:bCs/>
                <w:b/>
              </w:rPr>
              <w:t xml:space="preserve">Sheet erosion</w:t>
            </w:r>
          </w:p>
        </w:tc>
        <w:tc>
          <w:tcPr/>
          <w:p>
            <w:pPr>
              <w:pStyle w:val="Compact"/>
              <w:jc w:val="left"/>
            </w:pPr>
            <w:r>
              <w:t xml:space="preserve">Uniform removal of a thin surface layer by shallow overland flow. It is insidious and often unnoticed until the subsoil is exposed.</w:t>
            </w:r>
          </w:p>
        </w:tc>
      </w:tr>
      <w:tr>
        <w:tc>
          <w:tcPr/>
          <w:p>
            <w:pPr>
              <w:pStyle w:val="Compact"/>
              <w:jc w:val="left"/>
            </w:pPr>
            <w:r>
              <w:rPr>
                <w:bCs/>
                <w:b/>
              </w:rPr>
              <w:t xml:space="preserve">Rill erosion</w:t>
            </w:r>
          </w:p>
        </w:tc>
        <w:tc>
          <w:tcPr/>
          <w:p>
            <w:pPr>
              <w:pStyle w:val="Compact"/>
              <w:jc w:val="left"/>
            </w:pPr>
            <w:r>
              <w:t xml:space="preserve">Flow concentrates into small channels (&lt; 30 cm deep) that can be smoothed out by normal tillage. Most soil loss from cultivated slopes is rill plus interrill loss.</w:t>
            </w:r>
          </w:p>
        </w:tc>
      </w:tr>
      <w:tr>
        <w:tc>
          <w:tcPr/>
          <w:p>
            <w:pPr>
              <w:pStyle w:val="Compact"/>
              <w:jc w:val="left"/>
            </w:pPr>
            <w:r>
              <w:rPr>
                <w:bCs/>
                <w:b/>
              </w:rPr>
              <w:t xml:space="preserve">Gully erosion</w:t>
            </w:r>
          </w:p>
        </w:tc>
        <w:tc>
          <w:tcPr/>
          <w:p>
            <w:pPr>
              <w:pStyle w:val="Compact"/>
              <w:jc w:val="left"/>
            </w:pPr>
            <w:r>
              <w:t xml:space="preserve">Advanced rills too deep to be removed by tillage (&gt; 30 cm, up to many metres). U- or V-shaped, with headcut advance.</w:t>
            </w:r>
          </w:p>
        </w:tc>
      </w:tr>
      <w:tr>
        <w:tc>
          <w:tcPr/>
          <w:p>
            <w:pPr>
              <w:pStyle w:val="Compact"/>
              <w:jc w:val="left"/>
            </w:pPr>
            <w:r>
              <w:rPr>
                <w:bCs/>
                <w:b/>
              </w:rPr>
              <w:t xml:space="preserve">Ravines</w:t>
            </w:r>
          </w:p>
        </w:tc>
        <w:tc>
          <w:tcPr/>
          <w:p>
            <w:pPr>
              <w:pStyle w:val="Compact"/>
              <w:jc w:val="left"/>
            </w:pPr>
            <w:r>
              <w:t xml:space="preserve">Extensive gully networks along rivers. India has about</w:t>
            </w:r>
            <w:r>
              <w:t xml:space="preserve"> </w:t>
            </w:r>
            <w:r>
              <w:rPr>
                <w:bCs/>
                <w:b/>
              </w:rPr>
              <w:t xml:space="preserve">3.67 Mha</w:t>
            </w:r>
            <w:r>
              <w:t xml:space="preserve"> </w:t>
            </w:r>
            <w:r>
              <w:t xml:space="preserve">of ravines, notably the Chambal, Yamuna and Mahi in MP, UP and Rajasthan.</w:t>
            </w:r>
          </w:p>
        </w:tc>
      </w:tr>
      <w:tr>
        <w:tc>
          <w:tcPr/>
          <w:p>
            <w:pPr>
              <w:pStyle w:val="Compact"/>
              <w:jc w:val="left"/>
            </w:pPr>
            <w:r>
              <w:rPr>
                <w:bCs/>
                <w:b/>
              </w:rPr>
              <w:t xml:space="preserve">Stream-bank and landslide erosion</w:t>
            </w:r>
          </w:p>
        </w:tc>
        <w:tc>
          <w:tcPr/>
          <w:p>
            <w:pPr>
              <w:pStyle w:val="Compact"/>
              <w:jc w:val="left"/>
            </w:pPr>
            <w:r>
              <w:t xml:space="preserve">Undercutting of banks; mass movement on steep slopes.</w:t>
            </w:r>
          </w:p>
        </w:tc>
      </w:tr>
    </w:tbl>
    <w:p>
      <w:pPr>
        <w:pStyle w:val="BodyText"/>
      </w:pPr>
      <w:r>
        <w:rPr>
          <w:bCs/>
          <w:b/>
        </w:rPr>
        <w:t xml:space="preserve">Factors of water erosion:</w:t>
      </w:r>
    </w:p>
    <w:p>
      <w:pPr>
        <w:pStyle w:val="Compact"/>
        <w:numPr>
          <w:ilvl w:val="0"/>
          <w:numId w:val="1124"/>
        </w:numPr>
      </w:pPr>
      <w:r>
        <w:rPr>
          <w:bCs/>
          <w:b/>
        </w:rPr>
        <w:t xml:space="preserve">Climate:</w:t>
      </w:r>
      <w:r>
        <w:t xml:space="preserve"> </w:t>
      </w:r>
      <w:r>
        <w:t xml:space="preserve">rainfall erosivity (amount, intensity, drop size, kinetic energy).</w:t>
      </w:r>
    </w:p>
    <w:p>
      <w:pPr>
        <w:pStyle w:val="Compact"/>
        <w:numPr>
          <w:ilvl w:val="0"/>
          <w:numId w:val="1124"/>
        </w:numPr>
      </w:pPr>
      <w:r>
        <w:rPr>
          <w:bCs/>
          <w:b/>
        </w:rPr>
        <w:t xml:space="preserve">Soil erodibility:</w:t>
      </w:r>
      <w:r>
        <w:t xml:space="preserve"> </w:t>
      </w:r>
      <w:r>
        <w:t xml:space="preserve">texture (silts and fine sands are most erodible), structure, OM, infiltration, permeability.</w:t>
      </w:r>
    </w:p>
    <w:p>
      <w:pPr>
        <w:pStyle w:val="Compact"/>
        <w:numPr>
          <w:ilvl w:val="0"/>
          <w:numId w:val="1124"/>
        </w:numPr>
      </w:pPr>
      <w:r>
        <w:rPr>
          <w:bCs/>
          <w:b/>
        </w:rPr>
        <w:t xml:space="preserve">Topography:</w:t>
      </w:r>
      <w:r>
        <w:t xml:space="preserve"> </w:t>
      </w:r>
      <w:r>
        <w:t xml:space="preserve">slope gradient, length, shape, aspect.</w:t>
      </w:r>
    </w:p>
    <w:p>
      <w:pPr>
        <w:pStyle w:val="Compact"/>
        <w:numPr>
          <w:ilvl w:val="0"/>
          <w:numId w:val="1124"/>
        </w:numPr>
      </w:pPr>
      <w:r>
        <w:rPr>
          <w:bCs/>
          <w:b/>
        </w:rPr>
        <w:t xml:space="preserve">Vegetation and ground cover:</w:t>
      </w:r>
      <w:r>
        <w:t xml:space="preserve"> </w:t>
      </w:r>
      <w:r>
        <w:t xml:space="preserve">dissipates raindrop energy and slows flow.</w:t>
      </w:r>
    </w:p>
    <w:p>
      <w:pPr>
        <w:pStyle w:val="Compact"/>
        <w:numPr>
          <w:ilvl w:val="0"/>
          <w:numId w:val="1124"/>
        </w:numPr>
      </w:pPr>
      <w:r>
        <w:rPr>
          <w:bCs/>
          <w:b/>
        </w:rPr>
        <w:t xml:space="preserve">Management:</w:t>
      </w:r>
      <w:r>
        <w:t xml:space="preserve"> </w:t>
      </w:r>
      <w:r>
        <w:t xml:space="preserve">tillage, conservation practices.</w:t>
      </w:r>
    </w:p>
    <w:p>
      <w:pPr>
        <w:pStyle w:val="FirstParagraph"/>
      </w:pPr>
      <w:r>
        <w:t xml:space="preserve">Socio-economic and political causes (land tenure, poverty, population pressure, policies, markets) drive these biophysical factors.</w:t>
      </w:r>
    </w:p>
    <w:p>
      <w:pPr>
        <w:pStyle w:val="Heading2"/>
      </w:pPr>
      <w:r>
        <w:t xml:space="preserve">17.4 Wind Erosion</w:t>
      </w:r>
    </w:p>
    <w:p>
      <w:pPr>
        <w:pStyle w:val="FirstParagraph"/>
      </w:pPr>
      <w:r>
        <w:t xml:space="preserve">Wind erosion is dominant in arid and semi-arid regions with dry, loose, sandy soils, sparse cover, strong winds (above about 20 km h⁻¹ threshold at 30 cm height) and flat, open fields. Western Rajasthan, Gujarat and Haryana are the Indian examples. There are three modes of transport:</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w:t>
            </w:r>
          </w:p>
        </w:tc>
        <w:tc>
          <w:tcPr/>
          <w:p>
            <w:pPr>
              <w:pStyle w:val="Compact"/>
              <w:jc w:val="left"/>
            </w:pPr>
            <w:r>
              <w:t xml:space="preserve">Particle size</w:t>
            </w:r>
          </w:p>
        </w:tc>
        <w:tc>
          <w:tcPr/>
          <w:p>
            <w:pPr>
              <w:pStyle w:val="Compact"/>
              <w:jc w:val="left"/>
            </w:pPr>
            <w:r>
              <w:t xml:space="preserve">Share of soil moved</w:t>
            </w:r>
          </w:p>
        </w:tc>
        <w:tc>
          <w:tcPr/>
          <w:p>
            <w:pPr>
              <w:pStyle w:val="Compact"/>
              <w:jc w:val="left"/>
            </w:pPr>
            <w:r>
              <w:t xml:space="preserve">Behaviour</w:t>
            </w:r>
          </w:p>
        </w:tc>
      </w:tr>
      <w:tr>
        <w:tc>
          <w:tcPr/>
          <w:p>
            <w:pPr>
              <w:pStyle w:val="Compact"/>
              <w:jc w:val="left"/>
            </w:pPr>
            <w:r>
              <w:rPr>
                <w:bCs/>
                <w:b/>
              </w:rPr>
              <w:t xml:space="preserve">Saltation</w:t>
            </w:r>
          </w:p>
        </w:tc>
        <w:tc>
          <w:tcPr/>
          <w:p>
            <w:pPr>
              <w:pStyle w:val="Compact"/>
              <w:jc w:val="left"/>
            </w:pPr>
            <w:r>
              <w:t xml:space="preserve">0.05–0.5 mm</w:t>
            </w:r>
          </w:p>
        </w:tc>
        <w:tc>
          <w:tcPr/>
          <w:p>
            <w:pPr>
              <w:pStyle w:val="Compact"/>
              <w:jc w:val="left"/>
            </w:pPr>
            <w:r>
              <w:rPr>
                <w:bCs/>
                <w:b/>
              </w:rPr>
              <w:t xml:space="preserve">50–75%</w:t>
            </w:r>
          </w:p>
        </w:tc>
        <w:tc>
          <w:tcPr/>
          <w:p>
            <w:pPr>
              <w:pStyle w:val="Compact"/>
              <w:jc w:val="left"/>
            </w:pPr>
            <w:r>
              <w:t xml:space="preserve">Particles bounce in short hops (&lt; 1 m high); they also drive the other modes</w:t>
            </w:r>
          </w:p>
        </w:tc>
      </w:tr>
      <w:tr>
        <w:tc>
          <w:tcPr/>
          <w:p>
            <w:pPr>
              <w:pStyle w:val="Compact"/>
              <w:jc w:val="left"/>
            </w:pPr>
            <w:r>
              <w:rPr>
                <w:bCs/>
                <w:b/>
              </w:rPr>
              <w:t xml:space="preserve">Suspension</w:t>
            </w:r>
          </w:p>
        </w:tc>
        <w:tc>
          <w:tcPr/>
          <w:p>
            <w:pPr>
              <w:pStyle w:val="Compact"/>
              <w:jc w:val="left"/>
            </w:pPr>
            <w:r>
              <w:t xml:space="preserve">&lt; 0.1 mm (silt, clay, OM)</w:t>
            </w:r>
          </w:p>
        </w:tc>
        <w:tc>
          <w:tcPr/>
          <w:p>
            <w:pPr>
              <w:pStyle w:val="Compact"/>
              <w:jc w:val="left"/>
            </w:pPr>
            <w:r>
              <w:t xml:space="preserve">3–40%</w:t>
            </w:r>
          </w:p>
        </w:tc>
        <w:tc>
          <w:tcPr/>
          <w:p>
            <w:pPr>
              <w:pStyle w:val="Compact"/>
              <w:jc w:val="left"/>
            </w:pPr>
            <w:r>
              <w:t xml:space="preserve">Carried long distances as dust; loses the most fertile fraction</w:t>
            </w:r>
          </w:p>
        </w:tc>
      </w:tr>
      <w:tr>
        <w:tc>
          <w:tcPr/>
          <w:p>
            <w:pPr>
              <w:pStyle w:val="Compact"/>
              <w:jc w:val="left"/>
            </w:pPr>
            <w:r>
              <w:rPr>
                <w:bCs/>
                <w:b/>
              </w:rPr>
              <w:t xml:space="preserve">Surface creep</w:t>
            </w:r>
          </w:p>
        </w:tc>
        <w:tc>
          <w:tcPr/>
          <w:p>
            <w:pPr>
              <w:pStyle w:val="Compact"/>
              <w:jc w:val="left"/>
            </w:pPr>
            <w:r>
              <w:t xml:space="preserve">0.5–1.0 mm</w:t>
            </w:r>
          </w:p>
        </w:tc>
        <w:tc>
          <w:tcPr/>
          <w:p>
            <w:pPr>
              <w:pStyle w:val="Compact"/>
              <w:jc w:val="left"/>
            </w:pPr>
            <w:r>
              <w:t xml:space="preserve">5–25%</w:t>
            </w:r>
          </w:p>
        </w:tc>
        <w:tc>
          <w:tcPr/>
          <w:p>
            <w:pPr>
              <w:pStyle w:val="Compact"/>
              <w:jc w:val="left"/>
            </w:pPr>
            <w:r>
              <w:t xml:space="preserve">Rolling and sliding along the surface, pushed by saltating grains</w:t>
            </w:r>
          </w:p>
        </w:tc>
      </w:tr>
    </w:tbl>
    <w:p>
      <w:pPr>
        <w:pStyle w:val="Heading2"/>
      </w:pPr>
      <w:r>
        <w:t xml:space="preserve">17.5 Measuring and Predicting Erosion: Models</w:t>
      </w:r>
    </w:p>
    <w:p>
      <w:pPr>
        <w:pStyle w:val="FirstParagraph"/>
      </w:pPr>
      <w:r>
        <w:t xml:space="preserve">Field studies (runoff plots, sediment gauging) are accurate but expensive, slow and site-specific.</w:t>
      </w:r>
      <w:r>
        <w:t xml:space="preserve"> </w:t>
      </w:r>
      <w:r>
        <w:rPr>
          <w:bCs/>
          <w:b/>
        </w:rPr>
        <w:t xml:space="preserve">Models</w:t>
      </w:r>
      <w:r>
        <w:t xml:space="preserve"> </w:t>
      </w:r>
      <w:r>
        <w:t xml:space="preserve">extrapolate them. They fall into three families: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Basis</w:t>
            </w:r>
          </w:p>
        </w:tc>
        <w:tc>
          <w:tcPr/>
          <w:p>
            <w:pPr>
              <w:pStyle w:val="Compact"/>
              <w:jc w:val="left"/>
            </w:pPr>
            <w:r>
              <w:t xml:space="preserve">Examples</w:t>
            </w:r>
          </w:p>
        </w:tc>
      </w:tr>
      <w:tr>
        <w:tc>
          <w:tcPr/>
          <w:p>
            <w:pPr>
              <w:pStyle w:val="Compact"/>
              <w:jc w:val="left"/>
            </w:pPr>
            <w:r>
              <w:rPr>
                <w:bCs/>
                <w:b/>
              </w:rPr>
              <w:t xml:space="preserve">Empirical</w:t>
            </w:r>
          </w:p>
        </w:tc>
        <w:tc>
          <w:tcPr/>
          <w:p>
            <w:pPr>
              <w:pStyle w:val="Compact"/>
              <w:jc w:val="left"/>
            </w:pPr>
            <w:r>
              <w:t xml:space="preserve">Statistical relationships from plot data</w:t>
            </w:r>
          </w:p>
        </w:tc>
        <w:tc>
          <w:tcPr/>
          <w:p>
            <w:pPr>
              <w:pStyle w:val="Compact"/>
              <w:jc w:val="left"/>
            </w:pPr>
            <w:r>
              <w:t xml:space="preserve">USLE, RUSLE, SLEMSA</w:t>
            </w:r>
          </w:p>
        </w:tc>
      </w:tr>
      <w:tr>
        <w:tc>
          <w:tcPr/>
          <w:p>
            <w:pPr>
              <w:pStyle w:val="Compact"/>
              <w:jc w:val="left"/>
            </w:pPr>
            <w:r>
              <w:rPr>
                <w:bCs/>
                <w:b/>
              </w:rPr>
              <w:t xml:space="preserve">Semi-empirical (conceptual)</w:t>
            </w:r>
          </w:p>
        </w:tc>
        <w:tc>
          <w:tcPr/>
          <w:p>
            <w:pPr>
              <w:pStyle w:val="Compact"/>
              <w:jc w:val="left"/>
            </w:pPr>
            <w:r>
              <w:t xml:space="preserve">Simplified process representation; lumped continuity</w:t>
            </w:r>
          </w:p>
        </w:tc>
        <w:tc>
          <w:tcPr/>
          <w:p>
            <w:pPr>
              <w:pStyle w:val="Compact"/>
              <w:jc w:val="left"/>
            </w:pPr>
            <w:r>
              <w:t xml:space="preserve">MUSLE, MMF (Morgan–Morgan–Finney)</w:t>
            </w:r>
          </w:p>
        </w:tc>
      </w:tr>
      <w:tr>
        <w:tc>
          <w:tcPr/>
          <w:p>
            <w:pPr>
              <w:pStyle w:val="Compact"/>
              <w:jc w:val="left"/>
            </w:pPr>
            <w:r>
              <w:rPr>
                <w:bCs/>
                <w:b/>
              </w:rPr>
              <w:t xml:space="preserve">Physically / process-based</w:t>
            </w:r>
          </w:p>
        </w:tc>
        <w:tc>
          <w:tcPr/>
          <w:p>
            <w:pPr>
              <w:pStyle w:val="Compact"/>
              <w:jc w:val="left"/>
            </w:pPr>
            <w:r>
              <w:t xml:space="preserve">Mass, momentum and energy conservation for detachment, transport and deposition; spatially distributed</w:t>
            </w:r>
          </w:p>
        </w:tc>
        <w:tc>
          <w:tcPr/>
          <w:p>
            <w:pPr>
              <w:pStyle w:val="Compact"/>
              <w:jc w:val="left"/>
            </w:pPr>
            <w:r>
              <w:t xml:space="preserve">WEPP, EUROSEM, LISEM, ANSWERS, AGNPS, SWAT, KINEROS</w:t>
            </w:r>
          </w:p>
        </w:tc>
      </w:tr>
    </w:tbl>
    <w:p>
      <w:pPr>
        <w:pStyle w:val="Heading3"/>
      </w:pPr>
      <w:r>
        <w:t xml:space="preserve">17.5.1 Universal Soil Loss Equation (USLE) (Wischmeier and Smith, 1965, 1978)</w:t>
      </w:r>
    </w:p>
    <w:p>
      <w:pPr>
        <w:pStyle w:val="FirstParagraph"/>
      </w:pPr>
      <m:oMathPara>
        <m:oMathParaPr>
          <m:jc m:val="center"/>
        </m:oMathParaPr>
        <m:oMath>
          <m:r>
            <m:t>A</m:t>
          </m:r>
          <m:r>
            <m:rPr>
              <m:sty m:val="p"/>
            </m:rPr>
            <m:t>=</m:t>
          </m:r>
          <m:r>
            <m:t>R</m:t>
          </m:r>
          <m:r>
            <m:rPr>
              <m:sty m:val="p"/>
            </m:rPr>
            <m:t>⋅</m:t>
          </m:r>
          <m:r>
            <m:t>K</m:t>
          </m:r>
          <m:r>
            <m:rPr>
              <m:sty m:val="p"/>
            </m:rPr>
            <m:t>⋅</m:t>
          </m:r>
          <m:r>
            <m:t>L</m:t>
          </m:r>
          <m:r>
            <m:rPr>
              <m:sty m:val="p"/>
            </m:rPr>
            <m:t>⋅</m:t>
          </m:r>
          <m:r>
            <m:t>S</m:t>
          </m:r>
          <m:r>
            <m:rPr>
              <m:sty m:val="p"/>
            </m:rPr>
            <m:t>⋅</m:t>
          </m:r>
          <m:r>
            <m:t>C</m:t>
          </m:r>
          <m:r>
            <m:rPr>
              <m:sty m:val="p"/>
            </m:rPr>
            <m:t>⋅</m:t>
          </m:r>
          <m:r>
            <m:t>P</m:t>
          </m:r>
        </m:oMath>
      </m:oMathPara>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Meaning</w:t>
            </w:r>
          </w:p>
        </w:tc>
        <w:tc>
          <w:tcPr/>
          <w:p>
            <w:pPr>
              <w:pStyle w:val="Compact"/>
              <w:jc w:val="left"/>
            </w:pPr>
            <w:r>
              <w:t xml:space="preserve">How obtained</w:t>
            </w:r>
          </w:p>
        </w:tc>
      </w:tr>
      <w:tr>
        <w:tc>
          <w:tcPr/>
          <w:p>
            <w:pPr>
              <w:pStyle w:val="Compact"/>
              <w:jc w:val="left"/>
            </w:pPr>
            <m:oMath>
              <m:r>
                <m:t>A</m:t>
              </m:r>
            </m:oMath>
          </w:p>
        </w:tc>
        <w:tc>
          <w:tcPr/>
          <w:p>
            <w:pPr>
              <w:pStyle w:val="Compact"/>
              <w:jc w:val="left"/>
            </w:pPr>
            <w:r>
              <w:t xml:space="preserve">Average annual soil loss (t ha⁻¹ yr⁻¹)</w:t>
            </w:r>
          </w:p>
        </w:tc>
        <w:tc>
          <w:tcPr/>
          <w:p>
            <w:pPr>
              <w:pStyle w:val="Compact"/>
              <w:jc w:val="left"/>
            </w:pPr>
            <w:r>
              <w:t xml:space="preserve">Output</w:t>
            </w:r>
          </w:p>
        </w:tc>
      </w:tr>
      <w:tr>
        <w:tc>
          <w:tcPr/>
          <w:p>
            <w:pPr>
              <w:pStyle w:val="Compact"/>
              <w:jc w:val="left"/>
            </w:pPr>
            <w:r>
              <w:rPr>
                <w:bCs/>
                <w:b/>
              </w:rPr>
              <w:t xml:space="preserve">R</w:t>
            </w:r>
          </w:p>
        </w:tc>
        <w:tc>
          <w:tcPr/>
          <w:p>
            <w:pPr>
              <w:pStyle w:val="Compact"/>
              <w:jc w:val="left"/>
            </w:pPr>
            <w:r>
              <w:t xml:space="preserve">Rainfall–runoff</w:t>
            </w:r>
            <w:r>
              <w:t xml:space="preserve"> </w:t>
            </w:r>
            <w:r>
              <w:rPr>
                <w:bCs/>
                <w:b/>
              </w:rPr>
              <w:t xml:space="preserve">erosivity</w:t>
            </w:r>
            <w:r>
              <w:t xml:space="preserve">: the sum over storms of</w:t>
            </w:r>
            <w:r>
              <w:t xml:space="preserve"> </w:t>
            </w:r>
            <m:oMath>
              <m:r>
                <m:t>E</m:t>
              </m:r>
              <m:r>
                <m:rPr>
                  <m:sty m:val="p"/>
                </m:rPr>
                <m:t>⋅</m:t>
              </m:r>
              <m:sSub>
                <m:e>
                  <m:r>
                    <m:t>I</m:t>
                  </m:r>
                </m:e>
                <m:sub>
                  <m:r>
                    <m:t>30</m:t>
                  </m:r>
                </m:sub>
              </m:sSub>
            </m:oMath>
            <w:r>
              <w:t xml:space="preserve"> </w:t>
            </w:r>
            <w:r>
              <w:t xml:space="preserve">(storm kinetic energy × maximum 30-min intensity)</w:t>
            </w:r>
          </w:p>
        </w:tc>
        <w:tc>
          <w:tcPr/>
          <w:p>
            <w:pPr>
              <w:pStyle w:val="Compact"/>
              <w:jc w:val="left"/>
            </w:pPr>
            <w:r>
              <w:t xml:space="preserve">Pluviograph records; in India, regional regressions on annual or seasonal rainfall; isoerodent maps</w:t>
            </w:r>
          </w:p>
        </w:tc>
      </w:tr>
      <w:tr>
        <w:tc>
          <w:tcPr/>
          <w:p>
            <w:pPr>
              <w:pStyle w:val="Compact"/>
              <w:jc w:val="left"/>
            </w:pPr>
            <w:r>
              <w:rPr>
                <w:bCs/>
                <w:b/>
              </w:rPr>
              <w:t xml:space="preserve">K</w:t>
            </w:r>
          </w:p>
        </w:tc>
        <w:tc>
          <w:tcPr/>
          <w:p>
            <w:pPr>
              <w:pStyle w:val="Compact"/>
              <w:jc w:val="left"/>
            </w:pPr>
            <w:r>
              <w:t xml:space="preserve">Soil</w:t>
            </w:r>
            <w:r>
              <w:t xml:space="preserve"> </w:t>
            </w:r>
            <w:r>
              <w:rPr>
                <w:bCs/>
                <w:b/>
              </w:rPr>
              <w:t xml:space="preserve">erodibility</w:t>
            </w:r>
            <w:r>
              <w:t xml:space="preserve">: soil loss per unit R from the standard plot (22.13 m long, 9% slope, continuous clean-tilled fallow)</w:t>
            </w:r>
          </w:p>
        </w:tc>
        <w:tc>
          <w:tcPr/>
          <w:p>
            <w:pPr>
              <w:pStyle w:val="Compact"/>
              <w:jc w:val="left"/>
            </w:pPr>
            <w:r>
              <w:t xml:space="preserve">Nomograph (silt + very fine sand %, sand %, OM %, structure, permeability), or from soil maps</w:t>
            </w:r>
          </w:p>
        </w:tc>
      </w:tr>
      <w:tr>
        <w:tc>
          <w:tcPr/>
          <w:p>
            <w:pPr>
              <w:pStyle w:val="Compact"/>
              <w:jc w:val="left"/>
            </w:pPr>
            <w:r>
              <w:rPr>
                <w:bCs/>
                <w:b/>
              </w:rPr>
              <w:t xml:space="preserve">L</w:t>
            </w:r>
          </w:p>
        </w:tc>
        <w:tc>
          <w:tcPr/>
          <w:p>
            <w:pPr>
              <w:pStyle w:val="Compact"/>
              <w:jc w:val="left"/>
            </w:pPr>
            <w:r>
              <w:t xml:space="preserve">Slope</w:t>
            </w:r>
            <w:r>
              <w:t xml:space="preserve"> </w:t>
            </w:r>
            <w:r>
              <w:rPr>
                <w:bCs/>
                <w:b/>
              </w:rPr>
              <w:t xml:space="preserve">length</w:t>
            </w:r>
            <w:r>
              <w:t xml:space="preserve"> </w:t>
            </w:r>
            <w:r>
              <w:t xml:space="preserve">factor:</w:t>
            </w:r>
            <w:r>
              <w:t xml:space="preserve"> </w:t>
            </w:r>
            <m:oMath>
              <m:r>
                <m:t>L</m:t>
              </m:r>
              <m:r>
                <m:rPr>
                  <m:sty m:val="p"/>
                </m:rPr>
                <m:t>=</m:t>
              </m:r>
              <m:sSup>
                <m:e>
                  <m:d>
                    <m:dPr>
                      <m:begChr m:val="("/>
                      <m:endChr m:val=")"/>
                      <m:sepChr m:val=""/>
                      <m:grow/>
                    </m:dPr>
                    <m:e>
                      <m:r>
                        <m:t>λ</m:t>
                      </m:r>
                      <m:r>
                        <m:rPr>
                          <m:sty m:val="p"/>
                        </m:rPr>
                        <m:t>/</m:t>
                      </m:r>
                      <m:r>
                        <m:t>22.13</m:t>
                      </m:r>
                    </m:e>
                  </m:d>
                </m:e>
                <m:sup>
                  <m:r>
                    <m:t>m</m:t>
                  </m:r>
                </m:sup>
              </m:sSup>
            </m:oMath>
            <w:r>
              <w:t xml:space="preserve">, with</w:t>
            </w:r>
            <w:r>
              <w:t xml:space="preserve"> </w:t>
            </w:r>
            <m:oMath>
              <m:r>
                <m:t>m</m:t>
              </m:r>
            </m:oMath>
            <w:r>
              <w:t xml:space="preserve"> </w:t>
            </w:r>
            <w:r>
              <w:t xml:space="preserve">= 0.2–0.5 depending on slope</w:t>
            </w:r>
          </w:p>
        </w:tc>
        <w:tc>
          <w:tcPr/>
          <w:p>
            <w:pPr>
              <w:pStyle w:val="Compact"/>
              <w:jc w:val="left"/>
            </w:pPr>
            <w:r>
              <w:t xml:space="preserve">DEM (flow accumulation × cell size)</w:t>
            </w:r>
          </w:p>
        </w:tc>
      </w:tr>
      <w:tr>
        <w:tc>
          <w:tcPr/>
          <w:p>
            <w:pPr>
              <w:pStyle w:val="Compact"/>
              <w:jc w:val="left"/>
            </w:pPr>
            <w:r>
              <w:rPr>
                <w:bCs/>
                <w:b/>
              </w:rPr>
              <w:t xml:space="preserve">S</w:t>
            </w:r>
          </w:p>
        </w:tc>
        <w:tc>
          <w:tcPr/>
          <w:p>
            <w:pPr>
              <w:pStyle w:val="Compact"/>
              <w:jc w:val="left"/>
            </w:pPr>
            <w:r>
              <w:t xml:space="preserve">Slope</w:t>
            </w:r>
            <w:r>
              <w:t xml:space="preserve"> </w:t>
            </w:r>
            <w:r>
              <w:rPr>
                <w:bCs/>
                <w:b/>
              </w:rPr>
              <w:t xml:space="preserve">steepness</w:t>
            </w:r>
            <w:r>
              <w:t xml:space="preserve"> </w:t>
            </w:r>
            <w:r>
              <w:t xml:space="preserve">factor:</w:t>
            </w:r>
            <w:r>
              <w:t xml:space="preserve"> </w:t>
            </w:r>
            <m:oMath>
              <m:r>
                <m:t>S</m:t>
              </m:r>
              <m:r>
                <m:rPr>
                  <m:sty m:val="p"/>
                </m:rPr>
                <m:t>=</m:t>
              </m:r>
              <m:r>
                <m:t>65.41</m:t>
              </m:r>
              <m:sSup>
                <m:e>
                  <m:r>
                    <m:rPr>
                      <m:sty m:val="p"/>
                    </m:rPr>
                    <m:t>sin</m:t>
                  </m:r>
                </m:e>
                <m:sup>
                  <m:r>
                    <m:t>2</m:t>
                  </m:r>
                </m:sup>
              </m:sSup>
              <m:r>
                <m:t>θ</m:t>
              </m:r>
              <m:r>
                <m:rPr>
                  <m:sty m:val="p"/>
                </m:rPr>
                <m:t>+</m:t>
              </m:r>
              <m:r>
                <m:t>4.56</m:t>
              </m:r>
              <m:r>
                <m:rPr>
                  <m:sty m:val="p"/>
                </m:rPr>
                <m:t>sin</m:t>
              </m:r>
              <m:r>
                <m:t>θ</m:t>
              </m:r>
              <m:r>
                <m:rPr>
                  <m:sty m:val="p"/>
                </m:rPr>
                <m:t>+</m:t>
              </m:r>
              <m:r>
                <m:t>0.065</m:t>
              </m:r>
            </m:oMath>
          </w:p>
        </w:tc>
        <w:tc>
          <w:tcPr/>
          <w:p>
            <w:pPr>
              <w:pStyle w:val="Compact"/>
              <w:jc w:val="left"/>
            </w:pPr>
            <w:r>
              <w:t xml:space="preserve">DEM slope</w:t>
            </w:r>
          </w:p>
        </w:tc>
      </w:tr>
      <w:tr>
        <w:tc>
          <w:tcPr/>
          <w:p>
            <w:pPr>
              <w:pStyle w:val="Compact"/>
              <w:jc w:val="left"/>
            </w:pPr>
            <w:r>
              <w:rPr>
                <w:bCs/>
                <w:b/>
              </w:rPr>
              <w:t xml:space="preserve">C</w:t>
            </w:r>
          </w:p>
        </w:tc>
        <w:tc>
          <w:tcPr/>
          <w:p>
            <w:pPr>
              <w:pStyle w:val="Compact"/>
              <w:jc w:val="left"/>
            </w:pPr>
            <w:r>
              <w:rPr>
                <w:bCs/>
                <w:b/>
              </w:rPr>
              <w:t xml:space="preserve">Cover and management</w:t>
            </w:r>
            <w:r>
              <w:t xml:space="preserve"> </w:t>
            </w:r>
            <w:r>
              <w:t xml:space="preserve">factor: ratio of loss under the given crop and management to bare fallow (0–1)</w:t>
            </w:r>
          </w:p>
        </w:tc>
        <w:tc>
          <w:tcPr/>
          <w:p>
            <w:pPr>
              <w:pStyle w:val="Compact"/>
              <w:jc w:val="left"/>
            </w:pPr>
            <w:r>
              <w:t xml:space="preserve">Land-use/land-cover map from RS; NDVI-based, e.g. </w:t>
            </w:r>
            <m:oMath>
              <m:r>
                <m:t>C</m:t>
              </m:r>
              <m:r>
                <m:rPr>
                  <m:sty m:val="p"/>
                </m:rPr>
                <m:t>=</m:t>
              </m:r>
              <m:sSup>
                <m:e>
                  <m:r>
                    <m:t>e</m:t>
                  </m:r>
                </m:e>
                <m:sup>
                  <m:r>
                    <m:rPr>
                      <m:sty m:val="p"/>
                    </m:rPr>
                    <m:t>−</m:t>
                  </m:r>
                  <m:r>
                    <m:t>α</m:t>
                  </m:r>
                  <m:r>
                    <m:t> </m:t>
                  </m:r>
                  <m:r>
                    <m:t>N</m:t>
                  </m:r>
                  <m:r>
                    <m:t>D</m:t>
                  </m:r>
                  <m:r>
                    <m:t>V</m:t>
                  </m:r>
                  <m:r>
                    <m:t>I</m:t>
                  </m:r>
                  <m:r>
                    <m:rPr>
                      <m:sty m:val="p"/>
                    </m:rPr>
                    <m:t>/</m:t>
                  </m:r>
                  <m:d>
                    <m:dPr>
                      <m:begChr m:val="("/>
                      <m:endChr m:val=")"/>
                      <m:sepChr m:val=""/>
                      <m:grow/>
                    </m:dPr>
                    <m:e>
                      <m:r>
                        <m:t>β</m:t>
                      </m:r>
                      <m:r>
                        <m:rPr>
                          <m:sty m:val="p"/>
                        </m:rPr>
                        <m:t>−</m:t>
                      </m:r>
                      <m:r>
                        <m:t>N</m:t>
                      </m:r>
                      <m:r>
                        <m:t>D</m:t>
                      </m:r>
                      <m:r>
                        <m:t>V</m:t>
                      </m:r>
                      <m:r>
                        <m:t>I</m:t>
                      </m:r>
                    </m:e>
                  </m:d>
                </m:sup>
              </m:sSup>
            </m:oMath>
            <w:r>
              <w:t xml:space="preserve"> </w:t>
            </w:r>
            <w:r>
              <w:t xml:space="preserve">with α = 2, β = 1</w:t>
            </w:r>
          </w:p>
        </w:tc>
      </w:tr>
      <w:tr>
        <w:tc>
          <w:tcPr/>
          <w:p>
            <w:pPr>
              <w:pStyle w:val="Compact"/>
              <w:jc w:val="left"/>
            </w:pPr>
            <w:r>
              <w:rPr>
                <w:bCs/>
                <w:b/>
              </w:rPr>
              <w:t xml:space="preserve">P</w:t>
            </w:r>
          </w:p>
        </w:tc>
        <w:tc>
          <w:tcPr/>
          <w:p>
            <w:pPr>
              <w:pStyle w:val="Compact"/>
              <w:jc w:val="left"/>
            </w:pPr>
            <w:r>
              <w:rPr>
                <w:bCs/>
                <w:b/>
              </w:rPr>
              <w:t xml:space="preserve">Support practice</w:t>
            </w:r>
            <w:r>
              <w:t xml:space="preserve"> </w:t>
            </w:r>
            <w:r>
              <w:t xml:space="preserve">factor: contouring, strip cropping, terracing (0–1)</w:t>
            </w:r>
          </w:p>
        </w:tc>
        <w:tc>
          <w:tcPr/>
          <w:p>
            <w:pPr>
              <w:pStyle w:val="Compact"/>
              <w:jc w:val="left"/>
            </w:pPr>
            <w:r>
              <w:t xml:space="preserve">Field data, land use, slope classes</w:t>
            </w:r>
          </w:p>
        </w:tc>
      </w:tr>
    </w:tbl>
    <w:p>
      <w:pPr>
        <w:pStyle w:val="BodyText"/>
      </w:pPr>
      <w:r>
        <w:rPr>
          <w:bCs/>
          <w:b/>
        </w:rPr>
        <w:t xml:space="preserve">Limitations:</w:t>
      </w:r>
      <w:r>
        <w:t xml:space="preserve"> </w:t>
      </w:r>
      <w:r>
        <w:t xml:space="preserve">USLE predicts long-term average</w:t>
      </w:r>
      <w:r>
        <w:t xml:space="preserve"> </w:t>
      </w:r>
      <w:r>
        <w:rPr>
          <w:bCs/>
          <w:b/>
        </w:rPr>
        <w:t xml:space="preserve">sheet and rill</w:t>
      </w:r>
      <w:r>
        <w:t xml:space="preserve"> </w:t>
      </w:r>
      <w:r>
        <w:t xml:space="preserve">erosion only. It does not handle gullies, deposition, individual storms or sediment yield at the catchment outlet. It is empirical, so it is unreliable outside the conditions of its US data. It is nevertheless simple and widely used with RS and GIS.</w:t>
      </w:r>
    </w:p>
    <w:p>
      <w:pPr>
        <w:pStyle w:val="BodyText"/>
      </w:pPr>
      <w:r>
        <w:rPr>
          <w:bCs/>
          <w:b/>
        </w:rPr>
        <w:t xml:space="preserve">RUSLE (Renard et al., 1997)</w:t>
      </w:r>
      <w:r>
        <w:t xml:space="preserve"> </w:t>
      </w:r>
      <w:r>
        <w:t xml:space="preserve">keeps the same form but improves the factors:</w:t>
      </w:r>
    </w:p>
    <w:p>
      <w:pPr>
        <w:pStyle w:val="Compact"/>
        <w:numPr>
          <w:ilvl w:val="0"/>
          <w:numId w:val="1125"/>
        </w:numPr>
      </w:pPr>
      <w:r>
        <w:t xml:space="preserve">R includes runoff and snowmelt erosivity.</w:t>
      </w:r>
    </w:p>
    <w:p>
      <w:pPr>
        <w:pStyle w:val="Compact"/>
        <w:numPr>
          <w:ilvl w:val="0"/>
          <w:numId w:val="1125"/>
        </w:numPr>
      </w:pPr>
      <w:r>
        <w:t xml:space="preserve">K varies seasonally.</w:t>
      </w:r>
    </w:p>
    <w:p>
      <w:pPr>
        <w:pStyle w:val="Compact"/>
        <w:numPr>
          <w:ilvl w:val="0"/>
          <w:numId w:val="1125"/>
        </w:numPr>
      </w:pPr>
      <w:r>
        <w:t xml:space="preserve">New LS algorithms handle complex slopes.</w:t>
      </w:r>
    </w:p>
    <w:p>
      <w:pPr>
        <w:pStyle w:val="Compact"/>
        <w:numPr>
          <w:ilvl w:val="0"/>
          <w:numId w:val="1125"/>
        </w:numPr>
      </w:pPr>
      <w:r>
        <w:t xml:space="preserve">C is computed from</w:t>
      </w:r>
      <w:r>
        <w:t xml:space="preserve"> </w:t>
      </w:r>
      <w:r>
        <w:rPr>
          <w:bCs/>
          <w:b/>
        </w:rPr>
        <w:t xml:space="preserve">soil-loss-ratio subfactors</w:t>
      </w:r>
      <w:r>
        <w:t xml:space="preserve"> </w:t>
      </w:r>
      <w:r>
        <w:t xml:space="preserve">(prior land use, canopy cover, surface cover, surface roughness, soil moisture).</w:t>
      </w:r>
    </w:p>
    <w:p>
      <w:pPr>
        <w:pStyle w:val="Compact"/>
        <w:numPr>
          <w:ilvl w:val="0"/>
          <w:numId w:val="1125"/>
        </w:numPr>
      </w:pPr>
      <w:r>
        <w:t xml:space="preserve">P has more detail.</w:t>
      </w:r>
    </w:p>
    <w:p>
      <w:pPr>
        <w:pStyle w:val="FirstParagraph"/>
      </w:pPr>
      <w:r>
        <w:rPr>
          <w:bCs/>
          <w:b/>
        </w:rPr>
        <w:t xml:space="preserve">MUSLE (Williams, 1975)</w:t>
      </w:r>
      <w:r>
        <w:t xml:space="preserve"> </w:t>
      </w:r>
      <w:r>
        <w:t xml:space="preserve">replaces R with a runoff energy term and predicts</w:t>
      </w:r>
      <w:r>
        <w:t xml:space="preserve"> </w:t>
      </w:r>
      <w:r>
        <w:rPr>
          <w:bCs/>
          <w:b/>
        </w:rPr>
        <w:t xml:space="preserve">event sediment yield</w:t>
      </w:r>
      <w:r>
        <w:t xml:space="preserve">:</w:t>
      </w:r>
    </w:p>
    <w:p>
      <w:pPr>
        <w:pStyle w:val="BodyText"/>
      </w:pPr>
      <m:oMathPara>
        <m:oMathParaPr>
          <m:jc m:val="center"/>
        </m:oMathParaPr>
        <m:oMath>
          <m:sSub>
            <m:e>
              <m:r>
                <m:t>S</m:t>
              </m:r>
            </m:e>
            <m:sub>
              <m:r>
                <m:t>y</m:t>
              </m:r>
            </m:sub>
          </m:sSub>
          <m:r>
            <m:rPr>
              <m:sty m:val="p"/>
            </m:rPr>
            <m:t>=</m:t>
          </m:r>
          <m:r>
            <m:t>11.8</m:t>
          </m:r>
          <m:r>
            <m:t> </m:t>
          </m:r>
          <m:sSup>
            <m:e>
              <m:d>
                <m:dPr>
                  <m:begChr m:val="("/>
                  <m:endChr m:val=")"/>
                  <m:sepChr m:val=""/>
                  <m:grow/>
                </m:dPr>
                <m:e>
                  <m:r>
                    <m:t>Q</m:t>
                  </m:r>
                  <m:r>
                    <m:rPr>
                      <m:sty m:val="p"/>
                    </m:rPr>
                    <m:t>⋅</m:t>
                  </m:r>
                  <m:sSub>
                    <m:e>
                      <m:r>
                        <m:t>q</m:t>
                      </m:r>
                    </m:e>
                    <m:sub>
                      <m:r>
                        <m:t>p</m:t>
                      </m:r>
                    </m:sub>
                  </m:sSub>
                </m:e>
              </m:d>
            </m:e>
            <m:sup>
              <m:r>
                <m:t>0.56</m:t>
              </m:r>
            </m:sup>
          </m:sSup>
          <m:r>
            <m:t> </m:t>
          </m:r>
          <m:r>
            <m:t>K</m:t>
          </m:r>
          <m:r>
            <m:t> </m:t>
          </m:r>
          <m:r>
            <m:t>L</m:t>
          </m:r>
          <m:r>
            <m:t> </m:t>
          </m:r>
          <m:r>
            <m:t>S</m:t>
          </m:r>
          <m:r>
            <m:t> </m:t>
          </m:r>
          <m:r>
            <m:t>C</m:t>
          </m:r>
          <m:r>
            <m:t> </m:t>
          </m:r>
          <m:r>
            <m:t>P</m:t>
          </m:r>
        </m:oMath>
      </m:oMathPara>
    </w:p>
    <w:p>
      <w:pPr>
        <w:pStyle w:val="FirstParagraph"/>
      </w:pPr>
      <w:r>
        <w:t xml:space="preserve">(</w:t>
      </w:r>
      <m:oMath>
        <m:r>
          <m:t>Q</m:t>
        </m:r>
      </m:oMath>
      <w:r>
        <w:t xml:space="preserve"> </w:t>
      </w:r>
      <w:r>
        <w:t xml:space="preserve">= runoff volume in m³,</w:t>
      </w:r>
      <w:r>
        <w:t xml:space="preserve"> </w:t>
      </w:r>
      <m:oMath>
        <m:sSub>
          <m:e>
            <m:r>
              <m:t>q</m:t>
            </m:r>
          </m:e>
          <m:sub>
            <m:r>
              <m:t>p</m:t>
            </m:r>
          </m:sub>
        </m:sSub>
      </m:oMath>
      <w:r>
        <w:t xml:space="preserve"> </w:t>
      </w:r>
      <w:r>
        <w:t xml:space="preserve">= peak runoff rate in m³ s⁻¹). Because runoff accounts for deposition, MUSLE works at watershed scale for single events and is used in SWAT.</w:t>
      </w:r>
    </w:p>
    <w:p>
      <w:pPr>
        <w:pStyle w:val="Heading3"/>
      </w:pPr>
      <w:r>
        <w:t xml:space="preserve">17.5.2 Morgan–Morgan–Finney (MMF) model (1984)</w:t>
      </w:r>
    </w:p>
    <w:p>
      <w:pPr>
        <w:pStyle w:val="FirstParagraph"/>
      </w:pPr>
      <w:r>
        <w:t xml:space="preserve">MMF keeps USLE’s simplicity but separates a</w:t>
      </w:r>
      <w:r>
        <w:t xml:space="preserve"> </w:t>
      </w:r>
      <w:r>
        <w:rPr>
          <w:bCs/>
          <w:b/>
        </w:rPr>
        <w:t xml:space="preserve">water phase</w:t>
      </w:r>
      <w:r>
        <w:t xml:space="preserve"> </w:t>
      </w:r>
      <w:r>
        <w:t xml:space="preserve">(rainfall energy and runoff) from a</w:t>
      </w:r>
      <w:r>
        <w:t xml:space="preserve"> </w:t>
      </w:r>
      <w:r>
        <w:rPr>
          <w:bCs/>
          <w:b/>
        </w:rPr>
        <w:t xml:space="preserve">sediment phase</w:t>
      </w:r>
      <w:r>
        <w:t xml:space="preserve"> </w:t>
      </w:r>
      <w:r>
        <w:t xml:space="preserve">(splash detachment and runoff transport capacity):</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Equation</w:t>
            </w:r>
          </w:p>
        </w:tc>
        <w:tc>
          <w:tcPr/>
          <w:p>
            <w:pPr>
              <w:pStyle w:val="Compact"/>
              <w:jc w:val="left"/>
            </w:pPr>
            <w:r>
              <w:t xml:space="preserve">Meaning</w:t>
            </w:r>
          </w:p>
        </w:tc>
      </w:tr>
      <w:tr>
        <w:tc>
          <w:tcPr/>
          <w:p>
            <w:pPr>
              <w:pStyle w:val="Compact"/>
              <w:jc w:val="left"/>
            </w:pPr>
            <m:oMath>
              <m:r>
                <m:t>E</m:t>
              </m:r>
              <m:r>
                <m:rPr>
                  <m:sty m:val="p"/>
                </m:rPr>
                <m:t>=</m:t>
              </m:r>
              <m:r>
                <m:t>R</m:t>
              </m:r>
              <m:r>
                <m:t> </m:t>
              </m:r>
              <m:d>
                <m:dPr>
                  <m:begChr m:val="("/>
                  <m:endChr m:val=")"/>
                  <m:sepChr m:val=""/>
                  <m:grow/>
                </m:dPr>
                <m:e>
                  <m:r>
                    <m:t>11.9</m:t>
                  </m:r>
                  <m:r>
                    <m:rPr>
                      <m:sty m:val="p"/>
                    </m:rPr>
                    <m:t>+</m:t>
                  </m:r>
                  <m:r>
                    <m:t>8.7</m:t>
                  </m:r>
                  <m:sSub>
                    <m:e>
                      <m:r>
                        <m:rPr>
                          <m:sty m:val="p"/>
                        </m:rPr>
                        <m:t>log</m:t>
                      </m:r>
                    </m:e>
                    <m:sub>
                      <m:r>
                        <m:t>10</m:t>
                      </m:r>
                    </m:sub>
                  </m:sSub>
                  <m:r>
                    <m:t>I</m:t>
                  </m:r>
                </m:e>
              </m:d>
            </m:oMath>
          </w:p>
        </w:tc>
        <w:tc>
          <w:tcPr/>
          <w:p>
            <w:pPr>
              <w:pStyle w:val="Compact"/>
              <w:jc w:val="left"/>
            </w:pPr>
            <w:r>
              <w:t xml:space="preserve">Annual rainfall kinetic energy (J m⁻²); R = annual rainfall (mm), I = typical erosive intensity (mm h⁻¹)</w:t>
            </w:r>
          </w:p>
        </w:tc>
      </w:tr>
      <w:tr>
        <w:tc>
          <w:tcPr/>
          <w:p>
            <w:pPr>
              <w:pStyle w:val="Compact"/>
              <w:jc w:val="left"/>
            </w:pPr>
            <m:oMath>
              <m:r>
                <m:t>Q</m:t>
              </m:r>
              <m:r>
                <m:rPr>
                  <m:sty m:val="p"/>
                </m:rPr>
                <m:t>=</m:t>
              </m:r>
              <m:r>
                <m:t>R</m:t>
              </m:r>
              <m:r>
                <m:t> </m:t>
              </m:r>
              <m:r>
                <m:rPr>
                  <m:sty m:val="p"/>
                </m:rPr>
                <m:t>exp</m:t>
              </m:r>
              <m:d>
                <m:dPr>
                  <m:begChr m:val="("/>
                  <m:endChr m:val=")"/>
                  <m:sepChr m:val=""/>
                  <m:grow/>
                </m:dPr>
                <m:e>
                  <m:r>
                    <m:rPr>
                      <m:sty m:val="p"/>
                    </m:rPr>
                    <m:t>−</m:t>
                  </m:r>
                  <m:sSub>
                    <m:e>
                      <m:r>
                        <m:t>R</m:t>
                      </m:r>
                    </m:e>
                    <m:sub>
                      <m:r>
                        <m:t>c</m:t>
                      </m:r>
                    </m:sub>
                  </m:sSub>
                  <m:r>
                    <m:rPr>
                      <m:sty m:val="p"/>
                    </m:rPr>
                    <m:t>/</m:t>
                  </m:r>
                  <m:sSub>
                    <m:e>
                      <m:r>
                        <m:t>R</m:t>
                      </m:r>
                    </m:e>
                    <m:sub>
                      <m:r>
                        <m:t>0</m:t>
                      </m:r>
                    </m:sub>
                  </m:sSub>
                </m:e>
              </m:d>
            </m:oMath>
          </w:p>
        </w:tc>
        <w:tc>
          <w:tcPr/>
          <w:p>
            <w:pPr>
              <w:pStyle w:val="Compact"/>
              <w:jc w:val="left"/>
            </w:pPr>
            <w:r>
              <w:t xml:space="preserve">Annual runoff (mm)</w:t>
            </w:r>
          </w:p>
        </w:tc>
      </w:tr>
      <w:tr>
        <w:tc>
          <w:tcPr/>
          <w:p>
            <w:pPr>
              <w:pStyle w:val="Compact"/>
              <w:jc w:val="left"/>
            </w:pPr>
            <m:oMath>
              <m:sSub>
                <m:e>
                  <m:r>
                    <m:t>R</m:t>
                  </m:r>
                </m:e>
                <m:sub>
                  <m:r>
                    <m:t>c</m:t>
                  </m:r>
                </m:sub>
              </m:sSub>
              <m:r>
                <m:rPr>
                  <m:sty m:val="p"/>
                </m:rPr>
                <m:t>=</m:t>
              </m:r>
              <m:r>
                <m:t>1000</m:t>
              </m:r>
              <m:r>
                <m:t> </m:t>
              </m:r>
              <m:r>
                <m:t>M</m:t>
              </m:r>
              <m:r>
                <m:t>S</m:t>
              </m:r>
              <m:r>
                <m:rPr>
                  <m:sty m:val="p"/>
                </m:rPr>
                <m:t>⋅</m:t>
              </m:r>
              <m:r>
                <m:t>B</m:t>
              </m:r>
              <m:r>
                <m:t>D</m:t>
              </m:r>
              <m:r>
                <m:rPr>
                  <m:sty m:val="p"/>
                </m:rPr>
                <m:t>⋅</m:t>
              </m:r>
              <m:r>
                <m:t>R</m:t>
              </m:r>
              <m:r>
                <m:t>D</m:t>
              </m:r>
              <m:r>
                <m:t> </m:t>
              </m:r>
              <m:sSup>
                <m:e>
                  <m:d>
                    <m:dPr>
                      <m:begChr m:val="("/>
                      <m:endChr m:val=")"/>
                      <m:sepChr m:val=""/>
                      <m:grow/>
                    </m:dPr>
                    <m:e>
                      <m:sSub>
                        <m:e>
                          <m:r>
                            <m:t>E</m:t>
                          </m:r>
                        </m:e>
                        <m:sub>
                          <m:r>
                            <m:t>t</m:t>
                          </m:r>
                        </m:sub>
                      </m:sSub>
                      <m:r>
                        <m:rPr>
                          <m:sty m:val="p"/>
                        </m:rPr>
                        <m:t>/</m:t>
                      </m:r>
                      <m:sSub>
                        <m:e>
                          <m:r>
                            <m:t>E</m:t>
                          </m:r>
                        </m:e>
                        <m:sub>
                          <m:r>
                            <m:t>0</m:t>
                          </m:r>
                        </m:sub>
                      </m:sSub>
                    </m:e>
                  </m:d>
                </m:e>
                <m:sup>
                  <m:r>
                    <m:t>0.5</m:t>
                  </m:r>
                </m:sup>
              </m:sSup>
            </m:oMath>
          </w:p>
        </w:tc>
        <w:tc>
          <w:tcPr/>
          <w:p>
            <w:pPr>
              <w:pStyle w:val="Compact"/>
              <w:jc w:val="left"/>
            </w:pPr>
            <w:r>
              <w:t xml:space="preserve">Soil moisture storage capacity (MS = moisture at FC, BD = bulk density, RD = rooting depth, Et/E0 = actual/potential ET)</w:t>
            </w:r>
          </w:p>
        </w:tc>
      </w:tr>
      <w:tr>
        <w:tc>
          <w:tcPr/>
          <w:p>
            <w:pPr>
              <w:pStyle w:val="Compact"/>
              <w:jc w:val="left"/>
            </w:pPr>
            <m:oMath>
              <m:sSub>
                <m:e>
                  <m:r>
                    <m:t>R</m:t>
                  </m:r>
                </m:e>
                <m:sub>
                  <m:r>
                    <m:t>0</m:t>
                  </m:r>
                </m:sub>
              </m:sSub>
              <m:r>
                <m:rPr>
                  <m:sty m:val="p"/>
                </m:rPr>
                <m:t>=</m:t>
              </m:r>
              <m:r>
                <m:t>R</m:t>
              </m:r>
              <m:r>
                <m:rPr>
                  <m:sty m:val="p"/>
                </m:rPr>
                <m:t>/</m:t>
              </m:r>
              <m:sSub>
                <m:e>
                  <m:r>
                    <m:t>R</m:t>
                  </m:r>
                </m:e>
                <m:sub>
                  <m:r>
                    <m:t>n</m:t>
                  </m:r>
                </m:sub>
              </m:sSub>
            </m:oMath>
          </w:p>
        </w:tc>
        <w:tc>
          <w:tcPr/>
          <w:p>
            <w:pPr>
              <w:pStyle w:val="Compact"/>
              <w:jc w:val="left"/>
            </w:pPr>
            <w:r>
              <w:t xml:space="preserve">Mean rain per rain day (</w:t>
            </w:r>
            <m:oMath>
              <m:sSub>
                <m:e>
                  <m:r>
                    <m:t>R</m:t>
                  </m:r>
                </m:e>
                <m:sub>
                  <m:r>
                    <m:t>n</m:t>
                  </m:r>
                </m:sub>
              </m:sSub>
            </m:oMath>
            <w:r>
              <w:t xml:space="preserve"> </w:t>
            </w:r>
            <w:r>
              <w:t xml:space="preserve">= number of rain days)</w:t>
            </w:r>
          </w:p>
        </w:tc>
      </w:tr>
      <w:tr>
        <w:tc>
          <w:tcPr/>
          <w:p>
            <w:pPr>
              <w:pStyle w:val="Compact"/>
              <w:jc w:val="left"/>
            </w:pPr>
            <m:oMath>
              <m:r>
                <m:t>F</m:t>
              </m:r>
              <m:r>
                <m:rPr>
                  <m:sty m:val="p"/>
                </m:rPr>
                <m:t>=</m:t>
              </m:r>
              <m:r>
                <m:t>K</m:t>
              </m:r>
              <m:r>
                <m:t> </m:t>
              </m:r>
              <m:d>
                <m:dPr>
                  <m:begChr m:val="("/>
                  <m:endChr m:val=")"/>
                  <m:sepChr m:val=""/>
                  <m:grow/>
                </m:dPr>
                <m:e>
                  <m:r>
                    <m:t>E</m:t>
                  </m:r>
                  <m:r>
                    <m:t> </m:t>
                  </m:r>
                  <m:sSup>
                    <m:e>
                      <m:r>
                        <m:t>e</m:t>
                      </m:r>
                    </m:e>
                    <m:sup>
                      <m:r>
                        <m:rPr>
                          <m:sty m:val="p"/>
                        </m:rPr>
                        <m:t>−</m:t>
                      </m:r>
                      <m:r>
                        <m:t>0.05</m:t>
                      </m:r>
                      <m:r>
                        <m:t>A</m:t>
                      </m:r>
                    </m:sup>
                  </m:sSup>
                </m:e>
              </m:d>
              <m:r>
                <m:rPr>
                  <m:sty m:val="p"/>
                </m:rPr>
                <m:t>×</m:t>
              </m:r>
              <m:sSup>
                <m:e>
                  <m:r>
                    <m:t>10</m:t>
                  </m:r>
                </m:e>
                <m:sup>
                  <m:r>
                    <m:rPr>
                      <m:sty m:val="p"/>
                    </m:rPr>
                    <m:t>−</m:t>
                  </m:r>
                  <m:r>
                    <m:t>3</m:t>
                  </m:r>
                </m:sup>
              </m:sSup>
            </m:oMath>
          </w:p>
        </w:tc>
        <w:tc>
          <w:tcPr/>
          <w:p>
            <w:pPr>
              <w:pStyle w:val="Compact"/>
              <w:jc w:val="left"/>
            </w:pPr>
            <w:r>
              <w:t xml:space="preserve">Splash detachment (kg m⁻²); K = detachability, A = % rainfall intercepted</w:t>
            </w:r>
          </w:p>
        </w:tc>
      </w:tr>
      <w:tr>
        <w:tc>
          <w:tcPr/>
          <w:p>
            <w:pPr>
              <w:pStyle w:val="Compact"/>
              <w:jc w:val="left"/>
            </w:pPr>
            <m:oMath>
              <m:r>
                <m:t>G</m:t>
              </m:r>
              <m:r>
                <m:rPr>
                  <m:sty m:val="p"/>
                </m:rPr>
                <m:t>=</m:t>
              </m:r>
              <m:r>
                <m:t>C</m:t>
              </m:r>
              <m:r>
                <m:t> </m:t>
              </m:r>
              <m:sSup>
                <m:e>
                  <m:r>
                    <m:t>Q</m:t>
                  </m:r>
                </m:e>
                <m:sup>
                  <m:r>
                    <m:t>2</m:t>
                  </m:r>
                </m:sup>
              </m:sSup>
              <m:r>
                <m:rPr>
                  <m:sty m:val="p"/>
                </m:rPr>
                <m:t>sin</m:t>
              </m:r>
              <m:r>
                <m:t>S</m:t>
              </m:r>
              <m:r>
                <m:rPr>
                  <m:sty m:val="p"/>
                </m:rPr>
                <m:t>×</m:t>
              </m:r>
              <m:sSup>
                <m:e>
                  <m:r>
                    <m:t>10</m:t>
                  </m:r>
                </m:e>
                <m:sup>
                  <m:r>
                    <m:rPr>
                      <m:sty m:val="p"/>
                    </m:rPr>
                    <m:t>−</m:t>
                  </m:r>
                  <m:r>
                    <m:t>3</m:t>
                  </m:r>
                </m:sup>
              </m:sSup>
            </m:oMath>
          </w:p>
        </w:tc>
        <w:tc>
          <w:tcPr/>
          <w:p>
            <w:pPr>
              <w:pStyle w:val="Compact"/>
              <w:jc w:val="left"/>
            </w:pPr>
            <w:r>
              <w:t xml:space="preserve">Transport capacity of overland flow (kg m⁻²); C = cover-management, S = slope angle</w:t>
            </w:r>
          </w:p>
        </w:tc>
      </w:tr>
    </w:tbl>
    <w:p>
      <w:pPr>
        <w:pStyle w:val="BodyText"/>
      </w:pPr>
      <w:r>
        <w:rPr>
          <w:bCs/>
          <w:b/>
        </w:rPr>
        <w:t xml:space="preserve">Annual soil loss = the lesser of F and G.</w:t>
      </w:r>
      <w:r>
        <w:t xml:space="preserve"> </w:t>
      </w:r>
      <w:r>
        <w:t xml:space="preserve">This shows whether erosion is</w:t>
      </w:r>
      <w:r>
        <w:t xml:space="preserve"> </w:t>
      </w:r>
      <w:r>
        <w:rPr>
          <w:bCs/>
          <w:b/>
        </w:rPr>
        <w:t xml:space="preserve">detachment-limited</w:t>
      </w:r>
      <w:r>
        <w:t xml:space="preserve"> </w:t>
      </w:r>
      <w:r>
        <w:t xml:space="preserve">or</w:t>
      </w:r>
      <w:r>
        <w:t xml:space="preserve"> </w:t>
      </w:r>
      <w:r>
        <w:rPr>
          <w:bCs/>
          <w:b/>
        </w:rPr>
        <w:t xml:space="preserve">transport-limited</w:t>
      </w:r>
      <w:r>
        <w:t xml:space="preserve">. MMF needs about 15 inputs, many of which (cover, interception, rooting depth, land use, slope) can be mapped from satellite data and DEMs.</w:t>
      </w:r>
    </w:p>
    <w:p>
      <w:pPr>
        <w:pStyle w:val="Heading3"/>
      </w:pPr>
      <w:r>
        <w:t xml:space="preserve">17.5.3 Water Erosion Prediction Project (WEPP)</w:t>
      </w:r>
    </w:p>
    <w:p>
      <w:pPr>
        <w:pStyle w:val="FirstParagraph"/>
      </w:pPr>
      <w:r>
        <w:t xml:space="preserve">WEPP is a process-based, continuous-simulation model (USDA, Renard et al. 1996) built on a</w:t>
      </w:r>
      <w:r>
        <w:t xml:space="preserve"> </w:t>
      </w:r>
      <w:r>
        <w:rPr>
          <w:bCs/>
          <w:b/>
        </w:rPr>
        <w:t xml:space="preserve">steady-state sediment continuity equation</w:t>
      </w:r>
      <w:r>
        <w:t xml:space="preserve">. It separates</w:t>
      </w:r>
      <w:r>
        <w:t xml:space="preserve"> </w:t>
      </w:r>
      <w:r>
        <w:rPr>
          <w:bCs/>
          <w:b/>
        </w:rPr>
        <w:t xml:space="preserve">interrill</w:t>
      </w:r>
      <w:r>
        <w:t xml:space="preserve"> </w:t>
      </w:r>
      <w:r>
        <w:t xml:space="preserve">(raindrop- and sheet-flow-driven) and</w:t>
      </w:r>
      <w:r>
        <w:t xml:space="preserve"> </w:t>
      </w:r>
      <w:r>
        <w:rPr>
          <w:bCs/>
          <w:b/>
        </w:rPr>
        <w:t xml:space="preserve">rill</w:t>
      </w:r>
      <w:r>
        <w:t xml:space="preserve"> </w:t>
      </w:r>
      <w:r>
        <w:t xml:space="preserve">(concentrated flow) erosion. It simulates climate (CLIGEN), infiltration (Green–Ampt), hydraulics, plant growth, residue decomposition and deposition.</w:t>
      </w:r>
    </w:p>
    <w:p>
      <w:pPr>
        <w:pStyle w:val="BodyText"/>
      </w:pPr>
      <w:r>
        <w:rPr>
          <w:bCs/>
          <w:b/>
        </w:rPr>
        <w:t xml:space="preserve">Interrill delivery to rills:</w:t>
      </w:r>
    </w:p>
    <w:p>
      <w:pPr>
        <w:pStyle w:val="BodyText"/>
      </w:pPr>
      <m:oMathPara>
        <m:oMathParaPr>
          <m:jc m:val="center"/>
        </m:oMathParaPr>
        <m:oMath>
          <m:sSub>
            <m:e>
              <m:r>
                <m:t>D</m:t>
              </m:r>
            </m:e>
            <m:sub>
              <m:r>
                <m:t>i</m:t>
              </m:r>
            </m:sub>
          </m:sSub>
          <m:r>
            <m:rPr>
              <m:sty m:val="p"/>
            </m:rPr>
            <m:t>=</m:t>
          </m:r>
          <m:sSub>
            <m:e>
              <m:r>
                <m:t>K</m:t>
              </m:r>
            </m:e>
            <m:sub>
              <m:r>
                <m:t>i</m:t>
              </m:r>
            </m:sub>
          </m:sSub>
          <m:r>
            <m:t> </m:t>
          </m:r>
          <m:sSubSup>
            <m:e>
              <m:r>
                <m:t>I</m:t>
              </m:r>
            </m:e>
            <m:sub>
              <m:r>
                <m:t>e</m:t>
              </m:r>
            </m:sub>
            <m:sup>
              <m:r>
                <m:t>2</m:t>
              </m:r>
            </m:sup>
          </m:sSubSup>
          <m:r>
            <m:t> </m:t>
          </m:r>
          <m:sSub>
            <m:e>
              <m:r>
                <m:t>G</m:t>
              </m:r>
            </m:e>
            <m:sub>
              <m:r>
                <m:t>e</m:t>
              </m:r>
            </m:sub>
          </m:sSub>
          <m:r>
            <m:t> </m:t>
          </m:r>
          <m:sSub>
            <m:e>
              <m:r>
                <m:t>C</m:t>
              </m:r>
            </m:e>
            <m:sub>
              <m:r>
                <m:t>e</m:t>
              </m:r>
            </m:sub>
          </m:sSub>
          <m:r>
            <m:t> </m:t>
          </m:r>
          <m:sSub>
            <m:e>
              <m:r>
                <m:t>S</m:t>
              </m:r>
            </m:e>
            <m:sub>
              <m:r>
                <m:t>f</m:t>
              </m:r>
            </m:sub>
          </m:sSub>
          <m:r>
            <m:rPr>
              <m:sty m:val="p"/>
            </m:rPr>
            <m:t>,</m:t>
          </m:r>
          <m:r>
            <m:t>  </m:t>
          </m:r>
          <m:sSub>
            <m:e>
              <m:r>
                <m:t>S</m:t>
              </m:r>
            </m:e>
            <m:sub>
              <m:r>
                <m:t>f</m:t>
              </m:r>
            </m:sub>
          </m:sSub>
          <m:r>
            <m:rPr>
              <m:sty m:val="p"/>
            </m:rPr>
            <m:t>=</m:t>
          </m:r>
          <m:r>
            <m:t>1.05</m:t>
          </m:r>
          <m:r>
            <m:rPr>
              <m:sty m:val="p"/>
            </m:rPr>
            <m:t>−</m:t>
          </m:r>
          <m:r>
            <m:t>0.85</m:t>
          </m:r>
          <m:r>
            <m:t> </m:t>
          </m:r>
          <m:sSup>
            <m:e>
              <m:r>
                <m:t>e</m:t>
              </m:r>
            </m:e>
            <m:sup>
              <m:r>
                <m:rPr>
                  <m:sty m:val="p"/>
                </m:rPr>
                <m:t>−</m:t>
              </m:r>
              <m:r>
                <m:t>4</m:t>
              </m:r>
              <m:r>
                <m:rPr>
                  <m:sty m:val="p"/>
                </m:rPr>
                <m:t>sin</m:t>
              </m:r>
              <m:r>
                <m:t>α</m:t>
              </m:r>
            </m:sup>
          </m:sSup>
        </m:oMath>
      </m:oMathPara>
    </w:p>
    <w:p>
      <w:pPr>
        <w:pStyle w:val="FirstParagraph"/>
      </w:pPr>
      <w:r>
        <w:t xml:space="preserve">(</w:t>
      </w:r>
      <m:oMath>
        <m:sSub>
          <m:e>
            <m:r>
              <m:t>K</m:t>
            </m:r>
          </m:e>
          <m:sub>
            <m:r>
              <m:t>i</m:t>
            </m:r>
          </m:sub>
        </m:sSub>
      </m:oMath>
      <w:r>
        <w:t xml:space="preserve"> </w:t>
      </w:r>
      <w:r>
        <w:t xml:space="preserve">= interrill erodibility,</w:t>
      </w:r>
      <w:r>
        <w:t xml:space="preserve"> </w:t>
      </w:r>
      <m:oMath>
        <m:sSub>
          <m:e>
            <m:r>
              <m:t>I</m:t>
            </m:r>
          </m:e>
          <m:sub>
            <m:r>
              <m:t>e</m:t>
            </m:r>
          </m:sub>
        </m:sSub>
      </m:oMath>
      <w:r>
        <w:t xml:space="preserve"> </w:t>
      </w:r>
      <w:r>
        <w:t xml:space="preserve">= effective rainfall intensity,</w:t>
      </w:r>
      <w:r>
        <w:t xml:space="preserve"> </w:t>
      </w:r>
      <m:oMath>
        <m:sSub>
          <m:e>
            <m:r>
              <m:t>G</m:t>
            </m:r>
          </m:e>
          <m:sub>
            <m:r>
              <m:t>e</m:t>
            </m:r>
          </m:sub>
        </m:sSub>
      </m:oMath>
      <w:r>
        <w:t xml:space="preserve"> </w:t>
      </w:r>
      <w:r>
        <w:t xml:space="preserve">and</w:t>
      </w:r>
      <w:r>
        <w:t xml:space="preserve"> </w:t>
      </w:r>
      <m:oMath>
        <m:sSub>
          <m:e>
            <m:r>
              <m:t>C</m:t>
            </m:r>
          </m:e>
          <m:sub>
            <m:r>
              <m:t>e</m:t>
            </m:r>
          </m:sub>
        </m:sSub>
      </m:oMath>
      <w:r>
        <w:t xml:space="preserve"> </w:t>
      </w:r>
      <w:r>
        <w:t xml:space="preserve">= ground and canopy cover adjustments, α = slope angle.)</w:t>
      </w:r>
    </w:p>
    <w:p>
      <w:pPr>
        <w:pStyle w:val="BodyText"/>
      </w:pPr>
      <w:r>
        <w:rPr>
          <w:bCs/>
          <w:b/>
        </w:rPr>
        <w:t xml:space="preserve">Rill detachment</w:t>
      </w:r>
      <w:r>
        <w:t xml:space="preserve"> </w:t>
      </w:r>
      <w:r>
        <w:t xml:space="preserve">occurs when hydraulic shear exceeds a critical value:</w:t>
      </w:r>
    </w:p>
    <w:p>
      <w:pPr>
        <w:pStyle w:val="BodyText"/>
      </w:pPr>
      <m:oMathPara>
        <m:oMathParaPr>
          <m:jc m:val="center"/>
        </m:oMathParaPr>
        <m:oMath>
          <m:sSub>
            <m:e>
              <m:r>
                <m:t>D</m:t>
              </m:r>
            </m:e>
            <m:sub>
              <m:r>
                <m:t>c</m:t>
              </m:r>
            </m:sub>
          </m:sSub>
          <m:r>
            <m:rPr>
              <m:sty m:val="p"/>
            </m:rPr>
            <m:t>=</m:t>
          </m:r>
          <m:sSub>
            <m:e>
              <m:r>
                <m:t>K</m:t>
              </m:r>
            </m:e>
            <m:sub>
              <m:r>
                <m:t>r</m:t>
              </m:r>
            </m:sub>
          </m:sSub>
          <m:r>
            <m:t> </m:t>
          </m:r>
          <m:d>
            <m:dPr>
              <m:begChr m:val="("/>
              <m:endChr m:val=")"/>
              <m:sepChr m:val=""/>
              <m:grow/>
            </m:dPr>
            <m:e>
              <m:r>
                <m:t>τ</m:t>
              </m:r>
              <m:r>
                <m:rPr>
                  <m:sty m:val="p"/>
                </m:rPr>
                <m:t>−</m:t>
              </m:r>
              <m:sSub>
                <m:e>
                  <m:r>
                    <m:t>τ</m:t>
                  </m:r>
                </m:e>
                <m:sub>
                  <m:r>
                    <m:t>c</m:t>
                  </m:r>
                </m:sub>
              </m:sSub>
            </m:e>
          </m:d>
        </m:oMath>
      </m:oMathPara>
    </w:p>
    <w:p>
      <w:pPr>
        <w:pStyle w:val="FirstParagraph"/>
      </w:pPr>
      <w:r>
        <w:t xml:space="preserve">WEPP handles deposition, gives spatial and temporal (storm-by-storm) output, and links with GIS through GeoWEPP using DEM-derived hillslopes and channels.</w:t>
      </w:r>
    </w:p>
    <w:p>
      <w:pPr>
        <w:pStyle w:val="Heading3"/>
      </w:pPr>
      <w:r>
        <w:t xml:space="preserve">17.5.4 Wind Erosion Equation (WEQ) (Woodruff and Siddoway, 1965)</w:t>
      </w:r>
    </w:p>
    <w:p>
      <w:pPr>
        <w:pStyle w:val="FirstParagraph"/>
      </w:pPr>
      <m:oMathPara>
        <m:oMathParaPr>
          <m:jc m:val="center"/>
        </m:oMathParaPr>
        <m:oMath>
          <m:r>
            <m:t>E</m:t>
          </m:r>
          <m:r>
            <m:rPr>
              <m:sty m:val="p"/>
            </m:rPr>
            <m:t>=</m:t>
          </m:r>
          <m:r>
            <m:t>f</m:t>
          </m:r>
          <m:d>
            <m:dPr>
              <m:begChr m:val="("/>
              <m:endChr m:val=")"/>
              <m:sepChr m:val=""/>
              <m:grow/>
            </m:dPr>
            <m:e>
              <m:r>
                <m:t>I</m:t>
              </m:r>
              <m:r>
                <m:rPr>
                  <m:sty m:val="p"/>
                </m:rPr>
                <m:t>,</m:t>
              </m:r>
              <m:r>
                <m:t> </m:t>
              </m:r>
              <m:r>
                <m:t>K</m:t>
              </m:r>
              <m:r>
                <m:rPr>
                  <m:sty m:val="p"/>
                </m:rPr>
                <m:t>,</m:t>
              </m:r>
              <m:r>
                <m:t> </m:t>
              </m:r>
              <m:r>
                <m:t>C</m:t>
              </m:r>
              <m:r>
                <m:rPr>
                  <m:sty m:val="p"/>
                </m:rPr>
                <m:t>,</m:t>
              </m:r>
              <m:r>
                <m:t> </m:t>
              </m:r>
              <m:r>
                <m:t>L</m:t>
              </m:r>
              <m:r>
                <m:rPr>
                  <m:sty m:val="p"/>
                </m:rPr>
                <m:t>,</m:t>
              </m:r>
              <m:r>
                <m:t> </m:t>
              </m:r>
              <m:r>
                <m:t>V</m:t>
              </m:r>
            </m:e>
          </m:d>
        </m:oMath>
      </m:oMathPara>
    </w:p>
    <w:p>
      <w:pPr>
        <w:pStyle w:val="Compact"/>
        <w:numPr>
          <w:ilvl w:val="0"/>
          <w:numId w:val="1126"/>
        </w:numPr>
      </w:pPr>
      <m:oMath>
        <m:r>
          <m:t>E</m:t>
        </m:r>
      </m:oMath>
      <w:r>
        <w:t xml:space="preserve"> </w:t>
      </w:r>
      <w:r>
        <w:t xml:space="preserve">= potential annual wind erosion (t ha⁻¹ yr⁻¹).</w:t>
      </w:r>
    </w:p>
    <w:p>
      <w:pPr>
        <w:pStyle w:val="Compact"/>
        <w:numPr>
          <w:ilvl w:val="0"/>
          <w:numId w:val="1126"/>
        </w:numPr>
      </w:pPr>
      <m:oMath>
        <m:r>
          <m:t>I</m:t>
        </m:r>
      </m:oMath>
      <w:r>
        <w:t xml:space="preserve"> </w:t>
      </w:r>
      <w:r>
        <w:t xml:space="preserve">= soil erodibility index (based on the % of non-erodible aggregates &gt; 0.84 mm).</w:t>
      </w:r>
    </w:p>
    <w:p>
      <w:pPr>
        <w:pStyle w:val="Compact"/>
        <w:numPr>
          <w:ilvl w:val="0"/>
          <w:numId w:val="1126"/>
        </w:numPr>
      </w:pPr>
      <m:oMath>
        <m:r>
          <m:t>K</m:t>
        </m:r>
      </m:oMath>
      <w:r>
        <w:t xml:space="preserve"> </w:t>
      </w:r>
      <w:r>
        <w:t xml:space="preserve">= ridge roughness factor.</w:t>
      </w:r>
    </w:p>
    <w:p>
      <w:pPr>
        <w:pStyle w:val="Compact"/>
        <w:numPr>
          <w:ilvl w:val="0"/>
          <w:numId w:val="1126"/>
        </w:numPr>
      </w:pPr>
      <m:oMath>
        <m:r>
          <m:t>C</m:t>
        </m:r>
      </m:oMath>
      <w:r>
        <w:t xml:space="preserve"> </w:t>
      </w:r>
      <w:r>
        <w:t xml:space="preserve">= climatic factor (wind speed³ / effective moisture²).</w:t>
      </w:r>
    </w:p>
    <w:p>
      <w:pPr>
        <w:pStyle w:val="Compact"/>
        <w:numPr>
          <w:ilvl w:val="0"/>
          <w:numId w:val="1126"/>
        </w:numPr>
      </w:pPr>
      <m:oMath>
        <m:r>
          <m:t>L</m:t>
        </m:r>
      </m:oMath>
      <w:r>
        <w:t xml:space="preserve"> </w:t>
      </w:r>
      <w:r>
        <w:t xml:space="preserve">= unsheltered distance across the field along the prevailing wind.</w:t>
      </w:r>
    </w:p>
    <w:p>
      <w:pPr>
        <w:pStyle w:val="Compact"/>
        <w:numPr>
          <w:ilvl w:val="0"/>
          <w:numId w:val="1126"/>
        </w:numPr>
      </w:pPr>
      <m:oMath>
        <m:r>
          <m:t>V</m:t>
        </m:r>
      </m:oMath>
      <w:r>
        <w:t xml:space="preserve"> </w:t>
      </w:r>
      <w:r>
        <w:t xml:space="preserve">= equivalent vegetative cover.</w:t>
      </w:r>
    </w:p>
    <w:p>
      <w:pPr>
        <w:pStyle w:val="FirstParagraph"/>
      </w:pPr>
      <w:r>
        <w:t xml:space="preserve">Its successors are the Revised WEQ (RWEQ) and the process-based WEPS.</w:t>
      </w:r>
    </w:p>
    <w:p>
      <w:pPr>
        <w:pStyle w:val="Heading2"/>
      </w:pPr>
      <w:r>
        <w:t xml:space="preserve">17.6 Remote Sensing and GIS for Erosion Assessment</w:t>
      </w:r>
    </w:p>
    <w:p>
      <w:pPr>
        <w:pStyle w:val="FirstParagraph"/>
      </w:pPr>
      <w:r>
        <w:t xml:space="preserve">Remote sensing and GIS supply and integrate model inputs:</w:t>
      </w:r>
    </w:p>
    <w:p>
      <w:pPr>
        <w:pStyle w:val="Compact"/>
        <w:numPr>
          <w:ilvl w:val="0"/>
          <w:numId w:val="1127"/>
        </w:numPr>
      </w:pPr>
      <w:r>
        <w:rPr>
          <w:bCs/>
          <w:b/>
        </w:rPr>
        <w:t xml:space="preserve">Soil maps</w:t>
      </w:r>
      <w:r>
        <w:t xml:space="preserve"> </w:t>
      </w:r>
      <w:r>
        <w:t xml:space="preserve">(K-factor), from visual or digital interpretation of physiography plus field data.</w:t>
      </w:r>
    </w:p>
    <w:p>
      <w:pPr>
        <w:pStyle w:val="Compact"/>
        <w:numPr>
          <w:ilvl w:val="0"/>
          <w:numId w:val="1127"/>
        </w:numPr>
      </w:pPr>
      <w:r>
        <w:rPr>
          <w:bCs/>
          <w:b/>
        </w:rPr>
        <w:t xml:space="preserve">Land use and land cover and NDVI</w:t>
      </w:r>
      <w:r>
        <w:t xml:space="preserve"> </w:t>
      </w:r>
      <w:r>
        <w:t xml:space="preserve">(C-factor) from multi-season imagery.</w:t>
      </w:r>
    </w:p>
    <w:p>
      <w:pPr>
        <w:pStyle w:val="Compact"/>
        <w:numPr>
          <w:ilvl w:val="0"/>
          <w:numId w:val="1127"/>
        </w:numPr>
      </w:pPr>
      <w:r>
        <w:rPr>
          <w:bCs/>
          <w:b/>
        </w:rPr>
        <w:t xml:space="preserve">DEMs</w:t>
      </w:r>
      <w:r>
        <w:t xml:space="preserve"> </w:t>
      </w:r>
      <w:r>
        <w:t xml:space="preserve">(CartoDEM, SRTM; LS factor, flow paths) from stereo optical or InSAR data.</w:t>
      </w:r>
    </w:p>
    <w:p>
      <w:pPr>
        <w:pStyle w:val="Compact"/>
        <w:numPr>
          <w:ilvl w:val="0"/>
          <w:numId w:val="1127"/>
        </w:numPr>
      </w:pPr>
      <w:r>
        <w:rPr>
          <w:bCs/>
          <w:b/>
        </w:rPr>
        <w:t xml:space="preserve">Rainfall</w:t>
      </w:r>
      <w:r>
        <w:t xml:space="preserve"> </w:t>
      </w:r>
      <w:r>
        <w:t xml:space="preserve">(R-factor) from gauges or satellite precipitation.</w:t>
      </w:r>
    </w:p>
    <w:p>
      <w:pPr>
        <w:pStyle w:val="Compact"/>
        <w:numPr>
          <w:ilvl w:val="0"/>
          <w:numId w:val="1127"/>
        </w:numPr>
      </w:pPr>
      <w:r>
        <w:rPr>
          <w:bCs/>
          <w:b/>
        </w:rPr>
        <w:t xml:space="preserve">Conservation practices</w:t>
      </w:r>
      <w:r>
        <w:t xml:space="preserve"> </w:t>
      </w:r>
      <w:r>
        <w:t xml:space="preserve">(P-factor) from high-resolution imagery.</w:t>
      </w:r>
    </w:p>
    <w:p>
      <w:pPr>
        <w:pStyle w:val="Compact"/>
        <w:numPr>
          <w:ilvl w:val="0"/>
          <w:numId w:val="1127"/>
        </w:numPr>
      </w:pPr>
      <w:r>
        <w:rPr>
          <w:bCs/>
          <w:b/>
        </w:rPr>
        <w:t xml:space="preserve">Erosion features:</w:t>
      </w:r>
      <w:r>
        <w:t xml:space="preserve"> </w:t>
      </w:r>
      <w:r>
        <w:t xml:space="preserve">gullies and ravines mapped directly from high-resolution data, and multi-temporal change.</w:t>
      </w:r>
    </w:p>
    <w:p>
      <w:pPr>
        <w:pStyle w:val="FirstParagraph"/>
      </w:pPr>
      <w:r>
        <w:t xml:space="preserve">Grid-based GIS runs the model cell by cell (map algebra), producing</w:t>
      </w:r>
      <w:r>
        <w:t xml:space="preserve"> </w:t>
      </w:r>
      <w:r>
        <w:rPr>
          <w:bCs/>
          <w:b/>
        </w:rPr>
        <w:t xml:space="preserve">erosion-risk maps</w:t>
      </w:r>
      <w:r>
        <w:t xml:space="preserve"> </w:t>
      </w:r>
      <w:r>
        <w:t xml:space="preserve">and</w:t>
      </w:r>
      <w:r>
        <w:t xml:space="preserve"> </w:t>
      </w:r>
      <w:r>
        <w:rPr>
          <w:bCs/>
          <w:b/>
        </w:rPr>
        <w:t xml:space="preserve">watershed prioritisation</w:t>
      </w:r>
      <w:r>
        <w:t xml:space="preserve"> </w:t>
      </w:r>
      <w:r>
        <w:t xml:space="preserve">(sediment yield index, SYI).</w:t>
      </w:r>
    </w:p>
    <w:p>
      <w:pPr>
        <w:pStyle w:val="CaptionedFigure"/>
      </w:pPr>
      <w:r>
        <w:drawing>
          <wp:inline>
            <wp:extent cx="5334000" cy="3107055"/>
            <wp:effectExtent b="0" l="0" r="0" t="0"/>
            <wp:docPr descr="RS–GIS soil erosion modelling (USLE/RUSLE)" title="" id="69" name="Picture"/>
            <a:graphic>
              <a:graphicData uri="http://schemas.openxmlformats.org/drawingml/2006/picture">
                <pic:pic>
                  <pic:nvPicPr>
                    <pic:cNvPr descr="/tmp/claude-0/-home-user-sonu/ab07c29a-21cd-5a4a-9d2d-68ad72d07153/scratchpad/build/../flows/flow_013.png" id="70" name="Picture"/>
                    <pic:cNvPicPr>
                      <a:picLocks noChangeArrowheads="1" noChangeAspect="1"/>
                    </pic:cNvPicPr>
                  </pic:nvPicPr>
                  <pic:blipFill>
                    <a:blip r:embed="rId68"/>
                    <a:stretch>
                      <a:fillRect/>
                    </a:stretch>
                  </pic:blipFill>
                  <pic:spPr bwMode="auto">
                    <a:xfrm>
                      <a:off x="0" y="0"/>
                      <a:ext cx="5334000" cy="3107055"/>
                    </a:xfrm>
                    <a:prstGeom prst="rect">
                      <a:avLst/>
                    </a:prstGeom>
                    <a:noFill/>
                    <a:ln w="9525">
                      <a:noFill/>
                      <a:headEnd/>
                      <a:tailEnd/>
                    </a:ln>
                  </pic:spPr>
                </pic:pic>
              </a:graphicData>
            </a:graphic>
          </wp:inline>
        </w:drawing>
      </w:r>
    </w:p>
    <w:p>
      <w:pPr>
        <w:pStyle w:val="ImageCaption"/>
      </w:pPr>
      <w:r>
        <w:t xml:space="preserve">RS–GIS soil erosion modelling (USLE/RUSLE)</w:t>
      </w:r>
    </w:p>
    <w:p>
      <w:pPr>
        <w:pStyle w:val="BodyText"/>
      </w:pPr>
      <w:r>
        <w:rPr>
          <w:bCs/>
          <w:b/>
        </w:rPr>
        <w:t xml:space="preserve">Case studies.</w:t>
      </w:r>
    </w:p>
    <w:p>
      <w:pPr>
        <w:pStyle w:val="Compact"/>
        <w:numPr>
          <w:ilvl w:val="0"/>
          <w:numId w:val="1128"/>
        </w:numPr>
      </w:pPr>
      <w:r>
        <w:rPr>
          <w:bCs/>
          <w:b/>
        </w:rPr>
        <w:t xml:space="preserve">Bhogabati watershed (Kolhapur, Maharashtra; ~1215 mm rainfall).</w:t>
      </w:r>
      <w:r>
        <w:t xml:space="preserve"> </w:t>
      </w:r>
      <w:r>
        <w:t xml:space="preserve">USLE with K, LS and CP factors from IRS-1D LISS-III soil and land-use maps and a DEM. Soil loss was mapped by grid and highest on steep cultivated slopes.</w:t>
      </w:r>
    </w:p>
    <w:p>
      <w:pPr>
        <w:pStyle w:val="Compact"/>
        <w:numPr>
          <w:ilvl w:val="0"/>
          <w:numId w:val="1128"/>
        </w:numPr>
      </w:pPr>
      <w:r>
        <w:rPr>
          <w:bCs/>
          <w:b/>
        </w:rPr>
        <w:t xml:space="preserve">Doon Valley (Dehra Dun; 1600–2200 mm rainfall).</w:t>
      </w:r>
      <w:r>
        <w:t xml:space="preserve"> </w:t>
      </w:r>
      <w:r>
        <w:t xml:space="preserve">MMF with IRS-WiFS-derived inputs. Splash detachment (F) and transport capacity (G) maps were combined to produce an annual soil-loss map. Other Indian examples include SYPE (Sediment Yield Prediction Equation) with RS-derived soil and land-use data.</w:t>
      </w:r>
    </w:p>
    <w:p>
      <w:pPr>
        <w:pStyle w:val="Heading2"/>
      </w:pPr>
      <w:r>
        <w:t xml:space="preserve">17.7 Soil and Water Conservation Measures</w:t>
      </w:r>
    </w:p>
    <w:p>
      <w:pPr>
        <w:pStyle w:val="Heading3"/>
      </w:pPr>
      <w:r>
        <w:t xml:space="preserve">17.7.1 Agronomic (biological) measures: the first line of defence</w:t>
      </w:r>
    </w:p>
    <w:p>
      <w:pPr>
        <w:pStyle w:val="Compact"/>
        <w:numPr>
          <w:ilvl w:val="0"/>
          <w:numId w:val="1129"/>
        </w:numPr>
      </w:pPr>
      <w:r>
        <w:rPr>
          <w:bCs/>
          <w:b/>
        </w:rPr>
        <w:t xml:space="preserve">Contour cultivation:</w:t>
      </w:r>
      <w:r>
        <w:t xml:space="preserve"> </w:t>
      </w:r>
      <w:r>
        <w:t xml:space="preserve">ploughing and sowing across the slope, which reduces runoff velocity. Effective up to about 2–3% slope.</w:t>
      </w:r>
    </w:p>
    <w:p>
      <w:pPr>
        <w:pStyle w:val="Compact"/>
        <w:numPr>
          <w:ilvl w:val="0"/>
          <w:numId w:val="1129"/>
        </w:numPr>
      </w:pPr>
      <w:r>
        <w:rPr>
          <w:bCs/>
          <w:b/>
        </w:rPr>
        <w:t xml:space="preserve">Strip cropping:</w:t>
      </w:r>
      <w:r>
        <w:t xml:space="preserve"> </w:t>
      </w:r>
      <w:r>
        <w:t xml:space="preserve">alternate strips of erosion-permitting crops (maize, sorghum) and erosion-resisting close-growing crops (cowpea, groundnut, grasses), on the contour or as buffer strips.</w:t>
      </w:r>
    </w:p>
    <w:p>
      <w:pPr>
        <w:pStyle w:val="Compact"/>
        <w:numPr>
          <w:ilvl w:val="0"/>
          <w:numId w:val="1129"/>
        </w:numPr>
      </w:pPr>
      <w:r>
        <w:rPr>
          <w:bCs/>
          <w:b/>
        </w:rPr>
        <w:t xml:space="preserve">Cover crops, intercropping, mixed cropping:</w:t>
      </w:r>
      <w:r>
        <w:t xml:space="preserve"> </w:t>
      </w:r>
      <w:r>
        <w:t xml:space="preserve">keep the soil covered during erosive rains.</w:t>
      </w:r>
    </w:p>
    <w:p>
      <w:pPr>
        <w:pStyle w:val="Compact"/>
        <w:numPr>
          <w:ilvl w:val="0"/>
          <w:numId w:val="1129"/>
        </w:numPr>
      </w:pPr>
      <w:r>
        <w:rPr>
          <w:bCs/>
          <w:b/>
        </w:rPr>
        <w:t xml:space="preserve">Mulching</w:t>
      </w:r>
      <w:r>
        <w:t xml:space="preserve"> </w:t>
      </w:r>
      <w:r>
        <w:t xml:space="preserve">(crop residues, plastic): absorbs raindrop energy, improves infiltration, reduces evaporation.</w:t>
      </w:r>
    </w:p>
    <w:p>
      <w:pPr>
        <w:pStyle w:val="Compact"/>
        <w:numPr>
          <w:ilvl w:val="0"/>
          <w:numId w:val="1129"/>
        </w:numPr>
      </w:pPr>
      <w:r>
        <w:rPr>
          <w:bCs/>
          <w:b/>
        </w:rPr>
        <w:t xml:space="preserve">Conservation tillage and zero tillage</w:t>
      </w:r>
      <w:r>
        <w:t xml:space="preserve"> </w:t>
      </w:r>
      <w:r>
        <w:t xml:space="preserve">(residue retention, at least 30% surface cover),</w:t>
      </w:r>
      <w:r>
        <w:t xml:space="preserve"> </w:t>
      </w:r>
      <w:r>
        <w:rPr>
          <w:bCs/>
          <w:b/>
        </w:rPr>
        <w:t xml:space="preserve">conservation agriculture</w:t>
      </w:r>
      <w:r>
        <w:t xml:space="preserve"> </w:t>
      </w:r>
      <w:r>
        <w:t xml:space="preserve">(minimum disturbance + permanent cover + rotation).</w:t>
      </w:r>
    </w:p>
    <w:p>
      <w:pPr>
        <w:pStyle w:val="Compact"/>
        <w:numPr>
          <w:ilvl w:val="0"/>
          <w:numId w:val="1129"/>
        </w:numPr>
      </w:pPr>
      <w:r>
        <w:rPr>
          <w:bCs/>
          <w:b/>
        </w:rPr>
        <w:t xml:space="preserve">Grassed waterways, vegetative barriers</w:t>
      </w:r>
      <w:r>
        <w:t xml:space="preserve"> </w:t>
      </w:r>
      <w:r>
        <w:t xml:space="preserve">(vetiver,</w:t>
      </w:r>
      <w:r>
        <w:t xml:space="preserve"> </w:t>
      </w:r>
      <w:r>
        <w:rPr>
          <w:iCs/>
          <w:i/>
        </w:rPr>
        <w:t xml:space="preserve">Leucaena</w:t>
      </w:r>
      <w:r>
        <w:t xml:space="preserve">), agroforestry, and ley farming on degraded lands.</w:t>
      </w:r>
    </w:p>
    <w:p>
      <w:pPr>
        <w:pStyle w:val="Heading3"/>
      </w:pPr>
      <w:r>
        <w:t xml:space="preserve">17.7.2 Mechanical (engineering) measures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Where</w:t>
            </w:r>
          </w:p>
        </w:tc>
        <w:tc>
          <w:tcPr/>
          <w:p>
            <w:pPr>
              <w:pStyle w:val="Compact"/>
              <w:jc w:val="left"/>
            </w:pPr>
            <w:r>
              <w:t xml:space="preserve">Purpose</w:t>
            </w:r>
          </w:p>
        </w:tc>
      </w:tr>
      <w:tr>
        <w:tc>
          <w:tcPr/>
          <w:p>
            <w:pPr>
              <w:pStyle w:val="Compact"/>
              <w:jc w:val="left"/>
            </w:pPr>
            <w:r>
              <w:rPr>
                <w:bCs/>
                <w:b/>
              </w:rPr>
              <w:t xml:space="preserve">Contour bunds</w:t>
            </w:r>
          </w:p>
        </w:tc>
        <w:tc>
          <w:tcPr/>
          <w:p>
            <w:pPr>
              <w:pStyle w:val="Compact"/>
              <w:jc w:val="left"/>
            </w:pPr>
            <w:r>
              <w:t xml:space="preserve">Low-rainfall (&lt; 600 mm) areas, permeable soils, slopes &lt; 6%</w:t>
            </w:r>
          </w:p>
        </w:tc>
        <w:tc>
          <w:tcPr/>
          <w:p>
            <w:pPr>
              <w:pStyle w:val="Compact"/>
              <w:jc w:val="left"/>
            </w:pPr>
            <w:r>
              <w:t xml:space="preserve">Retain water (in-situ moisture conservation)</w:t>
            </w:r>
          </w:p>
        </w:tc>
      </w:tr>
      <w:tr>
        <w:tc>
          <w:tcPr/>
          <w:p>
            <w:pPr>
              <w:pStyle w:val="Compact"/>
              <w:jc w:val="left"/>
            </w:pPr>
            <w:r>
              <w:rPr>
                <w:bCs/>
                <w:b/>
              </w:rPr>
              <w:t xml:space="preserve">Graded bunds</w:t>
            </w:r>
          </w:p>
        </w:tc>
        <w:tc>
          <w:tcPr/>
          <w:p>
            <w:pPr>
              <w:pStyle w:val="Compact"/>
              <w:jc w:val="left"/>
            </w:pPr>
            <w:r>
              <w:t xml:space="preserve">Higher rainfall, less permeable soils</w:t>
            </w:r>
          </w:p>
        </w:tc>
        <w:tc>
          <w:tcPr/>
          <w:p>
            <w:pPr>
              <w:pStyle w:val="Compact"/>
              <w:jc w:val="left"/>
            </w:pPr>
            <w:r>
              <w:t xml:space="preserve">Safely divert excess runoff to waterways</w:t>
            </w:r>
          </w:p>
        </w:tc>
      </w:tr>
      <w:tr>
        <w:tc>
          <w:tcPr/>
          <w:p>
            <w:pPr>
              <w:pStyle w:val="Compact"/>
              <w:jc w:val="left"/>
            </w:pPr>
            <w:r>
              <w:rPr>
                <w:bCs/>
                <w:b/>
              </w:rPr>
              <w:t xml:space="preserve">Bench terraces</w:t>
            </w:r>
          </w:p>
        </w:tc>
        <w:tc>
          <w:tcPr/>
          <w:p>
            <w:pPr>
              <w:pStyle w:val="Compact"/>
              <w:jc w:val="left"/>
            </w:pPr>
            <w:r>
              <w:t xml:space="preserve">Steep slopes (16–33%), hills (NE, Himalaya, Nilgiris)</w:t>
            </w:r>
          </w:p>
        </w:tc>
        <w:tc>
          <w:tcPr/>
          <w:p>
            <w:pPr>
              <w:pStyle w:val="Compact"/>
              <w:jc w:val="left"/>
            </w:pPr>
            <w:r>
              <w:t xml:space="preserve">Convert slopes into level steps; level, outward- or inward-sloping</w:t>
            </w:r>
          </w:p>
        </w:tc>
      </w:tr>
      <w:tr>
        <w:tc>
          <w:tcPr/>
          <w:p>
            <w:pPr>
              <w:pStyle w:val="Compact"/>
              <w:jc w:val="left"/>
            </w:pPr>
            <w:r>
              <w:rPr>
                <w:bCs/>
                <w:b/>
              </w:rPr>
              <w:t xml:space="preserve">Conservation / staggered trenches, half-moon basins</w:t>
            </w:r>
          </w:p>
        </w:tc>
        <w:tc>
          <w:tcPr/>
          <w:p>
            <w:pPr>
              <w:pStyle w:val="Compact"/>
              <w:jc w:val="left"/>
            </w:pPr>
            <w:r>
              <w:t xml:space="preserve">Wastelands, afforestation sites</w:t>
            </w:r>
          </w:p>
        </w:tc>
        <w:tc>
          <w:tcPr/>
          <w:p>
            <w:pPr>
              <w:pStyle w:val="Compact"/>
              <w:jc w:val="left"/>
            </w:pPr>
            <w:r>
              <w:t xml:space="preserve">Harvest runoff</w:t>
            </w:r>
          </w:p>
        </w:tc>
      </w:tr>
      <w:tr>
        <w:tc>
          <w:tcPr/>
          <w:p>
            <w:pPr>
              <w:pStyle w:val="Compact"/>
              <w:jc w:val="left"/>
            </w:pPr>
            <w:r>
              <w:rPr>
                <w:bCs/>
                <w:b/>
              </w:rPr>
              <w:t xml:space="preserve">Check dams, gully plugs</w:t>
            </w:r>
            <w:r>
              <w:t xml:space="preserve"> </w:t>
            </w:r>
            <w:r>
              <w:t xml:space="preserve">(brushwood, loose boulder, gabion, masonry)</w:t>
            </w:r>
          </w:p>
        </w:tc>
        <w:tc>
          <w:tcPr/>
          <w:p>
            <w:pPr>
              <w:pStyle w:val="Compact"/>
              <w:jc w:val="left"/>
            </w:pPr>
            <w:r>
              <w:t xml:space="preserve">Gullies and drainage lines</w:t>
            </w:r>
          </w:p>
        </w:tc>
        <w:tc>
          <w:tcPr/>
          <w:p>
            <w:pPr>
              <w:pStyle w:val="Compact"/>
              <w:jc w:val="left"/>
            </w:pPr>
            <w:r>
              <w:t xml:space="preserve">Reduce channel gradient, trap sediment, recharge groundwater</w:t>
            </w:r>
          </w:p>
        </w:tc>
      </w:tr>
      <w:tr>
        <w:tc>
          <w:tcPr/>
          <w:p>
            <w:pPr>
              <w:pStyle w:val="Compact"/>
              <w:jc w:val="left"/>
            </w:pPr>
            <w:r>
              <w:rPr>
                <w:bCs/>
                <w:b/>
              </w:rPr>
              <w:t xml:space="preserve">Farm ponds, percolation tanks</w:t>
            </w:r>
          </w:p>
        </w:tc>
        <w:tc>
          <w:tcPr/>
          <w:p>
            <w:pPr>
              <w:pStyle w:val="Compact"/>
              <w:jc w:val="left"/>
            </w:pPr>
            <w:r>
              <w:t xml:space="preserve">Watersheds</w:t>
            </w:r>
          </w:p>
        </w:tc>
        <w:tc>
          <w:tcPr/>
          <w:p>
            <w:pPr>
              <w:pStyle w:val="Compact"/>
              <w:jc w:val="left"/>
            </w:pPr>
            <w:r>
              <w:t xml:space="preserve">Water harvesting, recharge, protective irrigation</w:t>
            </w:r>
          </w:p>
        </w:tc>
      </w:tr>
      <w:tr>
        <w:tc>
          <w:tcPr/>
          <w:p>
            <w:pPr>
              <w:pStyle w:val="Compact"/>
              <w:jc w:val="left"/>
            </w:pPr>
            <w:r>
              <w:rPr>
                <w:bCs/>
                <w:b/>
              </w:rPr>
              <w:t xml:space="preserve">Diversion drains, drop structures, chutes</w:t>
            </w:r>
          </w:p>
        </w:tc>
        <w:tc>
          <w:tcPr/>
          <w:p>
            <w:pPr>
              <w:pStyle w:val="Compact"/>
              <w:jc w:val="left"/>
            </w:pPr>
            <w:r>
              <w:t xml:space="preserve">Gully heads</w:t>
            </w:r>
          </w:p>
        </w:tc>
        <w:tc>
          <w:tcPr/>
          <w:p>
            <w:pPr>
              <w:pStyle w:val="Compact"/>
              <w:jc w:val="left"/>
            </w:pPr>
            <w:r>
              <w:t xml:space="preserve">Safe disposal of runoff</w:t>
            </w:r>
          </w:p>
        </w:tc>
      </w:tr>
    </w:tbl>
    <w:p>
      <w:pPr>
        <w:pStyle w:val="BodyText"/>
      </w:pPr>
      <w:r>
        <w:rPr>
          <w:bCs/>
          <w:b/>
        </w:rPr>
        <w:t xml:space="preserve">Vertical interval of bunds (Ramser formula, a common approximation):</w:t>
      </w:r>
      <w:r>
        <w:t xml:space="preserve"> </w:t>
      </w:r>
      <m:oMath>
        <m:r>
          <m:t>V</m:t>
        </m:r>
        <m:r>
          <m:t>I</m:t>
        </m:r>
        <m:r>
          <m:rPr>
            <m:sty m:val="p"/>
          </m:rPr>
          <m:t>=</m:t>
        </m:r>
        <m:r>
          <m:t>0.3</m:t>
        </m:r>
        <m:r>
          <m:t> </m:t>
        </m:r>
        <m:d>
          <m:dPr>
            <m:begChr m:val="("/>
            <m:endChr m:val=")"/>
            <m:sepChr m:val=""/>
            <m:grow/>
          </m:dPr>
          <m:e>
            <m:r>
              <m:t>S</m:t>
            </m:r>
            <m:r>
              <m:rPr>
                <m:sty m:val="p"/>
              </m:rPr>
              <m:t>/</m:t>
            </m:r>
            <m:r>
              <m:t>3</m:t>
            </m:r>
            <m:r>
              <m:rPr>
                <m:sty m:val="p"/>
              </m:rPr>
              <m:t>+</m:t>
            </m:r>
            <m:r>
              <m:t>2</m:t>
            </m:r>
          </m:e>
        </m:d>
      </m:oMath>
      <w:r>
        <w:t xml:space="preserve"> </w:t>
      </w:r>
      <w:r>
        <w:t xml:space="preserve">m, where S = slope (%). The horizontal interval is</w:t>
      </w:r>
      <w:r>
        <w:t xml:space="preserve"> </w:t>
      </w:r>
      <m:oMath>
        <m:r>
          <m:t>H</m:t>
        </m:r>
        <m:r>
          <m:t>I</m:t>
        </m:r>
        <m:r>
          <m:rPr>
            <m:sty m:val="p"/>
          </m:rPr>
          <m:t>=</m:t>
        </m:r>
        <m:r>
          <m:t>V</m:t>
        </m:r>
        <m:r>
          <m:t>I</m:t>
        </m:r>
        <m:r>
          <m:rPr>
            <m:sty m:val="p"/>
          </m:rPr>
          <m:t>×</m:t>
        </m:r>
        <m:r>
          <m:t>100</m:t>
        </m:r>
        <m:r>
          <m:rPr>
            <m:sty m:val="p"/>
          </m:rPr>
          <m:t>/</m:t>
        </m:r>
        <m:r>
          <m:t>S</m:t>
        </m:r>
      </m:oMath>
      <w:r>
        <w:t xml:space="preserve">.</w:t>
      </w:r>
    </w:p>
    <w:p>
      <w:pPr>
        <w:pStyle w:val="Heading3"/>
      </w:pPr>
      <w:r>
        <w:t xml:space="preserve">17.7.3 Wind erosion control</w:t>
      </w:r>
    </w:p>
    <w:p>
      <w:pPr>
        <w:pStyle w:val="Compact"/>
        <w:numPr>
          <w:ilvl w:val="0"/>
          <w:numId w:val="1130"/>
        </w:numPr>
      </w:pPr>
      <w:r>
        <w:rPr>
          <w:bCs/>
          <w:b/>
        </w:rPr>
        <w:t xml:space="preserve">Shelterbelts and windbreaks:</w:t>
      </w:r>
      <w:r>
        <w:t xml:space="preserve"> </w:t>
      </w:r>
      <w:r>
        <w:t xml:space="preserve">rows of trees and shrubs perpendicular to the prevailing wind. They protect a downwind distance of about</w:t>
      </w:r>
      <w:r>
        <w:t xml:space="preserve"> </w:t>
      </w:r>
      <w:r>
        <w:rPr>
          <w:bCs/>
          <w:b/>
        </w:rPr>
        <w:t xml:space="preserve">10–20 times their height</w:t>
      </w:r>
      <w:r>
        <w:t xml:space="preserve"> </w:t>
      </w:r>
      <w:r>
        <w:t xml:space="preserve">(H) and reduce wind speed by 20–50%. Common species include</w:t>
      </w:r>
      <w:r>
        <w:t xml:space="preserve"> </w:t>
      </w:r>
      <w:r>
        <w:rPr>
          <w:iCs/>
          <w:i/>
        </w:rPr>
        <w:t xml:space="preserve">Prosopis</w:t>
      </w:r>
      <w:r>
        <w:t xml:space="preserve">,</w:t>
      </w:r>
      <w:r>
        <w:t xml:space="preserve"> </w:t>
      </w:r>
      <w:r>
        <w:rPr>
          <w:iCs/>
          <w:i/>
        </w:rPr>
        <w:t xml:space="preserve">Acacia tortilis</w:t>
      </w:r>
      <w:r>
        <w:t xml:space="preserve">,</w:t>
      </w:r>
      <w:r>
        <w:t xml:space="preserve"> </w:t>
      </w:r>
      <w:r>
        <w:rPr>
          <w:iCs/>
          <w:i/>
        </w:rPr>
        <w:t xml:space="preserve">Albizia lebbeck</w:t>
      </w:r>
      <w:r>
        <w:t xml:space="preserve"> </w:t>
      </w:r>
      <w:r>
        <w:t xml:space="preserve">and</w:t>
      </w:r>
      <w:r>
        <w:t xml:space="preserve"> </w:t>
      </w:r>
      <w:r>
        <w:rPr>
          <w:iCs/>
          <w:i/>
        </w:rPr>
        <w:t xml:space="preserve">Cassia siamea</w:t>
      </w:r>
      <w:r>
        <w:t xml:space="preserve"> </w:t>
      </w:r>
      <w:r>
        <w:t xml:space="preserve">(CAZRI work in Rajasthan).</w:t>
      </w:r>
    </w:p>
    <w:p>
      <w:pPr>
        <w:pStyle w:val="Compact"/>
        <w:numPr>
          <w:ilvl w:val="0"/>
          <w:numId w:val="1130"/>
        </w:numPr>
      </w:pPr>
      <w:r>
        <w:rPr>
          <w:bCs/>
          <w:b/>
        </w:rPr>
        <w:t xml:space="preserve">Strip cropping</w:t>
      </w:r>
      <w:r>
        <w:t xml:space="preserve"> </w:t>
      </w:r>
      <w:r>
        <w:t xml:space="preserve">perpendicular to the wind;</w:t>
      </w:r>
      <w:r>
        <w:t xml:space="preserve"> </w:t>
      </w:r>
      <w:r>
        <w:rPr>
          <w:bCs/>
          <w:b/>
        </w:rPr>
        <w:t xml:space="preserve">stubble mulching</w:t>
      </w:r>
      <w:r>
        <w:t xml:space="preserve">; keeping soil rough and cloddy; sand-dune stabilisation (micro-windbreaks, then grasses such as</w:t>
      </w:r>
      <w:r>
        <w:t xml:space="preserve"> </w:t>
      </w:r>
      <w:r>
        <w:rPr>
          <w:iCs/>
          <w:i/>
        </w:rPr>
        <w:t xml:space="preserve">Lasiurus sindicus</w:t>
      </w:r>
      <w:r>
        <w:t xml:space="preserve"> </w:t>
      </w:r>
      <w:r>
        <w:t xml:space="preserve">and</w:t>
      </w:r>
      <w:r>
        <w:t xml:space="preserve"> </w:t>
      </w:r>
      <w:r>
        <w:rPr>
          <w:iCs/>
          <w:i/>
        </w:rPr>
        <w:t xml:space="preserve">Cenchrus</w:t>
      </w:r>
      <w:r>
        <w:t xml:space="preserve">, then trees); reducing overgrazing.</w:t>
      </w:r>
    </w:p>
    <w:p>
      <w:pPr>
        <w:pStyle w:val="Heading3"/>
      </w:pPr>
      <w:r>
        <w:t xml:space="preserve">17.7.4 The watershed approach</w:t>
      </w:r>
    </w:p>
    <w:p>
      <w:pPr>
        <w:pStyle w:val="FirstParagraph"/>
      </w:pPr>
      <w:r>
        <w:t xml:space="preserve">The</w:t>
      </w:r>
      <w:r>
        <w:t xml:space="preserve"> </w:t>
      </w:r>
      <w:r>
        <w:rPr>
          <w:bCs/>
          <w:b/>
        </w:rPr>
        <w:t xml:space="preserve">watershed</w:t>
      </w:r>
      <w:r>
        <w:t xml:space="preserve"> </w:t>
      </w:r>
      <w:r>
        <w:t xml:space="preserve">(the area draining to a common outlet) is the natural unit for integrated soil and water conservation:</w:t>
      </w:r>
    </w:p>
    <w:p>
      <w:pPr>
        <w:pStyle w:val="Compact"/>
        <w:numPr>
          <w:ilvl w:val="0"/>
          <w:numId w:val="1131"/>
        </w:numPr>
      </w:pPr>
      <w:r>
        <w:t xml:space="preserve">ridge-to-valley treatment;</w:t>
      </w:r>
    </w:p>
    <w:p>
      <w:pPr>
        <w:pStyle w:val="Compact"/>
        <w:numPr>
          <w:ilvl w:val="0"/>
          <w:numId w:val="1131"/>
        </w:numPr>
      </w:pPr>
      <w:r>
        <w:t xml:space="preserve">people’s participation;</w:t>
      </w:r>
    </w:p>
    <w:p>
      <w:pPr>
        <w:pStyle w:val="Compact"/>
        <w:numPr>
          <w:ilvl w:val="0"/>
          <w:numId w:val="1131"/>
        </w:numPr>
      </w:pPr>
      <w:r>
        <w:t xml:space="preserve">programmes such as IWMP and PMKSY-Watershed Development, with</w:t>
      </w:r>
      <w:r>
        <w:t xml:space="preserve"> </w:t>
      </w:r>
      <w:r>
        <w:rPr>
          <w:bCs/>
          <w:b/>
        </w:rPr>
        <w:t xml:space="preserve">RS and GIS for prioritisation, planning and monitoring</w:t>
      </w:r>
      <w:r>
        <w:t xml:space="preserve"> </w:t>
      </w:r>
      <w:r>
        <w:t xml:space="preserve">(Bhuvan Srishti and Drishti geotagging).</w:t>
      </w:r>
    </w:p>
    <w:p>
      <w:pPr>
        <w:pStyle w:val="Heading3"/>
      </w:pPr>
      <w:r>
        <w:t xml:space="preserve">17.7.5 Likely interview questions</w:t>
      </w:r>
    </w:p>
    <w:p>
      <w:pPr>
        <w:pStyle w:val="FirstParagraph"/>
      </w:pPr>
      <w:r>
        <w:rPr>
          <w:bCs/>
          <w:b/>
        </w:rPr>
        <w:t xml:space="preserve">Q. Write the USLE and explain each factor.</w:t>
      </w:r>
      <w:r>
        <w:t xml:space="preserve"> </w:t>
      </w:r>
      <m:oMath>
        <m:r>
          <m:t>A</m:t>
        </m:r>
        <m:r>
          <m:rPr>
            <m:sty m:val="p"/>
          </m:rPr>
          <m:t>=</m:t>
        </m:r>
        <m:r>
          <m:t>R</m:t>
        </m:r>
        <m:r>
          <m:t>K</m:t>
        </m:r>
        <m:r>
          <m:t>L</m:t>
        </m:r>
        <m:r>
          <m:t>S</m:t>
        </m:r>
        <m:r>
          <m:t>C</m:t>
        </m:r>
        <m:r>
          <m:t>P</m:t>
        </m:r>
      </m:oMath>
      <w:r>
        <w:t xml:space="preserve">: erosivity, erodibility, slope length, slope steepness, cover-management and support practice.</w:t>
      </w:r>
    </w:p>
    <w:p>
      <w:pPr>
        <w:pStyle w:val="BodyText"/>
      </w:pPr>
      <w:r>
        <w:rPr>
          <w:bCs/>
          <w:b/>
        </w:rPr>
        <w:t xml:space="preserve">Q. What are the limitations of USLE and how do MUSLE and RUSLE differ?</w:t>
      </w:r>
      <w:r>
        <w:t xml:space="preserve"> </w:t>
      </w:r>
      <w:r>
        <w:t xml:space="preserve">USLE gives only average sheet and rill erosion, with no deposition or gullies, and is empirical. RUSLE improves the factors (seasonal K, a subfactor-based C, better LS). MUSLE uses runoff energy to predict event sediment yield.</w:t>
      </w:r>
    </w:p>
    <w:p>
      <w:pPr>
        <w:pStyle w:val="BodyText"/>
      </w:pPr>
      <w:r>
        <w:rPr>
          <w:bCs/>
          <w:b/>
        </w:rPr>
        <w:t xml:space="preserve">Q. How does the MMF model decide soil loss?</w:t>
      </w:r>
      <w:r>
        <w:t xml:space="preserve"> </w:t>
      </w:r>
      <w:r>
        <w:t xml:space="preserve">It takes the lesser of splash detachment (F) and runoff transport capacity (G).</w:t>
      </w:r>
    </w:p>
    <w:p>
      <w:pPr>
        <w:pStyle w:val="BodyText"/>
      </w:pPr>
      <w:r>
        <w:rPr>
          <w:bCs/>
          <w:b/>
        </w:rPr>
        <w:t xml:space="preserve">Q. How do remote sensing and GIS help in erosion assessment?</w:t>
      </w:r>
      <w:r>
        <w:t xml:space="preserve"> </w:t>
      </w:r>
      <w:r>
        <w:t xml:space="preserve">By providing soil, land-cover (C), DEM (LS) and gully maps, and by integrating factor layers through map algebra to produce erosion-risk maps for watershed prioritisation.</w:t>
      </w:r>
    </w:p>
    <w:p>
      <w:pPr>
        <w:pStyle w:val="BodyText"/>
      </w:pPr>
      <w:r>
        <w:rPr>
          <w:bCs/>
          <w:b/>
        </w:rPr>
        <w:t xml:space="preserve">Q. Name the modes of wind erosion and the dominant one.</w:t>
      </w:r>
      <w:r>
        <w:t xml:space="preserve"> </w:t>
      </w:r>
      <w:r>
        <w:t xml:space="preserve">Saltation (50–75%), suspension and surface creep.</w:t>
      </w:r>
    </w:p>
    <w:p>
      <w:pPr>
        <w:pStyle w:val="BodyText"/>
      </w:pPr>
      <w:r>
        <w:rPr>
          <w:bCs/>
          <w:b/>
        </w:rPr>
        <w:t xml:space="preserve">Q. What is the tolerable limit of soil loss?</w:t>
      </w:r>
      <w:r>
        <w:t xml:space="preserve"> </w:t>
      </w:r>
      <w:r>
        <w:t xml:space="preserve">About 2.5–12.5 t ha⁻¹ yr⁻¹. 11.2 t ha⁻¹ yr⁻¹ is the common upper limit.</w:t>
      </w:r>
    </w:p>
    <w:p>
      <w:pPr>
        <w:pStyle w:val="Heading2"/>
      </w:pPr>
      <w:r>
        <w:t xml:space="preserve">17.8 Watershed Hydrology Models — Runoff Estimation Methods</w:t>
      </w:r>
    </w:p>
    <w:p>
      <w:pPr>
        <w:pStyle w:val="FirstParagraph"/>
      </w:pPr>
      <w:r>
        <w:t xml:space="preserve">Complementing the watershed-characterisation and flood-forecasting discussion of the relevant chapter, this chapter details the two classical runoff-estimation methods most likely to be named directly in an SAC interview on water-resources applications.</w:t>
      </w:r>
    </w:p>
    <w:p>
      <w:pPr>
        <w:pStyle w:val="Heading3"/>
      </w:pPr>
      <w:r>
        <w:t xml:space="preserve">17.8.1 The SCS Curve Number (SCS-CN) Method</w:t>
      </w:r>
    </w:p>
    <w:p>
      <w:pPr>
        <w:pStyle w:val="FirstParagraph"/>
      </w:pPr>
      <w:r>
        <w:t xml:space="preserve">Developed by the (US) Soil Conservation Service (now NRCS), the SCS-CN method estimates direct storm runoff depth from rainfall depth using an empirical relationship parameterised by a single</w:t>
      </w:r>
      <w:r>
        <w:t xml:space="preserve"> </w:t>
      </w:r>
      <w:r>
        <w:t xml:space="preserve">“</w:t>
      </w:r>
      <w:r>
        <w:t xml:space="preserve">Curve Number</w:t>
      </w:r>
      <w:r>
        <w:t xml:space="preserve">”</w:t>
      </w:r>
      <w:r>
        <w:t xml:space="preserve"> </w:t>
      </w:r>
      <w:r>
        <w:t xml:space="preserve">(CN) reflecting the combined runoff-generating characteristics of soil type, land use/land cover and antecedent moisture condition — making it especially well suited to remote-sensing-based parameterisation, since both required inputs (soil hydrologic group, from soil mapping, Chapter 5, and land use/land cover, Chapter 10) are directly available as mapped GIS layers.</w:t>
      </w:r>
    </w:p>
    <w:p>
      <w:pPr>
        <w:pStyle w:val="BodyText"/>
      </w:pPr>
      <w:r>
        <w:rPr>
          <w:bCs/>
          <w:b/>
        </w:rPr>
        <w:t xml:space="preserve">Governing equations:</w:t>
      </w:r>
    </w:p>
    <w:p>
      <w:pPr>
        <w:pStyle w:val="BodyText"/>
      </w:pPr>
      <w:r>
        <w:t xml:space="preserve">Q = (P − Ia)² / (P − Ia + S), for P &gt; Ia (else Q = 0)</w:t>
      </w:r>
    </w:p>
    <w:p>
      <w:pPr>
        <w:pStyle w:val="BodyText"/>
      </w:pPr>
      <w:r>
        <w:t xml:space="preserve">where Q is direct runoff depth, P is total storm rainfall depth, Ia is initial abstraction (interception, depression storage and infiltration occurring before runoff begins, commonly approximated as Ia = 0.2S, though a revised, lower Ia=0.05S coefficient is now often recommended for improved accuracy), and S is the potential maximum retention, related to the Curve Number by:</w:t>
      </w:r>
    </w:p>
    <w:p>
      <w:pPr>
        <w:pStyle w:val="BodyText"/>
      </w:pPr>
      <w:r>
        <w:t xml:space="preserve">S = (25400/CN) − 254 (S in mm; equivalently S = (1000/CN)−10 in inches)</w:t>
      </w:r>
    </w:p>
    <w:p>
      <w:pPr>
        <w:pStyle w:val="BodyText"/>
      </w:pPr>
      <w:r>
        <w:rPr>
          <w:bCs/>
          <w:b/>
        </w:rPr>
        <w:t xml:space="preserve">Curve Number determination:</w:t>
      </w:r>
      <w:r>
        <w:t xml:space="preserve"> </w:t>
      </w:r>
      <w:r>
        <w:t xml:space="preserve">CN (ranging roughly 30, for very permeable, well-vegetated land, to 100, for completely impervious surfaces) is looked up from standard tables cross-referencing</w:t>
      </w:r>
      <w:r>
        <w:t xml:space="preserve"> </w:t>
      </w:r>
      <w:r>
        <w:rPr>
          <w:bCs/>
          <w:b/>
        </w:rPr>
        <w:t xml:space="preserve">Hydrologic Soil Group</w:t>
      </w:r>
      <w:r>
        <w:t xml:space="preserve"> </w:t>
      </w:r>
      <w:r>
        <w:t xml:space="preserve">(A: high infiltration/low runoff potential, typically deep well-drained sandy soils; B; C; D: very low infiltration/high runoff potential, typically clay-rich or shallow soils — directly derivable from soil-texture/depth mapping, Chapter 5) against</w:t>
      </w:r>
      <w:r>
        <w:t xml:space="preserve"> </w:t>
      </w:r>
      <w:r>
        <w:rPr>
          <w:bCs/>
          <w:b/>
        </w:rPr>
        <w:t xml:space="preserve">land use/land cover class and treatment/hydrologic condition</w:t>
      </w:r>
      <w:r>
        <w:t xml:space="preserve"> </w:t>
      </w:r>
      <w:r>
        <w:t xml:space="preserve">(e.g., row-crop cultivation in good hydrologic condition on a Group B soil has a lower CN, and hence lower runoff potential, than the same crop in poor condition on a Group D soil) — a table look-up process now routinely automated in GIS by overlaying a soil-hydrologic-group raster (derived from the relevant chapter’s soil maps) with a LULC raster and joining to the standard CN look-up table, producing a spatially distributed CN grid across a watershed.</w:t>
      </w:r>
    </w:p>
    <w:p>
      <w:pPr>
        <w:pStyle w:val="BodyText"/>
      </w:pPr>
      <w:r>
        <w:rPr>
          <w:bCs/>
          <w:b/>
        </w:rPr>
        <w:t xml:space="preserve">Antecedent Moisture Condition (AMC) adjustment:</w:t>
      </w:r>
      <w:r>
        <w:t xml:space="preserve"> </w:t>
      </w:r>
      <w:r>
        <w:t xml:space="preserve">the base (AMC-II,</w:t>
      </w:r>
      <w:r>
        <w:t xml:space="preserve"> </w:t>
      </w:r>
      <w:r>
        <w:t xml:space="preserve">“</w:t>
      </w:r>
      <w:r>
        <w:t xml:space="preserve">average</w:t>
      </w:r>
      <w:r>
        <w:t xml:space="preserve">”</w:t>
      </w:r>
      <w:r>
        <w:t xml:space="preserve">) CN is adjusted upward for wet antecedent conditions (AMC-III, using a standard conversion formula/table, increasing runoff potential) or downward for dry antecedent conditions (AMC-I, decreasing runoff potential) based on the total rainfall in the preceding 5 days — directly relevant to why the same storm can produce very different flood response depending on whether it follows a dry spell or several days of prior rain, a point of practical relevance to flood-forecasting model interpretation.</w:t>
      </w:r>
    </w:p>
    <w:p>
      <w:pPr>
        <w:pStyle w:val="Heading3"/>
      </w:pPr>
      <w:r>
        <w:t xml:space="preserve">17.8.2 The Rational Method</w:t>
      </w:r>
    </w:p>
    <w:p>
      <w:pPr>
        <w:pStyle w:val="FirstParagraph"/>
      </w:pPr>
      <w:r>
        <w:t xml:space="preserve">A simpler, older method, most appropriate for small (typically &lt;, or a few, km²) urban or agricultural watersheds where a single, uniform design rainfall intensity can reasonably be assumed across the whole catchment:</w:t>
      </w:r>
    </w:p>
    <w:p>
      <w:pPr>
        <w:pStyle w:val="BodyText"/>
      </w:pPr>
      <w:r>
        <w:rPr>
          <w:bCs/>
          <w:b/>
        </w:rPr>
        <w:t xml:space="preserve">Q = C i A / 360</w:t>
      </w:r>
      <w:r>
        <w:t xml:space="preserve"> </w:t>
      </w:r>
      <w:r>
        <w:t xml:space="preserve">(Q in m³/s, i in mm/hr, A in hectares; the constant 360 handles unit conversion) or, in the classical form with consistent units,</w:t>
      </w:r>
      <w:r>
        <w:t xml:space="preserve"> </w:t>
      </w:r>
      <w:r>
        <w:rPr>
          <w:bCs/>
          <w:b/>
        </w:rPr>
        <w:t xml:space="preserve">Q = CiA</w:t>
      </w:r>
    </w:p>
    <w:p>
      <w:pPr>
        <w:pStyle w:val="BodyText"/>
      </w:pPr>
      <w:r>
        <w:t xml:space="preserve">where C is a dimensionless</w:t>
      </w:r>
      <w:r>
        <w:t xml:space="preserve"> </w:t>
      </w:r>
      <w:r>
        <w:rPr>
          <w:bCs/>
          <w:b/>
        </w:rPr>
        <w:t xml:space="preserve">runoff coefficient</w:t>
      </w:r>
      <w:r>
        <w:t xml:space="preserve"> </w:t>
      </w:r>
      <w:r>
        <w:t xml:space="preserve">(0 to 1, reflecting the fraction of rainfall that becomes direct runoff, dependent on land cover/imperviousness — analogous in role, though far simpler, to the SCS-CN method’s Curve Number), i is rainfall intensity (for the critical storm duration, conventionally taken equal to the watershed’s</w:t>
      </w:r>
      <w:r>
        <w:t xml:space="preserve"> </w:t>
      </w:r>
      <w:r>
        <w:rPr>
          <w:bCs/>
          <w:b/>
        </w:rPr>
        <w:t xml:space="preserve">time of concentration</w:t>
      </w:r>
      <w:r>
        <w:t xml:space="preserve">, Tc — the time for runoff to travel from the hydraulically most distant point in the watershed to the outlet, since this duration produces the theoretical peak-discharge-generating storm for that watershed), and A is watershed area.</w:t>
      </w:r>
    </w:p>
    <w:p>
      <w:pPr>
        <w:pStyle w:val="Heading3"/>
      </w:pPr>
      <w:r>
        <w:t xml:space="preserve">17.8.3 The Unit Hydrograph Concept</w:t>
      </w:r>
    </w:p>
    <w:p>
      <w:pPr>
        <w:pStyle w:val="FirstParagraph"/>
      </w:pPr>
      <w:r>
        <w:t xml:space="preserve">For larger or more complex watersheds where the simple Rational Method’s uniform-intensity assumption breaks down, the</w:t>
      </w:r>
      <w:r>
        <w:t xml:space="preserve"> </w:t>
      </w:r>
      <w:r>
        <w:rPr>
          <w:bCs/>
          <w:b/>
        </w:rPr>
        <w:t xml:space="preserve">unit hydrograph</w:t>
      </w:r>
      <w:r>
        <w:t xml:space="preserve"> </w:t>
      </w:r>
      <w:r>
        <w:t xml:space="preserve">technique represents the watershed’s runoff response as a linear, time-invariant system: the unit hydrograph is defined as the direct-runoff hydrograph (discharge versus time) resulting from one unit depth (e.g., 1 cm) of excess rainfall, uniformly distributed over the watershed, occurring over a specified unit duration. Given a unit hydrograph for a watershed (derived from historical observed rainfall-runoff event pairs, or estimated synthetically from watershed characteristics — area, length, slope — when observed data are unavailable, e.g., via the Snyder or SCS synthetic-unit-hydrograph methods), the runoff hydrograph for any arbitrary rainfall event is obtained by</w:t>
      </w:r>
      <w:r>
        <w:t xml:space="preserve"> </w:t>
      </w:r>
      <w:r>
        <w:rPr>
          <w:bCs/>
          <w:b/>
        </w:rPr>
        <w:t xml:space="preserve">convolution</w:t>
      </w:r>
      <w:r>
        <w:t xml:space="preserve"> </w:t>
      </w:r>
      <w:r>
        <w:t xml:space="preserve">— decomposing the storm into a sequence of unit-duration rainfall increments, computing each increment’s (lagged and scaled) unit-hydrograph response, and summing (superposing) these individual responses — the standard method underlying the hydrological (rainfall-runoff) modelling component of flood forecasting introduced in the relevant chapter, and directly complementary to the excess-rainfall (runoff-depth) estimate that the SCS-CN method itself provides as its input.</w:t>
      </w:r>
    </w:p>
    <w:p>
      <w:pPr>
        <w:pStyle w:val="Heading3"/>
      </w:pPr>
      <w:r>
        <w:t xml:space="preserve">17.8.4 Time of Concentration</w:t>
      </w:r>
    </w:p>
    <w:p>
      <w:pPr>
        <w:pStyle w:val="FirstParagraph"/>
      </w:pPr>
      <w:r>
        <w:t xml:space="preserve">Time of concentration (Tc) — used both directly in the Rational Method and to help define an appropriate unit-hydrograph unit duration — is commonly estimated from empirical formulae relating it to watershed length, slope and, in some formulations, land cover (e.g., the Kirpich formula, Tc = 0.0195 × L^0.77 × S^−0.385, Tc in minutes, L = watershed length in metres, S = average watershed slope as a fraction) — all inputs (L, S) directly derivable from DEM-based terrain analysis, again illustrating how classical hydrological-model parameterisation has become substantially remote-sensing/GIS-automated relative to its pre-satellite-era, purely field-survey-based origins.</w:t>
      </w:r>
    </w:p>
    <w:p>
      <w:pPr>
        <w:pStyle w:val="Heading2"/>
      </w:pPr>
      <w:r>
        <w:t xml:space="preserve">17.9 SCS Curve Number Runoff Estimate</w:t>
      </w:r>
    </w:p>
    <w:p>
      <w:pPr>
        <w:pStyle w:val="FirstParagraph"/>
      </w:pPr>
      <w:r>
        <w:rPr>
          <w:bCs/>
          <w:b/>
        </w:rPr>
        <w:t xml:space="preserve">Problem:</w:t>
      </w:r>
      <w:r>
        <w:t xml:space="preserve"> </w:t>
      </w:r>
      <w:r>
        <w:t xml:space="preserve">A 50 mm storm falls on a small agricultural watershed with a composite Curve Number CN = 78 (AMC-II). Estimate the direct runoff depth, using Ia = 0.2S.</w:t>
      </w:r>
    </w:p>
    <w:p>
      <w:pPr>
        <w:pStyle w:val="BodyText"/>
      </w:pPr>
      <w:r>
        <w:rPr>
          <w:bCs/>
          <w:b/>
        </w:rPr>
        <w:t xml:space="preserve">Step 1 — Compute S.</w:t>
      </w:r>
      <w:r>
        <w:t xml:space="preserve"> </w:t>
      </w:r>
      <w:r>
        <w:t xml:space="preserve">S = (25400/CN) − 254 = (25400/78) − 254 = 325.6 − 254 =</w:t>
      </w:r>
      <w:r>
        <w:t xml:space="preserve"> </w:t>
      </w:r>
      <w:r>
        <w:rPr>
          <w:bCs/>
          <w:b/>
        </w:rPr>
        <w:t xml:space="preserve">71.6 mm</w:t>
      </w:r>
    </w:p>
    <w:p>
      <w:pPr>
        <w:pStyle w:val="BodyText"/>
      </w:pPr>
      <w:r>
        <w:rPr>
          <w:bCs/>
          <w:b/>
        </w:rPr>
        <w:t xml:space="preserve">Step 2 — Compute Ia.</w:t>
      </w:r>
      <w:r>
        <w:t xml:space="preserve"> </w:t>
      </w:r>
      <w:r>
        <w:t xml:space="preserve">Ia = 0.2 × 71.6 =</w:t>
      </w:r>
      <w:r>
        <w:t xml:space="preserve"> </w:t>
      </w:r>
      <w:r>
        <w:rPr>
          <w:bCs/>
          <w:b/>
        </w:rPr>
        <w:t xml:space="preserve">14.3 mm</w:t>
      </w:r>
    </w:p>
    <w:p>
      <w:pPr>
        <w:pStyle w:val="BodyText"/>
      </w:pPr>
      <w:r>
        <w:rPr>
          <w:bCs/>
          <w:b/>
        </w:rPr>
        <w:t xml:space="preserve">Step 3 — Check P &gt; Ia.</w:t>
      </w:r>
      <w:r>
        <w:t xml:space="preserve"> </w:t>
      </w:r>
      <w:r>
        <w:t xml:space="preserve">P = 50 mm &gt; Ia = 14.3 mm, so runoff occurs (proceed to Step 4; if P ≤ Ia, Q = 0, i.e., the entire storm is absorbed by initial abstraction with no direct runoff generated).</w:t>
      </w:r>
    </w:p>
    <w:p>
      <w:pPr>
        <w:pStyle w:val="BodyText"/>
      </w:pPr>
      <w:r>
        <w:rPr>
          <w:bCs/>
          <w:b/>
        </w:rPr>
        <w:t xml:space="preserve">Step 4 — Apply the SCS-CN runoff equation.</w:t>
      </w:r>
      <w:r>
        <w:t xml:space="preserve"> </w:t>
      </w:r>
      <w:r>
        <w:t xml:space="preserve">Q = (P−Ia)²/(P−Ia+S) = (50−14.3)²/(50−14.3+71.6) = (35.7)²/(107.3) = 1274.5/107.3 =</w:t>
      </w:r>
      <w:r>
        <w:t xml:space="preserve"> </w:t>
      </w:r>
      <w:r>
        <w:rPr>
          <w:bCs/>
          <w:b/>
        </w:rPr>
        <w:t xml:space="preserve">11.9 mm</w:t>
      </w:r>
    </w:p>
    <w:p>
      <w:pPr>
        <w:pStyle w:val="BodyText"/>
      </w:pPr>
      <w:r>
        <w:rPr>
          <w:bCs/>
          <w:b/>
        </w:rPr>
        <w:t xml:space="preserve">Interpretation:</w:t>
      </w:r>
      <w:r>
        <w:t xml:space="preserve"> </w:t>
      </w:r>
      <w:r>
        <w:t xml:space="preserve">of the 50 mm storm, roughly 11.9 mm (about 24%) becomes direct surface runoff, while the remainder is accounted for by initial abstraction and infiltration into the soil profile — the runoff depth that would next be routed through a unit hydrograph to obtain the watershed’s outlet discharge hydrograph for flood-forecasting purposes.</w:t>
      </w:r>
    </w:p>
    <w:p>
      <w:pPr>
        <w:pStyle w:val="Heading2"/>
      </w:pPr>
      <w:r>
        <w:t xml:space="preserve">17.10 Soil Erosion and Soil Moisture Mapping and Modelling</w:t>
      </w:r>
    </w:p>
    <w:p>
      <w:pPr>
        <w:pStyle w:val="FirstParagraph"/>
      </w:pPr>
      <w:r>
        <w:t xml:space="preserve">Soil-erosion modelling in the Indian water-resources-application context most commonly uses the</w:t>
      </w:r>
      <w:r>
        <w:t xml:space="preserve"> </w:t>
      </w:r>
      <w:r>
        <w:rPr>
          <w:bCs/>
          <w:b/>
        </w:rPr>
        <w:t xml:space="preserve">(Revised) Universal Soil Loss Equation, (R)USLE</w:t>
      </w:r>
      <w:r>
        <w:t xml:space="preserve">:</w:t>
      </w:r>
    </w:p>
    <w:p>
      <w:pPr>
        <w:pStyle w:val="BodyText"/>
      </w:pPr>
      <w:r>
        <w:rPr>
          <w:bCs/>
          <w:b/>
        </w:rPr>
        <w:t xml:space="preserve">A = R × K × LS × C × P</w:t>
      </w:r>
    </w:p>
    <w:p>
      <w:pPr>
        <w:pStyle w:val="BodyText"/>
      </w:pPr>
      <w:r>
        <w:t xml:space="preserve">where A is estimated average annual soil loss (t ha⁻¹ yr⁻¹), R is the rainfall-erosivity factor (from rainfall intensity/energy characteristics, increasingly derived from satellite-rainfall-product time series), K is the soil-erodibility factor (from soil texture/structure/organic-matter properties, from soil maps, Chapter 5), LS is the slope-length and slope-steepness factor (from DEM analysis), C is the cover-management factor (from remote-sensing-derived vegetation-cover/NDVI, since vegetation cover is the single most effective erosion-control factor humans actively manage) and P is the support-practice factor (contouring, terracing — from land-management mapping). This GIS-based, remote-sensing-parameterised RUSLE application produces the spatial water-erosion-risk maps referenced in the relevant chapter and Chapter 10. Soil-moisture mapping/modelling combines the point-scale AWS/in-situ and spatial microwave/thermal-inertia retrieval methods of Chapters 1, 2 and 5 into operational gridded products used for irrigation scheduling and drought assessment.</w:t>
      </w:r>
    </w:p>
    <w:p>
      <w:pPr>
        <w:pStyle w:val="Heading1"/>
      </w:pPr>
      <w:r>
        <w:t xml:space="preserve">Chapter 18. Soil Physical Constraints, Problem Soils and Waterlogged Soils</w:t>
      </w:r>
    </w:p>
    <w:p>
      <w:pPr>
        <w:pStyle w:val="Heading2"/>
      </w:pPr>
      <w:r>
        <w:t xml:space="preserve">18.1 Soil Physical Constraints and Their Management</w:t>
      </w:r>
    </w:p>
    <w:p>
      <w:pPr>
        <w:pStyle w:val="FirstParagraph"/>
      </w:pPr>
      <w:r>
        <w:t xml:space="preserve">Soil physical constraints limit crop production through poor water, air, heat and mechanical conditions even when nutrients are adequate. In India they affect large areas of rainfed land (red, black and alluvial soils). The main constraints and their remedies are:</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Constraint</w:t>
            </w:r>
          </w:p>
        </w:tc>
        <w:tc>
          <w:tcPr/>
          <w:p>
            <w:pPr>
              <w:pStyle w:val="Compact"/>
              <w:jc w:val="left"/>
            </w:pPr>
            <w:r>
              <w:t xml:space="preserve">Typical soils / regions</w:t>
            </w:r>
          </w:p>
        </w:tc>
        <w:tc>
          <w:tcPr/>
          <w:p>
            <w:pPr>
              <w:pStyle w:val="Compact"/>
              <w:jc w:val="left"/>
            </w:pPr>
            <w:r>
              <w:t xml:space="preserve">Effects</w:t>
            </w:r>
          </w:p>
        </w:tc>
        <w:tc>
          <w:tcPr/>
          <w:p>
            <w:pPr>
              <w:pStyle w:val="Compact"/>
              <w:jc w:val="left"/>
            </w:pPr>
            <w:r>
              <w:t xml:space="preserve">Management</w:t>
            </w:r>
          </w:p>
        </w:tc>
      </w:tr>
      <w:tr>
        <w:tc>
          <w:tcPr/>
          <w:p>
            <w:pPr>
              <w:pStyle w:val="Compact"/>
              <w:jc w:val="left"/>
            </w:pPr>
            <w:r>
              <w:rPr>
                <w:bCs/>
                <w:b/>
              </w:rPr>
              <w:t xml:space="preserve">Surface crusting / sealing</w:t>
            </w:r>
          </w:p>
        </w:tc>
        <w:tc>
          <w:tcPr/>
          <w:p>
            <w:pPr>
              <w:pStyle w:val="Compact"/>
              <w:jc w:val="left"/>
            </w:pPr>
            <w:r>
              <w:t xml:space="preserve">Red soils (Alfisols) of TN, KA, AP, Telangana; silty alluvial soils</w:t>
            </w:r>
          </w:p>
        </w:tc>
        <w:tc>
          <w:tcPr/>
          <w:p>
            <w:pPr>
              <w:pStyle w:val="Compact"/>
              <w:jc w:val="left"/>
            </w:pPr>
            <w:r>
              <w:t xml:space="preserve">Thin (1–5 mm) hard layer after rain; seedlings fail to emerge; infiltration falls; runoff and erosion rise</w:t>
            </w:r>
          </w:p>
        </w:tc>
        <w:tc>
          <w:tcPr/>
          <w:p>
            <w:pPr>
              <w:pStyle w:val="Compact"/>
              <w:jc w:val="left"/>
            </w:pPr>
            <w:r>
              <w:t xml:space="preserve">Organic manures and residues; mulching; gypsum or lime; frequent light irrigation after sowing; seed rate increase; tillage to break crust; sowing in furrows</w:t>
            </w:r>
          </w:p>
        </w:tc>
      </w:tr>
      <w:tr>
        <w:tc>
          <w:tcPr/>
          <w:p>
            <w:pPr>
              <w:pStyle w:val="Compact"/>
              <w:jc w:val="left"/>
            </w:pPr>
            <w:r>
              <w:rPr>
                <w:bCs/>
                <w:b/>
              </w:rPr>
              <w:t xml:space="preserve">Subsoil hardpan / ploughpan</w:t>
            </w:r>
          </w:p>
        </w:tc>
        <w:tc>
          <w:tcPr/>
          <w:p>
            <w:pPr>
              <w:pStyle w:val="Compact"/>
              <w:jc w:val="left"/>
            </w:pPr>
            <w:r>
              <w:t xml:space="preserve">Alluvial soils under rice–wheat; Alfisols with argillic horizon; laterites (ironpan)</w:t>
            </w:r>
          </w:p>
        </w:tc>
        <w:tc>
          <w:tcPr/>
          <w:p>
            <w:pPr>
              <w:pStyle w:val="Compact"/>
              <w:jc w:val="left"/>
            </w:pPr>
            <w:r>
              <w:t xml:space="preserve">Restricted root penetration (bulk density &gt; 1.6–1.8 g cm⁻³); waterlogging above the pan; poor drought tolerance</w:t>
            </w:r>
          </w:p>
        </w:tc>
        <w:tc>
          <w:tcPr/>
          <w:p>
            <w:pPr>
              <w:pStyle w:val="Compact"/>
              <w:jc w:val="left"/>
            </w:pPr>
            <w:r>
              <w:rPr>
                <w:bCs/>
                <w:b/>
              </w:rPr>
              <w:t xml:space="preserve">Chiselling / subsoiling</w:t>
            </w:r>
            <w:r>
              <w:t xml:space="preserve"> </w:t>
            </w:r>
            <w:r>
              <w:t xml:space="preserve">(40–50 cm) at 1–2 m intervals; deep-rooted crops; avoid tillage on wet soil; controlled traffic</w:t>
            </w:r>
          </w:p>
        </w:tc>
      </w:tr>
      <w:tr>
        <w:tc>
          <w:tcPr/>
          <w:p>
            <w:pPr>
              <w:pStyle w:val="Compact"/>
              <w:jc w:val="left"/>
            </w:pPr>
            <w:r>
              <w:rPr>
                <w:bCs/>
                <w:b/>
              </w:rPr>
              <w:t xml:space="preserve">Excessive permeability (high infiltration)</w:t>
            </w:r>
          </w:p>
        </w:tc>
        <w:tc>
          <w:tcPr/>
          <w:p>
            <w:pPr>
              <w:pStyle w:val="Compact"/>
              <w:jc w:val="left"/>
            </w:pPr>
            <w:r>
              <w:t xml:space="preserve">Sandy soils (Rajasthan, coastal sands)</w:t>
            </w:r>
          </w:p>
        </w:tc>
        <w:tc>
          <w:tcPr/>
          <w:p>
            <w:pPr>
              <w:pStyle w:val="Compact"/>
              <w:jc w:val="left"/>
            </w:pPr>
            <w:r>
              <w:t xml:space="preserve">Low water retention; leaching of nutrients; drought</w:t>
            </w:r>
          </w:p>
        </w:tc>
        <w:tc>
          <w:tcPr/>
          <w:p>
            <w:pPr>
              <w:pStyle w:val="Compact"/>
              <w:jc w:val="left"/>
            </w:pPr>
            <w:r>
              <w:rPr>
                <w:bCs/>
                <w:b/>
              </w:rPr>
              <w:t xml:space="preserve">Compaction</w:t>
            </w:r>
            <w:r>
              <w:t xml:space="preserve"> </w:t>
            </w:r>
            <w:r>
              <w:t xml:space="preserve">(roller passes); clay or tank silt addition; organic matter; bentonite; split fertiliser application; mulches; drip irrigation</w:t>
            </w:r>
          </w:p>
        </w:tc>
      </w:tr>
      <w:tr>
        <w:tc>
          <w:tcPr/>
          <w:p>
            <w:pPr>
              <w:pStyle w:val="Compact"/>
              <w:jc w:val="left"/>
            </w:pPr>
            <w:r>
              <w:rPr>
                <w:bCs/>
                <w:b/>
              </w:rPr>
              <w:t xml:space="preserve">Slow permeability / poor drainage</w:t>
            </w:r>
          </w:p>
        </w:tc>
        <w:tc>
          <w:tcPr/>
          <w:p>
            <w:pPr>
              <w:pStyle w:val="Compact"/>
              <w:jc w:val="left"/>
            </w:pPr>
            <w:r>
              <w:t xml:space="preserve">Vertisols (black soils), sodic soils</w:t>
            </w:r>
          </w:p>
        </w:tc>
        <w:tc>
          <w:tcPr/>
          <w:p>
            <w:pPr>
              <w:pStyle w:val="Compact"/>
              <w:jc w:val="left"/>
            </w:pPr>
            <w:r>
              <w:t xml:space="preserve">Waterlogging, poor aeration, difficult tillage, sticky when wet, hard when dry</w:t>
            </w:r>
          </w:p>
        </w:tc>
        <w:tc>
          <w:tcPr/>
          <w:p>
            <w:pPr>
              <w:pStyle w:val="Compact"/>
              <w:jc w:val="left"/>
            </w:pPr>
            <w:r>
              <w:t xml:space="preserve">Broad-bed-and-furrow (BBF) and ridge-furrow; surface drainage; organic matter; gypsum on sodic black soils; timely tillage at optimum moisture</w:t>
            </w:r>
          </w:p>
        </w:tc>
      </w:tr>
      <w:tr>
        <w:tc>
          <w:tcPr/>
          <w:p>
            <w:pPr>
              <w:pStyle w:val="Compact"/>
              <w:jc w:val="left"/>
            </w:pPr>
            <w:r>
              <w:rPr>
                <w:bCs/>
                <w:b/>
              </w:rPr>
              <w:t xml:space="preserve">Shallow soil depth</w:t>
            </w:r>
          </w:p>
        </w:tc>
        <w:tc>
          <w:tcPr/>
          <w:p>
            <w:pPr>
              <w:pStyle w:val="Compact"/>
              <w:jc w:val="left"/>
            </w:pPr>
            <w:r>
              <w:t xml:space="preserve">Hill and gravelly soils, laterites, Deccan red soils</w:t>
            </w:r>
          </w:p>
        </w:tc>
        <w:tc>
          <w:tcPr/>
          <w:p>
            <w:pPr>
              <w:pStyle w:val="Compact"/>
              <w:jc w:val="left"/>
            </w:pPr>
            <w:r>
              <w:t xml:space="preserve">Low AWC; drought; limited anchorage</w:t>
            </w:r>
          </w:p>
        </w:tc>
        <w:tc>
          <w:tcPr/>
          <w:p>
            <w:pPr>
              <w:pStyle w:val="Compact"/>
              <w:jc w:val="left"/>
            </w:pPr>
            <w:r>
              <w:t xml:space="preserve">Soil and water conservation; water harvesting; drought-tolerant short-duration crops, agroforestry, pasture</w:t>
            </w:r>
          </w:p>
        </w:tc>
      </w:tr>
      <w:tr>
        <w:tc>
          <w:tcPr/>
          <w:p>
            <w:pPr>
              <w:pStyle w:val="Compact"/>
              <w:jc w:val="left"/>
            </w:pPr>
            <w:r>
              <w:rPr>
                <w:bCs/>
                <w:b/>
              </w:rPr>
              <w:t xml:space="preserve">High mechanical impedance / hard-setting</w:t>
            </w:r>
          </w:p>
        </w:tc>
        <w:tc>
          <w:tcPr/>
          <w:p>
            <w:pPr>
              <w:pStyle w:val="Compact"/>
              <w:jc w:val="left"/>
            </w:pPr>
            <w:r>
              <w:t xml:space="preserve">Red sandy loams, kaolinitic soils</w:t>
            </w:r>
          </w:p>
        </w:tc>
        <w:tc>
          <w:tcPr/>
          <w:p>
            <w:pPr>
              <w:pStyle w:val="Compact"/>
              <w:jc w:val="left"/>
            </w:pPr>
            <w:r>
              <w:t xml:space="preserve">Hard when dry; poor emergence</w:t>
            </w:r>
          </w:p>
        </w:tc>
        <w:tc>
          <w:tcPr/>
          <w:p>
            <w:pPr>
              <w:pStyle w:val="Compact"/>
              <w:jc w:val="left"/>
            </w:pPr>
            <w:r>
              <w:t xml:space="preserve">Organic matter, residue retention, conservation tillage</w:t>
            </w:r>
          </w:p>
        </w:tc>
      </w:tr>
      <w:tr>
        <w:tc>
          <w:tcPr/>
          <w:p>
            <w:pPr>
              <w:pStyle w:val="Compact"/>
              <w:jc w:val="left"/>
            </w:pPr>
            <w:r>
              <w:rPr>
                <w:bCs/>
                <w:b/>
              </w:rPr>
              <w:t xml:space="preserve">Puddled (structureless) paddy soils</w:t>
            </w:r>
          </w:p>
        </w:tc>
        <w:tc>
          <w:tcPr/>
          <w:p>
            <w:pPr>
              <w:pStyle w:val="Compact"/>
              <w:jc w:val="left"/>
            </w:pPr>
            <w:r>
              <w:t xml:space="preserve">Rice–wheat systems</w:t>
            </w:r>
          </w:p>
        </w:tc>
        <w:tc>
          <w:tcPr/>
          <w:p>
            <w:pPr>
              <w:pStyle w:val="Compact"/>
              <w:jc w:val="left"/>
            </w:pPr>
            <w:r>
              <w:t xml:space="preserve">Poor structure for the following crop (wheat), delayed sowing</w:t>
            </w:r>
          </w:p>
        </w:tc>
        <w:tc>
          <w:tcPr/>
          <w:p>
            <w:pPr>
              <w:pStyle w:val="Compact"/>
              <w:jc w:val="left"/>
            </w:pPr>
            <w:r>
              <w:t xml:space="preserve">Zero-till / Happy Seeder wheat; direct-seeded rice; raised beds</w:t>
            </w:r>
          </w:p>
        </w:tc>
      </w:tr>
    </w:tbl>
    <w:p>
      <w:pPr>
        <w:pStyle w:val="Heading2"/>
      </w:pPr>
      <w:r>
        <w:t xml:space="preserve">18.2 Problem Soils: Classification</w:t>
      </w:r>
    </w:p>
    <w:p>
      <w:pPr>
        <w:pStyle w:val="FirstParagraph"/>
      </w:pPr>
      <w:r>
        <w:rPr>
          <w:bCs/>
          <w:b/>
        </w:rPr>
        <w:t xml:space="preserve">Problem soils</w:t>
      </w:r>
      <w:r>
        <w:t xml:space="preserve"> </w:t>
      </w:r>
      <w:r>
        <w:t xml:space="preserve">are soils whose chemical (and associated physical) properties restrict crop growth and need</w:t>
      </w:r>
      <w:r>
        <w:t xml:space="preserve"> </w:t>
      </w:r>
      <w:r>
        <w:rPr>
          <w:bCs/>
          <w:b/>
        </w:rPr>
        <w:t xml:space="preserve">reclamation or special management</w:t>
      </w:r>
      <w:r>
        <w:t xml:space="preserve">. The major types are acid soils, salt-affected (saline, sodic, saline-sodic), calcareous, acid sulphate, waterlogged and degraded/eroded soils.</w:t>
      </w:r>
    </w:p>
    <w:p>
      <w:pPr>
        <w:pStyle w:val="Heading2"/>
      </w:pPr>
      <w:r>
        <w:t xml:space="preserve">18.3 Acid Soils</w:t>
      </w:r>
    </w:p>
    <w:p>
      <w:pPr>
        <w:pStyle w:val="FirstParagraph"/>
      </w:pPr>
      <w:r>
        <w:rPr>
          <w:bCs/>
          <w:b/>
        </w:rPr>
        <w:t xml:space="preserve">Definition:</w:t>
      </w:r>
      <w:r>
        <w:t xml:space="preserve"> </w:t>
      </w:r>
      <w:r>
        <w:t xml:space="preserve">soils with pH below 6.5; those below</w:t>
      </w:r>
      <w:r>
        <w:t xml:space="preserve"> </w:t>
      </w:r>
      <w:r>
        <w:rPr>
          <w:bCs/>
          <w:b/>
        </w:rPr>
        <w:t xml:space="preserve">pH 5.5</w:t>
      </w:r>
      <w:r>
        <w:t xml:space="preserve"> </w:t>
      </w:r>
      <w:r>
        <w:t xml:space="preserve">need amelioration. In India, about</w:t>
      </w:r>
      <w:r>
        <w:t xml:space="preserve"> </w:t>
      </w:r>
      <w:r>
        <w:rPr>
          <w:bCs/>
          <w:b/>
        </w:rPr>
        <w:t xml:space="preserve">49 Mha</w:t>
      </w:r>
      <w:r>
        <w:t xml:space="preserve"> </w:t>
      </w:r>
      <w:r>
        <w:t xml:space="preserve">are acidic, of which about</w:t>
      </w:r>
      <w:r>
        <w:t xml:space="preserve"> </w:t>
      </w:r>
      <w:r>
        <w:rPr>
          <w:bCs/>
          <w:b/>
        </w:rPr>
        <w:t xml:space="preserve">25–26 Mha have pH below 5.5</w:t>
      </w:r>
      <w:r>
        <w:t xml:space="preserve">. They occur in the NE states, Kerala, Western Ghats, Odisha, Jharkhand, West Bengal and the Himalayan hills.</w:t>
      </w:r>
    </w:p>
    <w:p>
      <w:pPr>
        <w:pStyle w:val="BodyText"/>
      </w:pPr>
      <w:r>
        <w:rPr>
          <w:bCs/>
          <w:b/>
        </w:rPr>
        <w:t xml:space="preserve">Causes:</w:t>
      </w:r>
      <w:r>
        <w:t xml:space="preserve"> </w:t>
      </w:r>
      <w:r>
        <w:t xml:space="preserve">high rainfall leaching bases; acidic parent rocks (granite, gneiss); organic-matter decomposition and organic acids; crop removal of bases; ammoniacal and acid-forming fertilisers; pyrite oxidation.</w:t>
      </w:r>
    </w:p>
    <w:p>
      <w:pPr>
        <w:pStyle w:val="BodyText"/>
      </w:pPr>
      <w:r>
        <w:rPr>
          <w:bCs/>
          <w:b/>
        </w:rPr>
        <w:t xml:space="preserve">Problems in acid soils:</w:t>
      </w:r>
    </w:p>
    <w:p>
      <w:pPr>
        <w:pStyle w:val="Compact"/>
        <w:numPr>
          <w:ilvl w:val="0"/>
          <w:numId w:val="1132"/>
        </w:numPr>
      </w:pPr>
      <w:r>
        <w:rPr>
          <w:bCs/>
          <w:b/>
        </w:rPr>
        <w:t xml:space="preserve">Al³⁺ toxicity</w:t>
      </w:r>
      <w:r>
        <w:t xml:space="preserve"> </w:t>
      </w:r>
      <w:r>
        <w:t xml:space="preserve">(below pH 5.0): inhibits root elongation (stubby roots).</w:t>
      </w:r>
    </w:p>
    <w:p>
      <w:pPr>
        <w:pStyle w:val="Compact"/>
        <w:numPr>
          <w:ilvl w:val="0"/>
          <w:numId w:val="1132"/>
        </w:numPr>
      </w:pPr>
      <w:r>
        <w:rPr>
          <w:bCs/>
          <w:b/>
        </w:rPr>
        <w:t xml:space="preserve">Mn²⁺ toxicity.</w:t>
      </w:r>
    </w:p>
    <w:p>
      <w:pPr>
        <w:pStyle w:val="Compact"/>
        <w:numPr>
          <w:ilvl w:val="0"/>
          <w:numId w:val="1132"/>
        </w:numPr>
      </w:pPr>
      <w:r>
        <w:rPr>
          <w:bCs/>
          <w:b/>
        </w:rPr>
        <w:t xml:space="preserve">H⁺ injury.</w:t>
      </w:r>
    </w:p>
    <w:p>
      <w:pPr>
        <w:pStyle w:val="Compact"/>
        <w:numPr>
          <w:ilvl w:val="0"/>
          <w:numId w:val="1132"/>
        </w:numPr>
      </w:pPr>
      <w:r>
        <w:rPr>
          <w:bCs/>
          <w:b/>
        </w:rPr>
        <w:t xml:space="preserve">P fixation</w:t>
      </w:r>
      <w:r>
        <w:t xml:space="preserve"> </w:t>
      </w:r>
      <w:r>
        <w:t xml:space="preserve">as Fe- and Al-phosphates.</w:t>
      </w:r>
    </w:p>
    <w:p>
      <w:pPr>
        <w:pStyle w:val="Compact"/>
        <w:numPr>
          <w:ilvl w:val="0"/>
          <w:numId w:val="1132"/>
        </w:numPr>
      </w:pPr>
      <w:r>
        <w:rPr>
          <w:bCs/>
          <w:b/>
        </w:rPr>
        <w:t xml:space="preserve">Deficiency of Ca, Mg, Mo, B.</w:t>
      </w:r>
    </w:p>
    <w:p>
      <w:pPr>
        <w:pStyle w:val="Compact"/>
        <w:numPr>
          <w:ilvl w:val="0"/>
          <w:numId w:val="1132"/>
        </w:numPr>
      </w:pPr>
      <w:r>
        <w:t xml:space="preserve">Poor activity of nitrifiers and rhizobia, so legumes fail.</w:t>
      </w:r>
    </w:p>
    <w:p>
      <w:pPr>
        <w:pStyle w:val="FirstParagraph"/>
      </w:pPr>
      <w:r>
        <w:rPr>
          <w:bCs/>
          <w:b/>
        </w:rPr>
        <w:t xml:space="preserve">Management:</w:t>
      </w:r>
    </w:p>
    <w:p>
      <w:pPr>
        <w:pStyle w:val="Compact"/>
        <w:numPr>
          <w:ilvl w:val="0"/>
          <w:numId w:val="1133"/>
        </w:numPr>
      </w:pPr>
      <w:r>
        <w:rPr>
          <w:bCs/>
          <w:b/>
        </w:rPr>
        <w:t xml:space="preserve">Liming</w:t>
      </w:r>
      <w:r>
        <w:t xml:space="preserve"> </w:t>
      </w:r>
      <w:r>
        <w:t xml:space="preserve">with CaCO₃ (agricultural limestone), dolomite (CaMg(CO₃)₂, which also supplies Mg), burnt lime (CaO), slaked lime (Ca(OH)₂), basic slag, paper-mill sludge or press mud. Lime neutralises acidity:</w:t>
      </w:r>
      <w:r>
        <w:t xml:space="preserve"> </w:t>
      </w:r>
      <m:oMath>
        <m:r>
          <m:t>2</m:t>
        </m:r>
        <m:sSup>
          <m:e>
            <m:r>
              <m:t>H</m:t>
            </m:r>
          </m:e>
          <m:sup>
            <m:r>
              <m:rPr>
                <m:sty m:val="p"/>
              </m:rPr>
              <m:t>+</m:t>
            </m:r>
          </m:sup>
        </m:sSup>
      </m:oMath>
      <w:r>
        <w:t xml:space="preserve">-clay +</w:t>
      </w:r>
      <w:r>
        <w:t xml:space="preserve"> </w:t>
      </w:r>
      <m:oMath>
        <m:r>
          <m:t>C</m:t>
        </m:r>
        <m:r>
          <m:t>a</m:t>
        </m:r>
        <m:r>
          <m:t>C</m:t>
        </m:r>
        <m:sSub>
          <m:e>
            <m:r>
              <m:t>O</m:t>
            </m:r>
          </m:e>
          <m:sub>
            <m:r>
              <m:t>3</m:t>
            </m:r>
          </m:sub>
        </m:sSub>
      </m:oMath>
      <w:r>
        <w:t xml:space="preserve"> </w:t>
      </w:r>
      <w:r>
        <w:t xml:space="preserve">→</w:t>
      </w:r>
      <w:r>
        <w:t xml:space="preserve"> </w:t>
      </w:r>
      <m:oMath>
        <m:r>
          <m:t>C</m:t>
        </m:r>
        <m:sSup>
          <m:e>
            <m:r>
              <m:t>a</m:t>
            </m:r>
          </m:e>
          <m:sup>
            <m:r>
              <m:t>2</m:t>
            </m:r>
            <m:r>
              <m:rPr>
                <m:sty m:val="p"/>
              </m:rPr>
              <m:t>+</m:t>
            </m:r>
          </m:sup>
        </m:sSup>
      </m:oMath>
      <w:r>
        <w:t xml:space="preserve">-clay +</w:t>
      </w:r>
      <w:r>
        <w:t xml:space="preserve"> </w:t>
      </w:r>
      <m:oMath>
        <m:sSub>
          <m:e>
            <m:r>
              <m:t>H</m:t>
            </m:r>
          </m:e>
          <m:sub>
            <m:r>
              <m:t>2</m:t>
            </m:r>
          </m:sub>
        </m:sSub>
        <m:r>
          <m:t>O</m:t>
        </m:r>
      </m:oMath>
      <w:r>
        <w:t xml:space="preserve"> </w:t>
      </w:r>
      <w:r>
        <w:t xml:space="preserve">+</w:t>
      </w:r>
      <w:r>
        <w:t xml:space="preserve"> </w:t>
      </w:r>
      <m:oMath>
        <m:r>
          <m:t>C</m:t>
        </m:r>
        <m:sSub>
          <m:e>
            <m:r>
              <m:t>O</m:t>
            </m:r>
          </m:e>
          <m:sub>
            <m:r>
              <m:t>2</m:t>
            </m:r>
          </m:sub>
        </m:sSub>
      </m:oMath>
      <w:r>
        <w:t xml:space="preserve">.</w:t>
      </w:r>
    </w:p>
    <w:p>
      <w:pPr>
        <w:pStyle w:val="Compact"/>
        <w:numPr>
          <w:ilvl w:val="1"/>
          <w:numId w:val="1134"/>
        </w:numPr>
      </w:pPr>
      <w:r>
        <w:rPr>
          <w:bCs/>
          <w:b/>
        </w:rPr>
        <w:t xml:space="preserve">Lime requirement (LR):</w:t>
      </w:r>
      <w:r>
        <w:t xml:space="preserve"> </w:t>
      </w:r>
      <w:r>
        <w:t xml:space="preserve">the amount needed to raise pH to a target (about 6.5). It is determined with buffer methods (</w:t>
      </w:r>
      <w:r>
        <w:rPr>
          <w:bCs/>
          <w:b/>
        </w:rPr>
        <w:t xml:space="preserve">Woodruff</w:t>
      </w:r>
      <w:r>
        <w:t xml:space="preserve">,</w:t>
      </w:r>
      <w:r>
        <w:t xml:space="preserve"> </w:t>
      </w:r>
      <w:r>
        <w:rPr>
          <w:bCs/>
          <w:b/>
        </w:rPr>
        <w:t xml:space="preserve">Shoemaker–McLean–Pratt (SMP)</w:t>
      </w:r>
      <w:r>
        <w:t xml:space="preserve"> </w:t>
      </w:r>
      <w:r>
        <w:t xml:space="preserve">buffer) or from exchangeable acidity.</w:t>
      </w:r>
    </w:p>
    <w:p>
      <w:pPr>
        <w:pStyle w:val="Compact"/>
        <w:numPr>
          <w:ilvl w:val="1"/>
          <w:numId w:val="1134"/>
        </w:numPr>
      </w:pPr>
      <w:r>
        <w:rPr>
          <w:bCs/>
          <w:b/>
        </w:rPr>
        <w:t xml:space="preserve">Furrow application</w:t>
      </w:r>
      <w:r>
        <w:t xml:space="preserve"> </w:t>
      </w:r>
      <w:r>
        <w:t xml:space="preserve">of small doses (2–4 q ha⁻¹ every season) is the economical practice in India in place of full LR (several t ha⁻¹).</w:t>
      </w:r>
    </w:p>
    <w:p>
      <w:pPr>
        <w:pStyle w:val="Compact"/>
        <w:numPr>
          <w:ilvl w:val="1"/>
          <w:numId w:val="1134"/>
        </w:numPr>
      </w:pPr>
      <w:r>
        <w:rPr>
          <w:bCs/>
          <w:b/>
        </w:rPr>
        <w:t xml:space="preserve">Neutralising value</w:t>
      </w:r>
      <w:r>
        <w:t xml:space="preserve"> </w:t>
      </w:r>
      <w:r>
        <w:t xml:space="preserve">is relative to pure CaCO₃ = 100. CaO = 179 and Ca(OH)₂ = 135.</w:t>
      </w:r>
    </w:p>
    <w:p>
      <w:pPr>
        <w:pStyle w:val="Compact"/>
        <w:numPr>
          <w:ilvl w:val="0"/>
          <w:numId w:val="1133"/>
        </w:numPr>
      </w:pPr>
      <w:r>
        <w:t xml:space="preserve">Acid-tolerant crops and varieties: rice, potato, tea, pineapple, cassava, oats, finger millet.</w:t>
      </w:r>
    </w:p>
    <w:p>
      <w:pPr>
        <w:pStyle w:val="Compact"/>
        <w:numPr>
          <w:ilvl w:val="0"/>
          <w:numId w:val="1133"/>
        </w:numPr>
      </w:pPr>
      <w:r>
        <w:t xml:space="preserve">Rock phosphate (dissolves well in acid soils), organic manures, Mo for legumes.</w:t>
      </w:r>
    </w:p>
    <w:p>
      <w:pPr>
        <w:pStyle w:val="Heading2"/>
      </w:pPr>
      <w:r>
        <w:t xml:space="preserve">18.4 Salt-Affected Soils</w:t>
      </w:r>
    </w:p>
    <w:p>
      <w:pPr>
        <w:pStyle w:val="FirstParagraph"/>
      </w:pPr>
      <w:r>
        <w:t xml:space="preserve">India has about</w:t>
      </w:r>
      <w:r>
        <w:t xml:space="preserve"> </w:t>
      </w:r>
      <w:r>
        <w:rPr>
          <w:bCs/>
          <w:b/>
        </w:rPr>
        <w:t xml:space="preserve">6.73 Mha</w:t>
      </w:r>
      <w:r>
        <w:t xml:space="preserve"> </w:t>
      </w:r>
      <w:r>
        <w:t xml:space="preserve">of salt-affected soils (CSSRI): about</w:t>
      </w:r>
      <w:r>
        <w:t xml:space="preserve"> </w:t>
      </w:r>
      <w:r>
        <w:rPr>
          <w:bCs/>
          <w:b/>
        </w:rPr>
        <w:t xml:space="preserve">2.96 Mha saline</w:t>
      </w:r>
      <w:r>
        <w:t xml:space="preserve"> </w:t>
      </w:r>
      <w:r>
        <w:t xml:space="preserve">and</w:t>
      </w:r>
      <w:r>
        <w:t xml:space="preserve"> </w:t>
      </w:r>
      <w:r>
        <w:rPr>
          <w:bCs/>
          <w:b/>
        </w:rPr>
        <w:t xml:space="preserve">3.77 Mha sodic</w:t>
      </w:r>
      <w:r>
        <w:t xml:space="preserve">. They are found in the Indo-Gangetic plains (UP, Haryana, Punjab), Gujarat, Rajasthan, Maharashtra, coastal areas and canal commands.</w:t>
      </w:r>
    </w:p>
    <w:p>
      <w:pPr>
        <w:pStyle w:val="Heading3"/>
      </w:pPr>
      <w:r>
        <w:t xml:space="preserve">18.4.1 Classification (USSL, Richards, 1954)</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Soil</w:t>
            </w:r>
          </w:p>
        </w:tc>
        <w:tc>
          <w:tcPr/>
          <w:p>
            <w:pPr>
              <w:pStyle w:val="Compact"/>
              <w:jc w:val="left"/>
            </w:pPr>
            <w:r>
              <w:t xml:space="preserve">ECe (dS m⁻¹)</w:t>
            </w:r>
          </w:p>
        </w:tc>
        <w:tc>
          <w:tcPr/>
          <w:p>
            <w:pPr>
              <w:pStyle w:val="Compact"/>
              <w:jc w:val="left"/>
            </w:pPr>
            <w:r>
              <w:t xml:space="preserve">ESP</w:t>
            </w:r>
          </w:p>
        </w:tc>
        <w:tc>
          <w:tcPr/>
          <w:p>
            <w:pPr>
              <w:pStyle w:val="Compact"/>
              <w:jc w:val="left"/>
            </w:pPr>
            <w:r>
              <w:t xml:space="preserve">pH</w:t>
            </w:r>
          </w:p>
        </w:tc>
        <w:tc>
          <w:tcPr/>
          <w:p>
            <w:pPr>
              <w:pStyle w:val="Compact"/>
              <w:jc w:val="left"/>
            </w:pPr>
            <w:r>
              <w:t xml:space="preserve">Local names / features</w:t>
            </w:r>
          </w:p>
        </w:tc>
      </w:tr>
      <w:tr>
        <w:tc>
          <w:tcPr/>
          <w:p>
            <w:pPr>
              <w:pStyle w:val="Compact"/>
              <w:jc w:val="left"/>
            </w:pPr>
            <w:r>
              <w:rPr>
                <w:bCs/>
                <w:b/>
              </w:rPr>
              <w:t xml:space="preserve">Saline</w:t>
            </w:r>
          </w:p>
        </w:tc>
        <w:tc>
          <w:tcPr/>
          <w:p>
            <w:pPr>
              <w:pStyle w:val="Compact"/>
              <w:jc w:val="left"/>
            </w:pPr>
            <w:r>
              <w:rPr>
                <w:bCs/>
                <w:b/>
              </w:rPr>
              <w:t xml:space="preserve">&gt; 4</w:t>
            </w:r>
          </w:p>
        </w:tc>
        <w:tc>
          <w:tcPr/>
          <w:p>
            <w:pPr>
              <w:pStyle w:val="Compact"/>
              <w:jc w:val="left"/>
            </w:pPr>
            <w:r>
              <w:t xml:space="preserve">&lt; 15</w:t>
            </w:r>
          </w:p>
        </w:tc>
        <w:tc>
          <w:tcPr/>
          <w:p>
            <w:pPr>
              <w:pStyle w:val="Compact"/>
              <w:jc w:val="left"/>
            </w:pPr>
            <w:r>
              <w:t xml:space="preserve">&lt; 8.5</w:t>
            </w:r>
          </w:p>
        </w:tc>
        <w:tc>
          <w:tcPr/>
          <w:p>
            <w:pPr>
              <w:pStyle w:val="Compact"/>
              <w:jc w:val="left"/>
            </w:pPr>
            <w:r>
              <w:t xml:space="preserve">“</w:t>
            </w:r>
            <w:r>
              <w:t xml:space="preserve">White alkali</w:t>
            </w:r>
            <w:r>
              <w:t xml:space="preserve">”</w:t>
            </w:r>
            <w:r>
              <w:t xml:space="preserve">, solonchak;</w:t>
            </w:r>
            <w:r>
              <w:t xml:space="preserve"> </w:t>
            </w:r>
            <w:r>
              <w:rPr>
                <w:bCs/>
                <w:b/>
              </w:rPr>
              <w:t xml:space="preserve">white salt crust</w:t>
            </w:r>
            <w:r>
              <w:t xml:space="preserve"> </w:t>
            </w:r>
            <w:r>
              <w:t xml:space="preserve">(Cl⁻ and SO₄²⁻ of Na, Ca, Mg); good structure (flocculated)</w:t>
            </w:r>
          </w:p>
        </w:tc>
      </w:tr>
      <w:tr>
        <w:tc>
          <w:tcPr/>
          <w:p>
            <w:pPr>
              <w:pStyle w:val="Compact"/>
              <w:jc w:val="left"/>
            </w:pPr>
            <w:r>
              <w:rPr>
                <w:bCs/>
                <w:b/>
              </w:rPr>
              <w:t xml:space="preserve">Sodic (alkali)</w:t>
            </w:r>
          </w:p>
        </w:tc>
        <w:tc>
          <w:tcPr/>
          <w:p>
            <w:pPr>
              <w:pStyle w:val="Compact"/>
              <w:jc w:val="left"/>
            </w:pPr>
            <w:r>
              <w:t xml:space="preserve">&lt; 4</w:t>
            </w:r>
          </w:p>
        </w:tc>
        <w:tc>
          <w:tcPr/>
          <w:p>
            <w:pPr>
              <w:pStyle w:val="Compact"/>
              <w:jc w:val="left"/>
            </w:pPr>
            <w:r>
              <w:rPr>
                <w:bCs/>
                <w:b/>
              </w:rPr>
              <w:t xml:space="preserve">&gt; 15</w:t>
            </w:r>
          </w:p>
        </w:tc>
        <w:tc>
          <w:tcPr/>
          <w:p>
            <w:pPr>
              <w:pStyle w:val="Compact"/>
              <w:jc w:val="left"/>
            </w:pPr>
            <w:r>
              <w:rPr>
                <w:bCs/>
                <w:b/>
              </w:rPr>
              <w:t xml:space="preserve">&gt; 8.5</w:t>
            </w:r>
            <w:r>
              <w:t xml:space="preserve"> </w:t>
            </w:r>
            <w:r>
              <w:t xml:space="preserve">(often 9–10.5)</w:t>
            </w:r>
          </w:p>
        </w:tc>
        <w:tc>
          <w:tcPr/>
          <w:p>
            <w:pPr>
              <w:pStyle w:val="Compact"/>
              <w:jc w:val="left"/>
            </w:pPr>
            <w:r>
              <w:t xml:space="preserve">“</w:t>
            </w:r>
            <w:r>
              <w:t xml:space="preserve">Black alkali</w:t>
            </w:r>
            <w:r>
              <w:t xml:space="preserve">”</w:t>
            </w:r>
            <w:r>
              <w:t xml:space="preserve">,</w:t>
            </w:r>
            <w:r>
              <w:t xml:space="preserve"> </w:t>
            </w:r>
            <w:r>
              <w:rPr>
                <w:bCs/>
                <w:b/>
              </w:rPr>
              <w:t xml:space="preserve">usar / reh / kallar</w:t>
            </w:r>
            <w:r>
              <w:t xml:space="preserve">, solonetz; Na₂CO₃ and NaHCO₃; dispersed organic matter gives black surface;</w:t>
            </w:r>
            <w:r>
              <w:t xml:space="preserve"> </w:t>
            </w:r>
            <w:r>
              <w:rPr>
                <w:bCs/>
                <w:b/>
              </w:rPr>
              <w:t xml:space="preserve">columnar structure</w:t>
            </w:r>
            <w:r>
              <w:t xml:space="preserve">, very poor permeability, hard when dry</w:t>
            </w:r>
          </w:p>
        </w:tc>
      </w:tr>
      <w:tr>
        <w:tc>
          <w:tcPr/>
          <w:p>
            <w:pPr>
              <w:pStyle w:val="Compact"/>
              <w:jc w:val="left"/>
            </w:pPr>
            <w:r>
              <w:rPr>
                <w:bCs/>
                <w:b/>
              </w:rPr>
              <w:t xml:space="preserve">Saline-sodic</w:t>
            </w:r>
          </w:p>
        </w:tc>
        <w:tc>
          <w:tcPr/>
          <w:p>
            <w:pPr>
              <w:pStyle w:val="Compact"/>
              <w:jc w:val="left"/>
            </w:pPr>
            <w:r>
              <w:t xml:space="preserve">&gt; 4</w:t>
            </w:r>
          </w:p>
        </w:tc>
        <w:tc>
          <w:tcPr/>
          <w:p>
            <w:pPr>
              <w:pStyle w:val="Compact"/>
              <w:jc w:val="left"/>
            </w:pPr>
            <w:r>
              <w:t xml:space="preserve">&gt; 15</w:t>
            </w:r>
          </w:p>
        </w:tc>
        <w:tc>
          <w:tcPr/>
          <w:p>
            <w:pPr>
              <w:pStyle w:val="Compact"/>
              <w:jc w:val="left"/>
            </w:pPr>
            <w:r>
              <w:t xml:space="preserve">≤ 8.5</w:t>
            </w:r>
          </w:p>
        </w:tc>
        <w:tc>
          <w:tcPr/>
          <w:p>
            <w:pPr>
              <w:pStyle w:val="Compact"/>
              <w:jc w:val="left"/>
            </w:pPr>
            <w:r>
              <w:t xml:space="preserve">Both salts and Na; flocculated until leached, then behaves as sodic</w:t>
            </w:r>
          </w:p>
        </w:tc>
      </w:tr>
    </w:tbl>
    <w:p>
      <w:pPr>
        <w:pStyle w:val="BodyText"/>
      </w:pPr>
      <w:r>
        <w:rPr>
          <w:bCs/>
          <w:b/>
        </w:rPr>
        <w:t xml:space="preserve">Effects:</w:t>
      </w:r>
    </w:p>
    <w:p>
      <w:pPr>
        <w:pStyle w:val="Compact"/>
        <w:numPr>
          <w:ilvl w:val="0"/>
          <w:numId w:val="1135"/>
        </w:numPr>
      </w:pPr>
      <w:r>
        <w:rPr>
          <w:bCs/>
          <w:b/>
        </w:rPr>
        <w:t xml:space="preserve">Saline soils:</w:t>
      </w:r>
      <w:r>
        <w:t xml:space="preserve"> </w:t>
      </w:r>
      <w:r>
        <w:rPr>
          <w:bCs/>
          <w:b/>
        </w:rPr>
        <w:t xml:space="preserve">physiological drought</w:t>
      </w:r>
      <w:r>
        <w:t xml:space="preserve"> </w:t>
      </w:r>
      <w:r>
        <w:t xml:space="preserve">(high osmotic potential reduces water uptake), specific ion toxicity (Na⁺, Cl⁻, B), nutritional imbalance. Leaf margins burn and growth is stunted.</w:t>
      </w:r>
    </w:p>
    <w:p>
      <w:pPr>
        <w:pStyle w:val="Compact"/>
        <w:numPr>
          <w:ilvl w:val="0"/>
          <w:numId w:val="1135"/>
        </w:numPr>
      </w:pPr>
      <w:r>
        <w:rPr>
          <w:bCs/>
          <w:b/>
        </w:rPr>
        <w:t xml:space="preserve">Sodic soils:</w:t>
      </w:r>
      <w:r>
        <w:t xml:space="preserve"> </w:t>
      </w:r>
      <w:r>
        <w:rPr>
          <w:bCs/>
          <w:b/>
        </w:rPr>
        <w:t xml:space="preserve">dispersion</w:t>
      </w:r>
      <w:r>
        <w:t xml:space="preserve">, which brings crusting, very low infiltration and hydraulic conductivity, poor aeration and hard clods;</w:t>
      </w:r>
      <w:r>
        <w:t xml:space="preserve"> </w:t>
      </w:r>
      <w:r>
        <w:rPr>
          <w:bCs/>
          <w:b/>
        </w:rPr>
        <w:t xml:space="preserve">high pH</w:t>
      </w:r>
      <w:r>
        <w:t xml:space="preserve"> </w:t>
      </w:r>
      <w:r>
        <w:t xml:space="preserve">brings deficiencies of Zn, Fe, P, Ca and N (volatilisation); Na toxicity.</w:t>
      </w:r>
    </w:p>
    <w:p>
      <w:pPr>
        <w:pStyle w:val="FirstParagraph"/>
      </w:pPr>
      <w:r>
        <w:rPr>
          <w:bCs/>
          <w:b/>
        </w:rPr>
        <w:t xml:space="preserve">Formation:</w:t>
      </w:r>
      <w:r>
        <w:t xml:space="preserve"> </w:t>
      </w:r>
      <w:r>
        <w:t xml:space="preserve">arid climate (ET &gt; rainfall), so salts rise by capillarity from shallow saline groundwater; irrigation with poor-quality water without drainage;</w:t>
      </w:r>
      <w:r>
        <w:t xml:space="preserve"> </w:t>
      </w:r>
      <w:r>
        <w:rPr>
          <w:bCs/>
          <w:b/>
        </w:rPr>
        <w:t xml:space="preserve">rise of the water table in canal commands</w:t>
      </w:r>
      <w:r>
        <w:t xml:space="preserve"> </w:t>
      </w:r>
      <w:r>
        <w:t xml:space="preserve">(secondary salinisation); seawater intrusion; and, for sodic soils, the weathering of Na-minerals with carbonate/bicarbonate formation and Ca precipitation as CaCO₃.</w:t>
      </w:r>
    </w:p>
    <w:p>
      <w:pPr>
        <w:pStyle w:val="Heading3"/>
      </w:pPr>
      <w:r>
        <w:t xml:space="preserve">18.4.2 Reclamation of saline soils</w:t>
      </w:r>
    </w:p>
    <w:p>
      <w:pPr>
        <w:pStyle w:val="Compact"/>
        <w:numPr>
          <w:ilvl w:val="0"/>
          <w:numId w:val="1136"/>
        </w:numPr>
      </w:pPr>
      <w:r>
        <w:rPr>
          <w:bCs/>
          <w:b/>
        </w:rPr>
        <w:t xml:space="preserve">Leaching</w:t>
      </w:r>
      <w:r>
        <w:t xml:space="preserve"> </w:t>
      </w:r>
      <w:r>
        <w:t xml:space="preserve">of soluble salts with good-quality water. The</w:t>
      </w:r>
      <w:r>
        <w:t xml:space="preserve"> </w:t>
      </w:r>
      <w:r>
        <w:rPr>
          <w:bCs/>
          <w:b/>
        </w:rPr>
        <w:t xml:space="preserve">leaching requirement</w:t>
      </w:r>
      <w:r>
        <w:t xml:space="preserve"> </w:t>
      </w:r>
      <w:r>
        <w:t xml:space="preserve">is</w:t>
      </w:r>
    </w:p>
    <w:p>
      <w:pPr>
        <w:pStyle w:val="FirstParagraph"/>
      </w:pPr>
      <m:oMathPara>
        <m:oMathParaPr>
          <m:jc m:val="center"/>
        </m:oMathParaPr>
        <m:oMath>
          <m:r>
            <m:t>L</m:t>
          </m:r>
          <m:r>
            <m:t>R</m:t>
          </m:r>
          <m:r>
            <m:rPr>
              <m:sty m:val="p"/>
            </m:rPr>
            <m:t>=</m:t>
          </m:r>
          <m:f>
            <m:fPr>
              <m:type m:val="bar"/>
            </m:fPr>
            <m:num>
              <m:r>
                <m:t>E</m:t>
              </m:r>
              <m:sSub>
                <m:e>
                  <m:r>
                    <m:t>C</m:t>
                  </m:r>
                </m:e>
                <m:sub>
                  <m:r>
                    <m:t>i</m:t>
                  </m:r>
                  <m:r>
                    <m:t>w</m:t>
                  </m:r>
                </m:sub>
              </m:sSub>
            </m:num>
            <m:den>
              <m:r>
                <m:t>E</m:t>
              </m:r>
              <m:sSub>
                <m:e>
                  <m:r>
                    <m:t>C</m:t>
                  </m:r>
                </m:e>
                <m:sub>
                  <m:r>
                    <m:t>d</m:t>
                  </m:r>
                  <m:r>
                    <m:t>w</m:t>
                  </m:r>
                </m:sub>
              </m:sSub>
            </m:den>
          </m:f>
        </m:oMath>
      </m:oMathPara>
    </w:p>
    <w:p>
      <w:pPr>
        <w:pStyle w:val="FirstParagraph"/>
      </w:pPr>
      <w:r>
        <w:t xml:space="preserve">(the fraction of applied water that must pass through the root zone;</w:t>
      </w:r>
      <w:r>
        <w:t xml:space="preserve"> </w:t>
      </w:r>
      <m:oMath>
        <m:r>
          <m:t>E</m:t>
        </m:r>
        <m:sSub>
          <m:e>
            <m:r>
              <m:t>C</m:t>
            </m:r>
          </m:e>
          <m:sub>
            <m:r>
              <m:t>i</m:t>
            </m:r>
            <m:r>
              <m:t>w</m:t>
            </m:r>
          </m:sub>
        </m:sSub>
      </m:oMath>
      <w:r>
        <w:t xml:space="preserve"> </w:t>
      </w:r>
      <w:r>
        <w:t xml:space="preserve">= irrigation water,</w:t>
      </w:r>
      <w:r>
        <w:t xml:space="preserve"> </w:t>
      </w:r>
      <m:oMath>
        <m:r>
          <m:t>E</m:t>
        </m:r>
        <m:sSub>
          <m:e>
            <m:r>
              <m:t>C</m:t>
            </m:r>
          </m:e>
          <m:sub>
            <m:r>
              <m:t>d</m:t>
            </m:r>
            <m:r>
              <m:t>w</m:t>
            </m:r>
          </m:sub>
        </m:sSub>
      </m:oMath>
      <w:r>
        <w:t xml:space="preserve"> </w:t>
      </w:r>
      <w:r>
        <w:t xml:space="preserve">= drainage water allowed), or by FAO,</w:t>
      </w:r>
      <w:r>
        <w:t xml:space="preserve"> </w:t>
      </w:r>
      <m:oMath>
        <m:r>
          <m:t>L</m:t>
        </m:r>
        <m:r>
          <m:t>R</m:t>
        </m:r>
        <m:r>
          <m:rPr>
            <m:sty m:val="p"/>
          </m:rPr>
          <m:t>=</m:t>
        </m:r>
        <m:f>
          <m:fPr>
            <m:type m:val="bar"/>
          </m:fPr>
          <m:num>
            <m:r>
              <m:t>E</m:t>
            </m:r>
            <m:sSub>
              <m:e>
                <m:r>
                  <m:t>C</m:t>
                </m:r>
              </m:e>
              <m:sub>
                <m:r>
                  <m:t>w</m:t>
                </m:r>
              </m:sub>
            </m:sSub>
          </m:num>
          <m:den>
            <m:r>
              <m:t>5</m:t>
            </m:r>
            <m:r>
              <m:t>E</m:t>
            </m:r>
            <m:sSub>
              <m:e>
                <m:r>
                  <m:t>C</m:t>
                </m:r>
              </m:e>
              <m:sub>
                <m:r>
                  <m:t>e</m:t>
                </m:r>
              </m:sub>
            </m:sSub>
            <m:r>
              <m:rPr>
                <m:sty m:val="p"/>
              </m:rPr>
              <m:t>−</m:t>
            </m:r>
            <m:r>
              <m:t>E</m:t>
            </m:r>
            <m:sSub>
              <m:e>
                <m:r>
                  <m:t>C</m:t>
                </m:r>
              </m:e>
              <m:sub>
                <m:r>
                  <m:t>w</m:t>
                </m:r>
              </m:sub>
            </m:sSub>
          </m:den>
        </m:f>
      </m:oMath>
      <w:r>
        <w:t xml:space="preserve">.</w:t>
      </w:r>
    </w:p>
    <w:p>
      <w:pPr>
        <w:pStyle w:val="Compact"/>
        <w:numPr>
          <w:ilvl w:val="0"/>
          <w:numId w:val="1137"/>
        </w:numPr>
      </w:pPr>
      <w:r>
        <w:rPr>
          <w:bCs/>
          <w:b/>
        </w:rPr>
        <w:t xml:space="preserve">Provide drainage:</w:t>
      </w:r>
      <w:r>
        <w:t xml:space="preserve"> </w:t>
      </w:r>
      <w:r>
        <w:t xml:space="preserve">surface drains and</w:t>
      </w:r>
      <w:r>
        <w:t xml:space="preserve"> </w:t>
      </w:r>
      <w:r>
        <w:rPr>
          <w:bCs/>
          <w:b/>
        </w:rPr>
        <w:t xml:space="preserve">subsurface drainage</w:t>
      </w:r>
      <w:r>
        <w:t xml:space="preserve"> </w:t>
      </w:r>
      <w:r>
        <w:t xml:space="preserve">(perforated PVC pipes at 1.5–2 m depth, 30–75 m spacing; CSSRI technology in Haryana, Rajasthan and Gujarat). Vertical drainage (tube wells) and</w:t>
      </w:r>
      <w:r>
        <w:t xml:space="preserve"> </w:t>
      </w:r>
      <w:r>
        <w:rPr>
          <w:bCs/>
          <w:b/>
        </w:rPr>
        <w:t xml:space="preserve">bio-drainage</w:t>
      </w:r>
      <w:r>
        <w:t xml:space="preserve"> </w:t>
      </w:r>
      <w:r>
        <w:t xml:space="preserve">(eucalyptus,</w:t>
      </w:r>
      <w:r>
        <w:t xml:space="preserve"> </w:t>
      </w:r>
      <w:r>
        <w:rPr>
          <w:iCs/>
          <w:i/>
        </w:rPr>
        <w:t xml:space="preserve">Prosopis</w:t>
      </w:r>
      <w:r>
        <w:t xml:space="preserve"> </w:t>
      </w:r>
      <w:r>
        <w:t xml:space="preserve">plantations transpiring groundwater) also help.</w:t>
      </w:r>
    </w:p>
    <w:p>
      <w:pPr>
        <w:pStyle w:val="Compact"/>
        <w:numPr>
          <w:ilvl w:val="0"/>
          <w:numId w:val="1137"/>
        </w:numPr>
      </w:pPr>
      <w:r>
        <w:t xml:space="preserve">Salt-tolerant crops: barley, cotton, sugar beet, mustard, wheat (moderately), date palm,</w:t>
      </w:r>
      <w:r>
        <w:t xml:space="preserve"> </w:t>
      </w:r>
      <w:r>
        <w:rPr>
          <w:iCs/>
          <w:i/>
        </w:rPr>
        <w:t xml:space="preserve">Salicornia</w:t>
      </w:r>
      <w:r>
        <w:t xml:space="preserve">. Salt-tolerant varieties (e.g. CSSRI rice CSR series, Kharchia wheat).</w:t>
      </w:r>
    </w:p>
    <w:p>
      <w:pPr>
        <w:pStyle w:val="Compact"/>
        <w:numPr>
          <w:ilvl w:val="0"/>
          <w:numId w:val="1137"/>
        </w:numPr>
      </w:pPr>
      <w:r>
        <w:t xml:space="preserve">Management: ridge planting with seeds on the side slope below the salt-accumulating ridge top, mulching, organic matter, frequent light irrigation, drip irrigation.</w:t>
      </w:r>
    </w:p>
    <w:p>
      <w:pPr>
        <w:pStyle w:val="Heading3"/>
      </w:pPr>
      <w:r>
        <w:t xml:space="preserve">18.4.3 Reclamation of sodic soils</w:t>
      </w:r>
    </w:p>
    <w:p>
      <w:pPr>
        <w:pStyle w:val="FirstParagraph"/>
      </w:pPr>
      <w:r>
        <w:t xml:space="preserve">Sodium must be</w:t>
      </w:r>
      <w:r>
        <w:t xml:space="preserve"> </w:t>
      </w:r>
      <w:r>
        <w:rPr>
          <w:bCs/>
          <w:b/>
        </w:rPr>
        <w:t xml:space="preserve">replaced by calcium</w:t>
      </w:r>
      <w:r>
        <w:t xml:space="preserve"> </w:t>
      </w:r>
      <w:r>
        <w:t xml:space="preserve">and then leached. Leaching alone does not work.</w:t>
      </w:r>
    </w:p>
    <w:p>
      <w:pPr>
        <w:pStyle w:val="Compact"/>
        <w:numPr>
          <w:ilvl w:val="0"/>
          <w:numId w:val="1138"/>
        </w:numPr>
      </w:pPr>
      <w:r>
        <w:rPr>
          <w:bCs/>
          <w:b/>
        </w:rPr>
        <w:t xml:space="preserve">Gypsum (CaSO₄·2H₂O)</w:t>
      </w:r>
      <w:r>
        <w:t xml:space="preserve">, the most widely used amendment:</w:t>
      </w:r>
    </w:p>
    <w:p>
      <w:pPr>
        <w:pStyle w:val="FirstParagraph"/>
      </w:pPr>
      <m:oMathPara>
        <m:oMathParaPr>
          <m:jc m:val="center"/>
        </m:oMathParaPr>
        <m:oMath>
          <m:r>
            <m:t>N</m:t>
          </m:r>
          <m:sSub>
            <m:e>
              <m:r>
                <m:t>a</m:t>
              </m:r>
            </m:e>
            <m:sub>
              <m:r>
                <m:t>2</m:t>
              </m:r>
            </m:sub>
          </m:sSub>
          <m:r>
            <m:rPr>
              <m:nor/>
              <m:sty m:val="p"/>
            </m:rPr>
            <m:t>-clay</m:t>
          </m:r>
          <m:r>
            <m:rPr>
              <m:sty m:val="p"/>
            </m:rPr>
            <m:t>+</m:t>
          </m:r>
          <m:r>
            <m:t>C</m:t>
          </m:r>
          <m:r>
            <m:t>a</m:t>
          </m:r>
          <m:r>
            <m:t>S</m:t>
          </m:r>
          <m:sSub>
            <m:e>
              <m:r>
                <m:t>O</m:t>
              </m:r>
            </m:e>
            <m:sub>
              <m:r>
                <m:t>4</m:t>
              </m:r>
            </m:sub>
          </m:sSub>
          <m:r>
            <m:rPr>
              <m:sty m:val="p"/>
            </m:rPr>
            <m:t>→</m:t>
          </m:r>
          <m:r>
            <m:t>C</m:t>
          </m:r>
          <m:r>
            <m:t>a</m:t>
          </m:r>
          <m:r>
            <m:rPr>
              <m:nor/>
              <m:sty m:val="p"/>
            </m:rPr>
            <m:t>-clay</m:t>
          </m:r>
          <m:r>
            <m:rPr>
              <m:sty m:val="p"/>
            </m:rPr>
            <m:t>+</m:t>
          </m:r>
          <m:r>
            <m:t>N</m:t>
          </m:r>
          <m:sSub>
            <m:e>
              <m:r>
                <m:t>a</m:t>
              </m:r>
            </m:e>
            <m:sub>
              <m:r>
                <m:t>2</m:t>
              </m:r>
            </m:sub>
          </m:sSub>
          <m:r>
            <m:t>S</m:t>
          </m:r>
          <m:sSub>
            <m:e>
              <m:r>
                <m:t>O</m:t>
              </m:r>
            </m:e>
            <m:sub>
              <m:r>
                <m:t>4</m:t>
              </m:r>
            </m:sub>
          </m:sSub>
          <m:r>
            <m:t> </m:t>
          </m:r>
          <m:d>
            <m:dPr>
              <m:begChr m:val="("/>
              <m:endChr m:val=")"/>
              <m:sepChr m:val=""/>
              <m:grow/>
            </m:dPr>
            <m:e>
              <m:r>
                <m:rPr>
                  <m:nor/>
                  <m:sty m:val="p"/>
                </m:rPr>
                <m:t>leached</m:t>
              </m:r>
            </m:e>
          </m:d>
        </m:oMath>
      </m:oMathPara>
    </w:p>
    <w:p>
      <w:pPr>
        <w:pStyle w:val="FirstParagraph"/>
      </w:pPr>
      <w:r>
        <w:rPr>
          <w:bCs/>
          <w:b/>
        </w:rPr>
        <w:t xml:space="preserve">Gypsum requirement (GR)</w:t>
      </w:r>
      <w:r>
        <w:t xml:space="preserve"> </w:t>
      </w:r>
      <w:r>
        <w:t xml:space="preserve">is calculated from ESP reduction:</w:t>
      </w:r>
    </w:p>
    <w:p>
      <w:pPr>
        <w:pStyle w:val="BodyText"/>
      </w:pPr>
      <m:oMathPara>
        <m:oMathParaPr>
          <m:jc m:val="center"/>
        </m:oMathParaPr>
        <m:oMath>
          <m:r>
            <m:t>G</m:t>
          </m:r>
          <m:r>
            <m:t>R</m:t>
          </m:r>
          <m:r>
            <m:t> </m:t>
          </m:r>
          <m:d>
            <m:dPr>
              <m:begChr m:val="("/>
              <m:endChr m:val=")"/>
              <m:sepChr m:val=""/>
              <m:grow/>
            </m:dPr>
            <m:e>
              <m:sSup>
                <m:e>
                  <m:r>
                    <m:rPr>
                      <m:nor/>
                      <m:sty m:val="p"/>
                    </m:rPr>
                    <m:t>t ha</m:t>
                  </m:r>
                </m:e>
                <m:sup>
                  <m:r>
                    <m:rPr>
                      <m:sty m:val="p"/>
                    </m:rPr>
                    <m:t>−</m:t>
                  </m:r>
                  <m:r>
                    <m:t>1</m:t>
                  </m:r>
                </m:sup>
              </m:sSup>
            </m:e>
          </m:d>
          <m:r>
            <m:rPr>
              <m:sty m:val="p"/>
            </m:rPr>
            <m:t>=</m:t>
          </m:r>
          <m:f>
            <m:fPr>
              <m:type m:val="bar"/>
            </m:fPr>
            <m:num>
              <m:d>
                <m:dPr>
                  <m:begChr m:val="("/>
                  <m:endChr m:val=")"/>
                  <m:sepChr m:val=""/>
                  <m:grow/>
                </m:dPr>
                <m:e>
                  <m:r>
                    <m:t>E</m:t>
                  </m:r>
                  <m:r>
                    <m:t>S</m:t>
                  </m:r>
                  <m:sSub>
                    <m:e>
                      <m:r>
                        <m:t>P</m:t>
                      </m:r>
                    </m:e>
                    <m:sub>
                      <m:r>
                        <m:t>i</m:t>
                      </m:r>
                    </m:sub>
                  </m:sSub>
                  <m:r>
                    <m:rPr>
                      <m:sty m:val="p"/>
                    </m:rPr>
                    <m:t>−</m:t>
                  </m:r>
                  <m:r>
                    <m:t>E</m:t>
                  </m:r>
                  <m:r>
                    <m:t>S</m:t>
                  </m:r>
                  <m:sSub>
                    <m:e>
                      <m:r>
                        <m:t>P</m:t>
                      </m:r>
                    </m:e>
                    <m:sub>
                      <m:r>
                        <m:t>f</m:t>
                      </m:r>
                    </m:sub>
                  </m:sSub>
                </m:e>
              </m:d>
              <m:r>
                <m:rPr>
                  <m:sty m:val="p"/>
                </m:rPr>
                <m:t>×</m:t>
              </m:r>
              <m:r>
                <m:t>C</m:t>
              </m:r>
              <m:r>
                <m:t>E</m:t>
              </m:r>
              <m:r>
                <m:t>C</m:t>
              </m:r>
            </m:num>
            <m:den>
              <m:r>
                <m:t>100</m:t>
              </m:r>
            </m:den>
          </m:f>
          <m:r>
            <m:rPr>
              <m:sty m:val="p"/>
            </m:rPr>
            <m:t>×</m:t>
          </m:r>
          <m:r>
            <m:t> </m:t>
          </m:r>
          <m:r>
            <m:rPr>
              <m:nor/>
              <m:sty m:val="p"/>
            </m:rPr>
            <m:t>depth factor</m:t>
          </m:r>
          <m:r>
            <m:rPr>
              <m:sty m:val="p"/>
            </m:rPr>
            <m:t>×</m:t>
          </m:r>
          <m:r>
            <m:t>0.086</m:t>
          </m:r>
          <m:r>
            <m:rPr>
              <m:sty m:val="p"/>
            </m:rPr>
            <m:t>×</m:t>
          </m:r>
          <m:r>
            <m:rPr>
              <m:sty m:val="p"/>
            </m:rPr>
            <m:t>…</m:t>
          </m:r>
        </m:oMath>
      </m:oMathPara>
    </w:p>
    <w:p>
      <w:pPr>
        <w:pStyle w:val="FirstParagraph"/>
      </w:pPr>
      <w:r>
        <w:t xml:space="preserve">In practice, about 50% of the GR is applied to the top 15 cm, with an approximate dose of 10–15 t ha⁻¹ for highly sodic soils.</w:t>
      </w:r>
    </w:p>
    <w:p>
      <w:pPr>
        <w:pStyle w:val="Compact"/>
        <w:numPr>
          <w:ilvl w:val="0"/>
          <w:numId w:val="1139"/>
        </w:numPr>
      </w:pPr>
      <w:r>
        <w:rPr>
          <w:bCs/>
          <w:b/>
        </w:rPr>
        <w:t xml:space="preserve">Other amendments:</w:t>
      </w:r>
      <w:r>
        <w:t xml:space="preserve"> </w:t>
      </w:r>
      <w:r>
        <w:rPr>
          <w:bCs/>
          <w:b/>
        </w:rPr>
        <w:t xml:space="preserve">pyrite</w:t>
      </w:r>
      <w:r>
        <w:t xml:space="preserve"> </w:t>
      </w:r>
      <w:r>
        <w:t xml:space="preserve">(FeS₂, which oxidises to H₂SO₄ and solubilises native CaCO₃), elemental sulphur, sulphuric acid,</w:t>
      </w:r>
      <w:r>
        <w:t xml:space="preserve"> </w:t>
      </w:r>
      <w:r>
        <w:rPr>
          <w:bCs/>
          <w:b/>
        </w:rPr>
        <w:t xml:space="preserve">press mud</w:t>
      </w:r>
      <w:r>
        <w:t xml:space="preserve"> </w:t>
      </w:r>
      <w:r>
        <w:t xml:space="preserve">(sugar factory waste with Ca), phosphogypsum, acid-forming organic matter (FYM, green manure with</w:t>
      </w:r>
      <w:r>
        <w:t xml:space="preserve"> </w:t>
      </w:r>
      <w:r>
        <w:rPr>
          <w:iCs/>
          <w:i/>
        </w:rPr>
        <w:t xml:space="preserve">Sesbania</w:t>
      </w:r>
      <w:r>
        <w:t xml:space="preserve">), and calcium chloride.</w:t>
      </w:r>
    </w:p>
    <w:p>
      <w:pPr>
        <w:pStyle w:val="Compact"/>
        <w:numPr>
          <w:ilvl w:val="0"/>
          <w:numId w:val="1139"/>
        </w:numPr>
      </w:pPr>
      <w:r>
        <w:rPr>
          <w:bCs/>
          <w:b/>
        </w:rPr>
        <w:t xml:space="preserve">After amendment:</w:t>
      </w:r>
      <w:r>
        <w:t xml:space="preserve"> </w:t>
      </w:r>
      <w:r>
        <w:t xml:space="preserve">pond water, leach, then grow</w:t>
      </w:r>
      <w:r>
        <w:t xml:space="preserve"> </w:t>
      </w:r>
      <w:r>
        <w:rPr>
          <w:bCs/>
          <w:b/>
        </w:rPr>
        <w:t xml:space="preserve">rice</w:t>
      </w:r>
      <w:r>
        <w:t xml:space="preserve"> </w:t>
      </w:r>
      <w:r>
        <w:t xml:space="preserve">(tolerates sodicity and submergence aids reclamation), followed by wheat and berseem. The UP Sodic Lands Reclamation Project is an example. Grow tolerant species (Karnal grass</w:t>
      </w:r>
      <w:r>
        <w:t xml:space="preserve"> </w:t>
      </w:r>
      <w:r>
        <w:rPr>
          <w:iCs/>
          <w:i/>
        </w:rPr>
        <w:t xml:space="preserve">Leptochloa fusca</w:t>
      </w:r>
      <w:r>
        <w:t xml:space="preserve">,</w:t>
      </w:r>
      <w:r>
        <w:t xml:space="preserve"> </w:t>
      </w:r>
      <w:r>
        <w:rPr>
          <w:iCs/>
          <w:i/>
        </w:rPr>
        <w:t xml:space="preserve">Prosopis</w:t>
      </w:r>
      <w:r>
        <w:t xml:space="preserve">,</w:t>
      </w:r>
      <w:r>
        <w:t xml:space="preserve"> </w:t>
      </w:r>
      <w:r>
        <w:rPr>
          <w:iCs/>
          <w:i/>
        </w:rPr>
        <w:t xml:space="preserve">Acacia nilotica</w:t>
      </w:r>
      <w:r>
        <w:t xml:space="preserve">), add zinc sulphate, apply extra N, avoid NaHCO₃-rich irrigation water.</w:t>
      </w:r>
    </w:p>
    <w:p>
      <w:pPr>
        <w:pStyle w:val="Heading3"/>
      </w:pPr>
      <w:r>
        <w:t xml:space="preserve">18.4.4 Remote sensing of salt-affected soils</w:t>
      </w:r>
    </w:p>
    <w:p>
      <w:pPr>
        <w:pStyle w:val="FirstParagraph"/>
      </w:pPr>
      <w:r>
        <w:t xml:space="preserve">Salt crusts are bright and white in VIS–NIR. Sodic soils show high surface reflectance and sparse, stunted vegetation. Indices include NDSI (salinity index), the brightness index (BI) and SI = √(B·R). Multi-season imagery separates salt-affected land from fallow. SAR responds to dielectric changes from salts. Maps at 1:250k and 1:50k were produced by NRSC with CSSRI and NBSS&amp;LUP. Salinity mapping is hard under crops (salt shows only through crop stress).</w:t>
      </w:r>
    </w:p>
    <w:p>
      <w:pPr>
        <w:pStyle w:val="Heading2"/>
      </w:pPr>
      <w:r>
        <w:t xml:space="preserve">18.5 Calcareous Soils</w:t>
      </w:r>
    </w:p>
    <w:p>
      <w:pPr>
        <w:pStyle w:val="FirstParagraph"/>
      </w:pPr>
      <w:r>
        <w:t xml:space="preserve">Calcareous soils contain free</w:t>
      </w:r>
      <w:r>
        <w:t xml:space="preserve"> </w:t>
      </w:r>
      <w:r>
        <w:rPr>
          <w:bCs/>
          <w:b/>
        </w:rPr>
        <w:t xml:space="preserve">CaCO₃</w:t>
      </w:r>
      <w:r>
        <w:t xml:space="preserve"> </w:t>
      </w:r>
      <w:r>
        <w:t xml:space="preserve">(more than about 2–15%; effervescence with dilute HCl) and have pH 7.5–8.5. They occur in Rajasthan, Gujarat, Bihar (calcareous alluvium), Punjab, Haryana and Maharashtra.</w:t>
      </w:r>
      <w:r>
        <w:t xml:space="preserve"> </w:t>
      </w:r>
      <w:r>
        <w:rPr>
          <w:bCs/>
          <w:b/>
        </w:rPr>
        <w:t xml:space="preserve">Problems:</w:t>
      </w:r>
      <w:r>
        <w:t xml:space="preserve"> </w:t>
      </w:r>
      <w:r>
        <w:t xml:space="preserve">P fixation as Ca-phosphates;</w:t>
      </w:r>
      <w:r>
        <w:t xml:space="preserve"> </w:t>
      </w:r>
      <w:r>
        <w:rPr>
          <w:bCs/>
          <w:b/>
        </w:rPr>
        <w:t xml:space="preserve">Fe chlorosis (lime-induced chlorosis)</w:t>
      </w:r>
      <w:r>
        <w:t xml:space="preserve">; deficiencies of Zn, Mn, Cu and B; ammonia volatilisation from urea; crusting.</w:t>
      </w:r>
      <w:r>
        <w:t xml:space="preserve"> </w:t>
      </w:r>
      <w:r>
        <w:rPr>
          <w:bCs/>
          <w:b/>
        </w:rPr>
        <w:t xml:space="preserve">Management:</w:t>
      </w:r>
      <w:r>
        <w:t xml:space="preserve"> </w:t>
      </w:r>
      <w:r>
        <w:t xml:space="preserve">acid-forming fertilisers (ammonium sulphate), elemental S, FeSO₄ and ZnSO₄ (soil or foliar), chelated micronutrients, band placement of P, organic matter, tolerant crops.</w:t>
      </w:r>
    </w:p>
    <w:p>
      <w:pPr>
        <w:pStyle w:val="Heading2"/>
      </w:pPr>
      <w:r>
        <w:t xml:space="preserve">18.6 Acid Sulphate Soils</w:t>
      </w:r>
    </w:p>
    <w:p>
      <w:pPr>
        <w:pStyle w:val="FirstParagraph"/>
      </w:pPr>
      <w:r>
        <w:t xml:space="preserve">Coastal soils (mangrove and estuarine sediments) rich in</w:t>
      </w:r>
      <w:r>
        <w:t xml:space="preserve"> </w:t>
      </w:r>
      <w:r>
        <w:rPr>
          <w:bCs/>
          <w:b/>
        </w:rPr>
        <w:t xml:space="preserve">pyrite (FeS₂)</w:t>
      </w:r>
      <w:r>
        <w:t xml:space="preserve">. When drained and aerated, pyrite oxidises to sulphuric acid:</w:t>
      </w:r>
    </w:p>
    <w:p>
      <w:pPr>
        <w:pStyle w:val="BodyText"/>
      </w:pPr>
      <m:oMathPara>
        <m:oMathParaPr>
          <m:jc m:val="center"/>
        </m:oMathParaPr>
        <m:oMath>
          <m:r>
            <m:t>4</m:t>
          </m:r>
          <m:r>
            <m:t>F</m:t>
          </m:r>
          <m:r>
            <m:t>e</m:t>
          </m:r>
          <m:sSub>
            <m:e>
              <m:r>
                <m:t>S</m:t>
              </m:r>
            </m:e>
            <m:sub>
              <m:r>
                <m:t>2</m:t>
              </m:r>
            </m:sub>
          </m:sSub>
          <m:r>
            <m:rPr>
              <m:sty m:val="p"/>
            </m:rPr>
            <m:t>+</m:t>
          </m:r>
          <m:r>
            <m:t>15</m:t>
          </m:r>
          <m:sSub>
            <m:e>
              <m:r>
                <m:t>O</m:t>
              </m:r>
            </m:e>
            <m:sub>
              <m:r>
                <m:t>2</m:t>
              </m:r>
            </m:sub>
          </m:sSub>
          <m:r>
            <m:rPr>
              <m:sty m:val="p"/>
            </m:rPr>
            <m:t>+</m:t>
          </m:r>
          <m:r>
            <m:t>14</m:t>
          </m:r>
          <m:sSub>
            <m:e>
              <m:r>
                <m:t>H</m:t>
              </m:r>
            </m:e>
            <m:sub>
              <m:r>
                <m:t>2</m:t>
              </m:r>
            </m:sub>
          </m:sSub>
          <m:r>
            <m:t>O</m:t>
          </m:r>
          <m:r>
            <m:rPr>
              <m:sty m:val="p"/>
            </m:rPr>
            <m:t>→</m:t>
          </m:r>
          <m:r>
            <m:t>4</m:t>
          </m:r>
          <m:r>
            <m:t>F</m:t>
          </m:r>
          <m:r>
            <m:t>e</m:t>
          </m:r>
          <m:sSub>
            <m:e>
              <m:d>
                <m:dPr>
                  <m:begChr m:val="("/>
                  <m:endChr m:val=")"/>
                  <m:sepChr m:val=""/>
                  <m:grow/>
                </m:dPr>
                <m:e>
                  <m:r>
                    <m:t>O</m:t>
                  </m:r>
                  <m:r>
                    <m:t>H</m:t>
                  </m:r>
                </m:e>
              </m:d>
            </m:e>
            <m:sub>
              <m:r>
                <m:t>3</m:t>
              </m:r>
            </m:sub>
          </m:sSub>
          <m:r>
            <m:rPr>
              <m:sty m:val="p"/>
            </m:rPr>
            <m:t>+</m:t>
          </m:r>
          <m:r>
            <m:t>8</m:t>
          </m:r>
          <m:sSub>
            <m:e>
              <m:r>
                <m:t>H</m:t>
              </m:r>
            </m:e>
            <m:sub>
              <m:r>
                <m:t>2</m:t>
              </m:r>
            </m:sub>
          </m:sSub>
          <m:r>
            <m:t>S</m:t>
          </m:r>
          <m:sSub>
            <m:e>
              <m:r>
                <m:t>O</m:t>
              </m:r>
            </m:e>
            <m:sub>
              <m:r>
                <m:t>4</m:t>
              </m:r>
            </m:sub>
          </m:sSub>
        </m:oMath>
      </m:oMathPara>
    </w:p>
    <w:p>
      <w:pPr>
        <w:pStyle w:val="FirstParagraph"/>
      </w:pPr>
      <w:r>
        <w:t xml:space="preserve">pH falls below 3.5, with Al and Fe toxicity and yellow</w:t>
      </w:r>
      <w:r>
        <w:t xml:space="preserve"> </w:t>
      </w:r>
      <w:r>
        <w:rPr>
          <w:bCs/>
          <w:b/>
        </w:rPr>
        <w:t xml:space="preserve">jarosite</w:t>
      </w:r>
      <w:r>
        <w:t xml:space="preserve"> </w:t>
      </w:r>
      <w:r>
        <w:t xml:space="preserve">mottles. Examples are the</w:t>
      </w:r>
      <w:r>
        <w:t xml:space="preserve"> </w:t>
      </w:r>
      <w:r>
        <w:rPr>
          <w:bCs/>
          <w:b/>
        </w:rPr>
        <w:t xml:space="preserve">Kari</w:t>
      </w:r>
      <w:r>
        <w:t xml:space="preserve"> </w:t>
      </w:r>
      <w:r>
        <w:t xml:space="preserve">and</w:t>
      </w:r>
      <w:r>
        <w:t xml:space="preserve"> </w:t>
      </w:r>
      <w:r>
        <w:rPr>
          <w:bCs/>
          <w:b/>
        </w:rPr>
        <w:t xml:space="preserve">Pokkali</w:t>
      </w:r>
      <w:r>
        <w:t xml:space="preserve"> </w:t>
      </w:r>
      <w:r>
        <w:t xml:space="preserve">soils of Kerala, the Sundarbans and Andaman. Management: keep the soil submerged to prevent oxidation, controlled drainage and leaching, liming, raised beds, and rice–fish (Pokkali) systems.</w:t>
      </w:r>
    </w:p>
    <w:p>
      <w:pPr>
        <w:pStyle w:val="Heading2"/>
      </w:pPr>
      <w:r>
        <w:t xml:space="preserve">18.7 Waterlogged Soils</w:t>
      </w:r>
    </w:p>
    <w:p>
      <w:pPr>
        <w:pStyle w:val="FirstParagraph"/>
      </w:pPr>
      <w:r>
        <w:rPr>
          <w:bCs/>
          <w:b/>
        </w:rPr>
        <w:t xml:space="preserve">Waterlogging</w:t>
      </w:r>
      <w:r>
        <w:t xml:space="preserve"> </w:t>
      </w:r>
      <w:r>
        <w:t xml:space="preserve">is the condition in which the soil pores in the root zone are saturated long enough to create anaerobic conditions harmful to most crops. Land is usually considered waterlogged when the</w:t>
      </w:r>
      <w:r>
        <w:t xml:space="preserve"> </w:t>
      </w:r>
      <w:r>
        <w:rPr>
          <w:bCs/>
          <w:b/>
        </w:rPr>
        <w:t xml:space="preserve">water table is within about 2 m of the surface</w:t>
      </w:r>
      <w:r>
        <w:t xml:space="preserve"> </w:t>
      </w:r>
      <w:r>
        <w:t xml:space="preserve">(critical within 1.5 m for most crops). India has an estimated</w:t>
      </w:r>
      <w:r>
        <w:t xml:space="preserve"> </w:t>
      </w:r>
      <w:r>
        <w:rPr>
          <w:bCs/>
          <w:b/>
        </w:rPr>
        <w:t xml:space="preserve">2.5–4 Mha of waterlogged land</w:t>
      </w:r>
      <w:r>
        <w:t xml:space="preserve">, much of it in canal commands (Punjab, Haryana, Rajasthan IGNP, UP, Bihar, Gujarat, Karnataka).</w:t>
      </w:r>
    </w:p>
    <w:p>
      <w:pPr>
        <w:pStyle w:val="BodyText"/>
      </w:pPr>
      <w:r>
        <w:rPr>
          <w:bCs/>
          <w:b/>
        </w:rPr>
        <w:t xml:space="preserve">Causes:</w:t>
      </w:r>
      <w:r>
        <w:t xml:space="preserve"> </w:t>
      </w:r>
      <w:r>
        <w:t xml:space="preserve">seepage from unlined canals; over-irrigation; poor natural drainage (flat topography, impermeable subsoils); obstruction of natural drainage by roads and railways; high rainfall and flooding; rise of the groundwater table without matching withdrawal.</w:t>
      </w:r>
    </w:p>
    <w:p>
      <w:pPr>
        <w:pStyle w:val="BodyText"/>
      </w:pPr>
      <w:r>
        <w:rPr>
          <w:bCs/>
          <w:b/>
        </w:rPr>
        <w:t xml:space="preserve">Effects:</w:t>
      </w:r>
      <w:r>
        <w:t xml:space="preserve"> </w:t>
      </w:r>
      <w:r>
        <w:t xml:space="preserve">O₂ deficiency in the root zone; accumulation of toxic reduced substances; secondary salinisation; nutrient losses (denitrification); lower soil temperature; difficult field operations; root diseases; mosquito breeding.</w:t>
      </w:r>
    </w:p>
    <w:p>
      <w:pPr>
        <w:pStyle w:val="Heading3"/>
      </w:pPr>
      <w:r>
        <w:t xml:space="preserve">18.7.1 Chemistry of submerged (waterlogged and paddy) soils</w:t>
      </w:r>
    </w:p>
    <w:p>
      <w:pPr>
        <w:pStyle w:val="FirstParagraph"/>
      </w:pPr>
      <w:r>
        <w:t xml:space="preserve">When a soil is flooded, the O₂ in its pores is consumed by microbes within hours to a day. Facultative and then obligate anaerobic microbes use other compounds as</w:t>
      </w:r>
      <w:r>
        <w:t xml:space="preserve"> </w:t>
      </w:r>
      <w:r>
        <w:rPr>
          <w:bCs/>
          <w:b/>
        </w:rPr>
        <w:t xml:space="preserve">electron acceptors</w:t>
      </w:r>
      <w:r>
        <w:t xml:space="preserve"> </w:t>
      </w:r>
      <w:r>
        <w:t xml:space="preserve">in a predictable</w:t>
      </w:r>
      <w:r>
        <w:t xml:space="preserve"> </w:t>
      </w:r>
      <w:r>
        <w:rPr>
          <w:bCs/>
          <w:b/>
        </w:rPr>
        <w:t xml:space="preserve">thermodynamic sequence</w:t>
      </w:r>
      <w:r>
        <w:t xml:space="preserve"> </w:t>
      </w:r>
      <w:r>
        <w:t xml:space="preserve">(Ponnamperuma). The redox potential falls step by step:</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Approximate Eh (mV, pH 7)</w:t>
            </w:r>
          </w:p>
        </w:tc>
        <w:tc>
          <w:tcPr/>
          <w:p>
            <w:pPr>
              <w:pStyle w:val="Compact"/>
              <w:jc w:val="left"/>
            </w:pPr>
            <w:r>
              <w:t xml:space="preserve">Reduction reaction</w:t>
            </w:r>
          </w:p>
        </w:tc>
        <w:tc>
          <w:tcPr/>
          <w:p>
            <w:pPr>
              <w:pStyle w:val="Compact"/>
              <w:jc w:val="left"/>
            </w:pPr>
            <w:r>
              <w:t xml:space="preserve">Consequence</w:t>
            </w:r>
          </w:p>
        </w:tc>
      </w:tr>
      <w:tr>
        <w:tc>
          <w:tcPr/>
          <w:p>
            <w:pPr>
              <w:pStyle w:val="Compact"/>
              <w:jc w:val="left"/>
            </w:pPr>
            <w:r>
              <w:t xml:space="preserve">+400 to +600</w:t>
            </w:r>
          </w:p>
        </w:tc>
        <w:tc>
          <w:tcPr/>
          <w:p>
            <w:pPr>
              <w:pStyle w:val="Compact"/>
              <w:jc w:val="left"/>
            </w:pPr>
            <w:r>
              <w:t xml:space="preserve">O₂ → H₂O</w:t>
            </w:r>
          </w:p>
        </w:tc>
        <w:tc>
          <w:tcPr/>
          <w:p>
            <w:pPr>
              <w:pStyle w:val="Compact"/>
              <w:jc w:val="left"/>
            </w:pPr>
            <w:r>
              <w:t xml:space="preserve">O₂ disappears</w:t>
            </w:r>
          </w:p>
        </w:tc>
      </w:tr>
      <w:tr>
        <w:tc>
          <w:tcPr/>
          <w:p>
            <w:pPr>
              <w:pStyle w:val="Compact"/>
              <w:jc w:val="left"/>
            </w:pPr>
            <w:r>
              <w:t xml:space="preserve">~ +220</w:t>
            </w:r>
          </w:p>
        </w:tc>
        <w:tc>
          <w:tcPr/>
          <w:p>
            <w:pPr>
              <w:pStyle w:val="Compact"/>
              <w:jc w:val="left"/>
            </w:pPr>
            <w:r>
              <w:rPr>
                <w:bCs/>
                <w:b/>
              </w:rPr>
              <w:t xml:space="preserve">NO₃⁻ → NO₂⁻ → N₂O → N₂</w:t>
            </w:r>
            <w:r>
              <w:t xml:space="preserve"> </w:t>
            </w:r>
            <w:r>
              <w:t xml:space="preserve">(denitrification)</w:t>
            </w:r>
          </w:p>
        </w:tc>
        <w:tc>
          <w:tcPr/>
          <w:p>
            <w:pPr>
              <w:pStyle w:val="Compact"/>
              <w:jc w:val="left"/>
            </w:pPr>
            <w:r>
              <w:t xml:space="preserve">Loss of nitrate N</w:t>
            </w:r>
          </w:p>
        </w:tc>
      </w:tr>
      <w:tr>
        <w:tc>
          <w:tcPr/>
          <w:p>
            <w:pPr>
              <w:pStyle w:val="Compact"/>
              <w:jc w:val="left"/>
            </w:pPr>
            <w:r>
              <w:t xml:space="preserve">~ +200</w:t>
            </w:r>
          </w:p>
        </w:tc>
        <w:tc>
          <w:tcPr/>
          <w:p>
            <w:pPr>
              <w:pStyle w:val="Compact"/>
              <w:jc w:val="left"/>
            </w:pPr>
            <w:r>
              <w:rPr>
                <w:bCs/>
                <w:b/>
              </w:rPr>
              <w:t xml:space="preserve">Mn⁴⁺ → Mn²⁺</w:t>
            </w:r>
          </w:p>
        </w:tc>
        <w:tc>
          <w:tcPr/>
          <w:p>
            <w:pPr>
              <w:pStyle w:val="Compact"/>
              <w:jc w:val="left"/>
            </w:pPr>
            <w:r>
              <w:t xml:space="preserve">Mn solubility rises (possible toxicity)</w:t>
            </w:r>
          </w:p>
        </w:tc>
      </w:tr>
      <w:tr>
        <w:tc>
          <w:tcPr/>
          <w:p>
            <w:pPr>
              <w:pStyle w:val="Compact"/>
              <w:jc w:val="left"/>
            </w:pPr>
            <w:r>
              <w:t xml:space="preserve">~ +120</w:t>
            </w:r>
          </w:p>
        </w:tc>
        <w:tc>
          <w:tcPr/>
          <w:p>
            <w:pPr>
              <w:pStyle w:val="Compact"/>
              <w:jc w:val="left"/>
            </w:pPr>
            <w:r>
              <w:rPr>
                <w:bCs/>
                <w:b/>
              </w:rPr>
              <w:t xml:space="preserve">Fe³⁺ → Fe²⁺</w:t>
            </w:r>
          </w:p>
        </w:tc>
        <w:tc>
          <w:tcPr/>
          <w:p>
            <w:pPr>
              <w:pStyle w:val="Compact"/>
              <w:jc w:val="left"/>
            </w:pPr>
            <w:r>
              <w:t xml:space="preserve">Grey/blue gley colours; Fe²⁺ toxicity (bronzing of rice); release of Fe-bound P</w:t>
            </w:r>
          </w:p>
        </w:tc>
      </w:tr>
      <w:tr>
        <w:tc>
          <w:tcPr/>
          <w:p>
            <w:pPr>
              <w:pStyle w:val="Compact"/>
              <w:jc w:val="left"/>
            </w:pPr>
            <w:r>
              <w:t xml:space="preserve">~ −150</w:t>
            </w:r>
          </w:p>
        </w:tc>
        <w:tc>
          <w:tcPr/>
          <w:p>
            <w:pPr>
              <w:pStyle w:val="Compact"/>
              <w:jc w:val="left"/>
            </w:pPr>
            <w:r>
              <w:rPr>
                <w:bCs/>
                <w:b/>
              </w:rPr>
              <w:t xml:space="preserve">SO₄²⁻ → S²⁻ (H₂S)</w:t>
            </w:r>
          </w:p>
        </w:tc>
        <w:tc>
          <w:tcPr/>
          <w:p>
            <w:pPr>
              <w:pStyle w:val="Compact"/>
              <w:jc w:val="left"/>
            </w:pPr>
            <w:r>
              <w:t xml:space="preserve">H₂S toxicity (</w:t>
            </w:r>
            <w:r>
              <w:t xml:space="preserve">“</w:t>
            </w:r>
            <w:r>
              <w:t xml:space="preserve">akiochi</w:t>
            </w:r>
            <w:r>
              <w:t xml:space="preserve">”</w:t>
            </w:r>
            <w:r>
              <w:t xml:space="preserve">, root blackening); FeS formation; Zn and Cu precipitate as sulphides</w:t>
            </w:r>
          </w:p>
        </w:tc>
      </w:tr>
      <w:tr>
        <w:tc>
          <w:tcPr/>
          <w:p>
            <w:pPr>
              <w:pStyle w:val="Compact"/>
              <w:jc w:val="left"/>
            </w:pPr>
            <w:r>
              <w:t xml:space="preserve">~ −200 to −300</w:t>
            </w:r>
          </w:p>
        </w:tc>
        <w:tc>
          <w:tcPr/>
          <w:p>
            <w:pPr>
              <w:pStyle w:val="Compact"/>
              <w:jc w:val="left"/>
            </w:pPr>
            <w:r>
              <w:rPr>
                <w:bCs/>
                <w:b/>
              </w:rPr>
              <w:t xml:space="preserve">CO₂ → CH₄</w:t>
            </w:r>
            <w:r>
              <w:t xml:space="preserve"> </w:t>
            </w:r>
            <w:r>
              <w:t xml:space="preserve">(methanogenesis)</w:t>
            </w:r>
          </w:p>
        </w:tc>
        <w:tc>
          <w:tcPr/>
          <w:p>
            <w:pPr>
              <w:pStyle w:val="Compact"/>
              <w:jc w:val="left"/>
            </w:pPr>
            <w:r>
              <w:rPr>
                <w:bCs/>
                <w:b/>
              </w:rPr>
              <w:t xml:space="preserve">Methane emission</w:t>
            </w:r>
            <w:r>
              <w:t xml:space="preserve">, a major agricultural GHG source</w:t>
            </w:r>
          </w:p>
        </w:tc>
      </w:tr>
    </w:tbl>
    <w:p>
      <w:pPr>
        <w:pStyle w:val="BodyText"/>
      </w:pPr>
      <w:r>
        <w:t xml:space="preserve">Other key changes on submergence:</w:t>
      </w:r>
    </w:p>
    <w:p>
      <w:pPr>
        <w:pStyle w:val="Compact"/>
        <w:numPr>
          <w:ilvl w:val="0"/>
          <w:numId w:val="1140"/>
        </w:numPr>
      </w:pPr>
      <w:r>
        <w:rPr>
          <w:bCs/>
          <w:b/>
        </w:rPr>
        <w:t xml:space="preserve">pH convergence toward neutrality (6.5–7.2).</w:t>
      </w:r>
      <w:r>
        <w:t xml:space="preserve"> </w:t>
      </w:r>
      <w:r>
        <w:t xml:space="preserve">Acid soils rise in pH (reduction consumes H⁺ and Fe(OH)₃ converts to Fe²⁺). Alkaline and calcareous soils fall in pH (accumulated CO₂ forms carbonic acid). This is why liming is less needed for lowland rice.</w:t>
      </w:r>
    </w:p>
    <w:p>
      <w:pPr>
        <w:pStyle w:val="Compact"/>
        <w:numPr>
          <w:ilvl w:val="0"/>
          <w:numId w:val="1140"/>
        </w:numPr>
      </w:pPr>
      <w:r>
        <w:rPr>
          <w:bCs/>
          <w:b/>
        </w:rPr>
        <w:t xml:space="preserve">Increased specific conductance</w:t>
      </w:r>
      <w:r>
        <w:t xml:space="preserve"> </w:t>
      </w:r>
      <w:r>
        <w:t xml:space="preserve">(more ions in solution: Fe²⁺, Mn²⁺, NH₄⁺, HCO₃⁻).</w:t>
      </w:r>
    </w:p>
    <w:p>
      <w:pPr>
        <w:pStyle w:val="Compact"/>
        <w:numPr>
          <w:ilvl w:val="0"/>
          <w:numId w:val="1140"/>
        </w:numPr>
      </w:pPr>
      <w:r>
        <w:rPr>
          <w:bCs/>
          <w:b/>
        </w:rPr>
        <w:t xml:space="preserve">Greater P availability:</w:t>
      </w:r>
      <w:r>
        <w:t xml:space="preserve"> </w:t>
      </w:r>
      <w:r>
        <w:t xml:space="preserve">release from reduction of Fe(III)-phosphates, hydrolysis and higher pH in acid soils. This is why rice often responds less to P than upland crops.</w:t>
      </w:r>
    </w:p>
    <w:p>
      <w:pPr>
        <w:pStyle w:val="Compact"/>
        <w:numPr>
          <w:ilvl w:val="0"/>
          <w:numId w:val="1140"/>
        </w:numPr>
      </w:pPr>
      <w:r>
        <w:rPr>
          <w:bCs/>
          <w:b/>
        </w:rPr>
        <w:t xml:space="preserve">N transformations:</w:t>
      </w:r>
      <w:r>
        <w:t xml:space="preserve"> </w:t>
      </w:r>
      <w:r>
        <w:t xml:space="preserve">mineralisation stops at</w:t>
      </w:r>
      <w:r>
        <w:t xml:space="preserve"> </w:t>
      </w:r>
      <w:r>
        <w:rPr>
          <w:bCs/>
          <w:b/>
        </w:rPr>
        <w:t xml:space="preserve">NH₄⁺</w:t>
      </w:r>
      <w:r>
        <w:t xml:space="preserve"> </w:t>
      </w:r>
      <w:r>
        <w:t xml:space="preserve">(no nitrification in the reduced zone), so NH₄⁺ accumulates.</w:t>
      </w:r>
    </w:p>
    <w:p>
      <w:pPr>
        <w:pStyle w:val="Compact"/>
        <w:numPr>
          <w:ilvl w:val="0"/>
          <w:numId w:val="1140"/>
        </w:numPr>
      </w:pPr>
      <w:r>
        <w:rPr>
          <w:bCs/>
          <w:b/>
        </w:rPr>
        <w:t xml:space="preserve">Zn deficiency</w:t>
      </w:r>
      <w:r>
        <w:t xml:space="preserve"> </w:t>
      </w:r>
      <w:r>
        <w:t xml:space="preserve">(precipitation as ZnS and Zn(OH)₂, and Zn–Fe antagonism). This causes</w:t>
      </w:r>
      <w:r>
        <w:t xml:space="preserve"> </w:t>
      </w:r>
      <w:r>
        <w:rPr>
          <w:bCs/>
          <w:b/>
        </w:rPr>
        <w:t xml:space="preserve">khaira disease</w:t>
      </w:r>
      <w:r>
        <w:t xml:space="preserve"> </w:t>
      </w:r>
      <w:r>
        <w:t xml:space="preserve">of rice.</w:t>
      </w:r>
    </w:p>
    <w:p>
      <w:pPr>
        <w:pStyle w:val="Compact"/>
        <w:numPr>
          <w:ilvl w:val="0"/>
          <w:numId w:val="1140"/>
        </w:numPr>
      </w:pPr>
      <w:r>
        <w:rPr>
          <w:bCs/>
          <w:b/>
        </w:rPr>
        <w:t xml:space="preserve">Organic acids</w:t>
      </w:r>
      <w:r>
        <w:t xml:space="preserve"> </w:t>
      </w:r>
      <w:r>
        <w:t xml:space="preserve">(acetic, butyric) accumulate temporarily and can injure roots.</w:t>
      </w:r>
    </w:p>
    <w:p>
      <w:pPr>
        <w:pStyle w:val="FirstParagraph"/>
      </w:pPr>
      <w:r>
        <w:rPr>
          <w:bCs/>
          <w:b/>
        </w:rPr>
        <w:t xml:space="preserve">Profile differentiation:</w:t>
      </w:r>
      <w:r>
        <w:t xml:space="preserve"> </w:t>
      </w:r>
      <w:r>
        <w:t xml:space="preserve">a flooded soil develops a thin</w:t>
      </w:r>
      <w:r>
        <w:t xml:space="preserve"> </w:t>
      </w:r>
      <w:r>
        <w:rPr>
          <w:bCs/>
          <w:b/>
        </w:rPr>
        <w:t xml:space="preserve">oxidised surface layer</w:t>
      </w:r>
      <w:r>
        <w:t xml:space="preserve"> </w:t>
      </w:r>
      <w:r>
        <w:t xml:space="preserve">(a few mm to 1 cm; O₂ diffuses from the floodwater; brown; Fe³⁺, NO₃⁻ stable) over a</w:t>
      </w:r>
      <w:r>
        <w:t xml:space="preserve"> </w:t>
      </w:r>
      <w:r>
        <w:rPr>
          <w:bCs/>
          <w:b/>
        </w:rPr>
        <w:t xml:space="preserve">reduced layer</w:t>
      </w:r>
      <w:r>
        <w:t xml:space="preserve"> </w:t>
      </w:r>
      <w:r>
        <w:t xml:space="preserve">(grey; Fe²⁺, NH₄⁺). The</w:t>
      </w:r>
      <w:r>
        <w:t xml:space="preserve"> </w:t>
      </w:r>
      <w:r>
        <w:rPr>
          <w:bCs/>
          <w:b/>
        </w:rPr>
        <w:t xml:space="preserve">rice rhizosphere</w:t>
      </w:r>
      <w:r>
        <w:t xml:space="preserve"> </w:t>
      </w:r>
      <w:r>
        <w:t xml:space="preserve">is oxidised by O₂ transported through aerenchyma, giving reddish-brown root coatings of Fe(OH)₃.</w:t>
      </w:r>
    </w:p>
    <w:p>
      <w:pPr>
        <w:pStyle w:val="BodyText"/>
      </w:pPr>
      <w:r>
        <w:rPr>
          <w:bCs/>
          <w:b/>
        </w:rPr>
        <w:t xml:space="preserve">Nitrogen loss mechanism:</w:t>
      </w:r>
      <w:r>
        <w:t xml:space="preserve"> </w:t>
      </w:r>
      <w:r>
        <w:t xml:space="preserve">NH₄⁺ diffuses up to the oxidised layer, where it is nitrified to NO₃⁻. The NO₃⁻ diffuses down into the reduced layer and is</w:t>
      </w:r>
      <w:r>
        <w:t xml:space="preserve"> </w:t>
      </w:r>
      <w:r>
        <w:rPr>
          <w:bCs/>
          <w:b/>
        </w:rPr>
        <w:t xml:space="preserve">denitrified</w:t>
      </w:r>
      <w:r>
        <w:t xml:space="preserve"> </w:t>
      </w:r>
      <w:r>
        <w:t xml:space="preserve">to N₂ and N₂O. Losses of applied N can be 30–50%. Countermeasures:</w:t>
      </w:r>
    </w:p>
    <w:p>
      <w:pPr>
        <w:pStyle w:val="Compact"/>
        <w:numPr>
          <w:ilvl w:val="0"/>
          <w:numId w:val="1141"/>
        </w:numPr>
      </w:pPr>
      <w:r>
        <w:rPr>
          <w:bCs/>
          <w:b/>
        </w:rPr>
        <w:t xml:space="preserve">deep placement</w:t>
      </w:r>
      <w:r>
        <w:t xml:space="preserve"> </w:t>
      </w:r>
      <w:r>
        <w:t xml:space="preserve">of N in the reduced zone (urea supergranules or briquettes);</w:t>
      </w:r>
    </w:p>
    <w:p>
      <w:pPr>
        <w:pStyle w:val="Compact"/>
        <w:numPr>
          <w:ilvl w:val="0"/>
          <w:numId w:val="1141"/>
        </w:numPr>
      </w:pPr>
      <w:r>
        <w:t xml:space="preserve">split application, neem-coated urea, nitrification inhibitors;</w:t>
      </w:r>
    </w:p>
    <w:p>
      <w:pPr>
        <w:pStyle w:val="Compact"/>
        <w:numPr>
          <w:ilvl w:val="0"/>
          <w:numId w:val="1141"/>
        </w:numPr>
      </w:pPr>
      <w:r>
        <w:t xml:space="preserve">leaf colour chart-based application;</w:t>
      </w:r>
    </w:p>
    <w:p>
      <w:pPr>
        <w:pStyle w:val="Compact"/>
        <w:numPr>
          <w:ilvl w:val="0"/>
          <w:numId w:val="1141"/>
        </w:numPr>
      </w:pPr>
      <w:r>
        <w:rPr>
          <w:bCs/>
          <w:b/>
        </w:rPr>
        <w:t xml:space="preserve">alternate wetting and drying (AWD)</w:t>
      </w:r>
      <w:r>
        <w:t xml:space="preserve">, which also cuts CH₄ by 30–50% while slightly raising N₂O.</w:t>
      </w:r>
    </w:p>
    <w:p>
      <w:pPr>
        <w:pStyle w:val="CaptionedFigure"/>
      </w:pPr>
      <w:r>
        <w:drawing>
          <wp:inline>
            <wp:extent cx="5334000" cy="2987039"/>
            <wp:effectExtent b="0" l="0" r="0" t="0"/>
            <wp:docPr descr="Sequence of reduction after flooding a soil" title="" id="72" name="Picture"/>
            <a:graphic>
              <a:graphicData uri="http://schemas.openxmlformats.org/drawingml/2006/picture">
                <pic:pic>
                  <pic:nvPicPr>
                    <pic:cNvPr descr="/tmp/claude-0/-home-user-sonu/ab07c29a-21cd-5a4a-9d2d-68ad72d07153/scratchpad/build/../flows/flow_014.png" id="73" name="Picture"/>
                    <pic:cNvPicPr>
                      <a:picLocks noChangeArrowheads="1" noChangeAspect="1"/>
                    </pic:cNvPicPr>
                  </pic:nvPicPr>
                  <pic:blipFill>
                    <a:blip r:embed="rId71"/>
                    <a:stretch>
                      <a:fillRect/>
                    </a:stretch>
                  </pic:blipFill>
                  <pic:spPr bwMode="auto">
                    <a:xfrm>
                      <a:off x="0" y="0"/>
                      <a:ext cx="5334000" cy="2987039"/>
                    </a:xfrm>
                    <a:prstGeom prst="rect">
                      <a:avLst/>
                    </a:prstGeom>
                    <a:noFill/>
                    <a:ln w="9525">
                      <a:noFill/>
                      <a:headEnd/>
                      <a:tailEnd/>
                    </a:ln>
                  </pic:spPr>
                </pic:pic>
              </a:graphicData>
            </a:graphic>
          </wp:inline>
        </w:drawing>
      </w:r>
    </w:p>
    <w:p>
      <w:pPr>
        <w:pStyle w:val="ImageCaption"/>
      </w:pPr>
      <w:r>
        <w:t xml:space="preserve">Sequence of reduction after flooding a soil</w:t>
      </w:r>
    </w:p>
    <w:p>
      <w:pPr>
        <w:pStyle w:val="Heading3"/>
      </w:pPr>
      <w:r>
        <w:t xml:space="preserve">18.7.2 Management of waterlogged soils</w:t>
      </w:r>
    </w:p>
    <w:p>
      <w:pPr>
        <w:pStyle w:val="Compact"/>
        <w:numPr>
          <w:ilvl w:val="0"/>
          <w:numId w:val="1142"/>
        </w:numPr>
      </w:pPr>
      <w:r>
        <w:rPr>
          <w:bCs/>
          <w:b/>
        </w:rPr>
        <w:t xml:space="preserve">Prevent:</w:t>
      </w:r>
      <w:r>
        <w:t xml:space="preserve"> </w:t>
      </w:r>
      <w:r>
        <w:t xml:space="preserve">canal lining, efficient irrigation (drip, sprinkler), conjunctive use of surface and groundwater, regulated irrigation scheduling.</w:t>
      </w:r>
    </w:p>
    <w:p>
      <w:pPr>
        <w:pStyle w:val="Compact"/>
        <w:numPr>
          <w:ilvl w:val="0"/>
          <w:numId w:val="1142"/>
        </w:numPr>
      </w:pPr>
      <w:r>
        <w:rPr>
          <w:bCs/>
          <w:b/>
        </w:rPr>
        <w:t xml:space="preserve">Drain:</w:t>
      </w:r>
      <w:r>
        <w:t xml:space="preserve"> </w:t>
      </w:r>
      <w:r>
        <w:t xml:space="preserve">surface drains, subsurface (tile/PVC) drainage, vertical drainage (tube wells), mole drains in clays,</w:t>
      </w:r>
      <w:r>
        <w:t xml:space="preserve"> </w:t>
      </w:r>
      <w:r>
        <w:rPr>
          <w:bCs/>
          <w:b/>
        </w:rPr>
        <w:t xml:space="preserve">bio-drainage</w:t>
      </w:r>
      <w:r>
        <w:t xml:space="preserve"> </w:t>
      </w:r>
      <w:r>
        <w:t xml:space="preserve">(eucalyptus and poplar plantations).</w:t>
      </w:r>
    </w:p>
    <w:p>
      <w:pPr>
        <w:pStyle w:val="Compact"/>
        <w:numPr>
          <w:ilvl w:val="0"/>
          <w:numId w:val="1142"/>
        </w:numPr>
      </w:pPr>
      <w:r>
        <w:rPr>
          <w:bCs/>
          <w:b/>
        </w:rPr>
        <w:t xml:space="preserve">Adapt:</w:t>
      </w:r>
      <w:r>
        <w:t xml:space="preserve"> </w:t>
      </w:r>
      <w:r>
        <w:t xml:space="preserve">raised and sunken beds (vegetables on beds, rice or fish in furrows), tolerant crops (rice, jute, berseem; flood-tolerant rice with the</w:t>
      </w:r>
      <w:r>
        <w:t xml:space="preserve"> </w:t>
      </w:r>
      <w:r>
        <w:rPr>
          <w:bCs/>
          <w:b/>
        </w:rPr>
        <w:t xml:space="preserve">Sub1 gene</w:t>
      </w:r>
      <w:r>
        <w:t xml:space="preserve">, e.g. Swarna-Sub1), aquaculture and integrated farming.</w:t>
      </w:r>
    </w:p>
    <w:p>
      <w:pPr>
        <w:pStyle w:val="Compact"/>
        <w:numPr>
          <w:ilvl w:val="0"/>
          <w:numId w:val="1142"/>
        </w:numPr>
      </w:pPr>
      <w:r>
        <w:rPr>
          <w:bCs/>
          <w:b/>
        </w:rPr>
        <w:t xml:space="preserve">Monitor:</w:t>
      </w:r>
      <w:r>
        <w:t xml:space="preserve"> </w:t>
      </w:r>
      <w:r>
        <w:t xml:space="preserve">remote sensing maps waterlogging (NIR and SWIR water signals, SAR, multi-season imagery) and links it with groundwater depth data. This is the basis of command-area performance evaluation by NRSC.</w:t>
      </w:r>
    </w:p>
    <w:p>
      <w:pPr>
        <w:pStyle w:val="Heading3"/>
      </w:pPr>
      <w:r>
        <w:t xml:space="preserve">18.7.3 Likely interview questions</w:t>
      </w:r>
    </w:p>
    <w:p>
      <w:pPr>
        <w:pStyle w:val="FirstParagraph"/>
      </w:pPr>
      <w:r>
        <w:rPr>
          <w:bCs/>
          <w:b/>
        </w:rPr>
        <w:t xml:space="preserve">Q. Distinguish saline and sodic soils with criteria.</w:t>
      </w:r>
      <w:r>
        <w:t xml:space="preserve"> </w:t>
      </w:r>
      <w:r>
        <w:t xml:space="preserve">Saline: ECe &gt; 4, ESP &lt; 15, pH &lt; 8.5, white crust, flocculated. Sodic: ESP &gt; 15, pH &gt; 8.5, ECe &lt; 4, dispersed, black alkali, columnar structure.</w:t>
      </w:r>
    </w:p>
    <w:p>
      <w:pPr>
        <w:pStyle w:val="BodyText"/>
      </w:pPr>
      <w:r>
        <w:rPr>
          <w:bCs/>
          <w:b/>
        </w:rPr>
        <w:t xml:space="preserve">Q. Why is gypsum used for sodic but not for saline soils?</w:t>
      </w:r>
      <w:r>
        <w:t xml:space="preserve"> </w:t>
      </w:r>
      <w:r>
        <w:t xml:space="preserve">Sodic soils need Ca to replace exchangeable Na before leaching. Saline soils need only leaching with drainage.</w:t>
      </w:r>
    </w:p>
    <w:p>
      <w:pPr>
        <w:pStyle w:val="BodyText"/>
      </w:pPr>
      <w:r>
        <w:rPr>
          <w:bCs/>
          <w:b/>
        </w:rPr>
        <w:t xml:space="preserve">Q. What happens to soil pH after submergence, and why?</w:t>
      </w:r>
      <w:r>
        <w:t xml:space="preserve"> </w:t>
      </w:r>
      <w:r>
        <w:t xml:space="preserve">It converges to about 6.5–7. In acid soils reduction consumes H⁺. In alkaline soils accumulated CO₂ lowers pH.</w:t>
      </w:r>
    </w:p>
    <w:p>
      <w:pPr>
        <w:pStyle w:val="BodyText"/>
      </w:pPr>
      <w:r>
        <w:rPr>
          <w:bCs/>
          <w:b/>
        </w:rPr>
        <w:t xml:space="preserve">Q. List the sequence of reduction in flooded soil.</w:t>
      </w:r>
      <w:r>
        <w:t xml:space="preserve"> </w:t>
      </w:r>
      <w:r>
        <w:t xml:space="preserve">O₂, NO₃⁻, Mn⁴⁺, Fe³⁺, SO₄²⁻, CO₂ (methane).</w:t>
      </w:r>
    </w:p>
    <w:p>
      <w:pPr>
        <w:pStyle w:val="BodyText"/>
      </w:pPr>
      <w:r>
        <w:rPr>
          <w:bCs/>
          <w:b/>
        </w:rPr>
        <w:t xml:space="preserve">Q. Why is deep placement of urea recommended in rice?</w:t>
      </w:r>
      <w:r>
        <w:t xml:space="preserve"> </w:t>
      </w:r>
      <w:r>
        <w:t xml:space="preserve">It keeps NH₄⁺ in the reduced zone, avoiding nitrification in the oxidised surface layer followed by denitrification losses in the reduced layer.</w:t>
      </w:r>
    </w:p>
    <w:p>
      <w:pPr>
        <w:pStyle w:val="BodyText"/>
      </w:pPr>
      <w:r>
        <w:rPr>
          <w:bCs/>
          <w:b/>
        </w:rPr>
        <w:t xml:space="preserve">Q. How do you calculate lime requirement and the leaching requirement?</w:t>
      </w:r>
      <w:r>
        <w:t xml:space="preserve"> </w:t>
      </w:r>
      <w:r>
        <w:t xml:space="preserve">Lime requirement by buffer methods (SMP, Woodruff) or exchangeable acidity. Leaching requirement LR = ECiw/ECdw.</w:t>
      </w:r>
    </w:p>
    <w:p>
      <w:pPr>
        <w:pStyle w:val="Heading1"/>
      </w:pPr>
      <w:r>
        <w:t xml:space="preserve">Chapter 19. Soil Fertility, Nutrients, Manures, Bio-fertilisers and Nutrient Cycling</w:t>
      </w:r>
    </w:p>
    <w:p>
      <w:pPr>
        <w:pStyle w:val="Heading2"/>
      </w:pPr>
      <w:r>
        <w:t xml:space="preserve">19.1 Soil Fertility and Soil Productivity</w:t>
      </w:r>
    </w:p>
    <w:p>
      <w:pPr>
        <w:pStyle w:val="Compact"/>
        <w:numPr>
          <w:ilvl w:val="0"/>
          <w:numId w:val="1143"/>
        </w:numPr>
      </w:pPr>
      <w:r>
        <w:rPr>
          <w:bCs/>
          <w:b/>
        </w:rPr>
        <w:t xml:space="preserve">Soil fertility</w:t>
      </w:r>
      <w:r>
        <w:t xml:space="preserve"> </w:t>
      </w:r>
      <w:r>
        <w:t xml:space="preserve">is the inherent capacity of a soil to supply plant nutrients in adequate amounts and suitable proportions. It is a</w:t>
      </w:r>
      <w:r>
        <w:t xml:space="preserve"> </w:t>
      </w:r>
      <w:r>
        <w:rPr>
          <w:iCs/>
          <w:i/>
        </w:rPr>
        <w:t xml:space="preserve">chemical</w:t>
      </w:r>
      <w:r>
        <w:t xml:space="preserve"> </w:t>
      </w:r>
      <w:r>
        <w:t xml:space="preserve">property.</w:t>
      </w:r>
    </w:p>
    <w:p>
      <w:pPr>
        <w:pStyle w:val="Compact"/>
        <w:numPr>
          <w:ilvl w:val="0"/>
          <w:numId w:val="1143"/>
        </w:numPr>
      </w:pPr>
      <w:r>
        <w:rPr>
          <w:bCs/>
          <w:b/>
        </w:rPr>
        <w:t xml:space="preserve">Soil productivity</w:t>
      </w:r>
      <w:r>
        <w:t xml:space="preserve"> </w:t>
      </w:r>
      <w:r>
        <w:t xml:space="preserve">is the capacity of a soil, under a specified management system, to produce crops. It depends on fertility plus physical conditions, water, climate and management.</w:t>
      </w:r>
      <w:r>
        <w:t xml:space="preserve"> </w:t>
      </w:r>
      <w:r>
        <w:rPr>
          <w:bCs/>
          <w:b/>
        </w:rPr>
        <w:t xml:space="preserve">A fertile soil need not be productive</w:t>
      </w:r>
      <w:r>
        <w:t xml:space="preserve"> </w:t>
      </w:r>
      <w:r>
        <w:t xml:space="preserve">(e.g. a fertile saline or waterlogged soil).</w:t>
      </w:r>
      <w:r>
        <w:t xml:space="preserve"> </w:t>
      </w:r>
      <w:r>
        <w:rPr>
          <w:bCs/>
          <w:b/>
        </w:rPr>
        <w:t xml:space="preserve">A productive soil must be fertile.</w:t>
      </w:r>
    </w:p>
    <w:p>
      <w:pPr>
        <w:pStyle w:val="Heading2"/>
      </w:pPr>
      <w:r>
        <w:t xml:space="preserve">19.2 Essential Plant Nutrients</w:t>
      </w:r>
    </w:p>
    <w:p>
      <w:pPr>
        <w:pStyle w:val="FirstParagraph"/>
      </w:pPr>
      <w:r>
        <w:rPr>
          <w:bCs/>
          <w:b/>
        </w:rPr>
        <w:t xml:space="preserve">Arnon and Stout’s criteria (1939)</w:t>
      </w:r>
      <w:r>
        <w:t xml:space="preserve"> </w:t>
      </w:r>
      <w:r>
        <w:t xml:space="preserve">for essentiality:</w:t>
      </w:r>
    </w:p>
    <w:p>
      <w:pPr>
        <w:pStyle w:val="Compact"/>
        <w:numPr>
          <w:ilvl w:val="0"/>
          <w:numId w:val="1144"/>
        </w:numPr>
      </w:pPr>
      <w:r>
        <w:t xml:space="preserve">The plant cannot complete its life cycle without the element.</w:t>
      </w:r>
    </w:p>
    <w:p>
      <w:pPr>
        <w:pStyle w:val="Compact"/>
        <w:numPr>
          <w:ilvl w:val="0"/>
          <w:numId w:val="1144"/>
        </w:numPr>
      </w:pPr>
      <w:r>
        <w:t xml:space="preserve">The deficiency is specific and can be corrected only by that element.</w:t>
      </w:r>
    </w:p>
    <w:p>
      <w:pPr>
        <w:pStyle w:val="Compact"/>
        <w:numPr>
          <w:ilvl w:val="0"/>
          <w:numId w:val="1144"/>
        </w:numPr>
      </w:pPr>
      <w:r>
        <w:t xml:space="preserve">The element is directly involved in metabolism, not just correcting another element’s effect.</w:t>
      </w:r>
    </w:p>
    <w:p>
      <w:pPr>
        <w:pStyle w:val="FirstParagraph"/>
      </w:pPr>
      <w:r>
        <w:rPr>
          <w:bCs/>
          <w:b/>
        </w:rPr>
        <w:t xml:space="preserve">17 essential elements: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Elements</w:t>
            </w:r>
          </w:p>
        </w:tc>
        <w:tc>
          <w:tcPr/>
          <w:p>
            <w:pPr>
              <w:pStyle w:val="Compact"/>
              <w:jc w:val="left"/>
            </w:pPr>
            <w:r>
              <w:t xml:space="preserve">Source</w:t>
            </w:r>
          </w:p>
        </w:tc>
      </w:tr>
      <w:tr>
        <w:tc>
          <w:tcPr/>
          <w:p>
            <w:pPr>
              <w:pStyle w:val="Compact"/>
              <w:jc w:val="left"/>
            </w:pPr>
            <w:r>
              <w:t xml:space="preserve">Non-mineral (structural)</w:t>
            </w:r>
          </w:p>
        </w:tc>
        <w:tc>
          <w:tcPr/>
          <w:p>
            <w:pPr>
              <w:pStyle w:val="Compact"/>
              <w:jc w:val="left"/>
            </w:pPr>
            <w:r>
              <w:rPr>
                <w:bCs/>
                <w:b/>
              </w:rPr>
              <w:t xml:space="preserve">C, H, O</w:t>
            </w:r>
          </w:p>
        </w:tc>
        <w:tc>
          <w:tcPr/>
          <w:p>
            <w:pPr>
              <w:pStyle w:val="Compact"/>
              <w:jc w:val="left"/>
            </w:pPr>
            <w:r>
              <w:t xml:space="preserve">Air and water (about 94–96% of dry matter)</w:t>
            </w:r>
          </w:p>
        </w:tc>
      </w:tr>
      <w:tr>
        <w:tc>
          <w:tcPr/>
          <w:p>
            <w:pPr>
              <w:pStyle w:val="Compact"/>
              <w:jc w:val="left"/>
            </w:pPr>
            <w:r>
              <w:rPr>
                <w:bCs/>
                <w:b/>
              </w:rPr>
              <w:t xml:space="preserve">Primary macronutrients</w:t>
            </w:r>
          </w:p>
        </w:tc>
        <w:tc>
          <w:tcPr/>
          <w:p>
            <w:pPr>
              <w:pStyle w:val="Compact"/>
              <w:jc w:val="left"/>
            </w:pPr>
            <w:r>
              <w:rPr>
                <w:bCs/>
                <w:b/>
              </w:rPr>
              <w:t xml:space="preserve">N, P, K</w:t>
            </w:r>
          </w:p>
        </w:tc>
        <w:tc>
          <w:tcPr/>
          <w:p>
            <w:pPr>
              <w:pStyle w:val="Compact"/>
              <w:jc w:val="left"/>
            </w:pPr>
            <w:r>
              <w:t xml:space="preserve">Soil and fertilisers; needed in largest amounts</w:t>
            </w:r>
          </w:p>
        </w:tc>
      </w:tr>
      <w:tr>
        <w:tc>
          <w:tcPr/>
          <w:p>
            <w:pPr>
              <w:pStyle w:val="Compact"/>
              <w:jc w:val="left"/>
            </w:pPr>
            <w:r>
              <w:rPr>
                <w:bCs/>
                <w:b/>
              </w:rPr>
              <w:t xml:space="preserve">Secondary macronutrients</w:t>
            </w:r>
          </w:p>
        </w:tc>
        <w:tc>
          <w:tcPr/>
          <w:p>
            <w:pPr>
              <w:pStyle w:val="Compact"/>
              <w:jc w:val="left"/>
            </w:pPr>
            <w:r>
              <w:rPr>
                <w:bCs/>
                <w:b/>
              </w:rPr>
              <w:t xml:space="preserve">Ca, Mg, S</w:t>
            </w:r>
          </w:p>
        </w:tc>
        <w:tc>
          <w:tcPr/>
          <w:p>
            <w:pPr>
              <w:pStyle w:val="Compact"/>
              <w:jc w:val="left"/>
            </w:pPr>
            <w:r>
              <w:t xml:space="preserve">Soil, amendments</w:t>
            </w:r>
          </w:p>
        </w:tc>
      </w:tr>
      <w:tr>
        <w:tc>
          <w:tcPr/>
          <w:p>
            <w:pPr>
              <w:pStyle w:val="Compact"/>
              <w:jc w:val="left"/>
            </w:pPr>
            <w:r>
              <w:rPr>
                <w:bCs/>
                <w:b/>
              </w:rPr>
              <w:t xml:space="preserve">Micronutrients</w:t>
            </w:r>
          </w:p>
        </w:tc>
        <w:tc>
          <w:tcPr/>
          <w:p>
            <w:pPr>
              <w:pStyle w:val="Compact"/>
              <w:jc w:val="left"/>
            </w:pPr>
            <w:r>
              <w:rPr>
                <w:bCs/>
                <w:b/>
              </w:rPr>
              <w:t xml:space="preserve">Fe, Mn, Zn, Cu, B, Mo, Cl, Ni</w:t>
            </w:r>
          </w:p>
        </w:tc>
        <w:tc>
          <w:tcPr/>
          <w:p>
            <w:pPr>
              <w:pStyle w:val="Compact"/>
              <w:jc w:val="left"/>
            </w:pPr>
            <w:r>
              <w:t xml:space="preserve">Needed in mg kg⁻¹ amounts (Ni was the last added, in 1987)</w:t>
            </w:r>
          </w:p>
        </w:tc>
      </w:tr>
      <w:tr>
        <w:tc>
          <w:tcPr/>
          <w:p>
            <w:pPr>
              <w:pStyle w:val="Compact"/>
              <w:jc w:val="left"/>
            </w:pPr>
            <w:r>
              <w:t xml:space="preserve">Beneficial elements</w:t>
            </w:r>
          </w:p>
        </w:tc>
        <w:tc>
          <w:tcPr/>
          <w:p>
            <w:pPr>
              <w:pStyle w:val="Compact"/>
              <w:jc w:val="left"/>
            </w:pPr>
            <w:r>
              <w:t xml:space="preserve">Na, Si (rice, sugarcane), Co (N fixation in legumes), Se, V, Al</w:t>
            </w:r>
          </w:p>
        </w:tc>
        <w:tc>
          <w:tcPr/>
          <w:p>
            <w:pPr>
              <w:pStyle w:val="Compact"/>
              <w:jc w:val="left"/>
            </w:pPr>
            <w:r>
              <w:t xml:space="preserve">Benefit some plants</w:t>
            </w:r>
          </w:p>
        </w:tc>
      </w:tr>
    </w:tbl>
    <w:p>
      <w:pPr>
        <w:pStyle w:val="Heading3"/>
      </w:pPr>
      <w:r>
        <w:t xml:space="preserve">19.2.1 Forms absorbed and mobility</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Nutrient</w:t>
            </w:r>
          </w:p>
        </w:tc>
        <w:tc>
          <w:tcPr/>
          <w:p>
            <w:pPr>
              <w:pStyle w:val="Compact"/>
              <w:jc w:val="left"/>
            </w:pPr>
            <w:r>
              <w:t xml:space="preserve">Form absorbed</w:t>
            </w:r>
          </w:p>
        </w:tc>
        <w:tc>
          <w:tcPr/>
          <w:p>
            <w:pPr>
              <w:pStyle w:val="Compact"/>
              <w:jc w:val="left"/>
            </w:pPr>
            <w:r>
              <w:t xml:space="preserve">Mobility in plant</w:t>
            </w:r>
          </w:p>
        </w:tc>
        <w:tc>
          <w:tcPr/>
          <w:p>
            <w:pPr>
              <w:pStyle w:val="Compact"/>
              <w:jc w:val="left"/>
            </w:pPr>
            <w:r>
              <w:t xml:space="preserve">Deficiency appears first on</w:t>
            </w:r>
          </w:p>
        </w:tc>
      </w:tr>
      <w:tr>
        <w:tc>
          <w:tcPr/>
          <w:p>
            <w:pPr>
              <w:pStyle w:val="Compact"/>
              <w:jc w:val="left"/>
            </w:pPr>
            <w:r>
              <w:t xml:space="preserve">N</w:t>
            </w:r>
          </w:p>
        </w:tc>
        <w:tc>
          <w:tcPr/>
          <w:p>
            <w:pPr>
              <w:pStyle w:val="Compact"/>
              <w:jc w:val="left"/>
            </w:pPr>
            <w:r>
              <w:t xml:space="preserve">NO₃⁻, NH₄⁺</w:t>
            </w:r>
          </w:p>
        </w:tc>
        <w:tc>
          <w:tcPr/>
          <w:p>
            <w:pPr>
              <w:pStyle w:val="Compact"/>
              <w:jc w:val="left"/>
            </w:pPr>
            <w:r>
              <w:t xml:space="preserve">Mobile</w:t>
            </w:r>
          </w:p>
        </w:tc>
        <w:tc>
          <w:tcPr/>
          <w:p>
            <w:pPr>
              <w:pStyle w:val="Compact"/>
              <w:jc w:val="left"/>
            </w:pPr>
            <w:r>
              <w:rPr>
                <w:bCs/>
                <w:b/>
              </w:rPr>
              <w:t xml:space="preserve">Older leaves</w:t>
            </w:r>
            <w:r>
              <w:t xml:space="preserve"> </w:t>
            </w:r>
            <w:r>
              <w:t xml:space="preserve">(uniform yellowing)</w:t>
            </w:r>
          </w:p>
        </w:tc>
      </w:tr>
      <w:tr>
        <w:tc>
          <w:tcPr/>
          <w:p>
            <w:pPr>
              <w:pStyle w:val="Compact"/>
              <w:jc w:val="left"/>
            </w:pPr>
            <w:r>
              <w:t xml:space="preserve">P</w:t>
            </w:r>
          </w:p>
        </w:tc>
        <w:tc>
          <w:tcPr/>
          <w:p>
            <w:pPr>
              <w:pStyle w:val="Compact"/>
              <w:jc w:val="left"/>
            </w:pPr>
            <w:r>
              <w:t xml:space="preserve">H₂PO₄⁻, HPO₄²⁻</w:t>
            </w:r>
          </w:p>
        </w:tc>
        <w:tc>
          <w:tcPr/>
          <w:p>
            <w:pPr>
              <w:pStyle w:val="Compact"/>
              <w:jc w:val="left"/>
            </w:pPr>
            <w:r>
              <w:t xml:space="preserve">Mobile</w:t>
            </w:r>
          </w:p>
        </w:tc>
        <w:tc>
          <w:tcPr/>
          <w:p>
            <w:pPr>
              <w:pStyle w:val="Compact"/>
              <w:jc w:val="left"/>
            </w:pPr>
            <w:r>
              <w:t xml:space="preserve">Older leaves (purple, dark green; stunting)</w:t>
            </w:r>
          </w:p>
        </w:tc>
      </w:tr>
      <w:tr>
        <w:tc>
          <w:tcPr/>
          <w:p>
            <w:pPr>
              <w:pStyle w:val="Compact"/>
              <w:jc w:val="left"/>
            </w:pPr>
            <w:r>
              <w:t xml:space="preserve">K</w:t>
            </w:r>
          </w:p>
        </w:tc>
        <w:tc>
          <w:tcPr/>
          <w:p>
            <w:pPr>
              <w:pStyle w:val="Compact"/>
              <w:jc w:val="left"/>
            </w:pPr>
            <w:r>
              <w:t xml:space="preserve">K⁺</w:t>
            </w:r>
          </w:p>
        </w:tc>
        <w:tc>
          <w:tcPr/>
          <w:p>
            <w:pPr>
              <w:pStyle w:val="Compact"/>
              <w:jc w:val="left"/>
            </w:pPr>
            <w:r>
              <w:t xml:space="preserve">Mobile</w:t>
            </w:r>
          </w:p>
        </w:tc>
        <w:tc>
          <w:tcPr/>
          <w:p>
            <w:pPr>
              <w:pStyle w:val="Compact"/>
              <w:jc w:val="left"/>
            </w:pPr>
            <w:r>
              <w:t xml:space="preserve">Older leaves (marginal scorching)</w:t>
            </w:r>
          </w:p>
        </w:tc>
      </w:tr>
      <w:tr>
        <w:tc>
          <w:tcPr/>
          <w:p>
            <w:pPr>
              <w:pStyle w:val="Compact"/>
              <w:jc w:val="left"/>
            </w:pPr>
            <w:r>
              <w:t xml:space="preserve">Mg</w:t>
            </w:r>
          </w:p>
        </w:tc>
        <w:tc>
          <w:tcPr/>
          <w:p>
            <w:pPr>
              <w:pStyle w:val="Compact"/>
              <w:jc w:val="left"/>
            </w:pPr>
            <w:r>
              <w:t xml:space="preserve">Mg²⁺</w:t>
            </w:r>
          </w:p>
        </w:tc>
        <w:tc>
          <w:tcPr/>
          <w:p>
            <w:pPr>
              <w:pStyle w:val="Compact"/>
              <w:jc w:val="left"/>
            </w:pPr>
            <w:r>
              <w:t xml:space="preserve">Mobile</w:t>
            </w:r>
          </w:p>
        </w:tc>
        <w:tc>
          <w:tcPr/>
          <w:p>
            <w:pPr>
              <w:pStyle w:val="Compact"/>
              <w:jc w:val="left"/>
            </w:pPr>
            <w:r>
              <w:t xml:space="preserve">Older leaves (interveinal chlorosis)</w:t>
            </w:r>
          </w:p>
        </w:tc>
      </w:tr>
      <w:tr>
        <w:tc>
          <w:tcPr/>
          <w:p>
            <w:pPr>
              <w:pStyle w:val="Compact"/>
              <w:jc w:val="left"/>
            </w:pPr>
            <w:r>
              <w:t xml:space="preserve">Ca</w:t>
            </w:r>
          </w:p>
        </w:tc>
        <w:tc>
          <w:tcPr/>
          <w:p>
            <w:pPr>
              <w:pStyle w:val="Compact"/>
              <w:jc w:val="left"/>
            </w:pPr>
            <w:r>
              <w:t xml:space="preserve">Ca²⁺</w:t>
            </w:r>
          </w:p>
        </w:tc>
        <w:tc>
          <w:tcPr/>
          <w:p>
            <w:pPr>
              <w:pStyle w:val="Compact"/>
              <w:jc w:val="left"/>
            </w:pPr>
            <w:r>
              <w:rPr>
                <w:bCs/>
                <w:b/>
              </w:rPr>
              <w:t xml:space="preserve">Immobile</w:t>
            </w:r>
          </w:p>
        </w:tc>
        <w:tc>
          <w:tcPr/>
          <w:p>
            <w:pPr>
              <w:pStyle w:val="Compact"/>
              <w:jc w:val="left"/>
            </w:pPr>
            <w:r>
              <w:rPr>
                <w:bCs/>
                <w:b/>
              </w:rPr>
              <w:t xml:space="preserve">Young leaves / growing points</w:t>
            </w:r>
            <w:r>
              <w:t xml:space="preserve"> </w:t>
            </w:r>
            <w:r>
              <w:t xml:space="preserve">(tip burn, blossom-end rot of tomato)</w:t>
            </w:r>
          </w:p>
        </w:tc>
      </w:tr>
      <w:tr>
        <w:tc>
          <w:tcPr/>
          <w:p>
            <w:pPr>
              <w:pStyle w:val="Compact"/>
              <w:jc w:val="left"/>
            </w:pPr>
            <w:r>
              <w:t xml:space="preserve">S</w:t>
            </w:r>
          </w:p>
        </w:tc>
        <w:tc>
          <w:tcPr/>
          <w:p>
            <w:pPr>
              <w:pStyle w:val="Compact"/>
              <w:jc w:val="left"/>
            </w:pPr>
            <w:r>
              <w:t xml:space="preserve">SO₄²⁻</w:t>
            </w:r>
          </w:p>
        </w:tc>
        <w:tc>
          <w:tcPr/>
          <w:p>
            <w:pPr>
              <w:pStyle w:val="Compact"/>
              <w:jc w:val="left"/>
            </w:pPr>
            <w:r>
              <w:t xml:space="preserve">Relatively immobile</w:t>
            </w:r>
          </w:p>
        </w:tc>
        <w:tc>
          <w:tcPr/>
          <w:p>
            <w:pPr>
              <w:pStyle w:val="Compact"/>
              <w:jc w:val="left"/>
            </w:pPr>
            <w:r>
              <w:t xml:space="preserve">Young leaves (uniform yellowing)</w:t>
            </w:r>
          </w:p>
        </w:tc>
      </w:tr>
      <w:tr>
        <w:tc>
          <w:tcPr/>
          <w:p>
            <w:pPr>
              <w:pStyle w:val="Compact"/>
              <w:jc w:val="left"/>
            </w:pPr>
            <w:r>
              <w:t xml:space="preserve">Fe</w:t>
            </w:r>
          </w:p>
        </w:tc>
        <w:tc>
          <w:tcPr/>
          <w:p>
            <w:pPr>
              <w:pStyle w:val="Compact"/>
              <w:jc w:val="left"/>
            </w:pPr>
            <w:r>
              <w:t xml:space="preserve">Fe²⁺</w:t>
            </w:r>
          </w:p>
        </w:tc>
        <w:tc>
          <w:tcPr/>
          <w:p>
            <w:pPr>
              <w:pStyle w:val="Compact"/>
              <w:jc w:val="left"/>
            </w:pPr>
            <w:r>
              <w:t xml:space="preserve">Immobile</w:t>
            </w:r>
          </w:p>
        </w:tc>
        <w:tc>
          <w:tcPr/>
          <w:p>
            <w:pPr>
              <w:pStyle w:val="Compact"/>
              <w:jc w:val="left"/>
            </w:pPr>
            <w:r>
              <w:t xml:space="preserve">Young leaves (interveinal chlorosis; lime-induced)</w:t>
            </w:r>
          </w:p>
        </w:tc>
      </w:tr>
      <w:tr>
        <w:tc>
          <w:tcPr/>
          <w:p>
            <w:pPr>
              <w:pStyle w:val="Compact"/>
              <w:jc w:val="left"/>
            </w:pPr>
            <w:r>
              <w:t xml:space="preserve">Zn</w:t>
            </w:r>
          </w:p>
        </w:tc>
        <w:tc>
          <w:tcPr/>
          <w:p>
            <w:pPr>
              <w:pStyle w:val="Compact"/>
              <w:jc w:val="left"/>
            </w:pPr>
            <w:r>
              <w:t xml:space="preserve">Zn²⁺</w:t>
            </w:r>
          </w:p>
        </w:tc>
        <w:tc>
          <w:tcPr/>
          <w:p>
            <w:pPr>
              <w:pStyle w:val="Compact"/>
              <w:jc w:val="left"/>
            </w:pPr>
            <w:r>
              <w:t xml:space="preserve">Partly mobile</w:t>
            </w:r>
          </w:p>
        </w:tc>
        <w:tc>
          <w:tcPr/>
          <w:p>
            <w:pPr>
              <w:pStyle w:val="Compact"/>
              <w:jc w:val="left"/>
            </w:pPr>
            <w:r>
              <w:t xml:space="preserve">New leaves (little leaf, rosette;</w:t>
            </w:r>
            <w:r>
              <w:t xml:space="preserve"> </w:t>
            </w:r>
            <w:r>
              <w:rPr>
                <w:bCs/>
                <w:b/>
              </w:rPr>
              <w:t xml:space="preserve">khaira of rice</w:t>
            </w:r>
            <w:r>
              <w:t xml:space="preserve">)</w:t>
            </w:r>
          </w:p>
        </w:tc>
      </w:tr>
      <w:tr>
        <w:tc>
          <w:tcPr/>
          <w:p>
            <w:pPr>
              <w:pStyle w:val="Compact"/>
              <w:jc w:val="left"/>
            </w:pPr>
            <w:r>
              <w:t xml:space="preserve">B</w:t>
            </w:r>
          </w:p>
        </w:tc>
        <w:tc>
          <w:tcPr/>
          <w:p>
            <w:pPr>
              <w:pStyle w:val="Compact"/>
              <w:jc w:val="left"/>
            </w:pPr>
            <w:r>
              <w:t xml:space="preserve">H₃BO₃</w:t>
            </w:r>
          </w:p>
        </w:tc>
        <w:tc>
          <w:tcPr/>
          <w:p>
            <w:pPr>
              <w:pStyle w:val="Compact"/>
              <w:jc w:val="left"/>
            </w:pPr>
            <w:r>
              <w:t xml:space="preserve">Immobile</w:t>
            </w:r>
          </w:p>
        </w:tc>
        <w:tc>
          <w:tcPr/>
          <w:p>
            <w:pPr>
              <w:pStyle w:val="Compact"/>
              <w:jc w:val="left"/>
            </w:pPr>
            <w:r>
              <w:t xml:space="preserve">Growing tips (hollow stem of cauliflower, heart rot of beet)</w:t>
            </w:r>
          </w:p>
        </w:tc>
      </w:tr>
      <w:tr>
        <w:tc>
          <w:tcPr/>
          <w:p>
            <w:pPr>
              <w:pStyle w:val="Compact"/>
              <w:jc w:val="left"/>
            </w:pPr>
            <w:r>
              <w:t xml:space="preserve">Mo</w:t>
            </w:r>
          </w:p>
        </w:tc>
        <w:tc>
          <w:tcPr/>
          <w:p>
            <w:pPr>
              <w:pStyle w:val="Compact"/>
              <w:jc w:val="left"/>
            </w:pPr>
            <w:r>
              <w:t xml:space="preserve">MoO₄²⁻</w:t>
            </w:r>
          </w:p>
        </w:tc>
        <w:tc>
          <w:tcPr/>
          <w:p>
            <w:pPr>
              <w:pStyle w:val="Compact"/>
              <w:jc w:val="left"/>
            </w:pPr>
            <w:r>
              <w:t xml:space="preserve">Moderately mobile</w:t>
            </w:r>
          </w:p>
        </w:tc>
        <w:tc>
          <w:tcPr/>
          <w:p>
            <w:pPr>
              <w:pStyle w:val="Compact"/>
              <w:jc w:val="left"/>
            </w:pPr>
            <w:r>
              <w:t xml:space="preserve">Older leaves (</w:t>
            </w:r>
            <w:r>
              <w:rPr>
                <w:bCs/>
                <w:b/>
              </w:rPr>
              <w:t xml:space="preserve">whiptail of cauliflower</w:t>
            </w:r>
            <w:r>
              <w:t xml:space="preserve">)</w:t>
            </w:r>
          </w:p>
        </w:tc>
      </w:tr>
      <w:tr>
        <w:tc>
          <w:tcPr/>
          <w:p>
            <w:pPr>
              <w:pStyle w:val="Compact"/>
              <w:jc w:val="left"/>
            </w:pPr>
            <w:r>
              <w:t xml:space="preserve">Cu</w:t>
            </w:r>
          </w:p>
        </w:tc>
        <w:tc>
          <w:tcPr/>
          <w:p>
            <w:pPr>
              <w:pStyle w:val="Compact"/>
              <w:jc w:val="left"/>
            </w:pPr>
            <w:r>
              <w:t xml:space="preserve">Cu²⁺</w:t>
            </w:r>
          </w:p>
        </w:tc>
        <w:tc>
          <w:tcPr/>
          <w:p>
            <w:pPr>
              <w:pStyle w:val="Compact"/>
              <w:jc w:val="left"/>
            </w:pPr>
            <w:r>
              <w:t xml:space="preserve">Immobile</w:t>
            </w:r>
          </w:p>
        </w:tc>
        <w:tc>
          <w:tcPr/>
          <w:p>
            <w:pPr>
              <w:pStyle w:val="Compact"/>
              <w:jc w:val="left"/>
            </w:pPr>
            <w:r>
              <w:t xml:space="preserve">Young leaves (dieback, exanthema in citrus)</w:t>
            </w:r>
          </w:p>
        </w:tc>
      </w:tr>
      <w:tr>
        <w:tc>
          <w:tcPr/>
          <w:p>
            <w:pPr>
              <w:pStyle w:val="Compact"/>
              <w:jc w:val="left"/>
            </w:pPr>
            <w:r>
              <w:t xml:space="preserve">Mn</w:t>
            </w:r>
          </w:p>
        </w:tc>
        <w:tc>
          <w:tcPr/>
          <w:p>
            <w:pPr>
              <w:pStyle w:val="Compact"/>
              <w:jc w:val="left"/>
            </w:pPr>
            <w:r>
              <w:t xml:space="preserve">Mn²⁺</w:t>
            </w:r>
          </w:p>
        </w:tc>
        <w:tc>
          <w:tcPr/>
          <w:p>
            <w:pPr>
              <w:pStyle w:val="Compact"/>
              <w:jc w:val="left"/>
            </w:pPr>
            <w:r>
              <w:t xml:space="preserve">Immobile</w:t>
            </w:r>
          </w:p>
        </w:tc>
        <w:tc>
          <w:tcPr/>
          <w:p>
            <w:pPr>
              <w:pStyle w:val="Compact"/>
              <w:jc w:val="left"/>
            </w:pPr>
            <w:r>
              <w:t xml:space="preserve">Young leaves (grey speck of oats, marsh spot of peas)</w:t>
            </w:r>
          </w:p>
        </w:tc>
      </w:tr>
    </w:tbl>
    <w:p>
      <w:pPr>
        <w:pStyle w:val="BodyText"/>
      </w:pPr>
      <w:r>
        <w:rPr>
          <w:bCs/>
          <w:b/>
        </w:rPr>
        <w:t xml:space="preserve">Mechanisms of nutrient movement to roots:</w:t>
      </w:r>
      <w:r>
        <w:t xml:space="preserve"> </w:t>
      </w:r>
      <w:r>
        <w:rPr>
          <w:bCs/>
          <w:b/>
        </w:rPr>
        <w:t xml:space="preserve">mass flow</w:t>
      </w:r>
      <w:r>
        <w:t xml:space="preserve"> </w:t>
      </w:r>
      <w:r>
        <w:t xml:space="preserve">(with transpiration water; important for N, Ca, Mg, S),</w:t>
      </w:r>
      <w:r>
        <w:t xml:space="preserve"> </w:t>
      </w:r>
      <w:r>
        <w:rPr>
          <w:bCs/>
          <w:b/>
        </w:rPr>
        <w:t xml:space="preserve">diffusion</w:t>
      </w:r>
      <w:r>
        <w:t xml:space="preserve"> </w:t>
      </w:r>
      <w:r>
        <w:t xml:space="preserve">(along concentration gradients; important for P and K) and</w:t>
      </w:r>
      <w:r>
        <w:t xml:space="preserve"> </w:t>
      </w:r>
      <w:r>
        <w:rPr>
          <w:bCs/>
          <w:b/>
        </w:rPr>
        <w:t xml:space="preserve">root interception</w:t>
      </w:r>
      <w:r>
        <w:t xml:space="preserve"> </w:t>
      </w:r>
      <w:r>
        <w:t xml:space="preserve">(roots growing into nutrient-rich zones; minor except for Ca).</w:t>
      </w:r>
    </w:p>
    <w:p>
      <w:pPr>
        <w:pStyle w:val="Heading2"/>
      </w:pPr>
      <w:r>
        <w:t xml:space="preserve">19.3 Laws and Concepts of Fertility</w:t>
      </w:r>
    </w:p>
    <w:p>
      <w:pPr>
        <w:pStyle w:val="FirstParagraph"/>
      </w:pPr>
      <w:r>
        <w:rPr>
          <w:bCs/>
          <w:b/>
        </w:rPr>
        <w:t xml:space="preserve">Liebig’s law of the minimum (1840):</w:t>
      </w:r>
      <w:r>
        <w:t xml:space="preserve"> </w:t>
      </w:r>
      <w:r>
        <w:t xml:space="preserve">growth is limited by the nutrient in least supply relative to need. The</w:t>
      </w:r>
      <w:r>
        <w:t xml:space="preserve"> </w:t>
      </w:r>
      <w:r>
        <w:t xml:space="preserve">“</w:t>
      </w:r>
      <w:r>
        <w:t xml:space="preserve">barrel with staves</w:t>
      </w:r>
      <w:r>
        <w:t xml:space="preserve">”</w:t>
      </w:r>
      <w:r>
        <w:t xml:space="preserve"> </w:t>
      </w:r>
      <w:r>
        <w:t xml:space="preserve">analogy.</w:t>
      </w:r>
    </w:p>
    <w:p>
      <w:pPr>
        <w:pStyle w:val="BodyText"/>
      </w:pPr>
      <w:r>
        <w:rPr>
          <w:bCs/>
          <w:b/>
        </w:rPr>
        <w:t xml:space="preserve">Mitscherlich’s law of diminishing returns (1909):</w:t>
      </w:r>
      <w:r>
        <w:t xml:space="preserve"> </w:t>
      </w:r>
      <w:r>
        <w:t xml:space="preserve">the increase in yield per unit of added nutrient is proportional to the shortfall from the maximum yield:</w:t>
      </w:r>
    </w:p>
    <w:p>
      <w:pPr>
        <w:pStyle w:val="BodyText"/>
      </w:pPr>
      <m:oMathPara>
        <m:oMathParaPr>
          <m:jc m:val="center"/>
        </m:oMathParaPr>
        <m:oMath>
          <m:f>
            <m:fPr>
              <m:type m:val="bar"/>
            </m:fPr>
            <m:num>
              <m:r>
                <m:t>d</m:t>
              </m:r>
              <m:r>
                <m:t>y</m:t>
              </m:r>
            </m:num>
            <m:den>
              <m:r>
                <m:t>d</m:t>
              </m:r>
              <m:r>
                <m:t>x</m:t>
              </m:r>
            </m:den>
          </m:f>
          <m:r>
            <m:rPr>
              <m:sty m:val="p"/>
            </m:rPr>
            <m:t>=</m:t>
          </m:r>
          <m:r>
            <m:t>c</m:t>
          </m:r>
          <m:r>
            <m:t> </m:t>
          </m:r>
          <m:d>
            <m:dPr>
              <m:begChr m:val="("/>
              <m:endChr m:val=")"/>
              <m:sepChr m:val=""/>
              <m:grow/>
            </m:dPr>
            <m:e>
              <m:r>
                <m:t>A</m:t>
              </m:r>
              <m:r>
                <m:rPr>
                  <m:sty m:val="p"/>
                </m:rPr>
                <m:t>−</m:t>
              </m:r>
              <m:r>
                <m:t>y</m:t>
              </m:r>
            </m:e>
          </m:d>
          <m:r>
            <m:t> </m:t>
          </m:r>
          <m:r>
            <m:rPr>
              <m:sty m:val="p"/>
            </m:rPr>
            <m:t>⇒</m:t>
          </m:r>
          <m:r>
            <m:t> </m:t>
          </m:r>
          <m:r>
            <m:rPr>
              <m:sty m:val="p"/>
            </m:rPr>
            <m:t>log</m:t>
          </m:r>
          <m:d>
            <m:dPr>
              <m:begChr m:val="("/>
              <m:endChr m:val=")"/>
              <m:sepChr m:val=""/>
              <m:grow/>
            </m:dPr>
            <m:e>
              <m:r>
                <m:t>A</m:t>
              </m:r>
              <m:r>
                <m:rPr>
                  <m:sty m:val="p"/>
                </m:rPr>
                <m:t>−</m:t>
              </m:r>
              <m:r>
                <m:t>y</m:t>
              </m:r>
            </m:e>
          </m:d>
          <m:r>
            <m:rPr>
              <m:sty m:val="p"/>
            </m:rPr>
            <m:t>=</m:t>
          </m:r>
          <m:r>
            <m:rPr>
              <m:sty m:val="p"/>
            </m:rPr>
            <m:t>log</m:t>
          </m:r>
          <m:r>
            <m:t>A</m:t>
          </m:r>
          <m:r>
            <m:rPr>
              <m:sty m:val="p"/>
            </m:rPr>
            <m:t>−</m:t>
          </m:r>
          <m:r>
            <m:t>c</m:t>
          </m:r>
          <m:r>
            <m:t> </m:t>
          </m:r>
          <m:r>
            <m:t>x</m:t>
          </m:r>
        </m:oMath>
      </m:oMathPara>
    </w:p>
    <w:p>
      <w:pPr>
        <w:pStyle w:val="FirstParagraph"/>
      </w:pPr>
      <m:oMath>
        <m:r>
          <m:t>A</m:t>
        </m:r>
      </m:oMath>
      <w:r>
        <w:t xml:space="preserve"> </w:t>
      </w:r>
      <w:r>
        <w:t xml:space="preserve">is the maximum yield,</w:t>
      </w:r>
      <w:r>
        <w:t xml:space="preserve"> </w:t>
      </w:r>
      <m:oMath>
        <m:r>
          <m:t>y</m:t>
        </m:r>
      </m:oMath>
      <w:r>
        <w:t xml:space="preserve"> </w:t>
      </w:r>
      <w:r>
        <w:t xml:space="preserve">the yield at nutrient level</w:t>
      </w:r>
      <w:r>
        <w:t xml:space="preserve"> </w:t>
      </w:r>
      <m:oMath>
        <m:r>
          <m:t>x</m:t>
        </m:r>
      </m:oMath>
      <w:r>
        <w:t xml:space="preserve">, and</w:t>
      </w:r>
      <w:r>
        <w:t xml:space="preserve"> </w:t>
      </w:r>
      <m:oMath>
        <m:r>
          <m:t>c</m:t>
        </m:r>
      </m:oMath>
      <w:r>
        <w:t xml:space="preserve"> </w:t>
      </w:r>
      <w:r>
        <w:t xml:space="preserve">the efficiency constant. Successive equal doses give progressively smaller increments. This is the basis of economic optimum fertiliser doses.</w:t>
      </w:r>
    </w:p>
    <w:p>
      <w:pPr>
        <w:pStyle w:val="BodyText"/>
      </w:pPr>
      <w:r>
        <w:rPr>
          <w:bCs/>
          <w:b/>
        </w:rPr>
        <w:t xml:space="preserve">Other concepts:</w:t>
      </w:r>
    </w:p>
    <w:p>
      <w:pPr>
        <w:pStyle w:val="Compact"/>
        <w:numPr>
          <w:ilvl w:val="0"/>
          <w:numId w:val="1145"/>
        </w:numPr>
      </w:pPr>
      <w:r>
        <w:rPr>
          <w:bCs/>
          <w:b/>
        </w:rPr>
        <w:t xml:space="preserve">Baule unit:</w:t>
      </w:r>
      <w:r>
        <w:t xml:space="preserve"> </w:t>
      </w:r>
      <w:r>
        <w:t xml:space="preserve">the amount of nutrient needed to produce 50% of the maximum yield.</w:t>
      </w:r>
    </w:p>
    <w:p>
      <w:pPr>
        <w:pStyle w:val="Compact"/>
        <w:numPr>
          <w:ilvl w:val="0"/>
          <w:numId w:val="1145"/>
        </w:numPr>
      </w:pPr>
      <w:r>
        <w:t xml:space="preserve">Wilcox’s inverse yield–nitrogen law.</w:t>
      </w:r>
    </w:p>
    <w:p>
      <w:pPr>
        <w:pStyle w:val="Compact"/>
        <w:numPr>
          <w:ilvl w:val="0"/>
          <w:numId w:val="1145"/>
        </w:numPr>
      </w:pPr>
      <w:r>
        <w:rPr>
          <w:bCs/>
          <w:b/>
        </w:rPr>
        <w:t xml:space="preserve">Critical level / critical nutrient concentration</w:t>
      </w:r>
      <w:r>
        <w:t xml:space="preserve"> </w:t>
      </w:r>
      <w:r>
        <w:t xml:space="preserve">(Cate and Nelson): the soil-test or tissue value below which response is likely.</w:t>
      </w:r>
      <w:r>
        <w:t xml:space="preserve"> </w:t>
      </w:r>
      <w:r>
        <w:rPr>
          <w:bCs/>
          <w:b/>
        </w:rPr>
        <w:t xml:space="preserve">Sufficiency range</w:t>
      </w:r>
      <w:r>
        <w:t xml:space="preserve"> </w:t>
      </w:r>
      <w:r>
        <w:t xml:space="preserve">and</w:t>
      </w:r>
      <w:r>
        <w:t xml:space="preserve"> </w:t>
      </w:r>
      <w:r>
        <w:rPr>
          <w:bCs/>
          <w:b/>
        </w:rPr>
        <w:t xml:space="preserve">DRIS</w:t>
      </w:r>
      <w:r>
        <w:t xml:space="preserve"> </w:t>
      </w:r>
      <w:r>
        <w:t xml:space="preserve">(Diagnosis and Recommendation Integrated System) use nutrient ratios.</w:t>
      </w:r>
    </w:p>
    <w:p>
      <w:pPr>
        <w:pStyle w:val="Heading2"/>
      </w:pPr>
      <w:r>
        <w:t xml:space="preserve">19.4 Soil Testing</w:t>
      </w:r>
    </w:p>
    <w:p>
      <w:pPr>
        <w:pStyle w:val="FirstParagraph"/>
      </w:pPr>
      <w:r>
        <w:rPr>
          <w:bCs/>
          <w:b/>
        </w:rPr>
        <w:t xml:space="preserve">Soil testing</w:t>
      </w:r>
      <w:r>
        <w:t xml:space="preserve"> </w:t>
      </w:r>
      <w:r>
        <w:t xml:space="preserve">is a rapid chemical analysis of soil to assess plant-available nutrients and recommend fertiliser and amendments.</w:t>
      </w:r>
      <w:r>
        <w:t xml:space="preserve"> </w:t>
      </w:r>
      <w:r>
        <w:rPr>
          <w:bCs/>
          <w:b/>
        </w:rPr>
        <w:t xml:space="preserve">Sampling:</w:t>
      </w:r>
      <w:r>
        <w:t xml:space="preserve"> </w:t>
      </w:r>
      <w:r>
        <w:t xml:space="preserve">a composite of 15–20 cores from 0–15 cm (V-shaped cuts) per homogeneous field, avoiding bunds, manure heaps and trees.</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Standard method (India)</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Organic carbon (%)</w:t>
            </w:r>
          </w:p>
        </w:tc>
        <w:tc>
          <w:tcPr/>
          <w:p>
            <w:pPr>
              <w:pStyle w:val="Compact"/>
              <w:jc w:val="left"/>
            </w:pPr>
            <w:r>
              <w:t xml:space="preserve">Walkley–Black</w:t>
            </w:r>
          </w:p>
        </w:tc>
        <w:tc>
          <w:tcPr/>
          <w:p>
            <w:pPr>
              <w:pStyle w:val="Compact"/>
              <w:jc w:val="left"/>
            </w:pPr>
            <w:r>
              <w:t xml:space="preserve">&lt; 0.50</w:t>
            </w:r>
          </w:p>
        </w:tc>
        <w:tc>
          <w:tcPr/>
          <w:p>
            <w:pPr>
              <w:pStyle w:val="Compact"/>
              <w:jc w:val="left"/>
            </w:pPr>
            <w:r>
              <w:t xml:space="preserve">0.50–0.75</w:t>
            </w:r>
          </w:p>
        </w:tc>
        <w:tc>
          <w:tcPr/>
          <w:p>
            <w:pPr>
              <w:pStyle w:val="Compact"/>
              <w:jc w:val="left"/>
            </w:pPr>
            <w:r>
              <w:t xml:space="preserve">&gt; 0.75</w:t>
            </w:r>
          </w:p>
        </w:tc>
      </w:tr>
      <w:tr>
        <w:tc>
          <w:tcPr/>
          <w:p>
            <w:pPr>
              <w:pStyle w:val="Compact"/>
              <w:jc w:val="left"/>
            </w:pPr>
            <w:r>
              <w:t xml:space="preserve">Available N (kg ha⁻¹)</w:t>
            </w:r>
          </w:p>
        </w:tc>
        <w:tc>
          <w:tcPr/>
          <w:p>
            <w:pPr>
              <w:pStyle w:val="Compact"/>
              <w:jc w:val="left"/>
            </w:pPr>
            <w:r>
              <w:rPr>
                <w:bCs/>
                <w:b/>
              </w:rPr>
              <w:t xml:space="preserve">Alkaline KMnO₄ (Subbiah and Asija, 1956)</w:t>
            </w:r>
          </w:p>
        </w:tc>
        <w:tc>
          <w:tcPr/>
          <w:p>
            <w:pPr>
              <w:pStyle w:val="Compact"/>
              <w:jc w:val="left"/>
            </w:pPr>
            <w:r>
              <w:t xml:space="preserve">&lt; 280</w:t>
            </w:r>
          </w:p>
        </w:tc>
        <w:tc>
          <w:tcPr/>
          <w:p>
            <w:pPr>
              <w:pStyle w:val="Compact"/>
              <w:jc w:val="left"/>
            </w:pPr>
            <w:r>
              <w:t xml:space="preserve">280–560</w:t>
            </w:r>
          </w:p>
        </w:tc>
        <w:tc>
          <w:tcPr/>
          <w:p>
            <w:pPr>
              <w:pStyle w:val="Compact"/>
              <w:jc w:val="left"/>
            </w:pPr>
            <w:r>
              <w:t xml:space="preserve">&gt; 560</w:t>
            </w:r>
          </w:p>
        </w:tc>
      </w:tr>
      <w:tr>
        <w:tc>
          <w:tcPr/>
          <w:p>
            <w:pPr>
              <w:pStyle w:val="Compact"/>
              <w:jc w:val="left"/>
            </w:pPr>
            <w:r>
              <w:t xml:space="preserve">Available P (kg ha⁻¹)</w:t>
            </w:r>
          </w:p>
        </w:tc>
        <w:tc>
          <w:tcPr/>
          <w:p>
            <w:pPr>
              <w:pStyle w:val="Compact"/>
              <w:jc w:val="left"/>
            </w:pPr>
            <w:r>
              <w:rPr>
                <w:bCs/>
                <w:b/>
              </w:rPr>
              <w:t xml:space="preserve">Olsen</w:t>
            </w:r>
            <w:r>
              <w:t xml:space="preserve"> </w:t>
            </w:r>
            <w:r>
              <w:t xml:space="preserve">(0.5 M NaHCO₃, pH 8.5; neutral and alkaline soils);</w:t>
            </w:r>
            <w:r>
              <w:t xml:space="preserve"> </w:t>
            </w:r>
            <w:r>
              <w:rPr>
                <w:bCs/>
                <w:b/>
              </w:rPr>
              <w:t xml:space="preserve">Bray-1</w:t>
            </w:r>
            <w:r>
              <w:t xml:space="preserve"> </w:t>
            </w:r>
            <w:r>
              <w:t xml:space="preserve">(acid soils)</w:t>
            </w:r>
          </w:p>
        </w:tc>
        <w:tc>
          <w:tcPr/>
          <w:p>
            <w:pPr>
              <w:pStyle w:val="Compact"/>
              <w:jc w:val="left"/>
            </w:pPr>
            <w:r>
              <w:t xml:space="preserve">&lt; 10 (11)</w:t>
            </w:r>
          </w:p>
        </w:tc>
        <w:tc>
          <w:tcPr/>
          <w:p>
            <w:pPr>
              <w:pStyle w:val="Compact"/>
              <w:jc w:val="left"/>
            </w:pPr>
            <w:r>
              <w:t xml:space="preserve">10–25</w:t>
            </w:r>
          </w:p>
        </w:tc>
        <w:tc>
          <w:tcPr/>
          <w:p>
            <w:pPr>
              <w:pStyle w:val="Compact"/>
              <w:jc w:val="left"/>
            </w:pPr>
            <w:r>
              <w:t xml:space="preserve">&gt; 25</w:t>
            </w:r>
          </w:p>
        </w:tc>
      </w:tr>
      <w:tr>
        <w:tc>
          <w:tcPr/>
          <w:p>
            <w:pPr>
              <w:pStyle w:val="Compact"/>
              <w:jc w:val="left"/>
            </w:pPr>
            <w:r>
              <w:t xml:space="preserve">Available K (kg ha⁻¹)</w:t>
            </w:r>
          </w:p>
        </w:tc>
        <w:tc>
          <w:tcPr/>
          <w:p>
            <w:pPr>
              <w:pStyle w:val="Compact"/>
              <w:jc w:val="left"/>
            </w:pPr>
            <w:r>
              <w:rPr>
                <w:bCs/>
                <w:b/>
              </w:rPr>
              <w:t xml:space="preserve">Neutral normal NH₄OAc</w:t>
            </w:r>
            <w:r>
              <w:t xml:space="preserve"> </w:t>
            </w:r>
            <w:r>
              <w:t xml:space="preserve">extraction, flame photometer</w:t>
            </w:r>
          </w:p>
        </w:tc>
        <w:tc>
          <w:tcPr/>
          <w:p>
            <w:pPr>
              <w:pStyle w:val="Compact"/>
              <w:jc w:val="left"/>
            </w:pPr>
            <w:r>
              <w:t xml:space="preserve">&lt; 108 (120)</w:t>
            </w:r>
          </w:p>
        </w:tc>
        <w:tc>
          <w:tcPr/>
          <w:p>
            <w:pPr>
              <w:pStyle w:val="Compact"/>
              <w:jc w:val="left"/>
            </w:pPr>
            <w:r>
              <w:t xml:space="preserve">108–280</w:t>
            </w:r>
          </w:p>
        </w:tc>
        <w:tc>
          <w:tcPr/>
          <w:p>
            <w:pPr>
              <w:pStyle w:val="Compact"/>
              <w:jc w:val="left"/>
            </w:pPr>
            <w:r>
              <w:t xml:space="preserve">&gt; 280</w:t>
            </w:r>
          </w:p>
        </w:tc>
      </w:tr>
      <w:tr>
        <w:tc>
          <w:tcPr/>
          <w:p>
            <w:pPr>
              <w:pStyle w:val="Compact"/>
              <w:jc w:val="left"/>
            </w:pPr>
            <w:r>
              <w:t xml:space="preserve">Available S (mg kg⁻¹)</w:t>
            </w:r>
          </w:p>
        </w:tc>
        <w:tc>
          <w:tcPr/>
          <w:p>
            <w:pPr>
              <w:pStyle w:val="Compact"/>
              <w:jc w:val="left"/>
            </w:pPr>
            <w:r>
              <w:t xml:space="preserve">0.15% CaCl₂ or Ca(H₂PO₄)₂ extraction, turbidimetric</w:t>
            </w:r>
          </w:p>
        </w:tc>
        <w:tc>
          <w:tcPr/>
          <w:p>
            <w:pPr>
              <w:pStyle w:val="Compact"/>
              <w:jc w:val="left"/>
            </w:pPr>
            <w:r>
              <w:t xml:space="preserve">&lt; 10</w:t>
            </w:r>
          </w:p>
        </w:tc>
        <w:tc>
          <w:tcPr/>
          <w:p>
            <w:pPr>
              <w:pStyle w:val="Compact"/>
              <w:jc w:val="left"/>
            </w:pPr>
            <w:r>
              <w:t xml:space="preserve">10–20</w:t>
            </w:r>
          </w:p>
        </w:tc>
        <w:tc>
          <w:tcPr/>
          <w:p>
            <w:pPr>
              <w:pStyle w:val="Compact"/>
              <w:jc w:val="left"/>
            </w:pPr>
            <w:r>
              <w:t xml:space="preserve">&gt; 20</w:t>
            </w:r>
          </w:p>
        </w:tc>
      </w:tr>
      <w:tr>
        <w:tc>
          <w:tcPr/>
          <w:p>
            <w:pPr>
              <w:pStyle w:val="Compact"/>
              <w:jc w:val="left"/>
            </w:pPr>
            <w:r>
              <w:t xml:space="preserve">Zn, Fe, Cu, Mn</w:t>
            </w:r>
          </w:p>
        </w:tc>
        <w:tc>
          <w:tcPr/>
          <w:p>
            <w:pPr>
              <w:pStyle w:val="Compact"/>
              <w:jc w:val="left"/>
            </w:pPr>
            <w:r>
              <w:rPr>
                <w:bCs/>
                <w:b/>
              </w:rPr>
              <w:t xml:space="preserve">DTPA</w:t>
            </w:r>
            <w:r>
              <w:t xml:space="preserve"> </w:t>
            </w:r>
            <w:r>
              <w:t xml:space="preserve">extraction (Lindsay and Norvell, 1978), AAS</w:t>
            </w:r>
          </w:p>
        </w:tc>
        <w:tc>
          <w:tcPr/>
          <w:p>
            <w:pPr>
              <w:pStyle w:val="Compact"/>
              <w:jc w:val="left"/>
            </w:pPr>
            <w:r>
              <w:t xml:space="preserve">Critical: Zn 0.6, Fe 4.5, Cu 0.2, Mn 2.0 mg kg⁻¹</w:t>
            </w:r>
          </w:p>
        </w:tc>
        <w:tc>
          <w:tcPr/>
          <w:p>
            <w:pPr>
              <w:pStyle w:val="Compact"/>
            </w:pPr>
          </w:p>
        </w:tc>
        <w:tc>
          <w:tcPr/>
          <w:p>
            <w:pPr>
              <w:pStyle w:val="Compact"/>
            </w:pPr>
          </w:p>
        </w:tc>
      </w:tr>
      <w:tr>
        <w:tc>
          <w:tcPr/>
          <w:p>
            <w:pPr>
              <w:pStyle w:val="Compact"/>
              <w:jc w:val="left"/>
            </w:pPr>
            <w:r>
              <w:t xml:space="preserve">B</w:t>
            </w:r>
          </w:p>
        </w:tc>
        <w:tc>
          <w:tcPr/>
          <w:p>
            <w:pPr>
              <w:pStyle w:val="Compact"/>
              <w:jc w:val="left"/>
            </w:pPr>
            <w:r>
              <w:t xml:space="preserve">Hot-water soluble, azomethine-H</w:t>
            </w:r>
          </w:p>
        </w:tc>
        <w:tc>
          <w:tcPr/>
          <w:p>
            <w:pPr>
              <w:pStyle w:val="Compact"/>
              <w:jc w:val="left"/>
            </w:pPr>
            <w:r>
              <w:t xml:space="preserve">Critical about 0.5 mg kg⁻¹</w:t>
            </w:r>
          </w:p>
        </w:tc>
        <w:tc>
          <w:tcPr/>
          <w:p>
            <w:pPr>
              <w:pStyle w:val="Compact"/>
            </w:pPr>
          </w:p>
        </w:tc>
        <w:tc>
          <w:tcPr/>
          <w:p>
            <w:pPr>
              <w:pStyle w:val="Compact"/>
            </w:pPr>
          </w:p>
        </w:tc>
      </w:tr>
    </w:tbl>
    <w:p>
      <w:pPr>
        <w:pStyle w:val="BodyText"/>
      </w:pPr>
      <w:r>
        <w:rPr>
          <w:bCs/>
          <w:b/>
        </w:rPr>
        <w:t xml:space="preserve">Fertiliser recommendation approaches:</w:t>
      </w:r>
    </w:p>
    <w:p>
      <w:pPr>
        <w:pStyle w:val="Compact"/>
        <w:numPr>
          <w:ilvl w:val="0"/>
          <w:numId w:val="1146"/>
        </w:numPr>
      </w:pPr>
      <w:r>
        <w:t xml:space="preserve">General (state) recommendations.</w:t>
      </w:r>
    </w:p>
    <w:p>
      <w:pPr>
        <w:pStyle w:val="Compact"/>
        <w:numPr>
          <w:ilvl w:val="0"/>
          <w:numId w:val="1146"/>
        </w:numPr>
      </w:pPr>
      <w:r>
        <w:rPr>
          <w:bCs/>
          <w:b/>
        </w:rPr>
        <w:t xml:space="preserve">Soil-test-based</w:t>
      </w:r>
      <w:r>
        <w:t xml:space="preserve"> </w:t>
      </w:r>
      <w:r>
        <w:t xml:space="preserve">recommendations: ±25–50% adjustment for low or high ratings.</w:t>
      </w:r>
    </w:p>
    <w:p>
      <w:pPr>
        <w:pStyle w:val="Compact"/>
        <w:numPr>
          <w:ilvl w:val="0"/>
          <w:numId w:val="1146"/>
        </w:numPr>
      </w:pPr>
      <w:r>
        <w:rPr>
          <w:bCs/>
          <w:b/>
        </w:rPr>
        <w:t xml:space="preserve">STCR targeted yield equations</w:t>
      </w:r>
      <w:r>
        <w:t xml:space="preserve"> </w:t>
      </w:r>
      <w:r>
        <w:t xml:space="preserve">(Ramamoorthy):</w:t>
      </w:r>
    </w:p>
    <w:p>
      <w:pPr>
        <w:pStyle w:val="FirstParagraph"/>
      </w:pPr>
      <m:oMathPara>
        <m:oMathParaPr>
          <m:jc m:val="center"/>
        </m:oMathParaPr>
        <m:oMath>
          <m:r>
            <m:t>F</m:t>
          </m:r>
          <m:r>
            <m:t>N</m:t>
          </m:r>
          <m:r>
            <m:rPr>
              <m:sty m:val="p"/>
            </m:rPr>
            <m:t>=</m:t>
          </m:r>
          <m:f>
            <m:fPr>
              <m:type m:val="bar"/>
            </m:fPr>
            <m:num>
              <m:r>
                <m:t>N</m:t>
              </m:r>
              <m:r>
                <m:t>R</m:t>
              </m:r>
            </m:num>
            <m:den>
              <m:r>
                <m:t>C</m:t>
              </m:r>
              <m:r>
                <m:t>F</m:t>
              </m:r>
            </m:den>
          </m:f>
          <m:r>
            <m:rPr>
              <m:sty m:val="p"/>
            </m:rPr>
            <m:t>×</m:t>
          </m:r>
          <m:r>
            <m:t>100</m:t>
          </m:r>
          <m:r>
            <m:rPr>
              <m:sty m:val="p"/>
            </m:rPr>
            <m:t>×</m:t>
          </m:r>
          <m:r>
            <m:t>T</m:t>
          </m:r>
          <m:r>
            <m:rPr>
              <m:sty m:val="p"/>
            </m:rPr>
            <m:t>−</m:t>
          </m:r>
          <m:f>
            <m:fPr>
              <m:type m:val="bar"/>
            </m:fPr>
            <m:num>
              <m:r>
                <m:t>C</m:t>
              </m:r>
              <m:r>
                <m:t>S</m:t>
              </m:r>
            </m:num>
            <m:den>
              <m:r>
                <m:t>C</m:t>
              </m:r>
              <m:r>
                <m:t>F</m:t>
              </m:r>
            </m:den>
          </m:f>
          <m:r>
            <m:rPr>
              <m:sty m:val="p"/>
            </m:rPr>
            <m:t>×</m:t>
          </m:r>
          <m:r>
            <m:t>S</m:t>
          </m:r>
          <m:r>
            <m:t>T</m:t>
          </m:r>
          <m:r>
            <m:t>V</m:t>
          </m:r>
        </m:oMath>
      </m:oMathPara>
    </w:p>
    <w:p>
      <w:pPr>
        <w:pStyle w:val="FirstParagraph"/>
      </w:pPr>
      <w:r>
        <w:t xml:space="preserve">(FN = fertiliser nutrient dose; NR = nutrient requirement per quintal; CF and CS = efficiencies of fertiliser and soil nutrient; T = target yield; STV = soil test value.)</w:t>
      </w:r>
    </w:p>
    <w:p>
      <w:pPr>
        <w:pStyle w:val="Compact"/>
        <w:numPr>
          <w:ilvl w:val="0"/>
          <w:numId w:val="1147"/>
        </w:numPr>
      </w:pPr>
      <w:r>
        <w:t xml:space="preserve">Site-specific nutrient management (SSNM) and decision-support tools (Nutrient Expert).</w:t>
      </w:r>
    </w:p>
    <w:p>
      <w:pPr>
        <w:pStyle w:val="Compact"/>
        <w:numPr>
          <w:ilvl w:val="0"/>
          <w:numId w:val="1147"/>
        </w:numPr>
      </w:pPr>
      <w:r>
        <w:rPr>
          <w:bCs/>
          <w:b/>
        </w:rPr>
        <w:t xml:space="preserve">Soil Health Card</w:t>
      </w:r>
      <w:r>
        <w:t xml:space="preserve"> </w:t>
      </w:r>
      <w:r>
        <w:t xml:space="preserve">scheme (2015): 12 parameters (N, P, K, S, Zn, Fe, Cu, Mn, B, pH, EC, OC) with crop-wise recommendations.</w:t>
      </w:r>
    </w:p>
    <w:p>
      <w:pPr>
        <w:pStyle w:val="Heading2"/>
      </w:pPr>
      <w:r>
        <w:t xml:space="preserve">19.5 Nitrogen</w:t>
      </w:r>
    </w:p>
    <w:p>
      <w:pPr>
        <w:pStyle w:val="FirstParagraph"/>
      </w:pPr>
      <w:r>
        <w:rPr>
          <w:bCs/>
          <w:b/>
        </w:rPr>
        <w:t xml:space="preserve">Functions:</w:t>
      </w:r>
      <w:r>
        <w:t xml:space="preserve"> </w:t>
      </w:r>
      <w:r>
        <w:t xml:space="preserve">a constituent of amino acids, proteins, chlorophyll, nucleic acids and enzymes. It promotes vegetative growth and dark green colour. Excess N causes lodging, delayed maturity and pest susceptibility.</w:t>
      </w:r>
    </w:p>
    <w:p>
      <w:pPr>
        <w:pStyle w:val="BodyText"/>
      </w:pPr>
      <w:r>
        <w:rPr>
          <w:bCs/>
          <w:b/>
        </w:rPr>
        <w:t xml:space="preserve">Forms in soil:</w:t>
      </w:r>
      <w:r>
        <w:t xml:space="preserve"> </w:t>
      </w:r>
      <w:r>
        <w:t xml:space="preserve">more than 95% is organic. Inorganic forms are NH₄⁺, NO₃⁻ and NO₂⁻.</w:t>
      </w:r>
    </w:p>
    <w:p>
      <w:pPr>
        <w:pStyle w:val="BodyText"/>
      </w:pPr>
      <w:r>
        <w:rPr>
          <w:bCs/>
          <w:b/>
        </w:rPr>
        <w:t xml:space="preserve">Transformations</w:t>
      </w:r>
      <w:r>
        <w:t xml:space="preserve"> </w:t>
      </w:r>
      <w:r>
        <w:t xml:space="preserve">(the soil N cycle):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Process</w:t>
            </w:r>
          </w:p>
        </w:tc>
        <w:tc>
          <w:tcPr/>
          <w:p>
            <w:pPr>
              <w:pStyle w:val="Compact"/>
              <w:jc w:val="left"/>
            </w:pPr>
            <w:r>
              <w:t xml:space="preserve">Reaction / agents</w:t>
            </w:r>
          </w:p>
        </w:tc>
        <w:tc>
          <w:tcPr/>
          <w:p>
            <w:pPr>
              <w:pStyle w:val="Compact"/>
              <w:jc w:val="left"/>
            </w:pPr>
            <w:r>
              <w:t xml:space="preserve">Significance</w:t>
            </w:r>
          </w:p>
        </w:tc>
      </w:tr>
      <w:tr>
        <w:tc>
          <w:tcPr/>
          <w:p>
            <w:pPr>
              <w:pStyle w:val="Compact"/>
              <w:jc w:val="left"/>
            </w:pPr>
            <w:r>
              <w:rPr>
                <w:bCs/>
                <w:b/>
              </w:rPr>
              <w:t xml:space="preserve">Mineralisation (ammonification)</w:t>
            </w:r>
          </w:p>
        </w:tc>
        <w:tc>
          <w:tcPr/>
          <w:p>
            <w:pPr>
              <w:pStyle w:val="Compact"/>
              <w:jc w:val="left"/>
            </w:pPr>
            <w:r>
              <w:t xml:space="preserve">Organic N → NH₄⁺ (heterotrophic microbes)</w:t>
            </w:r>
          </w:p>
        </w:tc>
        <w:tc>
          <w:tcPr/>
          <w:p>
            <w:pPr>
              <w:pStyle w:val="Compact"/>
              <w:jc w:val="left"/>
            </w:pPr>
            <w:r>
              <w:t xml:space="preserve">Releases N from SOM and residues</w:t>
            </w:r>
          </w:p>
        </w:tc>
      </w:tr>
      <w:tr>
        <w:tc>
          <w:tcPr/>
          <w:p>
            <w:pPr>
              <w:pStyle w:val="Compact"/>
              <w:jc w:val="left"/>
            </w:pPr>
            <w:r>
              <w:rPr>
                <w:bCs/>
                <w:b/>
              </w:rPr>
              <w:t xml:space="preserve">Immobilisation</w:t>
            </w:r>
          </w:p>
        </w:tc>
        <w:tc>
          <w:tcPr/>
          <w:p>
            <w:pPr>
              <w:pStyle w:val="Compact"/>
              <w:jc w:val="left"/>
            </w:pPr>
            <w:r>
              <w:t xml:space="preserve">NH₄⁺ / NO₃⁻ → microbial organic N</w:t>
            </w:r>
          </w:p>
        </w:tc>
        <w:tc>
          <w:tcPr/>
          <w:p>
            <w:pPr>
              <w:pStyle w:val="Compact"/>
              <w:jc w:val="left"/>
            </w:pPr>
            <w:r>
              <w:t xml:space="preserve">High C:N residues</w:t>
            </w:r>
          </w:p>
        </w:tc>
      </w:tr>
      <w:tr>
        <w:tc>
          <w:tcPr/>
          <w:p>
            <w:pPr>
              <w:pStyle w:val="Compact"/>
              <w:jc w:val="left"/>
            </w:pPr>
            <w:r>
              <w:rPr>
                <w:bCs/>
                <w:b/>
              </w:rPr>
              <w:t xml:space="preserve">Nitrification</w:t>
            </w:r>
          </w:p>
        </w:tc>
        <w:tc>
          <w:tcPr/>
          <w:p>
            <w:pPr>
              <w:pStyle w:val="Compact"/>
              <w:jc w:val="left"/>
            </w:pPr>
            <w:r>
              <w:t xml:space="preserve">NH₄⁺ → NO₂⁻ (</w:t>
            </w:r>
            <w:r>
              <w:rPr>
                <w:iCs/>
                <w:i/>
              </w:rPr>
              <w:t xml:space="preserve">Nitrosomonas</w:t>
            </w:r>
            <w:r>
              <w:t xml:space="preserve">) → NO₃⁻ (</w:t>
            </w:r>
            <w:r>
              <w:rPr>
                <w:iCs/>
                <w:i/>
              </w:rPr>
              <w:t xml:space="preserve">Nitrobacter</w:t>
            </w:r>
            <w:r>
              <w:t xml:space="preserve">), aerobic, autotrophic</w:t>
            </w:r>
          </w:p>
        </w:tc>
        <w:tc>
          <w:tcPr/>
          <w:p>
            <w:pPr>
              <w:pStyle w:val="Compact"/>
              <w:jc w:val="left"/>
            </w:pPr>
            <w:r>
              <w:t xml:space="preserve">Produces mobile NO₃⁻; acidifies soil</w:t>
            </w:r>
          </w:p>
        </w:tc>
      </w:tr>
      <w:tr>
        <w:tc>
          <w:tcPr/>
          <w:p>
            <w:pPr>
              <w:pStyle w:val="Compact"/>
              <w:jc w:val="left"/>
            </w:pPr>
            <w:r>
              <w:rPr>
                <w:bCs/>
                <w:b/>
              </w:rPr>
              <w:t xml:space="preserve">Denitrification</w:t>
            </w:r>
          </w:p>
        </w:tc>
        <w:tc>
          <w:tcPr/>
          <w:p>
            <w:pPr>
              <w:pStyle w:val="Compact"/>
              <w:jc w:val="left"/>
            </w:pPr>
            <w:r>
              <w:t xml:space="preserve">NO₃⁻ → NO₂⁻ → NO → N₂O → N₂ (anaerobic heterotrophs, e.g. </w:t>
            </w:r>
            <w:r>
              <w:rPr>
                <w:iCs/>
                <w:i/>
              </w:rPr>
              <w:t xml:space="preserve">Pseudomonas</w:t>
            </w:r>
            <w:r>
              <w:t xml:space="preserve">)</w:t>
            </w:r>
          </w:p>
        </w:tc>
        <w:tc>
          <w:tcPr/>
          <w:p>
            <w:pPr>
              <w:pStyle w:val="Compact"/>
              <w:jc w:val="left"/>
            </w:pPr>
            <w:r>
              <w:t xml:space="preserve">Gaseous loss; N₂O is a potent GHG</w:t>
            </w:r>
          </w:p>
        </w:tc>
      </w:tr>
      <w:tr>
        <w:tc>
          <w:tcPr/>
          <w:p>
            <w:pPr>
              <w:pStyle w:val="Compact"/>
              <w:jc w:val="left"/>
            </w:pPr>
            <w:r>
              <w:rPr>
                <w:bCs/>
                <w:b/>
              </w:rPr>
              <w:t xml:space="preserve">Ammonia volatilisation</w:t>
            </w:r>
          </w:p>
        </w:tc>
        <w:tc>
          <w:tcPr/>
          <w:p>
            <w:pPr>
              <w:pStyle w:val="Compact"/>
              <w:jc w:val="left"/>
            </w:pPr>
            <w:r>
              <w:t xml:space="preserve">NH₄⁺ → NH₃ gas at high pH; urea hydrolysis by urease</w:t>
            </w:r>
          </w:p>
        </w:tc>
        <w:tc>
          <w:tcPr/>
          <w:p>
            <w:pPr>
              <w:pStyle w:val="Compact"/>
              <w:jc w:val="left"/>
            </w:pPr>
            <w:r>
              <w:t xml:space="preserve">Losses from surface-applied urea on calcareous and sodic soils</w:t>
            </w:r>
          </w:p>
        </w:tc>
      </w:tr>
      <w:tr>
        <w:tc>
          <w:tcPr/>
          <w:p>
            <w:pPr>
              <w:pStyle w:val="Compact"/>
              <w:jc w:val="left"/>
            </w:pPr>
            <w:r>
              <w:rPr>
                <w:bCs/>
                <w:b/>
              </w:rPr>
              <w:t xml:space="preserve">Leaching</w:t>
            </w:r>
          </w:p>
        </w:tc>
        <w:tc>
          <w:tcPr/>
          <w:p>
            <w:pPr>
              <w:pStyle w:val="Compact"/>
              <w:jc w:val="left"/>
            </w:pPr>
            <w:r>
              <w:t xml:space="preserve">NO₃⁻ moves with water</w:t>
            </w:r>
          </w:p>
        </w:tc>
        <w:tc>
          <w:tcPr/>
          <w:p>
            <w:pPr>
              <w:pStyle w:val="Compact"/>
              <w:jc w:val="left"/>
            </w:pPr>
            <w:r>
              <w:t xml:space="preserve">Groundwater pollution</w:t>
            </w:r>
          </w:p>
        </w:tc>
      </w:tr>
      <w:tr>
        <w:tc>
          <w:tcPr/>
          <w:p>
            <w:pPr>
              <w:pStyle w:val="Compact"/>
              <w:jc w:val="left"/>
            </w:pPr>
            <w:r>
              <w:rPr>
                <w:bCs/>
                <w:b/>
              </w:rPr>
              <w:t xml:space="preserve">Fixation of NH₄⁺</w:t>
            </w:r>
          </w:p>
        </w:tc>
        <w:tc>
          <w:tcPr/>
          <w:p>
            <w:pPr>
              <w:pStyle w:val="Compact"/>
              <w:jc w:val="left"/>
            </w:pPr>
            <w:r>
              <w:t xml:space="preserve">Trapping in 2:1 clay interlayers (vermiculite, illite)</w:t>
            </w:r>
          </w:p>
        </w:tc>
        <w:tc>
          <w:tcPr/>
          <w:p>
            <w:pPr>
              <w:pStyle w:val="Compact"/>
              <w:jc w:val="left"/>
            </w:pPr>
            <w:r>
              <w:t xml:space="preserve">Temporarily unavailable</w:t>
            </w:r>
          </w:p>
        </w:tc>
      </w:tr>
      <w:tr>
        <w:tc>
          <w:tcPr/>
          <w:p>
            <w:pPr>
              <w:pStyle w:val="Compact"/>
              <w:jc w:val="left"/>
            </w:pPr>
            <w:r>
              <w:rPr>
                <w:bCs/>
                <w:b/>
              </w:rPr>
              <w:t xml:space="preserve">Biological N₂ fixation</w:t>
            </w:r>
          </w:p>
        </w:tc>
        <w:tc>
          <w:tcPr/>
          <w:p>
            <w:pPr>
              <w:pStyle w:val="Compact"/>
              <w:jc w:val="left"/>
            </w:pPr>
            <w:r>
              <w:t xml:space="preserve">N₂ → NH₃ (nitrogenase; Rhizobium, Azotobacter, cyanobacteria)</w:t>
            </w:r>
          </w:p>
        </w:tc>
        <w:tc>
          <w:tcPr/>
          <w:p>
            <w:pPr>
              <w:pStyle w:val="Compact"/>
              <w:jc w:val="left"/>
            </w:pPr>
            <w:r>
              <w:t xml:space="preserve">Natural input</w:t>
            </w:r>
          </w:p>
        </w:tc>
      </w:tr>
    </w:tbl>
    <w:p>
      <w:pPr>
        <w:pStyle w:val="BodyText"/>
      </w:pPr>
      <w:r>
        <w:rPr>
          <w:bCs/>
          <w:b/>
        </w:rPr>
        <w:t xml:space="preserve">Nitrogen fertilisers: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Fertiliser</w:t>
            </w:r>
          </w:p>
        </w:tc>
        <w:tc>
          <w:tcPr/>
          <w:p>
            <w:pPr>
              <w:pStyle w:val="Compact"/>
              <w:jc w:val="left"/>
            </w:pPr>
            <w:r>
              <w:t xml:space="preserve">N (%)</w:t>
            </w:r>
          </w:p>
        </w:tc>
        <w:tc>
          <w:tcPr/>
          <w:p>
            <w:pPr>
              <w:pStyle w:val="Compact"/>
              <w:jc w:val="left"/>
            </w:pPr>
            <w:r>
              <w:t xml:space="preserve">Notes</w:t>
            </w:r>
          </w:p>
        </w:tc>
      </w:tr>
      <w:tr>
        <w:tc>
          <w:tcPr/>
          <w:p>
            <w:pPr>
              <w:pStyle w:val="Compact"/>
              <w:jc w:val="left"/>
            </w:pPr>
            <w:r>
              <w:rPr>
                <w:bCs/>
                <w:b/>
              </w:rPr>
              <w:t xml:space="preserve">Urea</w:t>
            </w:r>
            <w:r>
              <w:t xml:space="preserve"> </w:t>
            </w:r>
            <w:r>
              <w:t xml:space="preserve">CO(NH₂)₂</w:t>
            </w:r>
          </w:p>
        </w:tc>
        <w:tc>
          <w:tcPr/>
          <w:p>
            <w:pPr>
              <w:pStyle w:val="Compact"/>
              <w:jc w:val="left"/>
            </w:pPr>
            <w:r>
              <w:rPr>
                <w:bCs/>
                <w:b/>
              </w:rPr>
              <w:t xml:space="preserve">46</w:t>
            </w:r>
          </w:p>
        </w:tc>
        <w:tc>
          <w:tcPr/>
          <w:p>
            <w:pPr>
              <w:pStyle w:val="Compact"/>
              <w:jc w:val="left"/>
            </w:pPr>
            <w:r>
              <w:t xml:space="preserve">Most used in India; hydrolysed by urease to (NH₄)₂CO₃; volatilisation loss;</w:t>
            </w:r>
            <w:r>
              <w:t xml:space="preserve"> </w:t>
            </w:r>
            <w:r>
              <w:rPr>
                <w:bCs/>
                <w:b/>
              </w:rPr>
              <w:t xml:space="preserve">neem-coated urea mandatory since 2015</w:t>
            </w:r>
            <w:r>
              <w:t xml:space="preserve"> </w:t>
            </w:r>
            <w:r>
              <w:t xml:space="preserve">(slows nitrification);</w:t>
            </w:r>
            <w:r>
              <w:t xml:space="preserve"> </w:t>
            </w:r>
            <w:r>
              <w:rPr>
                <w:bCs/>
                <w:b/>
              </w:rPr>
              <w:t xml:space="preserve">nano urea (liquid)</w:t>
            </w:r>
            <w:r>
              <w:t xml:space="preserve"> </w:t>
            </w:r>
            <w:r>
              <w:t xml:space="preserve">for foliar use</w:t>
            </w:r>
          </w:p>
        </w:tc>
      </w:tr>
      <w:tr>
        <w:tc>
          <w:tcPr/>
          <w:p>
            <w:pPr>
              <w:pStyle w:val="Compact"/>
              <w:jc w:val="left"/>
            </w:pPr>
            <w:r>
              <w:t xml:space="preserve">Ammonium sulphate</w:t>
            </w:r>
          </w:p>
        </w:tc>
        <w:tc>
          <w:tcPr/>
          <w:p>
            <w:pPr>
              <w:pStyle w:val="Compact"/>
              <w:jc w:val="left"/>
            </w:pPr>
            <w:r>
              <w:t xml:space="preserve">20.6</w:t>
            </w:r>
          </w:p>
        </w:tc>
        <w:tc>
          <w:tcPr/>
          <w:p>
            <w:pPr>
              <w:pStyle w:val="Compact"/>
              <w:jc w:val="left"/>
            </w:pPr>
            <w:r>
              <w:t xml:space="preserve">Also 24% S; acid-forming; good for calcareous and alkaline soils</w:t>
            </w:r>
          </w:p>
        </w:tc>
      </w:tr>
      <w:tr>
        <w:tc>
          <w:tcPr/>
          <w:p>
            <w:pPr>
              <w:pStyle w:val="Compact"/>
              <w:jc w:val="left"/>
            </w:pPr>
            <w:r>
              <w:t xml:space="preserve">Calcium ammonium nitrate (CAN)</w:t>
            </w:r>
          </w:p>
        </w:tc>
        <w:tc>
          <w:tcPr/>
          <w:p>
            <w:pPr>
              <w:pStyle w:val="Compact"/>
              <w:jc w:val="left"/>
            </w:pPr>
            <w:r>
              <w:t xml:space="preserve">25–26</w:t>
            </w:r>
          </w:p>
        </w:tc>
        <w:tc>
          <w:tcPr/>
          <w:p>
            <w:pPr>
              <w:pStyle w:val="Compact"/>
              <w:jc w:val="left"/>
            </w:pPr>
            <w:r>
              <w:t xml:space="preserve">Neutral; half NH₄, half NO₃</w:t>
            </w:r>
          </w:p>
        </w:tc>
      </w:tr>
      <w:tr>
        <w:tc>
          <w:tcPr/>
          <w:p>
            <w:pPr>
              <w:pStyle w:val="Compact"/>
              <w:jc w:val="left"/>
            </w:pPr>
            <w:r>
              <w:t xml:space="preserve">Ammonium chloride</w:t>
            </w:r>
          </w:p>
        </w:tc>
        <w:tc>
          <w:tcPr/>
          <w:p>
            <w:pPr>
              <w:pStyle w:val="Compact"/>
              <w:jc w:val="left"/>
            </w:pPr>
            <w:r>
              <w:t xml:space="preserve">25</w:t>
            </w:r>
          </w:p>
        </w:tc>
        <w:tc>
          <w:tcPr/>
          <w:p>
            <w:pPr>
              <w:pStyle w:val="Compact"/>
              <w:jc w:val="left"/>
            </w:pPr>
            <w:r>
              <w:t xml:space="preserve">Good for rice</w:t>
            </w:r>
          </w:p>
        </w:tc>
      </w:tr>
      <w:tr>
        <w:tc>
          <w:tcPr/>
          <w:p>
            <w:pPr>
              <w:pStyle w:val="Compact"/>
              <w:jc w:val="left"/>
            </w:pPr>
            <w:r>
              <w:t xml:space="preserve">Anhydrous ammonia</w:t>
            </w:r>
          </w:p>
        </w:tc>
        <w:tc>
          <w:tcPr/>
          <w:p>
            <w:pPr>
              <w:pStyle w:val="Compact"/>
              <w:jc w:val="left"/>
            </w:pPr>
            <w:r>
              <w:t xml:space="preserve">82</w:t>
            </w:r>
          </w:p>
        </w:tc>
        <w:tc>
          <w:tcPr/>
          <w:p>
            <w:pPr>
              <w:pStyle w:val="Compact"/>
              <w:jc w:val="left"/>
            </w:pPr>
            <w:r>
              <w:t xml:space="preserve">Highest N; injected</w:t>
            </w:r>
          </w:p>
        </w:tc>
      </w:tr>
      <w:tr>
        <w:tc>
          <w:tcPr/>
          <w:p>
            <w:pPr>
              <w:pStyle w:val="Compact"/>
              <w:jc w:val="left"/>
            </w:pPr>
            <w:r>
              <w:t xml:space="preserve">DAP (18-46-0)</w:t>
            </w:r>
          </w:p>
        </w:tc>
        <w:tc>
          <w:tcPr/>
          <w:p>
            <w:pPr>
              <w:pStyle w:val="Compact"/>
              <w:jc w:val="left"/>
            </w:pPr>
            <w:r>
              <w:t xml:space="preserve">18</w:t>
            </w:r>
          </w:p>
        </w:tc>
        <w:tc>
          <w:tcPr/>
          <w:p>
            <w:pPr>
              <w:pStyle w:val="Compact"/>
              <w:jc w:val="left"/>
            </w:pPr>
            <w:r>
              <w:t xml:space="preserve">Also P</w:t>
            </w:r>
          </w:p>
        </w:tc>
      </w:tr>
    </w:tbl>
    <w:p>
      <w:pPr>
        <w:pStyle w:val="BodyText"/>
      </w:pPr>
      <w:r>
        <w:rPr>
          <w:bCs/>
          <w:b/>
        </w:rPr>
        <w:t xml:space="preserve">Nitrogen-use efficiency</w:t>
      </w:r>
      <w:r>
        <w:t xml:space="preserve"> </w:t>
      </w:r>
      <w:r>
        <w:t xml:space="preserve">is only about</w:t>
      </w:r>
      <w:r>
        <w:t xml:space="preserve"> </w:t>
      </w:r>
      <w:r>
        <w:rPr>
          <w:bCs/>
          <w:b/>
        </w:rPr>
        <w:t xml:space="preserve">30–50%</w:t>
      </w:r>
      <w:r>
        <w:t xml:space="preserve"> </w:t>
      </w:r>
      <w:r>
        <w:t xml:space="preserve">(lower in rice). Ways to improve it: split application timed to crop demand; deep placement; slow-release fertilisers (sulphur-coated urea, urea supergranules, polymer-coated);</w:t>
      </w:r>
      <w:r>
        <w:t xml:space="preserve"> </w:t>
      </w:r>
      <w:r>
        <w:rPr>
          <w:bCs/>
          <w:b/>
        </w:rPr>
        <w:t xml:space="preserve">nitrification inhibitors</w:t>
      </w:r>
      <w:r>
        <w:t xml:space="preserve"> </w:t>
      </w:r>
      <w:r>
        <w:t xml:space="preserve">(neem oil/nimin, DCD, nitrapyrin, DMPP); urease inhibitors (NBPT);</w:t>
      </w:r>
      <w:r>
        <w:t xml:space="preserve"> </w:t>
      </w:r>
      <w:r>
        <w:rPr>
          <w:bCs/>
          <w:b/>
        </w:rPr>
        <w:t xml:space="preserve">leaf colour chart</w:t>
      </w:r>
      <w:r>
        <w:t xml:space="preserve"> </w:t>
      </w:r>
      <w:r>
        <w:t xml:space="preserve">and</w:t>
      </w:r>
      <w:r>
        <w:t xml:space="preserve"> </w:t>
      </w:r>
      <w:r>
        <w:rPr>
          <w:bCs/>
          <w:b/>
        </w:rPr>
        <w:t xml:space="preserve">SPAD meter</w:t>
      </w:r>
      <w:r>
        <w:t xml:space="preserve">-based application; canopy sensors (GreenSeeker NDVI) for variable-rate N; INM; legumes in rotation.</w:t>
      </w:r>
    </w:p>
    <w:p>
      <w:pPr>
        <w:pStyle w:val="Heading2"/>
      </w:pPr>
      <w:r>
        <w:t xml:space="preserve">19.6 Phosphorus</w:t>
      </w:r>
    </w:p>
    <w:p>
      <w:pPr>
        <w:pStyle w:val="FirstParagraph"/>
      </w:pPr>
      <w:r>
        <w:rPr>
          <w:bCs/>
          <w:b/>
        </w:rPr>
        <w:t xml:space="preserve">Functions:</w:t>
      </w:r>
      <w:r>
        <w:t xml:space="preserve"> </w:t>
      </w:r>
      <w:r>
        <w:t xml:space="preserve">energy transfer (ATP), nucleic acids, phospholipids. P promotes root development, early maturity, flowering, seed formation and N fixation in legumes.</w:t>
      </w:r>
      <w:r>
        <w:t xml:space="preserve"> </w:t>
      </w:r>
      <w:r>
        <w:rPr>
          <w:bCs/>
          <w:b/>
        </w:rPr>
        <w:t xml:space="preserve">Deficiency:</w:t>
      </w:r>
      <w:r>
        <w:t xml:space="preserve"> </w:t>
      </w:r>
      <w:r>
        <w:t xml:space="preserve">purple leaves (anthocyanin), stunting, delayed maturity.</w:t>
      </w:r>
    </w:p>
    <w:p>
      <w:pPr>
        <w:pStyle w:val="BodyText"/>
      </w:pPr>
      <w:r>
        <w:rPr>
          <w:bCs/>
          <w:b/>
        </w:rPr>
        <w:t xml:space="preserve">P in soil</w:t>
      </w:r>
      <w:r>
        <w:t xml:space="preserve"> </w:t>
      </w:r>
      <w:r>
        <w:t xml:space="preserve">is low in solution (0.01–0.1 mg L⁻¹) and</w:t>
      </w:r>
      <w:r>
        <w:t xml:space="preserve"> </w:t>
      </w:r>
      <w:r>
        <w:rPr>
          <w:bCs/>
          <w:b/>
        </w:rPr>
        <w:t xml:space="preserve">immobile</w:t>
      </w:r>
      <w:r>
        <w:t xml:space="preserve"> </w:t>
      </w:r>
      <w:r>
        <w:t xml:space="preserve">(diffusion-limited). Fractions: organic P (inositol phosphates, nucleic acids), inorganic Ca-P, Al-P, Fe-P, occluded P.</w:t>
      </w:r>
    </w:p>
    <w:p>
      <w:pPr>
        <w:pStyle w:val="BodyText"/>
      </w:pPr>
      <w:r>
        <w:rPr>
          <w:bCs/>
          <w:b/>
        </w:rPr>
        <w:t xml:space="preserve">P fixation</w:t>
      </w:r>
      <w:r>
        <w:t xml:space="preserve"> </w:t>
      </w:r>
      <w:r>
        <w:t xml:space="preserve">converts soluble fertiliser P into less available forms:</w:t>
      </w:r>
    </w:p>
    <w:p>
      <w:pPr>
        <w:pStyle w:val="Compact"/>
        <w:numPr>
          <w:ilvl w:val="0"/>
          <w:numId w:val="1148"/>
        </w:numPr>
      </w:pPr>
      <w:r>
        <w:rPr>
          <w:bCs/>
          <w:b/>
        </w:rPr>
        <w:t xml:space="preserve">Acid soils:</w:t>
      </w:r>
      <w:r>
        <w:t xml:space="preserve"> </w:t>
      </w:r>
      <w:r>
        <w:t xml:space="preserve">precipitation and adsorption with Fe and Al (variscite, strengite, adsorption on sesquioxides).</w:t>
      </w:r>
    </w:p>
    <w:p>
      <w:pPr>
        <w:pStyle w:val="Compact"/>
        <w:numPr>
          <w:ilvl w:val="0"/>
          <w:numId w:val="1148"/>
        </w:numPr>
      </w:pPr>
      <w:r>
        <w:rPr>
          <w:bCs/>
          <w:b/>
        </w:rPr>
        <w:t xml:space="preserve">Alkaline and calcareous soils:</w:t>
      </w:r>
      <w:r>
        <w:t xml:space="preserve"> </w:t>
      </w:r>
      <w:r>
        <w:t xml:space="preserve">precipitation as Ca phosphates (dicalcium, octacalcium, apatite).</w:t>
      </w:r>
    </w:p>
    <w:p>
      <w:pPr>
        <w:pStyle w:val="Compact"/>
        <w:numPr>
          <w:ilvl w:val="0"/>
          <w:numId w:val="1148"/>
        </w:numPr>
      </w:pPr>
      <w:r>
        <w:rPr>
          <w:bCs/>
          <w:b/>
        </w:rPr>
        <w:t xml:space="preserve">Maximum availability at pH 6–7.</w:t>
      </w:r>
    </w:p>
    <w:p>
      <w:pPr>
        <w:pStyle w:val="FirstParagraph"/>
      </w:pPr>
      <w:r>
        <w:t xml:space="preserve">Recovery of applied P in the first crop is only</w:t>
      </w:r>
      <w:r>
        <w:t xml:space="preserve"> </w:t>
      </w:r>
      <w:r>
        <w:rPr>
          <w:bCs/>
          <w:b/>
        </w:rPr>
        <w:t xml:space="preserve">15–20%</w:t>
      </w:r>
      <w:r>
        <w:t xml:space="preserve">. The residual P benefits later crops.</w:t>
      </w:r>
    </w:p>
    <w:p>
      <w:pPr>
        <w:pStyle w:val="BodyText"/>
      </w:pPr>
      <w:r>
        <w:rPr>
          <w:bCs/>
          <w:b/>
        </w:rPr>
        <w:t xml:space="preserve">P fertilisers:</w:t>
      </w:r>
    </w:p>
    <w:p>
      <w:pPr>
        <w:pStyle w:val="Compact"/>
        <w:numPr>
          <w:ilvl w:val="0"/>
          <w:numId w:val="1149"/>
        </w:numPr>
      </w:pPr>
      <w:r>
        <w:t xml:space="preserve">Single super phosphate (SSP):</w:t>
      </w:r>
      <w:r>
        <w:t xml:space="preserve"> </w:t>
      </w:r>
      <w:r>
        <w:rPr>
          <w:bCs/>
          <w:b/>
        </w:rPr>
        <w:t xml:space="preserve">16% P₂O₅</w:t>
      </w:r>
      <w:r>
        <w:t xml:space="preserve"> </w:t>
      </w:r>
      <w:r>
        <w:t xml:space="preserve">(water-soluble), plus 12% S and 21% Ca.</w:t>
      </w:r>
    </w:p>
    <w:p>
      <w:pPr>
        <w:pStyle w:val="Compact"/>
        <w:numPr>
          <w:ilvl w:val="0"/>
          <w:numId w:val="1149"/>
        </w:numPr>
      </w:pPr>
      <w:r>
        <w:rPr>
          <w:bCs/>
          <w:b/>
        </w:rPr>
        <w:t xml:space="preserve">Triple super phosphate (TSP):</w:t>
      </w:r>
      <w:r>
        <w:t xml:space="preserve"> </w:t>
      </w:r>
      <w:r>
        <w:t xml:space="preserve">46% P₂O₅.</w:t>
      </w:r>
    </w:p>
    <w:p>
      <w:pPr>
        <w:pStyle w:val="Compact"/>
        <w:numPr>
          <w:ilvl w:val="0"/>
          <w:numId w:val="1149"/>
        </w:numPr>
      </w:pPr>
      <w:r>
        <w:rPr>
          <w:bCs/>
          <w:b/>
        </w:rPr>
        <w:t xml:space="preserve">DAP:</w:t>
      </w:r>
      <w:r>
        <w:t xml:space="preserve"> </w:t>
      </w:r>
      <w:r>
        <w:t xml:space="preserve">18% N,</w:t>
      </w:r>
      <w:r>
        <w:t xml:space="preserve"> </w:t>
      </w:r>
      <w:r>
        <w:rPr>
          <w:bCs/>
          <w:b/>
        </w:rPr>
        <w:t xml:space="preserve">46% P₂O₅</w:t>
      </w:r>
      <w:r>
        <w:t xml:space="preserve">.</w:t>
      </w:r>
    </w:p>
    <w:p>
      <w:pPr>
        <w:pStyle w:val="Compact"/>
        <w:numPr>
          <w:ilvl w:val="0"/>
          <w:numId w:val="1149"/>
        </w:numPr>
      </w:pPr>
      <w:r>
        <w:t xml:space="preserve">MAP: 11-52-0.</w:t>
      </w:r>
    </w:p>
    <w:p>
      <w:pPr>
        <w:pStyle w:val="Compact"/>
        <w:numPr>
          <w:ilvl w:val="0"/>
          <w:numId w:val="1149"/>
        </w:numPr>
      </w:pPr>
      <w:r>
        <w:t xml:space="preserve">Nitrophosphates.</w:t>
      </w:r>
    </w:p>
    <w:p>
      <w:pPr>
        <w:pStyle w:val="Compact"/>
        <w:numPr>
          <w:ilvl w:val="0"/>
          <w:numId w:val="1149"/>
        </w:numPr>
      </w:pPr>
      <w:r>
        <w:rPr>
          <w:bCs/>
          <w:b/>
        </w:rPr>
        <w:t xml:space="preserve">Rock phosphate:</w:t>
      </w:r>
      <w:r>
        <w:t xml:space="preserve"> </w:t>
      </w:r>
      <w:r>
        <w:t xml:space="preserve">18–34% total P₂O₅. Citrate-soluble, so effective only in acid soils (pH &lt; 5.5). Mussoorie rock phosphate is an Indian source.</w:t>
      </w:r>
    </w:p>
    <w:p>
      <w:pPr>
        <w:pStyle w:val="Compact"/>
        <w:numPr>
          <w:ilvl w:val="0"/>
          <w:numId w:val="1149"/>
        </w:numPr>
      </w:pPr>
      <w:r>
        <w:t xml:space="preserve">Bone meal.</w:t>
      </w:r>
    </w:p>
    <w:p>
      <w:pPr>
        <w:pStyle w:val="FirstParagraph"/>
      </w:pPr>
      <w:r>
        <w:rPr>
          <w:bCs/>
          <w:b/>
        </w:rPr>
        <w:t xml:space="preserve">Improving P efficiency:</w:t>
      </w:r>
      <w:r>
        <w:t xml:space="preserve"> </w:t>
      </w:r>
      <w:r>
        <w:t xml:space="preserve">band placement near seed, use of organic manures (organic acids chelate Fe and Al),</w:t>
      </w:r>
      <w:r>
        <w:t xml:space="preserve"> </w:t>
      </w:r>
      <w:r>
        <w:rPr>
          <w:bCs/>
          <w:b/>
        </w:rPr>
        <w:t xml:space="preserve">phosphate-solubilising bacteria (PSB)</w:t>
      </w:r>
      <w:r>
        <w:t xml:space="preserve"> </w:t>
      </w:r>
      <w:r>
        <w:t xml:space="preserve">and</w:t>
      </w:r>
      <w:r>
        <w:t xml:space="preserve"> </w:t>
      </w:r>
      <w:r>
        <w:rPr>
          <w:bCs/>
          <w:b/>
        </w:rPr>
        <w:t xml:space="preserve">VAM</w:t>
      </w:r>
      <w:r>
        <w:t xml:space="preserve">, liming of acid soils, and applying P to the more responsive crop in a rotation (wheat in rice–wheat).</w:t>
      </w:r>
    </w:p>
    <w:p>
      <w:pPr>
        <w:pStyle w:val="Heading2"/>
      </w:pPr>
      <w:r>
        <w:t xml:space="preserve">19.7 Potassium</w:t>
      </w:r>
    </w:p>
    <w:p>
      <w:pPr>
        <w:pStyle w:val="FirstParagraph"/>
      </w:pPr>
      <w:r>
        <w:rPr>
          <w:bCs/>
          <w:b/>
        </w:rPr>
        <w:t xml:space="preserve">Functions:</w:t>
      </w:r>
      <w:r>
        <w:t xml:space="preserve"> </w:t>
      </w:r>
      <w:r>
        <w:t xml:space="preserve">enzyme activation (over 60 enzymes), stomatal regulation, osmoregulation, translocation of sugars, protein synthesis,</w:t>
      </w:r>
      <w:r>
        <w:t xml:space="preserve"> </w:t>
      </w:r>
      <w:r>
        <w:rPr>
          <w:bCs/>
          <w:b/>
        </w:rPr>
        <w:t xml:space="preserve">drought and disease resistance</w:t>
      </w:r>
      <w:r>
        <w:t xml:space="preserve">, lodging resistance and quality (sugar, oil, fibre, fruit). It is called the</w:t>
      </w:r>
      <w:r>
        <w:t xml:space="preserve"> </w:t>
      </w:r>
      <w:r>
        <w:rPr>
          <w:bCs/>
          <w:b/>
        </w:rPr>
        <w:t xml:space="preserve">“</w:t>
      </w:r>
      <w:r>
        <w:rPr>
          <w:bCs/>
          <w:b/>
        </w:rPr>
        <w:t xml:space="preserve">quality element</w:t>
      </w:r>
      <w:r>
        <w:rPr>
          <w:bCs/>
          <w:b/>
        </w:rPr>
        <w:t xml:space="preserve">”</w:t>
      </w:r>
      <w:r>
        <w:t xml:space="preserve">.</w:t>
      </w:r>
      <w:r>
        <w:t xml:space="preserve"> </w:t>
      </w:r>
      <w:r>
        <w:rPr>
          <w:bCs/>
          <w:b/>
        </w:rPr>
        <w:t xml:space="preserve">Deficiency:</w:t>
      </w:r>
      <w:r>
        <w:t xml:space="preserve"> </w:t>
      </w:r>
      <w:r>
        <w:t xml:space="preserve">marginal scorching of older leaves, weak stems, lodging, poor grain filling.</w:t>
      </w:r>
    </w:p>
    <w:p>
      <w:pPr>
        <w:pStyle w:val="BodyText"/>
      </w:pPr>
      <w:r>
        <w:rPr>
          <w:bCs/>
          <w:b/>
        </w:rPr>
        <w:t xml:space="preserve">Forms of K in soil</w:t>
      </w:r>
      <w:r>
        <w:t xml:space="preserve"> </w:t>
      </w:r>
      <w:r>
        <w:t xml:space="preserve">(in increasing order of availability):</w:t>
      </w:r>
    </w:p>
    <w:p>
      <w:pPr>
        <w:pStyle w:val="Compact"/>
        <w:numPr>
          <w:ilvl w:val="0"/>
          <w:numId w:val="1150"/>
        </w:numPr>
      </w:pPr>
      <w:r>
        <w:rPr>
          <w:bCs/>
          <w:b/>
        </w:rPr>
        <w:t xml:space="preserve">Mineral (structural)</w:t>
      </w:r>
      <w:r>
        <w:t xml:space="preserve"> </w:t>
      </w:r>
      <w:r>
        <w:t xml:space="preserve">K in feldspars and micas: 90–98% of total, slowly released by weathering.</w:t>
      </w:r>
    </w:p>
    <w:p>
      <w:pPr>
        <w:pStyle w:val="Compact"/>
        <w:numPr>
          <w:ilvl w:val="0"/>
          <w:numId w:val="1150"/>
        </w:numPr>
      </w:pPr>
      <w:r>
        <w:rPr>
          <w:bCs/>
          <w:b/>
        </w:rPr>
        <w:t xml:space="preserve">Non-exchangeable (fixed)</w:t>
      </w:r>
      <w:r>
        <w:t xml:space="preserve"> </w:t>
      </w:r>
      <w:r>
        <w:t xml:space="preserve">K in the interlayers of illite and vermiculite.</w:t>
      </w:r>
    </w:p>
    <w:p>
      <w:pPr>
        <w:pStyle w:val="Compact"/>
        <w:numPr>
          <w:ilvl w:val="0"/>
          <w:numId w:val="1150"/>
        </w:numPr>
      </w:pPr>
      <w:r>
        <w:rPr>
          <w:bCs/>
          <w:b/>
        </w:rPr>
        <w:t xml:space="preserve">Exchangeable</w:t>
      </w:r>
      <w:r>
        <w:t xml:space="preserve"> </w:t>
      </w:r>
      <w:r>
        <w:t xml:space="preserve">K on clay and humus.</w:t>
      </w:r>
    </w:p>
    <w:p>
      <w:pPr>
        <w:pStyle w:val="Compact"/>
        <w:numPr>
          <w:ilvl w:val="0"/>
          <w:numId w:val="1150"/>
        </w:numPr>
      </w:pPr>
      <w:r>
        <w:rPr>
          <w:bCs/>
          <w:b/>
        </w:rPr>
        <w:t xml:space="preserve">Solution</w:t>
      </w:r>
      <w:r>
        <w:t xml:space="preserve"> </w:t>
      </w:r>
      <w:r>
        <w:t xml:space="preserve">K, directly available.</w:t>
      </w:r>
    </w:p>
    <w:p>
      <w:pPr>
        <w:pStyle w:val="FirstParagraph"/>
      </w:pPr>
      <w:r>
        <w:t xml:space="preserve">The forms are in</w:t>
      </w:r>
      <w:r>
        <w:t xml:space="preserve"> </w:t>
      </w:r>
      <w:r>
        <w:rPr>
          <w:bCs/>
          <w:b/>
        </w:rPr>
        <w:t xml:space="preserve">dynamic equilibrium</w:t>
      </w:r>
      <w:r>
        <w:t xml:space="preserve">. Indian soils (illite-rich alluvium) were historically considered K-rich. Continuous intensive cropping without K is now depleting them.</w:t>
      </w:r>
    </w:p>
    <w:p>
      <w:pPr>
        <w:pStyle w:val="BodyText"/>
      </w:pPr>
      <w:r>
        <w:rPr>
          <w:bCs/>
          <w:b/>
        </w:rPr>
        <w:t xml:space="preserve">K fertilisers:</w:t>
      </w:r>
      <w:r>
        <w:t xml:space="preserve"> </w:t>
      </w:r>
      <w:r>
        <w:rPr>
          <w:bCs/>
          <w:b/>
        </w:rPr>
        <w:t xml:space="preserve">muriate of potash (MOP, KCl): 60% K₂O</w:t>
      </w:r>
      <w:r>
        <w:t xml:space="preserve"> </w:t>
      </w:r>
      <w:r>
        <w:t xml:space="preserve">(most common),</w:t>
      </w:r>
      <w:r>
        <w:t xml:space="preserve"> </w:t>
      </w:r>
      <w:r>
        <w:rPr>
          <w:bCs/>
          <w:b/>
        </w:rPr>
        <w:t xml:space="preserve">sulphate of potash (SOP): 50% K₂O</w:t>
      </w:r>
      <w:r>
        <w:t xml:space="preserve"> </w:t>
      </w:r>
      <w:r>
        <w:t xml:space="preserve">(+ S; for chloride-sensitive crops such as tobacco and potato), potassium nitrate (13-0-44), and potassium schoenite. India imports nearly all its potash.</w:t>
      </w:r>
    </w:p>
    <w:p>
      <w:pPr>
        <w:pStyle w:val="BodyText"/>
      </w:pPr>
      <w:r>
        <w:rPr>
          <w:bCs/>
          <w:b/>
        </w:rPr>
        <w:t xml:space="preserve">Conversion factors:</w:t>
      </w:r>
      <w:r>
        <w:t xml:space="preserve"> </w:t>
      </w:r>
      <w:r>
        <w:t xml:space="preserve">P × 2.29 = P₂O₅; P₂O₅ × 0.436 = P. K × 1.2 = K₂O; K₂O × 0.83 = K.</w:t>
      </w:r>
    </w:p>
    <w:p>
      <w:pPr>
        <w:pStyle w:val="Heading2"/>
      </w:pPr>
      <w:r>
        <w:t xml:space="preserve">19.8 Secondary and Micronutrients</w:t>
      </w:r>
    </w:p>
    <w:p>
      <w:pPr>
        <w:pStyle w:val="Compact"/>
        <w:numPr>
          <w:ilvl w:val="0"/>
          <w:numId w:val="1151"/>
        </w:numPr>
      </w:pPr>
      <w:r>
        <w:rPr>
          <w:bCs/>
          <w:b/>
        </w:rPr>
        <w:t xml:space="preserve">Calcium:</w:t>
      </w:r>
      <w:r>
        <w:t xml:space="preserve"> </w:t>
      </w:r>
      <w:r>
        <w:t xml:space="preserve">cell walls (Ca pectate), membranes. Supplied by lime and gypsum. Deficient in acid soils.</w:t>
      </w:r>
    </w:p>
    <w:p>
      <w:pPr>
        <w:pStyle w:val="Compact"/>
        <w:numPr>
          <w:ilvl w:val="0"/>
          <w:numId w:val="1151"/>
        </w:numPr>
      </w:pPr>
      <w:r>
        <w:rPr>
          <w:bCs/>
          <w:b/>
        </w:rPr>
        <w:t xml:space="preserve">Magnesium:</w:t>
      </w:r>
      <w:r>
        <w:t xml:space="preserve"> </w:t>
      </w:r>
      <w:r>
        <w:t xml:space="preserve">the central atom of chlorophyll. Dolomite, MgSO₄.</w:t>
      </w:r>
    </w:p>
    <w:p>
      <w:pPr>
        <w:pStyle w:val="Compact"/>
        <w:numPr>
          <w:ilvl w:val="0"/>
          <w:numId w:val="1151"/>
        </w:numPr>
      </w:pPr>
      <w:r>
        <w:rPr>
          <w:bCs/>
          <w:b/>
        </w:rPr>
        <w:t xml:space="preserve">Sulphur:</w:t>
      </w:r>
      <w:r>
        <w:t xml:space="preserve"> </w:t>
      </w:r>
      <w:r>
        <w:t xml:space="preserve">S-amino acids (cysteine, methionine), oil synthesis.</w:t>
      </w:r>
      <w:r>
        <w:t xml:space="preserve"> </w:t>
      </w:r>
      <w:r>
        <w:rPr>
          <w:bCs/>
          <w:b/>
        </w:rPr>
        <w:t xml:space="preserve">Oilseeds and pulses need high S.</w:t>
      </w:r>
      <w:r>
        <w:t xml:space="preserve"> </w:t>
      </w:r>
      <w:r>
        <w:t xml:space="preserve">Sources are gypsum, SSP, ammonium sulphate, elemental S and bentonite-S. S deficiency is widespread (about 40% of Indian soils).</w:t>
      </w:r>
    </w:p>
    <w:p>
      <w:pPr>
        <w:pStyle w:val="Compact"/>
        <w:numPr>
          <w:ilvl w:val="0"/>
          <w:numId w:val="1151"/>
        </w:numPr>
      </w:pPr>
      <w:r>
        <w:rPr>
          <w:bCs/>
          <w:b/>
        </w:rPr>
        <w:t xml:space="preserve">Zinc:</w:t>
      </w:r>
      <w:r>
        <w:t xml:space="preserve"> </w:t>
      </w:r>
      <w:r>
        <w:t xml:space="preserve">the</w:t>
      </w:r>
      <w:r>
        <w:t xml:space="preserve"> </w:t>
      </w:r>
      <w:r>
        <w:rPr>
          <w:bCs/>
          <w:b/>
        </w:rPr>
        <w:t xml:space="preserve">most widespread micronutrient deficiency in India (about 36–40% of soils)</w:t>
      </w:r>
      <w:r>
        <w:t xml:space="preserve">. Corrected with ZnSO₄ (21% or 33% Zn) at about 25 kg ha⁻¹ to soil or 0.5% foliar spray. Zn-enriched urea. Rice khaira and maize white bud.</w:t>
      </w:r>
    </w:p>
    <w:p>
      <w:pPr>
        <w:pStyle w:val="Compact"/>
        <w:numPr>
          <w:ilvl w:val="0"/>
          <w:numId w:val="1151"/>
        </w:numPr>
      </w:pPr>
      <w:r>
        <w:rPr>
          <w:bCs/>
          <w:b/>
        </w:rPr>
        <w:t xml:space="preserve">Boron:</w:t>
      </w:r>
      <w:r>
        <w:t xml:space="preserve"> </w:t>
      </w:r>
      <w:r>
        <w:t xml:space="preserve">about 20–25% of soils deficient (acid, sandy, calcareous). Borax (10.5% B), Solubor.</w:t>
      </w:r>
    </w:p>
    <w:p>
      <w:pPr>
        <w:pStyle w:val="Compact"/>
        <w:numPr>
          <w:ilvl w:val="0"/>
          <w:numId w:val="1151"/>
        </w:numPr>
      </w:pPr>
      <w:r>
        <w:rPr>
          <w:bCs/>
          <w:b/>
        </w:rPr>
        <w:t xml:space="preserve">Iron:</w:t>
      </w:r>
      <w:r>
        <w:t xml:space="preserve"> </w:t>
      </w:r>
      <w:r>
        <w:t xml:space="preserve">chlorosis in calcareous, alkaline and sandy soils. FeSO₄ (19% Fe) foliar, Fe-EDDHA chelates.</w:t>
      </w:r>
    </w:p>
    <w:p>
      <w:pPr>
        <w:pStyle w:val="Compact"/>
        <w:numPr>
          <w:ilvl w:val="0"/>
          <w:numId w:val="1151"/>
        </w:numPr>
      </w:pPr>
      <w:r>
        <w:rPr>
          <w:bCs/>
          <w:b/>
        </w:rPr>
        <w:t xml:space="preserve">Mo:</w:t>
      </w:r>
      <w:r>
        <w:t xml:space="preserve"> </w:t>
      </w:r>
      <w:r>
        <w:t xml:space="preserve">for legumes on acid soils (sodium or ammonium molybdate seed treatment).</w:t>
      </w:r>
    </w:p>
    <w:p>
      <w:pPr>
        <w:pStyle w:val="Compact"/>
        <w:numPr>
          <w:ilvl w:val="0"/>
          <w:numId w:val="1151"/>
        </w:numPr>
      </w:pPr>
      <w:r>
        <w:rPr>
          <w:bCs/>
          <w:b/>
        </w:rPr>
        <w:t xml:space="preserve">Biofortification</w:t>
      </w:r>
      <w:r>
        <w:t xml:space="preserve"> </w:t>
      </w:r>
      <w:r>
        <w:t xml:space="preserve">(Zn wheat, Fe pearl millet) addresses human micronutrient malnutrition.</w:t>
      </w:r>
    </w:p>
    <w:p>
      <w:pPr>
        <w:pStyle w:val="Heading3"/>
      </w:pPr>
      <w:r>
        <w:t xml:space="preserve">19.8.1 Balanced and integrated nutrient management</w:t>
      </w:r>
    </w:p>
    <w:p>
      <w:pPr>
        <w:pStyle w:val="Compact"/>
        <w:numPr>
          <w:ilvl w:val="0"/>
          <w:numId w:val="1152"/>
        </w:numPr>
      </w:pPr>
      <w:r>
        <w:rPr>
          <w:bCs/>
          <w:b/>
        </w:rPr>
        <w:t xml:space="preserve">4R nutrient stewardship:</w:t>
      </w:r>
      <w:r>
        <w:t xml:space="preserve"> </w:t>
      </w:r>
      <w:r>
        <w:t xml:space="preserve">the Right source, at the Right rate, at the Right time, in the Right place.</w:t>
      </w:r>
    </w:p>
    <w:p>
      <w:pPr>
        <w:pStyle w:val="Compact"/>
        <w:numPr>
          <w:ilvl w:val="0"/>
          <w:numId w:val="1152"/>
        </w:numPr>
      </w:pPr>
      <w:r>
        <w:rPr>
          <w:bCs/>
          <w:b/>
        </w:rPr>
        <w:t xml:space="preserve">Balanced fertilisation:</w:t>
      </w:r>
      <w:r>
        <w:t xml:space="preserve"> </w:t>
      </w:r>
      <w:r>
        <w:t xml:space="preserve">an NPK use ratio near the generally recommended 4:2:1. India’s actual use is skewed heavily towards N, worsened by urea subsidies.</w:t>
      </w:r>
    </w:p>
    <w:p>
      <w:pPr>
        <w:pStyle w:val="Compact"/>
        <w:numPr>
          <w:ilvl w:val="0"/>
          <w:numId w:val="1152"/>
        </w:numPr>
      </w:pPr>
      <w:r>
        <w:rPr>
          <w:bCs/>
          <w:b/>
        </w:rPr>
        <w:t xml:space="preserve">Integrated nutrient management (INM):</w:t>
      </w:r>
      <w:r>
        <w:t xml:space="preserve"> </w:t>
      </w:r>
      <w:r>
        <w:t xml:space="preserve">a combined, judicious use of chemical fertilisers + organic manures + green manures + bio-fertilisers + crop residues + legumes, to sustain productivity and soil health. Typically 25–50% of N is substituted by organic sources.</w:t>
      </w:r>
    </w:p>
    <w:p>
      <w:pPr>
        <w:pStyle w:val="Heading2"/>
      </w:pPr>
      <w:r>
        <w:t xml:space="preserve">19.9 Organic Manures</w:t>
      </w:r>
    </w:p>
    <w:p>
      <w:pPr>
        <w:pStyle w:val="FirstParagraph"/>
      </w:pPr>
      <w:r>
        <w:t xml:space="preserve">Manures are plant and animal wastes used as nutrient sources. They have low nutrient content per unit mass (bulky) but improve physical, chemical and biological properties.</w:t>
      </w:r>
    </w:p>
    <w:p>
      <w:pPr>
        <w:pStyle w:val="Heading3"/>
      </w:pPr>
      <w:r>
        <w:t xml:space="preserve">19.9.1 Bulky organic manures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Manure</w:t>
            </w:r>
          </w:p>
        </w:tc>
        <w:tc>
          <w:tcPr/>
          <w:p>
            <w:pPr>
              <w:pStyle w:val="Compact"/>
              <w:jc w:val="left"/>
            </w:pPr>
            <w:r>
              <w:t xml:space="preserve">N–P₂O₅–K₂O (%) approx.</w:t>
            </w:r>
          </w:p>
        </w:tc>
        <w:tc>
          <w:tcPr/>
          <w:p>
            <w:pPr>
              <w:pStyle w:val="Compact"/>
              <w:jc w:val="left"/>
            </w:pPr>
            <w:r>
              <w:t xml:space="preserve">Notes</w:t>
            </w:r>
          </w:p>
        </w:tc>
      </w:tr>
      <w:tr>
        <w:tc>
          <w:tcPr/>
          <w:p>
            <w:pPr>
              <w:pStyle w:val="Compact"/>
              <w:jc w:val="left"/>
            </w:pPr>
            <w:r>
              <w:rPr>
                <w:bCs/>
                <w:b/>
              </w:rPr>
              <w:t xml:space="preserve">Farmyard manure (FYM)</w:t>
            </w:r>
          </w:p>
        </w:tc>
        <w:tc>
          <w:tcPr/>
          <w:p>
            <w:pPr>
              <w:pStyle w:val="Compact"/>
              <w:jc w:val="left"/>
            </w:pPr>
            <w:r>
              <w:t xml:space="preserve">0.5–0.2–0.5</w:t>
            </w:r>
          </w:p>
        </w:tc>
        <w:tc>
          <w:tcPr/>
          <w:p>
            <w:pPr>
              <w:pStyle w:val="Compact"/>
              <w:jc w:val="left"/>
            </w:pPr>
            <w:r>
              <w:t xml:space="preserve">Dung + urine + litter; about 50% of N is in urine. Pit method recommended (trench of 6–7.5 m × 1.5–2 m × 1 m). A rate of 10 t ha⁻¹ supplies about 50 kg N, released slowly (about 30% in the first season)</w:t>
            </w:r>
          </w:p>
        </w:tc>
      </w:tr>
      <w:tr>
        <w:tc>
          <w:tcPr/>
          <w:p>
            <w:pPr>
              <w:pStyle w:val="Compact"/>
              <w:jc w:val="left"/>
            </w:pPr>
            <w:r>
              <w:rPr>
                <w:bCs/>
                <w:b/>
              </w:rPr>
              <w:t xml:space="preserve">Compost</w:t>
            </w:r>
            <w:r>
              <w:t xml:space="preserve"> </w:t>
            </w:r>
            <w:r>
              <w:t xml:space="preserve">(rural, town)</w:t>
            </w:r>
          </w:p>
        </w:tc>
        <w:tc>
          <w:tcPr/>
          <w:p>
            <w:pPr>
              <w:pStyle w:val="Compact"/>
              <w:jc w:val="left"/>
            </w:pPr>
            <w:r>
              <w:t xml:space="preserve">0.5–1.5 / 0.4–1.0 / 0.8–1.5</w:t>
            </w:r>
          </w:p>
        </w:tc>
        <w:tc>
          <w:tcPr/>
          <w:p>
            <w:pPr>
              <w:pStyle w:val="Compact"/>
              <w:jc w:val="left"/>
            </w:pPr>
            <w:r>
              <w:t xml:space="preserve">Aerobic decomposition of residues.</w:t>
            </w:r>
            <w:r>
              <w:t xml:space="preserve"> </w:t>
            </w:r>
            <w:r>
              <w:rPr>
                <w:bCs/>
                <w:b/>
              </w:rPr>
              <w:t xml:space="preserve">Indore method</w:t>
            </w:r>
            <w:r>
              <w:t xml:space="preserve"> </w:t>
            </w:r>
            <w:r>
              <w:t xml:space="preserve">(Howard, aerobic, turning),</w:t>
            </w:r>
            <w:r>
              <w:t xml:space="preserve"> </w:t>
            </w:r>
            <w:r>
              <w:rPr>
                <w:bCs/>
                <w:b/>
              </w:rPr>
              <w:t xml:space="preserve">Bangalore method</w:t>
            </w:r>
            <w:r>
              <w:t xml:space="preserve"> </w:t>
            </w:r>
            <w:r>
              <w:t xml:space="preserve">(anaerobic–aerobic pits),</w:t>
            </w:r>
            <w:r>
              <w:t xml:space="preserve"> </w:t>
            </w:r>
            <w:r>
              <w:rPr>
                <w:bCs/>
                <w:b/>
              </w:rPr>
              <w:t xml:space="preserve">NADEP</w:t>
            </w:r>
            <w:r>
              <w:t xml:space="preserve"> </w:t>
            </w:r>
            <w:r>
              <w:t xml:space="preserve">(brick tank, aerated), Coimbatore method; C:N reduced to about 15–20:1</w:t>
            </w:r>
          </w:p>
        </w:tc>
      </w:tr>
      <w:tr>
        <w:tc>
          <w:tcPr/>
          <w:p>
            <w:pPr>
              <w:pStyle w:val="Compact"/>
              <w:jc w:val="left"/>
            </w:pPr>
            <w:r>
              <w:rPr>
                <w:bCs/>
                <w:b/>
              </w:rPr>
              <w:t xml:space="preserve">Vermicompost</w:t>
            </w:r>
          </w:p>
        </w:tc>
        <w:tc>
          <w:tcPr/>
          <w:p>
            <w:pPr>
              <w:pStyle w:val="Compact"/>
              <w:jc w:val="left"/>
            </w:pPr>
            <w:r>
              <w:t xml:space="preserve">1.5–2.0 / 1.0 / 0.8–1.5</w:t>
            </w:r>
          </w:p>
        </w:tc>
        <w:tc>
          <w:tcPr/>
          <w:p>
            <w:pPr>
              <w:pStyle w:val="Compact"/>
              <w:jc w:val="left"/>
            </w:pPr>
            <w:r>
              <w:t xml:space="preserve">Earthworm processing (</w:t>
            </w:r>
            <w:r>
              <w:rPr>
                <w:iCs/>
                <w:i/>
              </w:rPr>
              <w:t xml:space="preserve">Eisenia fetida</w:t>
            </w:r>
            <w:r>
              <w:t xml:space="preserve">,</w:t>
            </w:r>
            <w:r>
              <w:t xml:space="preserve"> </w:t>
            </w:r>
            <w:r>
              <w:rPr>
                <w:iCs/>
                <w:i/>
              </w:rPr>
              <w:t xml:space="preserve">Eudrilus eugeniae</w:t>
            </w:r>
            <w:r>
              <w:t xml:space="preserve">,</w:t>
            </w:r>
            <w:r>
              <w:t xml:space="preserve"> </w:t>
            </w:r>
            <w:r>
              <w:rPr>
                <w:iCs/>
                <w:i/>
              </w:rPr>
              <w:t xml:space="preserve">Perionyx excavatus</w:t>
            </w:r>
            <w:r>
              <w:t xml:space="preserve">); rich in enzymes, hormones and microbes</w:t>
            </w:r>
          </w:p>
        </w:tc>
      </w:tr>
      <w:tr>
        <w:tc>
          <w:tcPr/>
          <w:p>
            <w:pPr>
              <w:pStyle w:val="Compact"/>
              <w:jc w:val="left"/>
            </w:pPr>
            <w:r>
              <w:rPr>
                <w:bCs/>
                <w:b/>
              </w:rPr>
              <w:t xml:space="preserve">Sheep and goat manure</w:t>
            </w:r>
          </w:p>
        </w:tc>
        <w:tc>
          <w:tcPr/>
          <w:p>
            <w:pPr>
              <w:pStyle w:val="Compact"/>
              <w:jc w:val="left"/>
            </w:pPr>
            <w:r>
              <w:t xml:space="preserve">3.0–1.0–2.0</w:t>
            </w:r>
          </w:p>
        </w:tc>
        <w:tc>
          <w:tcPr/>
          <w:p>
            <w:pPr>
              <w:pStyle w:val="Compact"/>
              <w:jc w:val="left"/>
            </w:pPr>
            <w:r>
              <w:t xml:space="preserve">Penning (folding) in fields</w:t>
            </w:r>
          </w:p>
        </w:tc>
      </w:tr>
      <w:tr>
        <w:tc>
          <w:tcPr/>
          <w:p>
            <w:pPr>
              <w:pStyle w:val="Compact"/>
              <w:jc w:val="left"/>
            </w:pPr>
            <w:r>
              <w:rPr>
                <w:bCs/>
                <w:b/>
              </w:rPr>
              <w:t xml:space="preserve">Poultry manure</w:t>
            </w:r>
          </w:p>
        </w:tc>
        <w:tc>
          <w:tcPr/>
          <w:p>
            <w:pPr>
              <w:pStyle w:val="Compact"/>
              <w:jc w:val="left"/>
            </w:pPr>
            <w:r>
              <w:t xml:space="preserve">3.0–2.6–1.4</w:t>
            </w:r>
          </w:p>
        </w:tc>
        <w:tc>
          <w:tcPr/>
          <w:p>
            <w:pPr>
              <w:pStyle w:val="Compact"/>
              <w:jc w:val="left"/>
            </w:pPr>
            <w:r>
              <w:t xml:space="preserve">Richest bulky manure; high in uric acid</w:t>
            </w:r>
          </w:p>
        </w:tc>
      </w:tr>
      <w:tr>
        <w:tc>
          <w:tcPr/>
          <w:p>
            <w:pPr>
              <w:pStyle w:val="Compact"/>
              <w:jc w:val="left"/>
            </w:pPr>
            <w:r>
              <w:rPr>
                <w:bCs/>
                <w:b/>
              </w:rPr>
              <w:t xml:space="preserve">Biogas slurry</w:t>
            </w:r>
          </w:p>
        </w:tc>
        <w:tc>
          <w:tcPr/>
          <w:p>
            <w:pPr>
              <w:pStyle w:val="Compact"/>
              <w:jc w:val="left"/>
            </w:pPr>
            <w:r>
              <w:t xml:space="preserve">1.5–1.2–0.8</w:t>
            </w:r>
          </w:p>
        </w:tc>
        <w:tc>
          <w:tcPr/>
          <w:p>
            <w:pPr>
              <w:pStyle w:val="Compact"/>
              <w:jc w:val="left"/>
            </w:pPr>
            <w:r>
              <w:t xml:space="preserve">Anaerobic digestion by-product</w:t>
            </w:r>
          </w:p>
        </w:tc>
      </w:tr>
      <w:tr>
        <w:tc>
          <w:tcPr/>
          <w:p>
            <w:pPr>
              <w:pStyle w:val="Compact"/>
              <w:jc w:val="left"/>
            </w:pPr>
            <w:r>
              <w:rPr>
                <w:bCs/>
                <w:b/>
              </w:rPr>
              <w:t xml:space="preserve">Green manures</w:t>
            </w:r>
          </w:p>
        </w:tc>
        <w:tc>
          <w:tcPr/>
          <w:p>
            <w:pPr>
              <w:pStyle w:val="Compact"/>
              <w:jc w:val="left"/>
            </w:pPr>
            <w:r>
              <w:t xml:space="preserve">—</w:t>
            </w:r>
          </w:p>
        </w:tc>
        <w:tc>
          <w:tcPr/>
          <w:p>
            <w:pPr>
              <w:pStyle w:val="Compact"/>
              <w:jc w:val="left"/>
            </w:pPr>
            <w:r>
              <w:rPr>
                <w:bCs/>
                <w:b/>
              </w:rPr>
              <w:t xml:space="preserve">Dhaincha (</w:t>
            </w:r>
            <w:r>
              <w:rPr>
                <w:iCs/>
                <w:i/>
                <w:bCs/>
                <w:b/>
              </w:rPr>
              <w:t xml:space="preserve">Sesbania aculeata</w:t>
            </w:r>
            <w:r>
              <w:rPr>
                <w:bCs/>
                <w:b/>
              </w:rPr>
              <w:t xml:space="preserve">)</w:t>
            </w:r>
            <w:r>
              <w:t xml:space="preserve">, sunhemp (</w:t>
            </w:r>
            <w:r>
              <w:rPr>
                <w:iCs/>
                <w:i/>
              </w:rPr>
              <w:t xml:space="preserve">Crotalaria juncea</w:t>
            </w:r>
            <w:r>
              <w:t xml:space="preserve">), cowpea; incorporated at 45–60 days, adding about 60–100 kg N ha⁻¹ plus organic matter;</w:t>
            </w:r>
            <w:r>
              <w:t xml:space="preserve"> </w:t>
            </w:r>
            <w:r>
              <w:rPr>
                <w:iCs/>
                <w:i/>
              </w:rPr>
              <w:t xml:space="preserve">S. rostrata</w:t>
            </w:r>
            <w:r>
              <w:t xml:space="preserve"> </w:t>
            </w:r>
            <w:r>
              <w:t xml:space="preserve">(stem nodulating) for rice</w:t>
            </w:r>
          </w:p>
        </w:tc>
      </w:tr>
      <w:tr>
        <w:tc>
          <w:tcPr/>
          <w:p>
            <w:pPr>
              <w:pStyle w:val="Compact"/>
              <w:jc w:val="left"/>
            </w:pPr>
            <w:r>
              <w:rPr>
                <w:bCs/>
                <w:b/>
              </w:rPr>
              <w:t xml:space="preserve">Green leaf manures</w:t>
            </w:r>
          </w:p>
        </w:tc>
        <w:tc>
          <w:tcPr/>
          <w:p>
            <w:pPr>
              <w:pStyle w:val="Compact"/>
              <w:jc w:val="left"/>
            </w:pPr>
            <w:r>
              <w:t xml:space="preserve">—</w:t>
            </w:r>
          </w:p>
        </w:tc>
        <w:tc>
          <w:tcPr/>
          <w:p>
            <w:pPr>
              <w:pStyle w:val="Compact"/>
              <w:jc w:val="left"/>
            </w:pPr>
            <w:r>
              <w:t xml:space="preserve">Loppings of</w:t>
            </w:r>
            <w:r>
              <w:t xml:space="preserve"> </w:t>
            </w:r>
            <w:r>
              <w:rPr>
                <w:iCs/>
                <w:i/>
              </w:rPr>
              <w:t xml:space="preserve">Glyricidia</w:t>
            </w:r>
            <w:r>
              <w:t xml:space="preserve">,</w:t>
            </w:r>
            <w:r>
              <w:t xml:space="preserve"> </w:t>
            </w:r>
            <w:r>
              <w:rPr>
                <w:iCs/>
                <w:i/>
              </w:rPr>
              <w:t xml:space="preserve">Pongamia</w:t>
            </w:r>
            <w:r>
              <w:t xml:space="preserve">, neem,</w:t>
            </w:r>
            <w:r>
              <w:t xml:space="preserve"> </w:t>
            </w:r>
            <w:r>
              <w:rPr>
                <w:iCs/>
                <w:i/>
              </w:rPr>
              <w:t xml:space="preserve">Leucaena</w:t>
            </w:r>
            <w:r>
              <w:t xml:space="preserve"> </w:t>
            </w:r>
            <w:r>
              <w:t xml:space="preserve">brought from outside</w:t>
            </w:r>
          </w:p>
        </w:tc>
      </w:tr>
    </w:tbl>
    <w:p>
      <w:pPr>
        <w:pStyle w:val="Heading3"/>
      </w:pPr>
      <w:r>
        <w:t xml:space="preserve">19.9.2 Concentrated organic manures</w:t>
      </w:r>
    </w:p>
    <w:p>
      <w:pPr>
        <w:pStyle w:val="Compact"/>
        <w:numPr>
          <w:ilvl w:val="0"/>
          <w:numId w:val="1153"/>
        </w:numPr>
      </w:pPr>
      <w:r>
        <w:rPr>
          <w:bCs/>
          <w:b/>
        </w:rPr>
        <w:t xml:space="preserve">Oilcakes:</w:t>
      </w:r>
    </w:p>
    <w:p>
      <w:pPr>
        <w:pStyle w:val="Compact"/>
        <w:numPr>
          <w:ilvl w:val="1"/>
          <w:numId w:val="1154"/>
        </w:numPr>
      </w:pPr>
      <w:r>
        <w:rPr>
          <w:iCs/>
          <w:i/>
        </w:rPr>
        <w:t xml:space="preserve">Edible</w:t>
      </w:r>
      <w:r>
        <w:t xml:space="preserve"> </w:t>
      </w:r>
      <w:r>
        <w:t xml:space="preserve">(groundnut 7.3% N, sesame, coconut) are fed to cattle.</w:t>
      </w:r>
    </w:p>
    <w:p>
      <w:pPr>
        <w:pStyle w:val="Compact"/>
        <w:numPr>
          <w:ilvl w:val="1"/>
          <w:numId w:val="1154"/>
        </w:numPr>
      </w:pPr>
      <w:r>
        <w:rPr>
          <w:iCs/>
          <w:i/>
        </w:rPr>
        <w:t xml:space="preserve">Non-edible</w:t>
      </w:r>
      <w:r>
        <w:t xml:space="preserve"> </w:t>
      </w:r>
      <w:r>
        <w:t xml:space="preserve">(</w:t>
      </w:r>
      <w:r>
        <w:rPr>
          <w:bCs/>
          <w:b/>
        </w:rPr>
        <w:t xml:space="preserve">neem cake 5.2% N</w:t>
      </w:r>
      <w:r>
        <w:t xml:space="preserve">, castor 4.4%, karanj, mahua) are used as manure. Neem cake also inhibits nitrification and controls nematodes.</w:t>
      </w:r>
    </w:p>
    <w:p>
      <w:pPr>
        <w:pStyle w:val="Compact"/>
        <w:numPr>
          <w:ilvl w:val="0"/>
          <w:numId w:val="1153"/>
        </w:numPr>
      </w:pPr>
      <w:r>
        <w:rPr>
          <w:bCs/>
          <w:b/>
        </w:rPr>
        <w:t xml:space="preserve">Bone meal:</w:t>
      </w:r>
      <w:r>
        <w:t xml:space="preserve"> </w:t>
      </w:r>
      <w:r>
        <w:t xml:space="preserve">raw has about 20–25% P₂O₅ and 3–4% N; steamed has 22–30% P₂O₅.</w:t>
      </w:r>
    </w:p>
    <w:p>
      <w:pPr>
        <w:pStyle w:val="Compact"/>
        <w:numPr>
          <w:ilvl w:val="0"/>
          <w:numId w:val="1153"/>
        </w:numPr>
      </w:pPr>
      <w:r>
        <w:rPr>
          <w:bCs/>
          <w:b/>
        </w:rPr>
        <w:t xml:space="preserve">Fish manure</w:t>
      </w:r>
      <w:r>
        <w:t xml:space="preserve"> </w:t>
      </w:r>
      <w:r>
        <w:t xml:space="preserve">(4–10% N), blood meal (10–12% N), horn and hoof meal (13% N).</w:t>
      </w:r>
    </w:p>
    <w:p>
      <w:pPr>
        <w:pStyle w:val="Heading2"/>
      </w:pPr>
      <w:r>
        <w:t xml:space="preserve">19.10 Bio-fertilisers</w:t>
      </w:r>
    </w:p>
    <w:p>
      <w:pPr>
        <w:pStyle w:val="FirstParagraph"/>
      </w:pPr>
      <w:r>
        <w:rPr>
          <w:bCs/>
          <w:b/>
        </w:rPr>
        <w:t xml:space="preserve">Bio-fertilisers</w:t>
      </w:r>
      <w:r>
        <w:t xml:space="preserve"> </w:t>
      </w:r>
      <w:r>
        <w:t xml:space="preserve">are preparations of</w:t>
      </w:r>
      <w:r>
        <w:t xml:space="preserve"> </w:t>
      </w:r>
      <w:r>
        <w:rPr>
          <w:bCs/>
          <w:b/>
        </w:rPr>
        <w:t xml:space="preserve">live or latent cells</w:t>
      </w:r>
      <w:r>
        <w:t xml:space="preserve"> </w:t>
      </w:r>
      <w:r>
        <w:t xml:space="preserve">of efficient strains of N-fixing, P-solubilising or P-mobilising, or other plant-growth-promoting microorganisms. They are applied to seed, roots or soil and increase nutrient availability through biological processes.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Bio-fertiliser</w:t>
            </w:r>
          </w:p>
        </w:tc>
        <w:tc>
          <w:tcPr/>
          <w:p>
            <w:pPr>
              <w:pStyle w:val="Compact"/>
              <w:jc w:val="left"/>
            </w:pPr>
            <w:r>
              <w:t xml:space="preserve">Organism</w:t>
            </w:r>
          </w:p>
        </w:tc>
        <w:tc>
          <w:tcPr/>
          <w:p>
            <w:pPr>
              <w:pStyle w:val="Compact"/>
              <w:jc w:val="left"/>
            </w:pPr>
            <w:r>
              <w:t xml:space="preserve">Crops</w:t>
            </w:r>
          </w:p>
        </w:tc>
        <w:tc>
          <w:tcPr/>
          <w:p>
            <w:pPr>
              <w:pStyle w:val="Compact"/>
              <w:jc w:val="left"/>
            </w:pPr>
            <w:r>
              <w:t xml:space="preserve">Benefit</w:t>
            </w:r>
          </w:p>
        </w:tc>
      </w:tr>
      <w:tr>
        <w:tc>
          <w:tcPr/>
          <w:p>
            <w:pPr>
              <w:pStyle w:val="Compact"/>
              <w:jc w:val="left"/>
            </w:pPr>
            <w:r>
              <w:rPr>
                <w:bCs/>
                <w:b/>
              </w:rPr>
              <w:t xml:space="preserve">Rhizobium</w:t>
            </w:r>
          </w:p>
        </w:tc>
        <w:tc>
          <w:tcPr/>
          <w:p>
            <w:pPr>
              <w:pStyle w:val="Compact"/>
              <w:jc w:val="left"/>
            </w:pPr>
            <w:r>
              <w:rPr>
                <w:iCs/>
                <w:i/>
              </w:rPr>
              <w:t xml:space="preserve">Rhizobium</w:t>
            </w:r>
            <w:r>
              <w:t xml:space="preserve">,</w:t>
            </w:r>
            <w:r>
              <w:t xml:space="preserve"> </w:t>
            </w:r>
            <w:r>
              <w:rPr>
                <w:iCs/>
                <w:i/>
              </w:rPr>
              <w:t xml:space="preserve">Bradyrhizobium</w:t>
            </w:r>
            <w:r>
              <w:t xml:space="preserve">,</w:t>
            </w:r>
            <w:r>
              <w:t xml:space="preserve"> </w:t>
            </w:r>
            <w:r>
              <w:rPr>
                <w:iCs/>
                <w:i/>
              </w:rPr>
              <w:t xml:space="preserve">Sinorhizobium</w:t>
            </w:r>
            <w:r>
              <w:t xml:space="preserve"> </w:t>
            </w:r>
            <w:r>
              <w:t xml:space="preserve">(symbiotic, root nodules;</w:t>
            </w:r>
            <w:r>
              <w:t xml:space="preserve"> </w:t>
            </w:r>
            <w:r>
              <w:rPr>
                <w:bCs/>
                <w:b/>
              </w:rPr>
              <w:t xml:space="preserve">leghaemoglobin</w:t>
            </w:r>
            <w:r>
              <w:t xml:space="preserve"> </w:t>
            </w:r>
            <w:r>
              <w:t xml:space="preserve">protects nitrogenase from O₂)</w:t>
            </w:r>
          </w:p>
        </w:tc>
        <w:tc>
          <w:tcPr/>
          <w:p>
            <w:pPr>
              <w:pStyle w:val="Compact"/>
              <w:jc w:val="left"/>
            </w:pPr>
            <w:r>
              <w:t xml:space="preserve">Legumes (crop-specific cross-inoculation groups: soybean, groundnut, chickpea, pea, lentil)</w:t>
            </w:r>
          </w:p>
        </w:tc>
        <w:tc>
          <w:tcPr/>
          <w:p>
            <w:pPr>
              <w:pStyle w:val="Compact"/>
              <w:jc w:val="left"/>
            </w:pPr>
            <w:r>
              <w:rPr>
                <w:bCs/>
                <w:b/>
              </w:rPr>
              <w:t xml:space="preserve">50–200 kg N ha⁻¹</w:t>
            </w:r>
            <w:r>
              <w:t xml:space="preserve"> </w:t>
            </w:r>
            <w:r>
              <w:t xml:space="preserve">fixed; yield increase 10–35%</w:t>
            </w:r>
          </w:p>
        </w:tc>
      </w:tr>
      <w:tr>
        <w:tc>
          <w:tcPr/>
          <w:p>
            <w:pPr>
              <w:pStyle w:val="Compact"/>
              <w:jc w:val="left"/>
            </w:pPr>
            <w:r>
              <w:rPr>
                <w:bCs/>
                <w:b/>
              </w:rPr>
              <w:t xml:space="preserve">Azotobacter</w:t>
            </w:r>
          </w:p>
        </w:tc>
        <w:tc>
          <w:tcPr/>
          <w:p>
            <w:pPr>
              <w:pStyle w:val="Compact"/>
              <w:jc w:val="left"/>
            </w:pPr>
            <w:r>
              <w:rPr>
                <w:iCs/>
                <w:i/>
              </w:rPr>
              <w:t xml:space="preserve">A. chroococcum</w:t>
            </w:r>
            <w:r>
              <w:t xml:space="preserve"> </w:t>
            </w:r>
            <w:r>
              <w:t xml:space="preserve">(free-living, aerobic)</w:t>
            </w:r>
          </w:p>
        </w:tc>
        <w:tc>
          <w:tcPr/>
          <w:p>
            <w:pPr>
              <w:pStyle w:val="Compact"/>
              <w:jc w:val="left"/>
            </w:pPr>
            <w:r>
              <w:t xml:space="preserve">Non-legumes: cereals, vegetables, cotton</w:t>
            </w:r>
          </w:p>
        </w:tc>
        <w:tc>
          <w:tcPr/>
          <w:p>
            <w:pPr>
              <w:pStyle w:val="Compact"/>
              <w:jc w:val="left"/>
            </w:pPr>
            <w:r>
              <w:t xml:space="preserve">20–40 kg N ha⁻¹; growth hormones</w:t>
            </w:r>
          </w:p>
        </w:tc>
      </w:tr>
      <w:tr>
        <w:tc>
          <w:tcPr/>
          <w:p>
            <w:pPr>
              <w:pStyle w:val="Compact"/>
              <w:jc w:val="left"/>
            </w:pPr>
            <w:r>
              <w:rPr>
                <w:bCs/>
                <w:b/>
              </w:rPr>
              <w:t xml:space="preserve">Azospirillum</w:t>
            </w:r>
          </w:p>
        </w:tc>
        <w:tc>
          <w:tcPr/>
          <w:p>
            <w:pPr>
              <w:pStyle w:val="Compact"/>
              <w:jc w:val="left"/>
            </w:pPr>
            <w:r>
              <w:rPr>
                <w:iCs/>
                <w:i/>
              </w:rPr>
              <w:t xml:space="preserve">A. brasilense</w:t>
            </w:r>
            <w:r>
              <w:t xml:space="preserve">,</w:t>
            </w:r>
            <w:r>
              <w:t xml:space="preserve"> </w:t>
            </w:r>
            <w:r>
              <w:rPr>
                <w:iCs/>
                <w:i/>
              </w:rPr>
              <w:t xml:space="preserve">A. lipoferum</w:t>
            </w:r>
            <w:r>
              <w:t xml:space="preserve"> </w:t>
            </w:r>
            <w:r>
              <w:t xml:space="preserve">(associative, root surface)</w:t>
            </w:r>
          </w:p>
        </w:tc>
        <w:tc>
          <w:tcPr/>
          <w:p>
            <w:pPr>
              <w:pStyle w:val="Compact"/>
              <w:jc w:val="left"/>
            </w:pPr>
            <w:r>
              <w:t xml:space="preserve">Cereals, millets, sugarcane, grasses</w:t>
            </w:r>
          </w:p>
        </w:tc>
        <w:tc>
          <w:tcPr/>
          <w:p>
            <w:pPr>
              <w:pStyle w:val="Compact"/>
              <w:jc w:val="left"/>
            </w:pPr>
            <w:r>
              <w:t xml:space="preserve">20–40 kg N ha⁻¹; root growth</w:t>
            </w:r>
          </w:p>
        </w:tc>
      </w:tr>
      <w:tr>
        <w:tc>
          <w:tcPr/>
          <w:p>
            <w:pPr>
              <w:pStyle w:val="Compact"/>
              <w:jc w:val="left"/>
            </w:pPr>
            <w:r>
              <w:rPr>
                <w:bCs/>
                <w:b/>
              </w:rPr>
              <w:t xml:space="preserve">Gluconacetobacter (Acetobacter) diazotrophicus</w:t>
            </w:r>
          </w:p>
        </w:tc>
        <w:tc>
          <w:tcPr/>
          <w:p>
            <w:pPr>
              <w:pStyle w:val="Compact"/>
              <w:jc w:val="left"/>
            </w:pPr>
            <w:r>
              <w:t xml:space="preserve">Endophytic</w:t>
            </w:r>
          </w:p>
        </w:tc>
        <w:tc>
          <w:tcPr/>
          <w:p>
            <w:pPr>
              <w:pStyle w:val="Compact"/>
              <w:jc w:val="left"/>
            </w:pPr>
            <w:r>
              <w:rPr>
                <w:bCs/>
                <w:b/>
              </w:rPr>
              <w:t xml:space="preserve">Sugarcane</w:t>
            </w:r>
            <w:r>
              <w:t xml:space="preserve">, sweet potato</w:t>
            </w:r>
          </w:p>
        </w:tc>
        <w:tc>
          <w:tcPr/>
          <w:p>
            <w:pPr>
              <w:pStyle w:val="Compact"/>
              <w:jc w:val="left"/>
            </w:pPr>
            <w:r>
              <w:t xml:space="preserve">Up to 150 kg N ha⁻¹ reported in cane</w:t>
            </w:r>
          </w:p>
        </w:tc>
      </w:tr>
      <w:tr>
        <w:tc>
          <w:tcPr/>
          <w:p>
            <w:pPr>
              <w:pStyle w:val="Compact"/>
              <w:jc w:val="left"/>
            </w:pPr>
            <w:r>
              <w:rPr>
                <w:bCs/>
                <w:b/>
              </w:rPr>
              <w:t xml:space="preserve">Blue-green algae (cyanobacteria)</w:t>
            </w:r>
          </w:p>
        </w:tc>
        <w:tc>
          <w:tcPr/>
          <w:p>
            <w:pPr>
              <w:pStyle w:val="Compact"/>
              <w:jc w:val="left"/>
            </w:pPr>
            <w:r>
              <w:rPr>
                <w:iCs/>
                <w:i/>
              </w:rPr>
              <w:t xml:space="preserve">Anabaena</w:t>
            </w:r>
            <w:r>
              <w:t xml:space="preserve">,</w:t>
            </w:r>
            <w:r>
              <w:t xml:space="preserve"> </w:t>
            </w:r>
            <w:r>
              <w:rPr>
                <w:iCs/>
                <w:i/>
              </w:rPr>
              <w:t xml:space="preserve">Nostoc</w:t>
            </w:r>
            <w:r>
              <w:t xml:space="preserve">,</w:t>
            </w:r>
            <w:r>
              <w:t xml:space="preserve"> </w:t>
            </w:r>
            <w:r>
              <w:rPr>
                <w:iCs/>
                <w:i/>
              </w:rPr>
              <w:t xml:space="preserve">Aulosira</w:t>
            </w:r>
            <w:r>
              <w:t xml:space="preserve">,</w:t>
            </w:r>
            <w:r>
              <w:t xml:space="preserve"> </w:t>
            </w:r>
            <w:r>
              <w:rPr>
                <w:iCs/>
                <w:i/>
              </w:rPr>
              <w:t xml:space="preserve">Tolypothrix</w:t>
            </w:r>
            <w:r>
              <w:t xml:space="preserve"> </w:t>
            </w:r>
            <w:r>
              <w:t xml:space="preserve">(heterocysts fix N)</w:t>
            </w:r>
          </w:p>
        </w:tc>
        <w:tc>
          <w:tcPr/>
          <w:p>
            <w:pPr>
              <w:pStyle w:val="Compact"/>
              <w:jc w:val="left"/>
            </w:pPr>
            <w:r>
              <w:rPr>
                <w:bCs/>
                <w:b/>
              </w:rPr>
              <w:t xml:space="preserve">Lowland rice</w:t>
            </w:r>
          </w:p>
        </w:tc>
        <w:tc>
          <w:tcPr/>
          <w:p>
            <w:pPr>
              <w:pStyle w:val="Compact"/>
              <w:jc w:val="left"/>
            </w:pPr>
            <w:r>
              <w:t xml:space="preserve">20–30 kg N ha⁻¹; applied at 10 kg ha⁻¹ algal flakes after transplanting</w:t>
            </w:r>
          </w:p>
        </w:tc>
      </w:tr>
      <w:tr>
        <w:tc>
          <w:tcPr/>
          <w:p>
            <w:pPr>
              <w:pStyle w:val="Compact"/>
              <w:jc w:val="left"/>
            </w:pPr>
            <w:r>
              <w:rPr>
                <w:bCs/>
                <w:b/>
              </w:rPr>
              <w:t xml:space="preserve">Azolla</w:t>
            </w:r>
          </w:p>
        </w:tc>
        <w:tc>
          <w:tcPr/>
          <w:p>
            <w:pPr>
              <w:pStyle w:val="Compact"/>
              <w:jc w:val="left"/>
            </w:pPr>
            <w:r>
              <w:t xml:space="preserve">Water fern + symbiotic</w:t>
            </w:r>
            <w:r>
              <w:t xml:space="preserve"> </w:t>
            </w:r>
            <w:r>
              <w:rPr>
                <w:iCs/>
                <w:i/>
              </w:rPr>
              <w:t xml:space="preserve">Anabaena azollae</w:t>
            </w:r>
          </w:p>
        </w:tc>
        <w:tc>
          <w:tcPr/>
          <w:p>
            <w:pPr>
              <w:pStyle w:val="Compact"/>
              <w:jc w:val="left"/>
            </w:pPr>
            <w:r>
              <w:t xml:space="preserve">Rice (dual cropping or green manure)</w:t>
            </w:r>
          </w:p>
        </w:tc>
        <w:tc>
          <w:tcPr/>
          <w:p>
            <w:pPr>
              <w:pStyle w:val="Compact"/>
              <w:jc w:val="left"/>
            </w:pPr>
            <w:r>
              <w:rPr>
                <w:bCs/>
                <w:b/>
              </w:rPr>
              <w:t xml:space="preserve">40–60 kg N ha⁻¹</w:t>
            </w:r>
            <w:r>
              <w:t xml:space="preserve">; doubles biomass in 3–5 days; also fodder</w:t>
            </w:r>
          </w:p>
        </w:tc>
      </w:tr>
      <w:tr>
        <w:tc>
          <w:tcPr/>
          <w:p>
            <w:pPr>
              <w:pStyle w:val="Compact"/>
              <w:jc w:val="left"/>
            </w:pPr>
            <w:r>
              <w:rPr>
                <w:bCs/>
                <w:b/>
              </w:rPr>
              <w:t xml:space="preserve">Frankia</w:t>
            </w:r>
          </w:p>
        </w:tc>
        <w:tc>
          <w:tcPr/>
          <w:p>
            <w:pPr>
              <w:pStyle w:val="Compact"/>
              <w:jc w:val="left"/>
            </w:pPr>
            <w:r>
              <w:t xml:space="preserve">Actinomycete (non-legume nodulation)</w:t>
            </w:r>
          </w:p>
        </w:tc>
        <w:tc>
          <w:tcPr/>
          <w:p>
            <w:pPr>
              <w:pStyle w:val="Compact"/>
              <w:jc w:val="left"/>
            </w:pPr>
            <w:r>
              <w:rPr>
                <w:iCs/>
                <w:i/>
              </w:rPr>
              <w:t xml:space="preserve">Casuarina</w:t>
            </w:r>
            <w:r>
              <w:t xml:space="preserve">,</w:t>
            </w:r>
            <w:r>
              <w:t xml:space="preserve"> </w:t>
            </w:r>
            <w:r>
              <w:rPr>
                <w:iCs/>
                <w:i/>
              </w:rPr>
              <w:t xml:space="preserve">Alnus</w:t>
            </w:r>
          </w:p>
        </w:tc>
        <w:tc>
          <w:tcPr/>
          <w:p>
            <w:pPr>
              <w:pStyle w:val="Compact"/>
              <w:jc w:val="left"/>
            </w:pPr>
            <w:r>
              <w:t xml:space="preserve">N for trees</w:t>
            </w:r>
          </w:p>
        </w:tc>
      </w:tr>
      <w:tr>
        <w:tc>
          <w:tcPr/>
          <w:p>
            <w:pPr>
              <w:pStyle w:val="Compact"/>
              <w:jc w:val="left"/>
            </w:pPr>
            <w:r>
              <w:rPr>
                <w:bCs/>
                <w:b/>
              </w:rPr>
              <w:t xml:space="preserve">Phosphate-solubilising microbes (PSB/PSM)</w:t>
            </w:r>
          </w:p>
        </w:tc>
        <w:tc>
          <w:tcPr/>
          <w:p>
            <w:pPr>
              <w:pStyle w:val="Compact"/>
              <w:jc w:val="left"/>
            </w:pPr>
            <w:r>
              <w:rPr>
                <w:iCs/>
                <w:i/>
              </w:rPr>
              <w:t xml:space="preserve">Bacillus megaterium</w:t>
            </w:r>
            <w:r>
              <w:t xml:space="preserve"> </w:t>
            </w:r>
            <w:r>
              <w:t xml:space="preserve">var.</w:t>
            </w:r>
            <w:r>
              <w:t xml:space="preserve"> </w:t>
            </w:r>
            <w:r>
              <w:rPr>
                <w:iCs/>
                <w:i/>
              </w:rPr>
              <w:t xml:space="preserve">phosphaticum</w:t>
            </w:r>
            <w:r>
              <w:t xml:space="preserve">,</w:t>
            </w:r>
            <w:r>
              <w:t xml:space="preserve"> </w:t>
            </w:r>
            <w:r>
              <w:rPr>
                <w:iCs/>
                <w:i/>
              </w:rPr>
              <w:t xml:space="preserve">Pseudomonas striata</w:t>
            </w:r>
            <w:r>
              <w:t xml:space="preserve">,</w:t>
            </w:r>
            <w:r>
              <w:t xml:space="preserve"> </w:t>
            </w:r>
            <w:r>
              <w:rPr>
                <w:iCs/>
                <w:i/>
              </w:rPr>
              <w:t xml:space="preserve">Aspergillus awamori</w:t>
            </w:r>
            <w:r>
              <w:t xml:space="preserve">,</w:t>
            </w:r>
            <w:r>
              <w:t xml:space="preserve"> </w:t>
            </w:r>
            <w:r>
              <w:rPr>
                <w:iCs/>
                <w:i/>
              </w:rPr>
              <w:t xml:space="preserve">Penicillium</w:t>
            </w:r>
          </w:p>
        </w:tc>
        <w:tc>
          <w:tcPr/>
          <w:p>
            <w:pPr>
              <w:pStyle w:val="Compact"/>
              <w:jc w:val="left"/>
            </w:pPr>
            <w:r>
              <w:t xml:space="preserve">All crops</w:t>
            </w:r>
          </w:p>
        </w:tc>
        <w:tc>
          <w:tcPr/>
          <w:p>
            <w:pPr>
              <w:pStyle w:val="Compact"/>
              <w:jc w:val="left"/>
            </w:pPr>
            <w:r>
              <w:t xml:space="preserve">Organic acids dissolve insoluble P; saves 25–30 kg P₂O₅ ha⁻¹</w:t>
            </w:r>
          </w:p>
        </w:tc>
      </w:tr>
      <w:tr>
        <w:tc>
          <w:tcPr/>
          <w:p>
            <w:pPr>
              <w:pStyle w:val="Compact"/>
              <w:jc w:val="left"/>
            </w:pPr>
            <w:r>
              <w:rPr>
                <w:bCs/>
                <w:b/>
              </w:rPr>
              <w:t xml:space="preserve">VAM / AM fungi</w:t>
            </w:r>
            <w:r>
              <w:t xml:space="preserve"> </w:t>
            </w:r>
            <w:r>
              <w:t xml:space="preserve">(P-mobilisers)</w:t>
            </w:r>
          </w:p>
        </w:tc>
        <w:tc>
          <w:tcPr/>
          <w:p>
            <w:pPr>
              <w:pStyle w:val="Compact"/>
              <w:jc w:val="left"/>
            </w:pPr>
            <w:r>
              <w:rPr>
                <w:iCs/>
                <w:i/>
              </w:rPr>
              <w:t xml:space="preserve">Glomus</w:t>
            </w:r>
            <w:r>
              <w:t xml:space="preserve">,</w:t>
            </w:r>
            <w:r>
              <w:t xml:space="preserve"> </w:t>
            </w:r>
            <w:r>
              <w:rPr>
                <w:iCs/>
                <w:i/>
              </w:rPr>
              <w:t xml:space="preserve">Gigaspora</w:t>
            </w:r>
            <w:r>
              <w:t xml:space="preserve">,</w:t>
            </w:r>
            <w:r>
              <w:t xml:space="preserve"> </w:t>
            </w:r>
            <w:r>
              <w:rPr>
                <w:iCs/>
                <w:i/>
              </w:rPr>
              <w:t xml:space="preserve">Acaulospora</w:t>
            </w:r>
          </w:p>
        </w:tc>
        <w:tc>
          <w:tcPr/>
          <w:p>
            <w:pPr>
              <w:pStyle w:val="Compact"/>
              <w:jc w:val="left"/>
            </w:pPr>
            <w:r>
              <w:t xml:space="preserve">Most crops, nurseries, trees</w:t>
            </w:r>
          </w:p>
        </w:tc>
        <w:tc>
          <w:tcPr/>
          <w:p>
            <w:pPr>
              <w:pStyle w:val="Compact"/>
              <w:jc w:val="left"/>
            </w:pPr>
            <w:r>
              <w:t xml:space="preserve">Hyphae extend the root zone; P, Zn, Cu, water uptake; drought tolerance</w:t>
            </w:r>
          </w:p>
        </w:tc>
      </w:tr>
      <w:tr>
        <w:tc>
          <w:tcPr/>
          <w:p>
            <w:pPr>
              <w:pStyle w:val="Compact"/>
              <w:jc w:val="left"/>
            </w:pPr>
            <w:r>
              <w:rPr>
                <w:bCs/>
                <w:b/>
              </w:rPr>
              <w:t xml:space="preserve">K-solubilising / mobilising bacteria (KSB/KMB)</w:t>
            </w:r>
          </w:p>
        </w:tc>
        <w:tc>
          <w:tcPr/>
          <w:p>
            <w:pPr>
              <w:pStyle w:val="Compact"/>
              <w:jc w:val="left"/>
            </w:pPr>
            <w:r>
              <w:rPr>
                <w:iCs/>
                <w:i/>
              </w:rPr>
              <w:t xml:space="preserve">Frateuria aurantia</w:t>
            </w:r>
            <w:r>
              <w:t xml:space="preserve">,</w:t>
            </w:r>
            <w:r>
              <w:t xml:space="preserve"> </w:t>
            </w:r>
            <w:r>
              <w:rPr>
                <w:iCs/>
                <w:i/>
              </w:rPr>
              <w:t xml:space="preserve">Bacillus mucilaginosus</w:t>
            </w:r>
          </w:p>
        </w:tc>
        <w:tc>
          <w:tcPr/>
          <w:p>
            <w:pPr>
              <w:pStyle w:val="Compact"/>
              <w:jc w:val="left"/>
            </w:pPr>
            <w:r>
              <w:t xml:space="preserve">All crops</w:t>
            </w:r>
          </w:p>
        </w:tc>
        <w:tc>
          <w:tcPr/>
          <w:p>
            <w:pPr>
              <w:pStyle w:val="Compact"/>
              <w:jc w:val="left"/>
            </w:pPr>
            <w:r>
              <w:t xml:space="preserve">Release K from minerals</w:t>
            </w:r>
          </w:p>
        </w:tc>
      </w:tr>
      <w:tr>
        <w:tc>
          <w:tcPr/>
          <w:p>
            <w:pPr>
              <w:pStyle w:val="Compact"/>
              <w:jc w:val="left"/>
            </w:pPr>
            <w:r>
              <w:rPr>
                <w:bCs/>
                <w:b/>
              </w:rPr>
              <w:t xml:space="preserve">Zn-solubilising bacteria</w:t>
            </w:r>
          </w:p>
        </w:tc>
        <w:tc>
          <w:tcPr/>
          <w:p>
            <w:pPr>
              <w:pStyle w:val="Compact"/>
              <w:jc w:val="left"/>
            </w:pPr>
            <w:r>
              <w:rPr>
                <w:iCs/>
                <w:i/>
              </w:rPr>
              <w:t xml:space="preserve">Bacillus</w:t>
            </w:r>
            <w:r>
              <w:t xml:space="preserve">,</w:t>
            </w:r>
            <w:r>
              <w:t xml:space="preserve"> </w:t>
            </w:r>
            <w:r>
              <w:rPr>
                <w:iCs/>
                <w:i/>
              </w:rPr>
              <w:t xml:space="preserve">Pseudomonas</w:t>
            </w:r>
          </w:p>
        </w:tc>
        <w:tc>
          <w:tcPr/>
          <w:p>
            <w:pPr>
              <w:pStyle w:val="Compact"/>
              <w:jc w:val="left"/>
            </w:pPr>
            <w:r>
              <w:t xml:space="preserve">Cereals</w:t>
            </w:r>
          </w:p>
        </w:tc>
        <w:tc>
          <w:tcPr/>
          <w:p>
            <w:pPr>
              <w:pStyle w:val="Compact"/>
              <w:jc w:val="left"/>
            </w:pPr>
            <w:r>
              <w:t xml:space="preserve">Zn availability</w:t>
            </w:r>
          </w:p>
        </w:tc>
      </w:tr>
      <w:tr>
        <w:tc>
          <w:tcPr/>
          <w:p>
            <w:pPr>
              <w:pStyle w:val="Compact"/>
              <w:jc w:val="left"/>
            </w:pPr>
            <w:r>
              <w:rPr>
                <w:bCs/>
                <w:b/>
              </w:rPr>
              <w:t xml:space="preserve">PGPR</w:t>
            </w:r>
          </w:p>
        </w:tc>
        <w:tc>
          <w:tcPr/>
          <w:p>
            <w:pPr>
              <w:pStyle w:val="Compact"/>
              <w:jc w:val="left"/>
            </w:pPr>
            <w:r>
              <w:rPr>
                <w:iCs/>
                <w:i/>
              </w:rPr>
              <w:t xml:space="preserve">Pseudomonas fluorescens</w:t>
            </w:r>
            <w:r>
              <w:t xml:space="preserve">,</w:t>
            </w:r>
            <w:r>
              <w:t xml:space="preserve"> </w:t>
            </w:r>
            <w:r>
              <w:rPr>
                <w:iCs/>
                <w:i/>
              </w:rPr>
              <w:t xml:space="preserve">Bacillus subtilis</w:t>
            </w:r>
          </w:p>
        </w:tc>
        <w:tc>
          <w:tcPr/>
          <w:p>
            <w:pPr>
              <w:pStyle w:val="Compact"/>
              <w:jc w:val="left"/>
            </w:pPr>
            <w:r>
              <w:t xml:space="preserve">All</w:t>
            </w:r>
          </w:p>
        </w:tc>
        <w:tc>
          <w:tcPr/>
          <w:p>
            <w:pPr>
              <w:pStyle w:val="Compact"/>
              <w:jc w:val="left"/>
            </w:pPr>
            <w:r>
              <w:t xml:space="preserve">Growth hormones (IAA, GA), siderophores, biocontrol</w:t>
            </w:r>
          </w:p>
        </w:tc>
      </w:tr>
    </w:tbl>
    <w:p>
      <w:pPr>
        <w:pStyle w:val="BodyText"/>
      </w:pPr>
      <w:r>
        <w:rPr>
          <w:bCs/>
          <w:b/>
        </w:rPr>
        <w:t xml:space="preserve">Formulations:</w:t>
      </w:r>
      <w:r>
        <w:t xml:space="preserve"> </w:t>
      </w:r>
      <w:r>
        <w:t xml:space="preserve">carrier-based (</w:t>
      </w:r>
      <w:r>
        <w:rPr>
          <w:bCs/>
          <w:b/>
        </w:rPr>
        <w:t xml:space="preserve">lignite</w:t>
      </w:r>
      <w:r>
        <w:t xml:space="preserve">, charcoal, peat; at least 10⁸ viable cells per g; shelf life about 6 months) and</w:t>
      </w:r>
      <w:r>
        <w:t xml:space="preserve"> </w:t>
      </w:r>
      <w:r>
        <w:rPr>
          <w:bCs/>
          <w:b/>
        </w:rPr>
        <w:t xml:space="preserve">liquid formulations</w:t>
      </w:r>
      <w:r>
        <w:t xml:space="preserve"> </w:t>
      </w:r>
      <w:r>
        <w:t xml:space="preserve">(longer shelf life, 1–2 years, higher counts).</w:t>
      </w:r>
    </w:p>
    <w:p>
      <w:pPr>
        <w:pStyle w:val="BodyText"/>
      </w:pPr>
      <w:r>
        <w:rPr>
          <w:bCs/>
          <w:b/>
        </w:rPr>
        <w:t xml:space="preserve">Methods of application:</w:t>
      </w:r>
    </w:p>
    <w:p>
      <w:pPr>
        <w:pStyle w:val="Compact"/>
        <w:numPr>
          <w:ilvl w:val="0"/>
          <w:numId w:val="1155"/>
        </w:numPr>
      </w:pPr>
      <w:r>
        <w:rPr>
          <w:bCs/>
          <w:b/>
        </w:rPr>
        <w:t xml:space="preserve">Seed treatment:</w:t>
      </w:r>
      <w:r>
        <w:t xml:space="preserve"> </w:t>
      </w:r>
      <w:r>
        <w:t xml:space="preserve">200 g carrier inoculant per 10 kg seed, with jaggery or gum as sticker, dried in shade before sowing.</w:t>
      </w:r>
    </w:p>
    <w:p>
      <w:pPr>
        <w:pStyle w:val="Compact"/>
        <w:numPr>
          <w:ilvl w:val="0"/>
          <w:numId w:val="1155"/>
        </w:numPr>
      </w:pPr>
      <w:r>
        <w:rPr>
          <w:bCs/>
          <w:b/>
        </w:rPr>
        <w:t xml:space="preserve">Seedling root dip</w:t>
      </w:r>
      <w:r>
        <w:t xml:space="preserve"> </w:t>
      </w:r>
      <w:r>
        <w:t xml:space="preserve">(rice, vegetables).</w:t>
      </w:r>
    </w:p>
    <w:p>
      <w:pPr>
        <w:pStyle w:val="Compact"/>
        <w:numPr>
          <w:ilvl w:val="0"/>
          <w:numId w:val="1155"/>
        </w:numPr>
      </w:pPr>
      <w:r>
        <w:rPr>
          <w:bCs/>
          <w:b/>
        </w:rPr>
        <w:t xml:space="preserve">Soil application</w:t>
      </w:r>
      <w:r>
        <w:t xml:space="preserve"> </w:t>
      </w:r>
      <w:r>
        <w:t xml:space="preserve">(mixed with FYM).</w:t>
      </w:r>
    </w:p>
    <w:p>
      <w:pPr>
        <w:pStyle w:val="Compact"/>
        <w:numPr>
          <w:ilvl w:val="0"/>
          <w:numId w:val="1155"/>
        </w:numPr>
      </w:pPr>
      <w:r>
        <w:rPr>
          <w:bCs/>
          <w:b/>
        </w:rPr>
        <w:t xml:space="preserve">Set treatment</w:t>
      </w:r>
      <w:r>
        <w:t xml:space="preserve"> </w:t>
      </w:r>
      <w:r>
        <w:t xml:space="preserve">(sugarcane).</w:t>
      </w:r>
    </w:p>
    <w:p>
      <w:pPr>
        <w:pStyle w:val="FirstParagraph"/>
      </w:pPr>
      <w:r>
        <w:rPr>
          <w:bCs/>
          <w:b/>
        </w:rPr>
        <w:t xml:space="preserve">Precautions:</w:t>
      </w:r>
      <w:r>
        <w:t xml:space="preserve"> </w:t>
      </w:r>
      <w:r>
        <w:t xml:space="preserve">store in a cool, shaded place; do not mix with chemical fertilisers or fungicides directly (inoculate the seed last); use before expiry; use the correct strain for the crop. Fertiliser Control Order (FCO) standards apply.</w:t>
      </w:r>
    </w:p>
    <w:p>
      <w:pPr>
        <w:pStyle w:val="Heading2"/>
      </w:pPr>
      <w:r>
        <w:t xml:space="preserve">19.11 Nutrient Cycling in Agro-ecosystems</w:t>
      </w:r>
    </w:p>
    <w:p>
      <w:pPr>
        <w:pStyle w:val="FirstParagraph"/>
      </w:pPr>
      <w:r>
        <w:rPr>
          <w:bCs/>
          <w:b/>
        </w:rPr>
        <w:t xml:space="preserve">Nutrient cycling</w:t>
      </w:r>
      <w:r>
        <w:t xml:space="preserve"> </w:t>
      </w:r>
      <w:r>
        <w:t xml:space="preserve">is the movement and transformation of nutrients among soil, plants, animals, the atmosphere and water within and across ecosystem boundaries. Natural ecosystems have</w:t>
      </w:r>
      <w:r>
        <w:t xml:space="preserve"> </w:t>
      </w:r>
      <w:r>
        <w:rPr>
          <w:bCs/>
          <w:b/>
        </w:rPr>
        <w:t xml:space="preserve">tight (closed) cycles</w:t>
      </w:r>
      <w:r>
        <w:t xml:space="preserve">: most nutrients are recycled through litter, with small inputs and losses.</w:t>
      </w:r>
      <w:r>
        <w:t xml:space="preserve"> </w:t>
      </w:r>
      <w:r>
        <w:rPr>
          <w:bCs/>
          <w:b/>
        </w:rPr>
        <w:t xml:space="preserve">Agro-ecosystems are open</w:t>
      </w:r>
      <w:r>
        <w:t xml:space="preserve">: large exports in harvested products and large losses, balanced by external inputs (fertilisers).</w:t>
      </w:r>
    </w:p>
    <w:p>
      <w:pPr>
        <w:pStyle w:val="BodyText"/>
      </w:pPr>
      <w:r>
        <w:rPr>
          <w:bCs/>
          <w:b/>
        </w:rPr>
        <w:t xml:space="preserve">Inputs:</w:t>
      </w:r>
      <w:r>
        <w:t xml:space="preserve"> </w:t>
      </w:r>
      <w:r>
        <w:t xml:space="preserve">fertilisers, manures, biological N fixation, atmospheric deposition (N, S in rain and dust), irrigation water, weathering of minerals, sediment deposition.</w:t>
      </w:r>
    </w:p>
    <w:p>
      <w:pPr>
        <w:pStyle w:val="BodyText"/>
      </w:pPr>
      <w:r>
        <w:rPr>
          <w:bCs/>
          <w:b/>
        </w:rPr>
        <w:t xml:space="preserve">Internal cycling:</w:t>
      </w:r>
      <w:r>
        <w:t xml:space="preserve"> </w:t>
      </w:r>
      <w:r>
        <w:t xml:space="preserve">plant uptake; litterfall, root turnover and crop residue return; mineralisation and immobilisation; animal excreta (integrated crop–livestock systems); deep-rooted trees acting as</w:t>
      </w:r>
      <w:r>
        <w:t xml:space="preserve"> </w:t>
      </w:r>
      <w:r>
        <w:rPr>
          <w:bCs/>
          <w:b/>
        </w:rPr>
        <w:t xml:space="preserve">“</w:t>
      </w:r>
      <w:r>
        <w:rPr>
          <w:bCs/>
          <w:b/>
        </w:rPr>
        <w:t xml:space="preserve">nutrient pumps</w:t>
      </w:r>
      <w:r>
        <w:rPr>
          <w:bCs/>
          <w:b/>
        </w:rPr>
        <w:t xml:space="preserve">”</w:t>
      </w:r>
      <w:r>
        <w:t xml:space="preserve"> </w:t>
      </w:r>
      <w:r>
        <w:t xml:space="preserve">(agroforestry).</w:t>
      </w:r>
    </w:p>
    <w:p>
      <w:pPr>
        <w:pStyle w:val="BodyText"/>
      </w:pPr>
      <w:r>
        <w:rPr>
          <w:bCs/>
          <w:b/>
        </w:rPr>
        <w:t xml:space="preserve">Outputs and losses:</w:t>
      </w:r>
      <w:r>
        <w:t xml:space="preserve"> </w:t>
      </w:r>
      <w:r>
        <w:t xml:space="preserve">harvest removal (grain, straw, fodder); leaching (NO₃⁻, K⁺, SO₄²⁻); erosion and runoff (P, OM); gaseous losses (NH₃ volatilisation, denitrification N₂/N₂O, residue burning); fixation into unavailable forms.</w:t>
      </w:r>
    </w:p>
    <w:p>
      <w:pPr>
        <w:pStyle w:val="CaptionedFigure"/>
      </w:pPr>
      <w:r>
        <w:drawing>
          <wp:inline>
            <wp:extent cx="5334000" cy="2747010"/>
            <wp:effectExtent b="0" l="0" r="0" t="0"/>
            <wp:docPr descr="Nitrogen cycle in an agro-ecosystem" title="" id="75" name="Picture"/>
            <a:graphic>
              <a:graphicData uri="http://schemas.openxmlformats.org/drawingml/2006/picture">
                <pic:pic>
                  <pic:nvPicPr>
                    <pic:cNvPr descr="/tmp/claude-0/-home-user-sonu/ab07c29a-21cd-5a4a-9d2d-68ad72d07153/scratchpad/build/../flows/flow_015.png" id="76" name="Picture"/>
                    <pic:cNvPicPr>
                      <a:picLocks noChangeArrowheads="1" noChangeAspect="1"/>
                    </pic:cNvPicPr>
                  </pic:nvPicPr>
                  <pic:blipFill>
                    <a:blip r:embed="rId74"/>
                    <a:stretch>
                      <a:fillRect/>
                    </a:stretch>
                  </pic:blipFill>
                  <pic:spPr bwMode="auto">
                    <a:xfrm>
                      <a:off x="0" y="0"/>
                      <a:ext cx="5334000" cy="2747010"/>
                    </a:xfrm>
                    <a:prstGeom prst="rect">
                      <a:avLst/>
                    </a:prstGeom>
                    <a:noFill/>
                    <a:ln w="9525">
                      <a:noFill/>
                      <a:headEnd/>
                      <a:tailEnd/>
                    </a:ln>
                  </pic:spPr>
                </pic:pic>
              </a:graphicData>
            </a:graphic>
          </wp:inline>
        </w:drawing>
      </w:r>
    </w:p>
    <w:p>
      <w:pPr>
        <w:pStyle w:val="ImageCaption"/>
      </w:pPr>
      <w:r>
        <w:t xml:space="preserve">Nitrogen cycle in an agro-ecosystem</w:t>
      </w:r>
    </w:p>
    <w:p>
      <w:pPr>
        <w:pStyle w:val="BodyText"/>
      </w:pPr>
      <w:r>
        <w:rPr>
          <w:bCs/>
          <w:b/>
        </w:rPr>
        <w:t xml:space="preserve">Distinctive features of individual cycles:</w:t>
      </w:r>
    </w:p>
    <w:p>
      <w:pPr>
        <w:pStyle w:val="Compact"/>
        <w:numPr>
          <w:ilvl w:val="0"/>
          <w:numId w:val="1156"/>
        </w:numPr>
      </w:pPr>
      <w:r>
        <w:rPr>
          <w:bCs/>
          <w:b/>
        </w:rPr>
        <w:t xml:space="preserve">Nitrogen:</w:t>
      </w:r>
      <w:r>
        <w:t xml:space="preserve"> </w:t>
      </w:r>
      <w:r>
        <w:t xml:space="preserve">a large gaseous reservoir; microbially driven; highly mobile and leaky. Both a water pollutant (nitrate) and an air pollutant (N₂O, NH₃).</w:t>
      </w:r>
    </w:p>
    <w:p>
      <w:pPr>
        <w:pStyle w:val="Compact"/>
        <w:numPr>
          <w:ilvl w:val="0"/>
          <w:numId w:val="1156"/>
        </w:numPr>
      </w:pPr>
      <w:r>
        <w:rPr>
          <w:bCs/>
          <w:b/>
        </w:rPr>
        <w:t xml:space="preserve">Phosphorus:</w:t>
      </w:r>
      <w:r>
        <w:t xml:space="preserve"> </w:t>
      </w:r>
      <w:r>
        <w:rPr>
          <w:bCs/>
          <w:b/>
        </w:rPr>
        <w:t xml:space="preserve">no significant gaseous phase</w:t>
      </w:r>
      <w:r>
        <w:t xml:space="preserve">; a sedimentary cycle; immobile in soil; lost mainly through erosion and runoff (causing eutrophication).</w:t>
      </w:r>
    </w:p>
    <w:p>
      <w:pPr>
        <w:pStyle w:val="Compact"/>
        <w:numPr>
          <w:ilvl w:val="0"/>
          <w:numId w:val="1156"/>
        </w:numPr>
      </w:pPr>
      <w:r>
        <w:rPr>
          <w:bCs/>
          <w:b/>
        </w:rPr>
        <w:t xml:space="preserve">Potassium:</w:t>
      </w:r>
      <w:r>
        <w:t xml:space="preserve"> </w:t>
      </w:r>
      <w:r>
        <w:t xml:space="preserve">mineral weathering and exchange equilibria; returned largely through</w:t>
      </w:r>
      <w:r>
        <w:t xml:space="preserve"> </w:t>
      </w:r>
      <w:r>
        <w:rPr>
          <w:bCs/>
          <w:b/>
        </w:rPr>
        <w:t xml:space="preserve">crop residues</w:t>
      </w:r>
      <w:r>
        <w:t xml:space="preserve"> </w:t>
      </w:r>
      <w:r>
        <w:t xml:space="preserve">(straw holds most of the K taken up). Removing straw or burning it depletes K.</w:t>
      </w:r>
    </w:p>
    <w:p>
      <w:pPr>
        <w:pStyle w:val="Compact"/>
        <w:numPr>
          <w:ilvl w:val="0"/>
          <w:numId w:val="1156"/>
        </w:numPr>
      </w:pPr>
      <w:r>
        <w:rPr>
          <w:bCs/>
          <w:b/>
        </w:rPr>
        <w:t xml:space="preserve">Sulphur:</w:t>
      </w:r>
      <w:r>
        <w:t xml:space="preserve"> </w:t>
      </w:r>
      <w:r>
        <w:t xml:space="preserve">has a gaseous phase (SO₂, H₂S, DMS); mineralised from organic S; reduced to sulphides under flooding.</w:t>
      </w:r>
    </w:p>
    <w:p>
      <w:pPr>
        <w:pStyle w:val="Compact"/>
        <w:numPr>
          <w:ilvl w:val="0"/>
          <w:numId w:val="1156"/>
        </w:numPr>
      </w:pPr>
      <w:r>
        <w:rPr>
          <w:bCs/>
          <w:b/>
        </w:rPr>
        <w:t xml:space="preserve">Carbon:</w:t>
      </w:r>
      <w:r>
        <w:t xml:space="preserve"> </w:t>
      </w:r>
      <w:r>
        <w:t xml:space="preserve">linked to all others through SOM. The C:N:P:S of humus is about</w:t>
      </w:r>
      <w:r>
        <w:t xml:space="preserve"> </w:t>
      </w:r>
      <w:r>
        <w:rPr>
          <w:bCs/>
          <w:b/>
        </w:rPr>
        <w:t xml:space="preserve">100:10:1:1</w:t>
      </w:r>
      <w:r>
        <w:t xml:space="preserve">.</w:t>
      </w:r>
    </w:p>
    <w:p>
      <w:pPr>
        <w:pStyle w:val="FirstParagraph"/>
      </w:pPr>
      <w:r>
        <w:rPr>
          <w:bCs/>
          <w:b/>
        </w:rPr>
        <w:t xml:space="preserve">Nutrient budgets (balances):</w:t>
      </w:r>
      <w:r>
        <w:t xml:space="preserve"> </w:t>
      </w:r>
      <w:r>
        <w:t xml:space="preserve">input − output per field, farm or region. India shows</w:t>
      </w:r>
      <w:r>
        <w:t xml:space="preserve"> </w:t>
      </w:r>
      <w:r>
        <w:rPr>
          <w:bCs/>
          <w:b/>
        </w:rPr>
        <w:t xml:space="preserve">negative balances for K and many micronutrients</w:t>
      </w:r>
      <w:r>
        <w:t xml:space="preserve"> </w:t>
      </w:r>
      <w:r>
        <w:t xml:space="preserve">under intensive cropping, and nitrogen surpluses in some irrigated tracts (Punjab, Haryana).</w:t>
      </w:r>
    </w:p>
    <w:p>
      <w:pPr>
        <w:pStyle w:val="BodyText"/>
      </w:pPr>
      <w:r>
        <w:rPr>
          <w:bCs/>
          <w:b/>
        </w:rPr>
        <w:t xml:space="preserve">Practices that close nutrient loops:</w:t>
      </w:r>
      <w:r>
        <w:t xml:space="preserve"> </w:t>
      </w:r>
      <w:r>
        <w:t xml:space="preserve">residue retention or incorporation (instead of burning), legumes in rotation and intercropping, green manuring, cover crops, agroforestry, crop–livestock–fish integration (biogas, composting), site-specific nutrient management, and recycling of urban organic wastes and sewage after treatment.</w:t>
      </w:r>
    </w:p>
    <w:p>
      <w:pPr>
        <w:pStyle w:val="Heading3"/>
      </w:pPr>
      <w:r>
        <w:t xml:space="preserve">19.11.1 Likely interview questions</w:t>
      </w:r>
    </w:p>
    <w:p>
      <w:pPr>
        <w:pStyle w:val="FirstParagraph"/>
      </w:pPr>
      <w:r>
        <w:rPr>
          <w:bCs/>
          <w:b/>
        </w:rPr>
        <w:t xml:space="preserve">Q. State the law of the minimum and Mitscherlich’s equation.</w:t>
      </w:r>
      <w:r>
        <w:t xml:space="preserve"> </w:t>
      </w:r>
      <w:r>
        <w:t xml:space="preserve">Yield is limited by the most limiting nutrient.</w:t>
      </w:r>
      <w:r>
        <w:t xml:space="preserve"> </w:t>
      </w:r>
      <m:oMath>
        <m:r>
          <m:rPr>
            <m:sty m:val="p"/>
          </m:rPr>
          <m:t>log</m:t>
        </m:r>
        <m:d>
          <m:dPr>
            <m:begChr m:val="("/>
            <m:endChr m:val=")"/>
            <m:sepChr m:val=""/>
            <m:grow/>
          </m:dPr>
          <m:e>
            <m:r>
              <m:t>A</m:t>
            </m:r>
            <m:r>
              <m:rPr>
                <m:sty m:val="p"/>
              </m:rPr>
              <m:t>−</m:t>
            </m:r>
            <m:r>
              <m:t>y</m:t>
            </m:r>
          </m:e>
        </m:d>
        <m:r>
          <m:rPr>
            <m:sty m:val="p"/>
          </m:rPr>
          <m:t>=</m:t>
        </m:r>
        <m:r>
          <m:rPr>
            <m:sty m:val="p"/>
          </m:rPr>
          <m:t>log</m:t>
        </m:r>
        <m:r>
          <m:t>A</m:t>
        </m:r>
        <m:r>
          <m:rPr>
            <m:sty m:val="p"/>
          </m:rPr>
          <m:t>−</m:t>
        </m:r>
        <m:r>
          <m:t>c</m:t>
        </m:r>
        <m:r>
          <m:t>x</m:t>
        </m:r>
      </m:oMath>
      <w:r>
        <w:t xml:space="preserve">, which expresses diminishing returns.</w:t>
      </w:r>
    </w:p>
    <w:p>
      <w:pPr>
        <w:pStyle w:val="BodyText"/>
      </w:pPr>
      <w:r>
        <w:rPr>
          <w:bCs/>
          <w:b/>
        </w:rPr>
        <w:t xml:space="preserve">Q. Name the soil test methods for available N, P, K and micronutrients.</w:t>
      </w:r>
      <w:r>
        <w:t xml:space="preserve"> </w:t>
      </w:r>
      <w:r>
        <w:t xml:space="preserve">N: alkaline permanganate (Subbiah and Asija). P: Olsen (alkaline soils) or Bray (acid soils). K: neutral normal ammonium acetate. Micronutrients: DTPA (Lindsay and Norvell).</w:t>
      </w:r>
    </w:p>
    <w:p>
      <w:pPr>
        <w:pStyle w:val="BodyText"/>
      </w:pPr>
      <w:r>
        <w:rPr>
          <w:bCs/>
          <w:b/>
        </w:rPr>
        <w:t xml:space="preserve">Q. Why is nitrogen-use efficiency low, especially in rice?</w:t>
      </w:r>
      <w:r>
        <w:t xml:space="preserve"> </w:t>
      </w:r>
      <w:r>
        <w:t xml:space="preserve">Volatilisation, denitrification, leaching and immobilisation. In flooded soils, nitrification in the oxidised layer followed by denitrification in the reduced layer causes heavy loss.</w:t>
      </w:r>
    </w:p>
    <w:p>
      <w:pPr>
        <w:pStyle w:val="BodyText"/>
      </w:pPr>
      <w:r>
        <w:rPr>
          <w:bCs/>
          <w:b/>
        </w:rPr>
        <w:t xml:space="preserve">Q. What are bio-fertilisers? Give examples for rice, legumes and sugarcane.</w:t>
      </w:r>
      <w:r>
        <w:t xml:space="preserve"> </w:t>
      </w:r>
      <w:r>
        <w:t xml:space="preserve">Live microbial inoculants that improve nutrient supply. Rice: BGA and Azolla. Legumes: Rhizobium. Sugarcane: Gluconacetobacter.</w:t>
      </w:r>
    </w:p>
    <w:p>
      <w:pPr>
        <w:pStyle w:val="BodyText"/>
      </w:pPr>
      <w:r>
        <w:rPr>
          <w:bCs/>
          <w:b/>
        </w:rPr>
        <w:t xml:space="preserve">Q. How does phosphorus differ from nitrogen in its cycle?</w:t>
      </w:r>
      <w:r>
        <w:t xml:space="preserve"> </w:t>
      </w:r>
      <w:r>
        <w:t xml:space="preserve">P has no gaseous phase and is immobile, fixed by Fe/Al or Ca. It is lost mainly by erosion. N is gaseous and mobile, and lost by leaching and gaseous emissions.</w:t>
      </w:r>
    </w:p>
    <w:p>
      <w:pPr>
        <w:pStyle w:val="BodyText"/>
      </w:pPr>
      <w:r>
        <w:rPr>
          <w:bCs/>
          <w:b/>
        </w:rPr>
        <w:t xml:space="preserve">Q. What is INM?</w:t>
      </w:r>
      <w:r>
        <w:t xml:space="preserve"> </w:t>
      </w:r>
      <w:r>
        <w:t xml:space="preserve">Integrated nutrient management: a combined use of fertilisers, organic manures, green manures, residues, legumes and bio-fertilisers to sustain yields and soil health.</w:t>
      </w:r>
    </w:p>
    <w:p>
      <w:pPr>
        <w:pStyle w:val="Heading2"/>
      </w:pPr>
      <w:r>
        <w:t xml:space="preserve">19.12 Soil Health Card and Remote Sensing Linkage</w:t>
      </w:r>
    </w:p>
    <w:p>
      <w:pPr>
        <w:pStyle w:val="FirstParagraph"/>
      </w:pPr>
      <w:r>
        <w:t xml:space="preserve">The Soil Health Card (SHC) scheme (launched 2015) issues farmers a nutrient-status report — nitrogen, phosphorus, potassium, secondary and micronutrients, pH, electrical conductivity, organic carbon — once every two years, based on a grid-based soil sampling protocol (nominally one sample per roughly 2.5 ha under rainfed conditions, 10 ha under irrigated conditions). The primary measurement is destructive laboratory soil chemistry, not satellite spectroscopy — this is an important distinction to state clearly in an interview rather than overclaiming a direct RS linkage. Remote sensing and GIS nonetheless support the programme in several concrete ways: (a) cadastral/village-boundary base-mapping over satellite imagery to plan and geolocate the sampling grid consistently across seasons and enumerators; (b) Digital Soil Mapping (DSM) — using RS-derived covariates (spectral soil-brightness and vegetation indices, terrain attributes such as slope/curvature/wetness index derived from Cartosat DEM, and multi-date LULC/cropping-intensity layers) as predictor variables in geostatistical or machine-learning interpolation models (regression-kriging, Random Forest) to extend the necessarily sparse point-sampled lab data into continuous, higher-resolution soil-property surfaces, which reduces the number of physical samples needed to achieve a given mapping accuracy; and (c) longer-term monitoring of soil organic carbon and fertility gradients through repeat DSM cycles. Looking forward, hyperspectral remote sensing (proximal, airborne, and prospective spaceborne Indian hyperspectral missions) is an active research area for direct spectral estimation of soil organic carbon, texture and moisture, which could eventually reduce — though is unlikely to fully replace — physical soil sampling.</w:t>
      </w:r>
    </w:p>
    <w:p>
      <w:pPr>
        <w:pStyle w:val="Heading1"/>
      </w:pPr>
      <w:r>
        <w:t xml:space="preserve">Chapter 20. Soil and Water Pollution; Natural and Organic Farming</w:t>
      </w:r>
    </w:p>
    <w:p>
      <w:pPr>
        <w:pStyle w:val="Heading2"/>
      </w:pPr>
      <w:r>
        <w:t xml:space="preserve">20.1 Soil Pollution</w:t>
      </w:r>
    </w:p>
    <w:p>
      <w:pPr>
        <w:pStyle w:val="FirstParagraph"/>
      </w:pPr>
      <w:r>
        <w:rPr>
          <w:bCs/>
          <w:b/>
        </w:rPr>
        <w:t xml:space="preserve">Soil pollution</w:t>
      </w:r>
      <w:r>
        <w:t xml:space="preserve"> </w:t>
      </w:r>
      <w:r>
        <w:t xml:space="preserve">is the presence of chemicals or other substances in soil at concentrations high enough to harm organisms, ecosystems, food quality or human health, or to reduce soil functions.</w:t>
      </w:r>
    </w:p>
    <w:p>
      <w:pPr>
        <w:pStyle w:val="Heading3"/>
      </w:pPr>
      <w:r>
        <w:t xml:space="preserve">20.1.1 Sources and pollutants</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Source</w:t>
            </w:r>
          </w:p>
        </w:tc>
        <w:tc>
          <w:tcPr/>
          <w:p>
            <w:pPr>
              <w:pStyle w:val="Compact"/>
              <w:jc w:val="left"/>
            </w:pPr>
            <w:r>
              <w:t xml:space="preserve">Main pollutants</w:t>
            </w:r>
          </w:p>
        </w:tc>
      </w:tr>
      <w:tr>
        <w:tc>
          <w:tcPr/>
          <w:p>
            <w:pPr>
              <w:pStyle w:val="Compact"/>
              <w:jc w:val="left"/>
            </w:pPr>
            <w:r>
              <w:rPr>
                <w:bCs/>
                <w:b/>
              </w:rPr>
              <w:t xml:space="preserve">Heavy metals and metalloids</w:t>
            </w:r>
          </w:p>
        </w:tc>
        <w:tc>
          <w:tcPr/>
          <w:p>
            <w:pPr>
              <w:pStyle w:val="Compact"/>
              <w:jc w:val="left"/>
            </w:pPr>
            <w:r>
              <w:t xml:space="preserve">Cd, Pb, As, Hg, Cr, Ni, Cu, Zn from mining, smelting, tanneries (Cr), electroplating, batteries, e-waste, sewage sludge, phosphate fertilisers (Cd), pesticides (Cu, As), vehicle emissions (Pb, historically)</w:t>
            </w:r>
          </w:p>
        </w:tc>
      </w:tr>
      <w:tr>
        <w:tc>
          <w:tcPr/>
          <w:p>
            <w:pPr>
              <w:pStyle w:val="Compact"/>
              <w:jc w:val="left"/>
            </w:pPr>
            <w:r>
              <w:rPr>
                <w:bCs/>
                <w:b/>
              </w:rPr>
              <w:t xml:space="preserve">Pesticides</w:t>
            </w:r>
          </w:p>
        </w:tc>
        <w:tc>
          <w:tcPr/>
          <w:p>
            <w:pPr>
              <w:pStyle w:val="Compact"/>
              <w:jc w:val="left"/>
            </w:pPr>
            <w:r>
              <w:t xml:space="preserve">Persistent organochlorines (DDT, HCH/BHC, endosulfan, aldrin, dieldrin, POPs under the Stockholm Convention), organophosphates, carbamates, herbicide residues (atrazine)</w:t>
            </w:r>
          </w:p>
        </w:tc>
      </w:tr>
      <w:tr>
        <w:tc>
          <w:tcPr/>
          <w:p>
            <w:pPr>
              <w:pStyle w:val="Compact"/>
              <w:jc w:val="left"/>
            </w:pPr>
            <w:r>
              <w:rPr>
                <w:bCs/>
                <w:b/>
              </w:rPr>
              <w:t xml:space="preserve">Excess fertilisers</w:t>
            </w:r>
          </w:p>
        </w:tc>
        <w:tc>
          <w:tcPr/>
          <w:p>
            <w:pPr>
              <w:pStyle w:val="Compact"/>
              <w:jc w:val="left"/>
            </w:pPr>
            <w:r>
              <w:t xml:space="preserve">Nitrate (leaching), Cd and F from rock phosphate, acidification from ammonium fertilisers, eutrophication from P</w:t>
            </w:r>
          </w:p>
        </w:tc>
      </w:tr>
      <w:tr>
        <w:tc>
          <w:tcPr/>
          <w:p>
            <w:pPr>
              <w:pStyle w:val="Compact"/>
              <w:jc w:val="left"/>
            </w:pPr>
            <w:r>
              <w:rPr>
                <w:bCs/>
                <w:b/>
              </w:rPr>
              <w:t xml:space="preserve">Industrial effluents and sludge</w:t>
            </w:r>
          </w:p>
        </w:tc>
        <w:tc>
          <w:tcPr/>
          <w:p>
            <w:pPr>
              <w:pStyle w:val="Compact"/>
              <w:jc w:val="left"/>
            </w:pPr>
            <w:r>
              <w:t xml:space="preserve">Organic toxicants (PAHs, PCBs, phenols, dyes), salts, metals</w:t>
            </w:r>
          </w:p>
        </w:tc>
      </w:tr>
      <w:tr>
        <w:tc>
          <w:tcPr/>
          <w:p>
            <w:pPr>
              <w:pStyle w:val="Compact"/>
              <w:jc w:val="left"/>
            </w:pPr>
            <w:r>
              <w:rPr>
                <w:bCs/>
                <w:b/>
              </w:rPr>
              <w:t xml:space="preserve">Urban wastes and sewage</w:t>
            </w:r>
          </w:p>
        </w:tc>
        <w:tc>
          <w:tcPr/>
          <w:p>
            <w:pPr>
              <w:pStyle w:val="Compact"/>
              <w:jc w:val="left"/>
            </w:pPr>
            <w:r>
              <w:t xml:space="preserve">Pathogens, metals, pharmaceuticals, microplastics</w:t>
            </w:r>
          </w:p>
        </w:tc>
      </w:tr>
      <w:tr>
        <w:tc>
          <w:tcPr/>
          <w:p>
            <w:pPr>
              <w:pStyle w:val="Compact"/>
              <w:jc w:val="left"/>
            </w:pPr>
            <w:r>
              <w:rPr>
                <w:bCs/>
                <w:b/>
              </w:rPr>
              <w:t xml:space="preserve">Irrigation with poor-quality water</w:t>
            </w:r>
          </w:p>
        </w:tc>
        <w:tc>
          <w:tcPr/>
          <w:p>
            <w:pPr>
              <w:pStyle w:val="Compact"/>
              <w:jc w:val="left"/>
            </w:pPr>
            <w:r>
              <w:t xml:space="preserve">Salinity, sodicity, boron, fluoride</w:t>
            </w:r>
          </w:p>
        </w:tc>
      </w:tr>
      <w:tr>
        <w:tc>
          <w:tcPr/>
          <w:p>
            <w:pPr>
              <w:pStyle w:val="Compact"/>
              <w:jc w:val="left"/>
            </w:pPr>
            <w:r>
              <w:rPr>
                <w:bCs/>
                <w:b/>
              </w:rPr>
              <w:t xml:space="preserve">Agricultural plastics</w:t>
            </w:r>
          </w:p>
        </w:tc>
        <w:tc>
          <w:tcPr/>
          <w:p>
            <w:pPr>
              <w:pStyle w:val="Compact"/>
              <w:jc w:val="left"/>
            </w:pPr>
            <w:r>
              <w:t xml:space="preserve">Mulch film fragments, microplastics</w:t>
            </w:r>
          </w:p>
        </w:tc>
      </w:tr>
      <w:tr>
        <w:tc>
          <w:tcPr/>
          <w:p>
            <w:pPr>
              <w:pStyle w:val="Compact"/>
              <w:jc w:val="left"/>
            </w:pPr>
            <w:r>
              <w:rPr>
                <w:bCs/>
                <w:b/>
              </w:rPr>
              <w:t xml:space="preserve">Radionuclides</w:t>
            </w:r>
          </w:p>
        </w:tc>
        <w:tc>
          <w:tcPr/>
          <w:p>
            <w:pPr>
              <w:pStyle w:val="Compact"/>
              <w:jc w:val="left"/>
            </w:pPr>
            <w:r>
              <w:t xml:space="preserve">Nuclear accidents, phosphate rock (U)</w:t>
            </w:r>
          </w:p>
        </w:tc>
      </w:tr>
      <w:tr>
        <w:tc>
          <w:tcPr/>
          <w:p>
            <w:pPr>
              <w:pStyle w:val="Compact"/>
              <w:jc w:val="left"/>
            </w:pPr>
            <w:r>
              <w:rPr>
                <w:bCs/>
                <w:b/>
              </w:rPr>
              <w:t xml:space="preserve">Crop residue burning</w:t>
            </w:r>
          </w:p>
        </w:tc>
        <w:tc>
          <w:tcPr/>
          <w:p>
            <w:pPr>
              <w:pStyle w:val="Compact"/>
              <w:jc w:val="left"/>
            </w:pPr>
            <w:r>
              <w:t xml:space="preserve">Loss of OM and microbes, air pollution (PM₂.₅, CO, NOx)</w:t>
            </w:r>
          </w:p>
        </w:tc>
      </w:tr>
    </w:tbl>
    <w:p>
      <w:pPr>
        <w:pStyle w:val="Heading3"/>
      </w:pPr>
      <w:r>
        <w:t xml:space="preserve">20.1.2 Behaviour of pollutants in soil</w:t>
      </w:r>
    </w:p>
    <w:p>
      <w:pPr>
        <w:pStyle w:val="FirstParagraph"/>
      </w:pPr>
      <w:r>
        <w:t xml:space="preserve">Pollutant fate depends on soil properties:</w:t>
      </w:r>
      <w:r>
        <w:t xml:space="preserve"> </w:t>
      </w:r>
      <w:r>
        <w:rPr>
          <w:bCs/>
          <w:b/>
        </w:rPr>
        <w:t xml:space="preserve">adsorption</w:t>
      </w:r>
      <w:r>
        <w:t xml:space="preserve"> </w:t>
      </w:r>
      <w:r>
        <w:t xml:space="preserve">(on clay, OM and oxides; high CEC and OM immobilise metals),</w:t>
      </w:r>
      <w:r>
        <w:t xml:space="preserve"> </w:t>
      </w:r>
      <w:r>
        <w:rPr>
          <w:bCs/>
          <w:b/>
        </w:rPr>
        <w:t xml:space="preserve">pH</w:t>
      </w:r>
      <w:r>
        <w:t xml:space="preserve"> </w:t>
      </w:r>
      <w:r>
        <w:t xml:space="preserve">(most metal cations are more soluble at low pH, so liming reduces availability; As and Mo are more soluble at high pH),</w:t>
      </w:r>
      <w:r>
        <w:t xml:space="preserve"> </w:t>
      </w:r>
      <w:r>
        <w:rPr>
          <w:bCs/>
          <w:b/>
        </w:rPr>
        <w:t xml:space="preserve">redox</w:t>
      </w:r>
      <w:r>
        <w:t xml:space="preserve"> </w:t>
      </w:r>
      <w:r>
        <w:t xml:space="preserve">(Cr(VI) is toxic and mobile while Cr(III) is less so; As(III) is more mobile and toxic than As(V)), degradation by microbes (half-lives: DDT &gt; 10 years), leaching to groundwater, volatilisation, plant uptake and</w:t>
      </w:r>
      <w:r>
        <w:t xml:space="preserve"> </w:t>
      </w:r>
      <w:r>
        <w:rPr>
          <w:bCs/>
          <w:b/>
        </w:rPr>
        <w:t xml:space="preserve">biomagnification</w:t>
      </w:r>
      <w:r>
        <w:t xml:space="preserve"> </w:t>
      </w:r>
      <w:r>
        <w:t xml:space="preserve">along food chains (Hg, DDT).</w:t>
      </w:r>
    </w:p>
    <w:p>
      <w:pPr>
        <w:pStyle w:val="BodyText"/>
      </w:pPr>
      <w:r>
        <w:rPr>
          <w:bCs/>
          <w:b/>
        </w:rPr>
        <w:t xml:space="preserve">Health examples:</w:t>
      </w:r>
      <w:r>
        <w:t xml:space="preserve"> </w:t>
      </w:r>
      <w:r>
        <w:rPr>
          <w:bCs/>
          <w:b/>
        </w:rPr>
        <w:t xml:space="preserve">Itai-itai disease</w:t>
      </w:r>
      <w:r>
        <w:t xml:space="preserve"> </w:t>
      </w:r>
      <w:r>
        <w:t xml:space="preserve">(Cd, Japan).</w:t>
      </w:r>
      <w:r>
        <w:t xml:space="preserve"> </w:t>
      </w:r>
      <w:r>
        <w:rPr>
          <w:bCs/>
          <w:b/>
        </w:rPr>
        <w:t xml:space="preserve">Minamata disease</w:t>
      </w:r>
      <w:r>
        <w:t xml:space="preserve"> </w:t>
      </w:r>
      <w:r>
        <w:t xml:space="preserve">(methyl-mercury, Japan).</w:t>
      </w:r>
      <w:r>
        <w:t xml:space="preserve"> </w:t>
      </w:r>
      <w:r>
        <w:rPr>
          <w:bCs/>
          <w:b/>
        </w:rPr>
        <w:t xml:space="preserve">Arsenicosis</w:t>
      </w:r>
      <w:r>
        <w:t xml:space="preserve"> </w:t>
      </w:r>
      <w:r>
        <w:t xml:space="preserve">(skin lesions, cancer).</w:t>
      </w:r>
      <w:r>
        <w:t xml:space="preserve"> </w:t>
      </w:r>
      <w:r>
        <w:rPr>
          <w:bCs/>
          <w:b/>
        </w:rPr>
        <w:t xml:space="preserve">Fluorosis</w:t>
      </w:r>
      <w:r>
        <w:t xml:space="preserve"> </w:t>
      </w:r>
      <w:r>
        <w:t xml:space="preserve">(dental and skeletal).</w:t>
      </w:r>
    </w:p>
    <w:p>
      <w:pPr>
        <w:pStyle w:val="Heading3"/>
      </w:pPr>
      <w:r>
        <w:t xml:space="preserve">20.1.3 Groundwater contamination in India (agriculture-related)</w:t>
      </w:r>
    </w:p>
    <w:p>
      <w:pPr>
        <w:pStyle w:val="Compact"/>
        <w:numPr>
          <w:ilvl w:val="0"/>
          <w:numId w:val="1157"/>
        </w:numPr>
      </w:pPr>
      <w:r>
        <w:rPr>
          <w:bCs/>
          <w:b/>
        </w:rPr>
        <w:t xml:space="preserve">Arsenic:</w:t>
      </w:r>
      <w:r>
        <w:t xml:space="preserve"> </w:t>
      </w:r>
      <w:r>
        <w:t xml:space="preserve">geogenic, in the Ganga–Brahmaputra–Meghna delta (West Bengal, Bihar, UP, Assam, Punjab). It enters the food chain through irrigation with As-rich groundwater (rice accumulates As). Permissible limit in drinking water: 0.01 mg L⁻¹ (BIS/WHO).</w:t>
      </w:r>
    </w:p>
    <w:p>
      <w:pPr>
        <w:pStyle w:val="Compact"/>
        <w:numPr>
          <w:ilvl w:val="0"/>
          <w:numId w:val="1157"/>
        </w:numPr>
      </w:pPr>
      <w:r>
        <w:rPr>
          <w:bCs/>
          <w:b/>
        </w:rPr>
        <w:t xml:space="preserve">Fluoride:</w:t>
      </w:r>
      <w:r>
        <w:t xml:space="preserve"> </w:t>
      </w:r>
      <w:r>
        <w:t xml:space="preserve">geogenic, in Rajasthan, Gujarat, AP, Telangana, Karnataka, Punjab. Limit 1.0 mg L⁻¹ (permissible up to 1.5).</w:t>
      </w:r>
    </w:p>
    <w:p>
      <w:pPr>
        <w:pStyle w:val="Compact"/>
        <w:numPr>
          <w:ilvl w:val="0"/>
          <w:numId w:val="1157"/>
        </w:numPr>
      </w:pPr>
      <w:r>
        <w:rPr>
          <w:bCs/>
          <w:b/>
        </w:rPr>
        <w:t xml:space="preserve">Nitrate:</w:t>
      </w:r>
      <w:r>
        <w:t xml:space="preserve"> </w:t>
      </w:r>
      <w:r>
        <w:t xml:space="preserve">from fertilisers and sewage, in intensively cropped Punjab, Haryana, Rajasthan, Maharashtra. Limit</w:t>
      </w:r>
      <w:r>
        <w:t xml:space="preserve"> </w:t>
      </w:r>
      <w:r>
        <w:rPr>
          <w:bCs/>
          <w:b/>
        </w:rPr>
        <w:t xml:space="preserve">45 mg L⁻¹ as NO₃</w:t>
      </w:r>
      <w:r>
        <w:t xml:space="preserve"> </w:t>
      </w:r>
      <w:r>
        <w:t xml:space="preserve">(≈ 10 mg L⁻¹ NO₃-N). It causes</w:t>
      </w:r>
      <w:r>
        <w:t xml:space="preserve"> </w:t>
      </w:r>
      <w:r>
        <w:rPr>
          <w:bCs/>
          <w:b/>
        </w:rPr>
        <w:t xml:space="preserve">methaemoglobinaemia (</w:t>
      </w:r>
      <w:r>
        <w:rPr>
          <w:bCs/>
          <w:b/>
        </w:rPr>
        <w:t xml:space="preserve">“</w:t>
      </w:r>
      <w:r>
        <w:rPr>
          <w:bCs/>
          <w:b/>
        </w:rPr>
        <w:t xml:space="preserve">blue baby syndrome</w:t>
      </w:r>
      <w:r>
        <w:rPr>
          <w:bCs/>
          <w:b/>
        </w:rPr>
        <w:t xml:space="preserve">”</w:t>
      </w:r>
      <w:r>
        <w:rPr>
          <w:bCs/>
          <w:b/>
        </w:rPr>
        <w:t xml:space="preserve">)</w:t>
      </w:r>
      <w:r>
        <w:t xml:space="preserve">.</w:t>
      </w:r>
    </w:p>
    <w:p>
      <w:pPr>
        <w:pStyle w:val="Compact"/>
        <w:numPr>
          <w:ilvl w:val="0"/>
          <w:numId w:val="1157"/>
        </w:numPr>
      </w:pPr>
      <w:r>
        <w:rPr>
          <w:bCs/>
          <w:b/>
        </w:rPr>
        <w:t xml:space="preserve">Uranium</w:t>
      </w:r>
      <w:r>
        <w:t xml:space="preserve"> </w:t>
      </w:r>
      <w:r>
        <w:t xml:space="preserve">(Punjab),</w:t>
      </w:r>
      <w:r>
        <w:t xml:space="preserve"> </w:t>
      </w:r>
      <w:r>
        <w:rPr>
          <w:bCs/>
          <w:b/>
        </w:rPr>
        <w:t xml:space="preserve">salinity</w:t>
      </w:r>
      <w:r>
        <w:t xml:space="preserve"> </w:t>
      </w:r>
      <w:r>
        <w:t xml:space="preserve">and</w:t>
      </w:r>
      <w:r>
        <w:t xml:space="preserve"> </w:t>
      </w:r>
      <w:r>
        <w:rPr>
          <w:bCs/>
          <w:b/>
        </w:rPr>
        <w:t xml:space="preserve">iron</w:t>
      </w:r>
      <w:r>
        <w:t xml:space="preserve"> </w:t>
      </w:r>
      <w:r>
        <w:t xml:space="preserve">are also problems in parts of the country.</w:t>
      </w:r>
    </w:p>
    <w:p>
      <w:pPr>
        <w:pStyle w:val="Heading2"/>
      </w:pPr>
      <w:r>
        <w:t xml:space="preserve">20.2 Water Pollution</w:t>
      </w:r>
    </w:p>
    <w:p>
      <w:pPr>
        <w:pStyle w:val="FirstParagraph"/>
      </w:pPr>
      <w:r>
        <w:rPr>
          <w:bCs/>
          <w:b/>
        </w:rPr>
        <w:t xml:space="preserve">Point sources</w:t>
      </w:r>
      <w:r>
        <w:t xml:space="preserve"> </w:t>
      </w:r>
      <w:r>
        <w:t xml:space="preserve">(sewage outfalls, industrial discharge) can be traced and treated.</w:t>
      </w:r>
      <w:r>
        <w:t xml:space="preserve"> </w:t>
      </w:r>
      <w:r>
        <w:rPr>
          <w:bCs/>
          <w:b/>
        </w:rPr>
        <w:t xml:space="preserve">Non-point (diffuse) sources</w:t>
      </w:r>
      <w:r>
        <w:t xml:space="preserve"> </w:t>
      </w:r>
      <w:r>
        <w:t xml:space="preserve">(agricultural runoff carrying sediment, nutrients and pesticides; urban runoff) are harder to control and are the dominant agricultural contribution.</w:t>
      </w:r>
    </w:p>
    <w:p>
      <w:pPr>
        <w:pStyle w:val="BodyText"/>
      </w:pPr>
      <w:r>
        <w:rPr>
          <w:bCs/>
          <w:b/>
        </w:rPr>
        <w:t xml:space="preserve">Key water quality parameters:</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Meaning</w:t>
            </w:r>
          </w:p>
        </w:tc>
      </w:tr>
      <w:tr>
        <w:tc>
          <w:tcPr/>
          <w:p>
            <w:pPr>
              <w:pStyle w:val="Compact"/>
              <w:jc w:val="left"/>
            </w:pPr>
            <w:r>
              <w:rPr>
                <w:bCs/>
                <w:b/>
              </w:rPr>
              <w:t xml:space="preserve">Dissolved oxygen (DO)</w:t>
            </w:r>
          </w:p>
        </w:tc>
        <w:tc>
          <w:tcPr/>
          <w:p>
            <w:pPr>
              <w:pStyle w:val="Compact"/>
              <w:jc w:val="left"/>
            </w:pPr>
            <w:r>
              <w:t xml:space="preserve">Needed by aquatic life; &lt; 4 mg L⁻¹ stresses fish</w:t>
            </w:r>
          </w:p>
        </w:tc>
      </w:tr>
      <w:tr>
        <w:tc>
          <w:tcPr/>
          <w:p>
            <w:pPr>
              <w:pStyle w:val="Compact"/>
              <w:jc w:val="left"/>
            </w:pPr>
            <w:r>
              <w:rPr>
                <w:bCs/>
                <w:b/>
              </w:rPr>
              <w:t xml:space="preserve">BOD</w:t>
            </w:r>
            <w:r>
              <w:t xml:space="preserve"> </w:t>
            </w:r>
            <w:r>
              <w:t xml:space="preserve">(biochemical oxygen demand, 5-day, 20 °C)</w:t>
            </w:r>
          </w:p>
        </w:tc>
        <w:tc>
          <w:tcPr/>
          <w:p>
            <w:pPr>
              <w:pStyle w:val="Compact"/>
              <w:jc w:val="left"/>
            </w:pPr>
            <w:r>
              <w:t xml:space="preserve">O₂ consumed by microbes degrading organic matter; clean water &lt; 3 mg L⁻¹; raw sewage 200–300</w:t>
            </w:r>
          </w:p>
        </w:tc>
      </w:tr>
      <w:tr>
        <w:tc>
          <w:tcPr/>
          <w:p>
            <w:pPr>
              <w:pStyle w:val="Compact"/>
              <w:jc w:val="left"/>
            </w:pPr>
            <w:r>
              <w:rPr>
                <w:bCs/>
                <w:b/>
              </w:rPr>
              <w:t xml:space="preserve">COD</w:t>
            </w:r>
            <w:r>
              <w:t xml:space="preserve"> </w:t>
            </w:r>
            <w:r>
              <w:t xml:space="preserve">(chemical oxygen demand)</w:t>
            </w:r>
          </w:p>
        </w:tc>
        <w:tc>
          <w:tcPr/>
          <w:p>
            <w:pPr>
              <w:pStyle w:val="Compact"/>
              <w:jc w:val="left"/>
            </w:pPr>
            <w:r>
              <w:t xml:space="preserve">Total oxidisable matter (dichromate); COD &gt; BOD</w:t>
            </w:r>
          </w:p>
        </w:tc>
      </w:tr>
      <w:tr>
        <w:tc>
          <w:tcPr/>
          <w:p>
            <w:pPr>
              <w:pStyle w:val="Compact"/>
              <w:jc w:val="left"/>
            </w:pPr>
            <w:r>
              <w:t xml:space="preserve">pH, EC, TDS, turbidity</w:t>
            </w:r>
          </w:p>
        </w:tc>
        <w:tc>
          <w:tcPr/>
          <w:p>
            <w:pPr>
              <w:pStyle w:val="Compact"/>
              <w:jc w:val="left"/>
            </w:pPr>
            <w:r>
              <w:t xml:space="preserve">General quality</w:t>
            </w:r>
          </w:p>
        </w:tc>
      </w:tr>
      <w:tr>
        <w:tc>
          <w:tcPr/>
          <w:p>
            <w:pPr>
              <w:pStyle w:val="Compact"/>
              <w:jc w:val="left"/>
            </w:pPr>
            <w:r>
              <w:t xml:space="preserve">Nitrate, phosphate</w:t>
            </w:r>
          </w:p>
        </w:tc>
        <w:tc>
          <w:tcPr/>
          <w:p>
            <w:pPr>
              <w:pStyle w:val="Compact"/>
              <w:jc w:val="left"/>
            </w:pPr>
            <w:r>
              <w:t xml:space="preserve">Nutrient enrichment</w:t>
            </w:r>
          </w:p>
        </w:tc>
      </w:tr>
      <w:tr>
        <w:tc>
          <w:tcPr/>
          <w:p>
            <w:pPr>
              <w:pStyle w:val="Compact"/>
              <w:jc w:val="left"/>
            </w:pPr>
            <w:r>
              <w:t xml:space="preserve">Coliforms</w:t>
            </w:r>
          </w:p>
        </w:tc>
        <w:tc>
          <w:tcPr/>
          <w:p>
            <w:pPr>
              <w:pStyle w:val="Compact"/>
              <w:jc w:val="left"/>
            </w:pPr>
            <w:r>
              <w:t xml:space="preserve">Faecal contamination</w:t>
            </w:r>
          </w:p>
        </w:tc>
      </w:tr>
    </w:tbl>
    <w:p>
      <w:pPr>
        <w:pStyle w:val="BodyText"/>
      </w:pPr>
      <w:r>
        <w:rPr>
          <w:bCs/>
          <w:b/>
        </w:rPr>
        <w:t xml:space="preserve">Eutrophication:</w:t>
      </w:r>
      <w:r>
        <w:t xml:space="preserve"> </w:t>
      </w:r>
      <w:r>
        <w:t xml:space="preserve">nutrient (especially</w:t>
      </w:r>
      <w:r>
        <w:t xml:space="preserve"> </w:t>
      </w:r>
      <w:r>
        <w:rPr>
          <w:bCs/>
          <w:b/>
        </w:rPr>
        <w:t xml:space="preserve">P</w:t>
      </w:r>
      <w:r>
        <w:t xml:space="preserve">, and N) enrichment of lakes and reservoirs leads to</w:t>
      </w:r>
      <w:r>
        <w:t xml:space="preserve"> </w:t>
      </w:r>
      <w:r>
        <w:rPr>
          <w:bCs/>
          <w:b/>
        </w:rPr>
        <w:t xml:space="preserve">algal blooms</w:t>
      </w:r>
      <w:r>
        <w:t xml:space="preserve"> </w:t>
      </w:r>
      <w:r>
        <w:t xml:space="preserve">(cyanobacteria), loss of light, DO depletion when the algae decompose, fish kills, toxins and loss of biodiversity. Agricultural runoff and sewage are the drivers. Remote sensing monitors it through</w:t>
      </w:r>
      <w:r>
        <w:t xml:space="preserve"> </w:t>
      </w:r>
      <w:r>
        <w:rPr>
          <w:bCs/>
          <w:b/>
        </w:rPr>
        <w:t xml:space="preserve">chlorophyll-a, turbidity and algal-bloom indices</w:t>
      </w:r>
      <w:r>
        <w:t xml:space="preserve"> </w:t>
      </w:r>
      <w:r>
        <w:t xml:space="preserve">(OCM, Sentinel-2/3, hyperspectral).</w:t>
      </w:r>
    </w:p>
    <w:p>
      <w:pPr>
        <w:pStyle w:val="Heading3"/>
      </w:pPr>
      <w:r>
        <w:t xml:space="preserve">20.2.1 Quality of irrigation water</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Formula / measure</w:t>
            </w:r>
          </w:p>
        </w:tc>
        <w:tc>
          <w:tcPr/>
          <w:p>
            <w:pPr>
              <w:pStyle w:val="Compact"/>
              <w:jc w:val="left"/>
            </w:pPr>
            <w:r>
              <w:t xml:space="preserve">Hazard limits</w:t>
            </w:r>
          </w:p>
        </w:tc>
      </w:tr>
      <w:tr>
        <w:tc>
          <w:tcPr/>
          <w:p>
            <w:pPr>
              <w:pStyle w:val="Compact"/>
              <w:jc w:val="left"/>
            </w:pPr>
            <w:r>
              <w:rPr>
                <w:bCs/>
                <w:b/>
              </w:rPr>
              <w:t xml:space="preserve">Salinity hazard</w:t>
            </w:r>
          </w:p>
        </w:tc>
        <w:tc>
          <w:tcPr/>
          <w:p>
            <w:pPr>
              <w:pStyle w:val="Compact"/>
              <w:jc w:val="left"/>
            </w:pPr>
            <w:r>
              <w:t xml:space="preserve">EC (dS m⁻¹)</w:t>
            </w:r>
          </w:p>
        </w:tc>
        <w:tc>
          <w:tcPr/>
          <w:p>
            <w:pPr>
              <w:pStyle w:val="Compact"/>
              <w:jc w:val="left"/>
            </w:pPr>
            <w:r>
              <w:t xml:space="preserve">C1 &lt; 0.25 (low), C2 0.25–0.75 (medium), C3 0.75–2.25 (high), C4 &gt; 2.25 (very high) (USSL classes)</w:t>
            </w:r>
          </w:p>
        </w:tc>
      </w:tr>
      <w:tr>
        <w:tc>
          <w:tcPr/>
          <w:p>
            <w:pPr>
              <w:pStyle w:val="Compact"/>
              <w:jc w:val="left"/>
            </w:pPr>
            <w:r>
              <w:rPr>
                <w:bCs/>
                <w:b/>
              </w:rPr>
              <w:t xml:space="preserve">Sodium hazard</w:t>
            </w:r>
          </w:p>
        </w:tc>
        <w:tc>
          <w:tcPr/>
          <w:p>
            <w:pPr>
              <w:pStyle w:val="Compact"/>
              <w:jc w:val="left"/>
            </w:pPr>
            <m:oMath>
              <m:r>
                <m:t>S</m:t>
              </m:r>
              <m:r>
                <m:t>A</m:t>
              </m:r>
              <m:r>
                <m:t>R</m:t>
              </m:r>
              <m:r>
                <m:rPr>
                  <m:sty m:val="p"/>
                </m:rPr>
                <m:t>=</m:t>
              </m:r>
              <m:f>
                <m:fPr>
                  <m:type m:val="bar"/>
                </m:fPr>
                <m:num>
                  <m:r>
                    <m:t>N</m:t>
                  </m:r>
                  <m:sSup>
                    <m:e>
                      <m:r>
                        <m:t>a</m:t>
                      </m:r>
                    </m:e>
                    <m:sup>
                      <m:r>
                        <m:rPr>
                          <m:sty m:val="p"/>
                        </m:rPr>
                        <m:t>+</m:t>
                      </m:r>
                    </m:sup>
                  </m:sSup>
                </m:num>
                <m:den>
                  <m:rad>
                    <m:radPr>
                      <m:degHide m:val="on"/>
                    </m:radPr>
                    <m:deg/>
                    <m:e>
                      <m:d>
                        <m:dPr>
                          <m:begChr m:val="("/>
                          <m:endChr m:val=")"/>
                          <m:sepChr m:val=""/>
                          <m:grow/>
                        </m:dPr>
                        <m:e>
                          <m:r>
                            <m:t>C</m:t>
                          </m:r>
                          <m:sSup>
                            <m:e>
                              <m:r>
                                <m:t>a</m:t>
                              </m:r>
                            </m:e>
                            <m:sup>
                              <m:r>
                                <m:t>2</m:t>
                              </m:r>
                              <m:r>
                                <m:rPr>
                                  <m:sty m:val="p"/>
                                </m:rPr>
                                <m:t>+</m:t>
                              </m:r>
                            </m:sup>
                          </m:sSup>
                          <m:r>
                            <m:rPr>
                              <m:sty m:val="p"/>
                            </m:rPr>
                            <m:t>+</m:t>
                          </m:r>
                          <m:r>
                            <m:t>M</m:t>
                          </m:r>
                          <m:sSup>
                            <m:e>
                              <m:r>
                                <m:t>g</m:t>
                              </m:r>
                            </m:e>
                            <m:sup>
                              <m:r>
                                <m:t>2</m:t>
                              </m:r>
                              <m:r>
                                <m:rPr>
                                  <m:sty m:val="p"/>
                                </m:rPr>
                                <m:t>+</m:t>
                              </m:r>
                            </m:sup>
                          </m:sSup>
                        </m:e>
                      </m:d>
                      <m:r>
                        <m:rPr>
                          <m:sty m:val="p"/>
                        </m:rPr>
                        <m:t>/</m:t>
                      </m:r>
                      <m:r>
                        <m:t>2</m:t>
                      </m:r>
                    </m:e>
                  </m:rad>
                </m:den>
              </m:f>
            </m:oMath>
          </w:p>
        </w:tc>
        <w:tc>
          <w:tcPr/>
          <w:p>
            <w:pPr>
              <w:pStyle w:val="Compact"/>
              <w:jc w:val="left"/>
            </w:pPr>
            <w:r>
              <w:t xml:space="preserve">S1 &lt; 10, S2 10–18, S3 18–26, S4 &gt; 26</w:t>
            </w:r>
          </w:p>
        </w:tc>
      </w:tr>
      <w:tr>
        <w:tc>
          <w:tcPr/>
          <w:p>
            <w:pPr>
              <w:pStyle w:val="Compact"/>
              <w:jc w:val="left"/>
            </w:pPr>
            <w:r>
              <w:rPr>
                <w:bCs/>
                <w:b/>
              </w:rPr>
              <w:t xml:space="preserve">Residual sodium carbonate</w:t>
            </w:r>
          </w:p>
        </w:tc>
        <w:tc>
          <w:tcPr/>
          <w:p>
            <w:pPr>
              <w:pStyle w:val="Compact"/>
              <w:jc w:val="left"/>
            </w:pPr>
            <m:oMath>
              <m:r>
                <m:t>R</m:t>
              </m:r>
              <m:r>
                <m:t>S</m:t>
              </m:r>
              <m:r>
                <m:t>C</m:t>
              </m:r>
              <m:r>
                <m:rPr>
                  <m:sty m:val="p"/>
                </m:rPr>
                <m:t>=</m:t>
              </m:r>
              <m:d>
                <m:dPr>
                  <m:begChr m:val="("/>
                  <m:endChr m:val=")"/>
                  <m:sepChr m:val=""/>
                  <m:grow/>
                </m:dPr>
                <m:e>
                  <m:r>
                    <m:t>C</m:t>
                  </m:r>
                  <m:sSubSup>
                    <m:e>
                      <m:r>
                        <m:t>O</m:t>
                      </m:r>
                    </m:e>
                    <m:sub>
                      <m:r>
                        <m:t>3</m:t>
                      </m:r>
                    </m:sub>
                    <m:sup>
                      <m:r>
                        <m:t>2</m:t>
                      </m:r>
                      <m:r>
                        <m:rPr>
                          <m:sty m:val="p"/>
                        </m:rPr>
                        <m:t>−</m:t>
                      </m:r>
                    </m:sup>
                  </m:sSubSup>
                  <m:r>
                    <m:rPr>
                      <m:sty m:val="p"/>
                    </m:rPr>
                    <m:t>+</m:t>
                  </m:r>
                  <m:r>
                    <m:t>H</m:t>
                  </m:r>
                  <m:r>
                    <m:t>C</m:t>
                  </m:r>
                  <m:sSubSup>
                    <m:e>
                      <m:r>
                        <m:t>O</m:t>
                      </m:r>
                    </m:e>
                    <m:sub>
                      <m:r>
                        <m:t>3</m:t>
                      </m:r>
                    </m:sub>
                    <m:sup>
                      <m:r>
                        <m:rPr>
                          <m:sty m:val="p"/>
                        </m:rPr>
                        <m:t>−</m:t>
                      </m:r>
                    </m:sup>
                  </m:sSubSup>
                </m:e>
              </m:d>
              <m:r>
                <m:rPr>
                  <m:sty m:val="p"/>
                </m:rPr>
                <m:t>−</m:t>
              </m:r>
              <m:d>
                <m:dPr>
                  <m:begChr m:val="("/>
                  <m:endChr m:val=")"/>
                  <m:sepChr m:val=""/>
                  <m:grow/>
                </m:dPr>
                <m:e>
                  <m:r>
                    <m:t>C</m:t>
                  </m:r>
                  <m:sSup>
                    <m:e>
                      <m:r>
                        <m:t>a</m:t>
                      </m:r>
                    </m:e>
                    <m:sup>
                      <m:r>
                        <m:t>2</m:t>
                      </m:r>
                      <m:r>
                        <m:rPr>
                          <m:sty m:val="p"/>
                        </m:rPr>
                        <m:t>+</m:t>
                      </m:r>
                    </m:sup>
                  </m:sSup>
                  <m:r>
                    <m:rPr>
                      <m:sty m:val="p"/>
                    </m:rPr>
                    <m:t>+</m:t>
                  </m:r>
                  <m:r>
                    <m:t>M</m:t>
                  </m:r>
                  <m:sSup>
                    <m:e>
                      <m:r>
                        <m:t>g</m:t>
                      </m:r>
                    </m:e>
                    <m:sup>
                      <m:r>
                        <m:t>2</m:t>
                      </m:r>
                      <m:r>
                        <m:rPr>
                          <m:sty m:val="p"/>
                        </m:rPr>
                        <m:t>+</m:t>
                      </m:r>
                    </m:sup>
                  </m:sSup>
                </m:e>
              </m:d>
            </m:oMath>
            <w:r>
              <w:t xml:space="preserve"> </w:t>
            </w:r>
            <w:r>
              <w:t xml:space="preserve">(meq L⁻¹)</w:t>
            </w:r>
          </w:p>
        </w:tc>
        <w:tc>
          <w:tcPr/>
          <w:p>
            <w:pPr>
              <w:pStyle w:val="Compact"/>
              <w:jc w:val="left"/>
            </w:pPr>
            <w:r>
              <w:t xml:space="preserve">&lt; 1.25 safe, 1.25–2.5 marginal,</w:t>
            </w:r>
            <w:r>
              <w:t xml:space="preserve"> </w:t>
            </w:r>
            <w:r>
              <w:rPr>
                <w:bCs/>
                <w:b/>
              </w:rPr>
              <w:t xml:space="preserve">&gt; 2.5 unsuitable</w:t>
            </w:r>
            <w:r>
              <w:t xml:space="preserve"> </w:t>
            </w:r>
            <w:r>
              <w:t xml:space="preserve">(precipitates Ca and Mg, raises sodicity)</w:t>
            </w:r>
          </w:p>
        </w:tc>
      </w:tr>
      <w:tr>
        <w:tc>
          <w:tcPr/>
          <w:p>
            <w:pPr>
              <w:pStyle w:val="Compact"/>
              <w:jc w:val="left"/>
            </w:pPr>
            <w:r>
              <w:rPr>
                <w:bCs/>
                <w:b/>
              </w:rPr>
              <w:t xml:space="preserve">Boron</w:t>
            </w:r>
          </w:p>
        </w:tc>
        <w:tc>
          <w:tcPr/>
          <w:p>
            <w:pPr>
              <w:pStyle w:val="Compact"/>
              <w:jc w:val="left"/>
            </w:pPr>
            <w:r>
              <w:t xml:space="preserve">mg L⁻¹</w:t>
            </w:r>
          </w:p>
        </w:tc>
        <w:tc>
          <w:tcPr/>
          <w:p>
            <w:pPr>
              <w:pStyle w:val="Compact"/>
              <w:jc w:val="left"/>
            </w:pPr>
            <w:r>
              <w:t xml:space="preserve">&gt; 1–2 harmful for sensitive crops</w:t>
            </w:r>
          </w:p>
        </w:tc>
      </w:tr>
      <w:tr>
        <w:tc>
          <w:tcPr/>
          <w:p>
            <w:pPr>
              <w:pStyle w:val="Compact"/>
              <w:jc w:val="left"/>
            </w:pPr>
            <w:r>
              <w:t xml:space="preserve">Chloride</w:t>
            </w:r>
          </w:p>
        </w:tc>
        <w:tc>
          <w:tcPr/>
          <w:p>
            <w:pPr>
              <w:pStyle w:val="Compact"/>
              <w:jc w:val="left"/>
            </w:pPr>
            <w:r>
              <w:t xml:space="preserve">meq L⁻¹</w:t>
            </w:r>
          </w:p>
        </w:tc>
        <w:tc>
          <w:tcPr/>
          <w:p>
            <w:pPr>
              <w:pStyle w:val="Compact"/>
              <w:jc w:val="left"/>
            </w:pPr>
            <w:r>
              <w:t xml:space="preserve">Toxicity for tree crops</w:t>
            </w:r>
          </w:p>
        </w:tc>
      </w:tr>
    </w:tbl>
    <w:p>
      <w:pPr>
        <w:pStyle w:val="BodyText"/>
      </w:pPr>
      <w:r>
        <w:t xml:space="preserve">The</w:t>
      </w:r>
      <w:r>
        <w:t xml:space="preserve"> </w:t>
      </w:r>
      <w:r>
        <w:rPr>
          <w:bCs/>
          <w:b/>
        </w:rPr>
        <w:t xml:space="preserve">USSL diagram</w:t>
      </w:r>
      <w:r>
        <w:t xml:space="preserve"> </w:t>
      </w:r>
      <w:r>
        <w:t xml:space="preserve">combines EC and SAR into 16 classes (C1-S1 to C4-S4). In India, saline and alkali groundwater is used with management: gypsum for high-RSC water, tolerant crops, conjunctive use with canal water, and leaching.</w:t>
      </w:r>
    </w:p>
    <w:p>
      <w:pPr>
        <w:pStyle w:val="Heading2"/>
      </w:pPr>
      <w:r>
        <w:t xml:space="preserve">20.3 Remediation of Polluted Soils</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Approach</w:t>
            </w:r>
          </w:p>
        </w:tc>
        <w:tc>
          <w:tcPr/>
          <w:p>
            <w:pPr>
              <w:pStyle w:val="Compact"/>
              <w:jc w:val="left"/>
            </w:pPr>
            <w:r>
              <w:t xml:space="preserve">Methods</w:t>
            </w:r>
          </w:p>
        </w:tc>
      </w:tr>
      <w:tr>
        <w:tc>
          <w:tcPr/>
          <w:p>
            <w:pPr>
              <w:pStyle w:val="Compact"/>
              <w:jc w:val="left"/>
            </w:pPr>
            <w:r>
              <w:rPr>
                <w:bCs/>
                <w:b/>
              </w:rPr>
              <w:t xml:space="preserve">Physical</w:t>
            </w:r>
          </w:p>
        </w:tc>
        <w:tc>
          <w:tcPr/>
          <w:p>
            <w:pPr>
              <w:pStyle w:val="Compact"/>
              <w:jc w:val="left"/>
            </w:pPr>
            <w:r>
              <w:t xml:space="preserve">Excavation and landfill, soil washing, capping, dilution with clean soil</w:t>
            </w:r>
          </w:p>
        </w:tc>
      </w:tr>
      <w:tr>
        <w:tc>
          <w:tcPr/>
          <w:p>
            <w:pPr>
              <w:pStyle w:val="Compact"/>
              <w:jc w:val="left"/>
            </w:pPr>
            <w:r>
              <w:rPr>
                <w:bCs/>
                <w:b/>
              </w:rPr>
              <w:t xml:space="preserve">Chemical (immobilisation)</w:t>
            </w:r>
          </w:p>
        </w:tc>
        <w:tc>
          <w:tcPr/>
          <w:p>
            <w:pPr>
              <w:pStyle w:val="Compact"/>
              <w:jc w:val="left"/>
            </w:pPr>
            <w:r>
              <w:t xml:space="preserve">Liming (raises pH, precipitating metals), phosphate (forms insoluble Pb-phosphates), organic matter and biochar (adsorption), Fe/Mn oxides; chemical oxidation of organics</w:t>
            </w:r>
          </w:p>
        </w:tc>
      </w:tr>
      <w:tr>
        <w:tc>
          <w:tcPr/>
          <w:p>
            <w:pPr>
              <w:pStyle w:val="Compact"/>
              <w:jc w:val="left"/>
            </w:pPr>
            <w:r>
              <w:rPr>
                <w:bCs/>
                <w:b/>
              </w:rPr>
              <w:t xml:space="preserve">Biological: bioremediation</w:t>
            </w:r>
          </w:p>
        </w:tc>
        <w:tc>
          <w:tcPr/>
          <w:p>
            <w:pPr>
              <w:pStyle w:val="Compact"/>
              <w:jc w:val="left"/>
            </w:pPr>
            <w:r>
              <w:t xml:space="preserve">Microbes degrade organic pollutants (pesticides, hydrocarbons): bioaugmentation, biostimulation (nutrients, aeration), composting, landfarming</w:t>
            </w:r>
          </w:p>
        </w:tc>
      </w:tr>
      <w:tr>
        <w:tc>
          <w:tcPr/>
          <w:p>
            <w:pPr>
              <w:pStyle w:val="Compact"/>
              <w:jc w:val="left"/>
            </w:pPr>
            <w:r>
              <w:rPr>
                <w:bCs/>
                <w:b/>
              </w:rPr>
              <w:t xml:space="preserve">Phytoremediation</w:t>
            </w:r>
          </w:p>
        </w:tc>
        <w:tc>
          <w:tcPr/>
          <w:p>
            <w:pPr>
              <w:pStyle w:val="Compact"/>
              <w:jc w:val="left"/>
            </w:pPr>
            <w:r>
              <w:t xml:space="preserve">Plants extract, stabilise, degrade or volatilise pollutants</w:t>
            </w:r>
          </w:p>
        </w:tc>
      </w:tr>
    </w:tbl>
    <w:p>
      <w:pPr>
        <w:pStyle w:val="BodyText"/>
      </w:pPr>
      <w:r>
        <w:rPr>
          <w:bCs/>
          <w:b/>
        </w:rPr>
        <w:t xml:space="preserve">Phytoremediation types:</w:t>
      </w:r>
    </w:p>
    <w:p>
      <w:pPr>
        <w:pStyle w:val="Compact"/>
        <w:numPr>
          <w:ilvl w:val="0"/>
          <w:numId w:val="1158"/>
        </w:numPr>
      </w:pPr>
      <w:r>
        <w:rPr>
          <w:bCs/>
          <w:b/>
        </w:rPr>
        <w:t xml:space="preserve">Phytoextraction:</w:t>
      </w:r>
      <w:r>
        <w:t xml:space="preserve"> </w:t>
      </w:r>
      <w:r>
        <w:rPr>
          <w:bCs/>
          <w:b/>
        </w:rPr>
        <w:t xml:space="preserve">hyperaccumulators</w:t>
      </w:r>
      <w:r>
        <w:t xml:space="preserve"> </w:t>
      </w:r>
      <w:r>
        <w:t xml:space="preserve">take up metals into harvestable shoots.</w:t>
      </w:r>
      <w:r>
        <w:t xml:space="preserve"> </w:t>
      </w:r>
      <w:r>
        <w:rPr>
          <w:iCs/>
          <w:i/>
        </w:rPr>
        <w:t xml:space="preserve">Brassica juncea</w:t>
      </w:r>
      <w:r>
        <w:t xml:space="preserve"> </w:t>
      </w:r>
      <w:r>
        <w:t xml:space="preserve">(Indian mustard) for Pb and Cd,</w:t>
      </w:r>
      <w:r>
        <w:t xml:space="preserve"> </w:t>
      </w:r>
      <w:r>
        <w:rPr>
          <w:iCs/>
          <w:i/>
        </w:rPr>
        <w:t xml:space="preserve">Thlaspi caerulescens</w:t>
      </w:r>
      <w:r>
        <w:t xml:space="preserve"> </w:t>
      </w:r>
      <w:r>
        <w:t xml:space="preserve">(</w:t>
      </w:r>
      <w:r>
        <w:rPr>
          <w:iCs/>
          <w:i/>
        </w:rPr>
        <w:t xml:space="preserve">Noccaea</w:t>
      </w:r>
      <w:r>
        <w:t xml:space="preserve">) for Zn and Cd,</w:t>
      </w:r>
      <w:r>
        <w:t xml:space="preserve"> </w:t>
      </w:r>
      <w:r>
        <w:rPr>
          <w:iCs/>
          <w:i/>
          <w:bCs/>
          <w:b/>
        </w:rPr>
        <w:t xml:space="preserve">Pteris vittata</w:t>
      </w:r>
      <w:r>
        <w:t xml:space="preserve"> </w:t>
      </w:r>
      <w:r>
        <w:t xml:space="preserve">(brake fern) for</w:t>
      </w:r>
      <w:r>
        <w:t xml:space="preserve"> </w:t>
      </w:r>
      <w:r>
        <w:rPr>
          <w:bCs/>
          <w:b/>
        </w:rPr>
        <w:t xml:space="preserve">arsenic</w:t>
      </w:r>
      <w:r>
        <w:t xml:space="preserve">, sunflower,</w:t>
      </w:r>
      <w:r>
        <w:t xml:space="preserve"> </w:t>
      </w:r>
      <w:r>
        <w:rPr>
          <w:iCs/>
          <w:i/>
        </w:rPr>
        <w:t xml:space="preserve">Alyssum</w:t>
      </w:r>
      <w:r>
        <w:t xml:space="preserve"> </w:t>
      </w:r>
      <w:r>
        <w:t xml:space="preserve">for Ni.</w:t>
      </w:r>
    </w:p>
    <w:p>
      <w:pPr>
        <w:pStyle w:val="Compact"/>
        <w:numPr>
          <w:ilvl w:val="0"/>
          <w:numId w:val="1158"/>
        </w:numPr>
      </w:pPr>
      <w:r>
        <w:rPr>
          <w:bCs/>
          <w:b/>
        </w:rPr>
        <w:t xml:space="preserve">Phytostabilisation:</w:t>
      </w:r>
      <w:r>
        <w:t xml:space="preserve"> </w:t>
      </w:r>
      <w:r>
        <w:t xml:space="preserve">roots immobilise metals (vetiver, grasses on mine tailings).</w:t>
      </w:r>
    </w:p>
    <w:p>
      <w:pPr>
        <w:pStyle w:val="Compact"/>
        <w:numPr>
          <w:ilvl w:val="0"/>
          <w:numId w:val="1158"/>
        </w:numPr>
      </w:pPr>
      <w:r>
        <w:rPr>
          <w:bCs/>
          <w:b/>
        </w:rPr>
        <w:t xml:space="preserve">Rhizofiltration:</w:t>
      </w:r>
      <w:r>
        <w:t xml:space="preserve"> </w:t>
      </w:r>
      <w:r>
        <w:t xml:space="preserve">roots absorb from water (sunflower for uranium, water hyacinth).</w:t>
      </w:r>
    </w:p>
    <w:p>
      <w:pPr>
        <w:pStyle w:val="Compact"/>
        <w:numPr>
          <w:ilvl w:val="0"/>
          <w:numId w:val="1158"/>
        </w:numPr>
      </w:pPr>
      <w:r>
        <w:rPr>
          <w:bCs/>
          <w:b/>
        </w:rPr>
        <w:t xml:space="preserve">Phytodegradation / rhizodegradation:</w:t>
      </w:r>
      <w:r>
        <w:t xml:space="preserve"> </w:t>
      </w:r>
      <w:r>
        <w:t xml:space="preserve">degradation of organics with rhizosphere microbes.</w:t>
      </w:r>
    </w:p>
    <w:p>
      <w:pPr>
        <w:pStyle w:val="Compact"/>
        <w:numPr>
          <w:ilvl w:val="0"/>
          <w:numId w:val="1158"/>
        </w:numPr>
      </w:pPr>
      <w:r>
        <w:rPr>
          <w:bCs/>
          <w:b/>
        </w:rPr>
        <w:t xml:space="preserve">Phytovolatilisation:</w:t>
      </w:r>
      <w:r>
        <w:t xml:space="preserve"> </w:t>
      </w:r>
      <w:r>
        <w:t xml:space="preserve">e.g. Se and Hg released as volatile forms.</w:t>
      </w:r>
    </w:p>
    <w:p>
      <w:pPr>
        <w:pStyle w:val="FirstParagraph"/>
      </w:pPr>
      <w:r>
        <w:t xml:space="preserve">Phytoremediation is low-cost and solar-driven, but slow and limited to the root zone.</w:t>
      </w:r>
    </w:p>
    <w:p>
      <w:pPr>
        <w:pStyle w:val="BodyText"/>
      </w:pPr>
      <w:r>
        <w:rPr>
          <w:bCs/>
          <w:b/>
        </w:rPr>
        <w:t xml:space="preserve">Preventive measures:</w:t>
      </w:r>
      <w:r>
        <w:t xml:space="preserve"> </w:t>
      </w:r>
      <w:r>
        <w:t xml:space="preserve">judicious and balanced fertiliser use; IPM and ban of persistent pesticides; treatment of effluents before discharge (ETPs); safe sewage reuse (treated wastewater guidelines); monitoring of soil and groundwater; stopping residue burning (Happy Seeder, bio-decomposers such as the IARI</w:t>
      </w:r>
      <w:r>
        <w:t xml:space="preserve"> </w:t>
      </w:r>
      <w:r>
        <w:rPr>
          <w:bCs/>
          <w:b/>
        </w:rPr>
        <w:t xml:space="preserve">PUSA decomposer</w:t>
      </w:r>
      <w:r>
        <w:t xml:space="preserve">).</w:t>
      </w:r>
    </w:p>
    <w:p>
      <w:pPr>
        <w:pStyle w:val="Heading2"/>
      </w:pPr>
      <w:r>
        <w:t xml:space="preserve">20.4 Natural Farming</w:t>
      </w:r>
    </w:p>
    <w:p>
      <w:pPr>
        <w:pStyle w:val="FirstParagraph"/>
      </w:pPr>
      <w:r>
        <w:rPr>
          <w:bCs/>
          <w:b/>
        </w:rPr>
        <w:t xml:space="preserve">Natural farming</w:t>
      </w:r>
      <w:r>
        <w:t xml:space="preserve"> </w:t>
      </w:r>
      <w:r>
        <w:t xml:space="preserve">is a</w:t>
      </w:r>
      <w:r>
        <w:t xml:space="preserve"> </w:t>
      </w:r>
      <w:r>
        <w:rPr>
          <w:bCs/>
          <w:b/>
        </w:rPr>
        <w:t xml:space="preserve">chemical-free, low-external-input</w:t>
      </w:r>
      <w:r>
        <w:t xml:space="preserve"> </w:t>
      </w:r>
      <w:r>
        <w:t xml:space="preserve">system based on on-farm resources (cow dung and urine, local plants), agro-ecological principles, maximum biodiversity and enhancing soil biology. It aims to cut costs, raise farmer incomes and restore soil health.</w:t>
      </w:r>
    </w:p>
    <w:p>
      <w:pPr>
        <w:pStyle w:val="Heading3"/>
      </w:pPr>
      <w:r>
        <w:t xml:space="preserve">20.4.1 Zero Budget Natural Farming (ZBNF) / Subhash Palekar Natural Farming</w:t>
      </w:r>
    </w:p>
    <w:p>
      <w:pPr>
        <w:pStyle w:val="FirstParagraph"/>
      </w:pPr>
      <w:r>
        <w:t xml:space="preserve">“</w:t>
      </w:r>
      <w:r>
        <w:t xml:space="preserve">Zero budget</w:t>
      </w:r>
      <w:r>
        <w:t xml:space="preserve">”</w:t>
      </w:r>
      <w:r>
        <w:t xml:space="preserve"> </w:t>
      </w:r>
      <w:r>
        <w:t xml:space="preserve">means no purchased inputs; costs of the main crop are offset by income from intercrops. The four pillars are: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Pillar</w:t>
            </w:r>
          </w:p>
        </w:tc>
        <w:tc>
          <w:tcPr/>
          <w:p>
            <w:pPr>
              <w:pStyle w:val="Compact"/>
              <w:jc w:val="left"/>
            </w:pPr>
            <w:r>
              <w:t xml:space="preserve">What it is</w:t>
            </w:r>
          </w:p>
        </w:tc>
        <w:tc>
          <w:tcPr/>
          <w:p>
            <w:pPr>
              <w:pStyle w:val="Compact"/>
              <w:jc w:val="left"/>
            </w:pPr>
            <w:r>
              <w:t xml:space="preserve">Purpose</w:t>
            </w:r>
          </w:p>
        </w:tc>
      </w:tr>
      <w:tr>
        <w:tc>
          <w:tcPr/>
          <w:p>
            <w:pPr>
              <w:pStyle w:val="Compact"/>
              <w:jc w:val="left"/>
            </w:pPr>
            <w:r>
              <w:rPr>
                <w:bCs/>
                <w:b/>
              </w:rPr>
              <w:t xml:space="preserve">Jeevamrutha (Jivamrit)</w:t>
            </w:r>
          </w:p>
        </w:tc>
        <w:tc>
          <w:tcPr/>
          <w:p>
            <w:pPr>
              <w:pStyle w:val="Compact"/>
              <w:jc w:val="left"/>
            </w:pPr>
            <w:r>
              <w:t xml:space="preserve">Fermented mix of</w:t>
            </w:r>
            <w:r>
              <w:t xml:space="preserve"> </w:t>
            </w:r>
            <w:r>
              <w:rPr>
                <w:bCs/>
                <w:b/>
              </w:rPr>
              <w:t xml:space="preserve">cow dung + cow urine + jaggery + pulse flour + a handful of soil</w:t>
            </w:r>
            <w:r>
              <w:t xml:space="preserve"> </w:t>
            </w:r>
            <w:r>
              <w:t xml:space="preserve">in water, fermented for 48 h; applied with irrigation or sprayed</w:t>
            </w:r>
          </w:p>
        </w:tc>
        <w:tc>
          <w:tcPr/>
          <w:p>
            <w:pPr>
              <w:pStyle w:val="Compact"/>
              <w:jc w:val="left"/>
            </w:pPr>
            <w:r>
              <w:t xml:space="preserve">Microbial inoculant; boosts soil biota and earthworms</w:t>
            </w:r>
          </w:p>
        </w:tc>
      </w:tr>
      <w:tr>
        <w:tc>
          <w:tcPr/>
          <w:p>
            <w:pPr>
              <w:pStyle w:val="Compact"/>
              <w:jc w:val="left"/>
            </w:pPr>
            <w:r>
              <w:rPr>
                <w:bCs/>
                <w:b/>
              </w:rPr>
              <w:t xml:space="preserve">Beejamrutha (Bijamrit)</w:t>
            </w:r>
          </w:p>
        </w:tc>
        <w:tc>
          <w:tcPr/>
          <w:p>
            <w:pPr>
              <w:pStyle w:val="Compact"/>
              <w:jc w:val="left"/>
            </w:pPr>
            <w:r>
              <w:t xml:space="preserve">Seed treatment with cow dung, cow urine, lime and soil</w:t>
            </w:r>
          </w:p>
        </w:tc>
        <w:tc>
          <w:tcPr/>
          <w:p>
            <w:pPr>
              <w:pStyle w:val="Compact"/>
              <w:jc w:val="left"/>
            </w:pPr>
            <w:r>
              <w:t xml:space="preserve">Protects seeds and seedlings from soil- and seed-borne disease</w:t>
            </w:r>
          </w:p>
        </w:tc>
      </w:tr>
      <w:tr>
        <w:tc>
          <w:tcPr/>
          <w:p>
            <w:pPr>
              <w:pStyle w:val="Compact"/>
              <w:jc w:val="left"/>
            </w:pPr>
            <w:r>
              <w:rPr>
                <w:bCs/>
                <w:b/>
              </w:rPr>
              <w:t xml:space="preserve">Acchadana (mulching)</w:t>
            </w:r>
          </w:p>
        </w:tc>
        <w:tc>
          <w:tcPr/>
          <w:p>
            <w:pPr>
              <w:pStyle w:val="Compact"/>
              <w:jc w:val="left"/>
            </w:pPr>
            <w:r>
              <w:t xml:space="preserve">Soil mulch, straw (dead) mulch and live mulch (intercrops)</w:t>
            </w:r>
          </w:p>
        </w:tc>
        <w:tc>
          <w:tcPr/>
          <w:p>
            <w:pPr>
              <w:pStyle w:val="Compact"/>
              <w:jc w:val="left"/>
            </w:pPr>
            <w:r>
              <w:t xml:space="preserve">Conserves moisture, adds humus, suppresses weeds</w:t>
            </w:r>
          </w:p>
        </w:tc>
      </w:tr>
      <w:tr>
        <w:tc>
          <w:tcPr/>
          <w:p>
            <w:pPr>
              <w:pStyle w:val="Compact"/>
              <w:jc w:val="left"/>
            </w:pPr>
            <w:r>
              <w:rPr>
                <w:bCs/>
                <w:b/>
              </w:rPr>
              <w:t xml:space="preserve">Whapasa</w:t>
            </w:r>
          </w:p>
        </w:tc>
        <w:tc>
          <w:tcPr/>
          <w:p>
            <w:pPr>
              <w:pStyle w:val="Compact"/>
              <w:jc w:val="left"/>
            </w:pPr>
            <w:r>
              <w:t xml:space="preserve">Soil condition with roughly 50% air and 50% water vapour in pores (not saturation)</w:t>
            </w:r>
          </w:p>
        </w:tc>
        <w:tc>
          <w:tcPr/>
          <w:p>
            <w:pPr>
              <w:pStyle w:val="Compact"/>
              <w:jc w:val="left"/>
            </w:pPr>
            <w:r>
              <w:t xml:space="preserve">Moisture and aeration via reduced irrigation (alternate furrows)</w:t>
            </w:r>
          </w:p>
        </w:tc>
      </w:tr>
    </w:tbl>
    <w:p>
      <w:pPr>
        <w:pStyle w:val="BodyText"/>
      </w:pPr>
      <w:r>
        <w:rPr>
          <w:bCs/>
          <w:b/>
        </w:rPr>
        <w:t xml:space="preserve">Plant protection preparations:</w:t>
      </w:r>
      <w:r>
        <w:t xml:space="preserve"> </w:t>
      </w:r>
      <w:r>
        <w:rPr>
          <w:bCs/>
          <w:b/>
        </w:rPr>
        <w:t xml:space="preserve">Neemastra</w:t>
      </w:r>
      <w:r>
        <w:t xml:space="preserve"> </w:t>
      </w:r>
      <w:r>
        <w:t xml:space="preserve">(neem leaves + cow urine + dung, for sucking pests),</w:t>
      </w:r>
      <w:r>
        <w:t xml:space="preserve"> </w:t>
      </w:r>
      <w:r>
        <w:rPr>
          <w:bCs/>
          <w:b/>
        </w:rPr>
        <w:t xml:space="preserve">Brahmastra</w:t>
      </w:r>
      <w:r>
        <w:t xml:space="preserve"> </w:t>
      </w:r>
      <w:r>
        <w:t xml:space="preserve">(several leaves of bitter plants, for larger pests),</w:t>
      </w:r>
      <w:r>
        <w:t xml:space="preserve"> </w:t>
      </w:r>
      <w:r>
        <w:rPr>
          <w:bCs/>
          <w:b/>
        </w:rPr>
        <w:t xml:space="preserve">Agniastra</w:t>
      </w:r>
      <w:r>
        <w:t xml:space="preserve"> </w:t>
      </w:r>
      <w:r>
        <w:t xml:space="preserve">(chilli, garlic, tobacco, neem with urine, for borers), and sour buttermilk (fungal diseases). Practices also include intercropping, contour bunds and native cow-based inputs.</w:t>
      </w:r>
    </w:p>
    <w:p>
      <w:pPr>
        <w:pStyle w:val="BodyText"/>
      </w:pPr>
      <w:r>
        <w:rPr>
          <w:bCs/>
          <w:b/>
        </w:rPr>
        <w:t xml:space="preserve">Policy:</w:t>
      </w:r>
    </w:p>
    <w:p>
      <w:pPr>
        <w:pStyle w:val="Compact"/>
        <w:numPr>
          <w:ilvl w:val="0"/>
          <w:numId w:val="1159"/>
        </w:numPr>
      </w:pPr>
      <w:r>
        <w:t xml:space="preserve">Andhra Pradesh</w:t>
      </w:r>
      <w:r>
        <w:t xml:space="preserve"> </w:t>
      </w:r>
      <w:r>
        <w:rPr>
          <w:bCs/>
          <w:b/>
        </w:rPr>
        <w:t xml:space="preserve">Community-managed Natural Farming (APCNF)</w:t>
      </w:r>
      <w:r>
        <w:t xml:space="preserve">, started in 2016, is the largest programme.</w:t>
      </w:r>
    </w:p>
    <w:p>
      <w:pPr>
        <w:pStyle w:val="Compact"/>
        <w:numPr>
          <w:ilvl w:val="0"/>
          <w:numId w:val="1159"/>
        </w:numPr>
      </w:pPr>
      <w:r>
        <w:rPr>
          <w:bCs/>
          <w:b/>
        </w:rPr>
        <w:t xml:space="preserve">Bharatiya Prakritik Krishi Paddhati (BPKP)</w:t>
      </w:r>
      <w:r>
        <w:t xml:space="preserve">, from 2020–21, was a sub-scheme of PKVY.</w:t>
      </w:r>
    </w:p>
    <w:p>
      <w:pPr>
        <w:pStyle w:val="Compact"/>
        <w:numPr>
          <w:ilvl w:val="0"/>
          <w:numId w:val="1159"/>
        </w:numPr>
      </w:pPr>
      <w:r>
        <w:t xml:space="preserve">The</w:t>
      </w:r>
      <w:r>
        <w:t xml:space="preserve"> </w:t>
      </w:r>
      <w:r>
        <w:rPr>
          <w:bCs/>
          <w:b/>
        </w:rPr>
        <w:t xml:space="preserve">National Mission on Natural Farming (NMNF)</w:t>
      </w:r>
      <w:r>
        <w:t xml:space="preserve"> </w:t>
      </w:r>
      <w:r>
        <w:t xml:space="preserve">was approved in</w:t>
      </w:r>
      <w:r>
        <w:t xml:space="preserve"> </w:t>
      </w:r>
      <w:r>
        <w:rPr>
          <w:bCs/>
          <w:b/>
        </w:rPr>
        <w:t xml:space="preserve">November 2024</w:t>
      </w:r>
      <w:r>
        <w:t xml:space="preserve"> </w:t>
      </w:r>
      <w:r>
        <w:t xml:space="preserve">to promote natural farming in mission mode through clusters, bio-input resource centres (BRCs) and trained Krishi Sakhis.</w:t>
      </w:r>
    </w:p>
    <w:p>
      <w:pPr>
        <w:pStyle w:val="FirstParagraph"/>
      </w:pPr>
      <w:r>
        <w:rPr>
          <w:bCs/>
          <w:b/>
        </w:rPr>
        <w:t xml:space="preserve">Debates:</w:t>
      </w:r>
      <w:r>
        <w:t xml:space="preserve"> </w:t>
      </w:r>
      <w:r>
        <w:t xml:space="preserve">benefits include lower cost, better soil biology, reduced chemical load and resilience. Concerns include possible yield penalties in intensive systems, especially during transition, nutrient adequacy (particularly N and P) at high yield levels, labour needs and the need for long-term scientific evaluation. ICAR has conducted multi-location trials.</w:t>
      </w:r>
    </w:p>
    <w:p>
      <w:pPr>
        <w:pStyle w:val="Heading2"/>
      </w:pPr>
      <w:r>
        <w:t xml:space="preserve">20.5 Organic Farming</w:t>
      </w:r>
    </w:p>
    <w:p>
      <w:pPr>
        <w:pStyle w:val="FirstParagraph"/>
      </w:pPr>
      <w:r>
        <w:rPr>
          <w:bCs/>
          <w:b/>
        </w:rPr>
        <w:t xml:space="preserve">Organic farming</w:t>
      </w:r>
      <w:r>
        <w:t xml:space="preserve"> </w:t>
      </w:r>
      <w:r>
        <w:t xml:space="preserve">is a production system that</w:t>
      </w:r>
      <w:r>
        <w:t xml:space="preserve"> </w:t>
      </w:r>
      <w:r>
        <w:rPr>
          <w:bCs/>
          <w:b/>
        </w:rPr>
        <w:t xml:space="preserve">avoids or largely excludes synthetic fertilisers, pesticides, growth regulators, GMOs and livestock feed additives</w:t>
      </w:r>
      <w:r>
        <w:t xml:space="preserve">. It relies on crop rotations, crop residues, animal manures, legumes, green manures, off-farm organic wastes, bio-fertilisers, mechanical cultivation and biological pest control to maintain soil productivity and control pests (USDA definition; Codex Alimentarius).</w:t>
      </w:r>
    </w:p>
    <w:p>
      <w:pPr>
        <w:pStyle w:val="BodyText"/>
      </w:pPr>
      <w:r>
        <w:rPr>
          <w:bCs/>
          <w:b/>
        </w:rPr>
        <w:t xml:space="preserve">IFOAM’s four principles:</w:t>
      </w:r>
      <w:r>
        <w:t xml:space="preserve"> </w:t>
      </w:r>
      <w:r>
        <w:rPr>
          <w:bCs/>
          <w:b/>
        </w:rPr>
        <w:t xml:space="preserve">Health</w:t>
      </w:r>
      <w:r>
        <w:t xml:space="preserve"> </w:t>
      </w:r>
      <w:r>
        <w:t xml:space="preserve">(of soil, plants, animals, humans and the planet),</w:t>
      </w:r>
      <w:r>
        <w:t xml:space="preserve"> </w:t>
      </w:r>
      <w:r>
        <w:rPr>
          <w:bCs/>
          <w:b/>
        </w:rPr>
        <w:t xml:space="preserve">Ecology</w:t>
      </w:r>
      <w:r>
        <w:t xml:space="preserve"> </w:t>
      </w:r>
      <w:r>
        <w:t xml:space="preserve">(based on living ecological systems and cycles),</w:t>
      </w:r>
      <w:r>
        <w:t xml:space="preserve"> </w:t>
      </w:r>
      <w:r>
        <w:rPr>
          <w:bCs/>
          <w:b/>
        </w:rPr>
        <w:t xml:space="preserve">Fairness</w:t>
      </w:r>
      <w:r>
        <w:t xml:space="preserve"> </w:t>
      </w:r>
      <w:r>
        <w:t xml:space="preserve">(equity and justice for all) and</w:t>
      </w:r>
      <w:r>
        <w:t xml:space="preserve"> </w:t>
      </w:r>
      <w:r>
        <w:rPr>
          <w:bCs/>
          <w:b/>
        </w:rPr>
        <w:t xml:space="preserve">Care</w:t>
      </w:r>
      <w:r>
        <w:t xml:space="preserve"> </w:t>
      </w:r>
      <w:r>
        <w:t xml:space="preserve">(precaution and responsibility for future generations).</w:t>
      </w:r>
    </w:p>
    <w:p>
      <w:pPr>
        <w:pStyle w:val="Heading3"/>
      </w:pPr>
      <w:r>
        <w:t xml:space="preserve">20.5.1 Components</w:t>
      </w:r>
    </w:p>
    <w:p>
      <w:pPr>
        <w:pStyle w:val="Compact"/>
        <w:numPr>
          <w:ilvl w:val="0"/>
          <w:numId w:val="1160"/>
        </w:numPr>
      </w:pPr>
      <w:r>
        <w:rPr>
          <w:bCs/>
          <w:b/>
        </w:rPr>
        <w:t xml:space="preserve">Nutrient management:</w:t>
      </w:r>
      <w:r>
        <w:t xml:space="preserve"> </w:t>
      </w:r>
      <w:r>
        <w:t xml:space="preserve">FYM, compost, vermicompost, green manures, legumes, bio-fertilisers, oilcakes, rock phosphate, crop residues; nutrient recycling.</w:t>
      </w:r>
    </w:p>
    <w:p>
      <w:pPr>
        <w:pStyle w:val="Compact"/>
        <w:numPr>
          <w:ilvl w:val="0"/>
          <w:numId w:val="1160"/>
        </w:numPr>
      </w:pPr>
      <w:r>
        <w:rPr>
          <w:bCs/>
          <w:b/>
        </w:rPr>
        <w:t xml:space="preserve">Pest and disease management:</w:t>
      </w:r>
    </w:p>
    <w:p>
      <w:pPr>
        <w:pStyle w:val="Compact"/>
        <w:numPr>
          <w:ilvl w:val="1"/>
          <w:numId w:val="1161"/>
        </w:numPr>
      </w:pPr>
      <w:r>
        <w:t xml:space="preserve">Cultural methods: rotation, resistant varieties, trap crops (marigold for tomato fruit borer and nematodes), border crops.</w:t>
      </w:r>
    </w:p>
    <w:p>
      <w:pPr>
        <w:pStyle w:val="Compact"/>
        <w:numPr>
          <w:ilvl w:val="1"/>
          <w:numId w:val="1161"/>
        </w:numPr>
      </w:pPr>
      <w:r>
        <w:t xml:space="preserve">Mechanical methods: pheromone and light traps, sticky traps.</w:t>
      </w:r>
    </w:p>
    <w:p>
      <w:pPr>
        <w:pStyle w:val="Compact"/>
        <w:numPr>
          <w:ilvl w:val="1"/>
          <w:numId w:val="1161"/>
        </w:numPr>
      </w:pPr>
      <w:r>
        <w:rPr>
          <w:bCs/>
          <w:b/>
        </w:rPr>
        <w:t xml:space="preserve">Biological control:</w:t>
      </w:r>
      <w:r>
        <w:t xml:space="preserve"> </w:t>
      </w:r>
      <w:r>
        <w:rPr>
          <w:iCs/>
          <w:i/>
        </w:rPr>
        <w:t xml:space="preserve">Trichogramma</w:t>
      </w:r>
      <w:r>
        <w:t xml:space="preserve"> </w:t>
      </w:r>
      <w:r>
        <w:t xml:space="preserve">egg parasitoids,</w:t>
      </w:r>
      <w:r>
        <w:t xml:space="preserve"> </w:t>
      </w:r>
      <w:r>
        <w:rPr>
          <w:iCs/>
          <w:i/>
        </w:rPr>
        <w:t xml:space="preserve">Chrysoperla</w:t>
      </w:r>
      <w:r>
        <w:t xml:space="preserve">, NPV (nuclear polyhedrosis virus),</w:t>
      </w:r>
      <w:r>
        <w:t xml:space="preserve"> </w:t>
      </w:r>
      <w:r>
        <w:rPr>
          <w:iCs/>
          <w:i/>
        </w:rPr>
        <w:t xml:space="preserve">Bacillus thuringiensis</w:t>
      </w:r>
      <w:r>
        <w:t xml:space="preserve">,</w:t>
      </w:r>
      <w:r>
        <w:t xml:space="preserve"> </w:t>
      </w:r>
      <w:r>
        <w:rPr>
          <w:iCs/>
          <w:i/>
        </w:rPr>
        <w:t xml:space="preserve">Beauveria bassiana</w:t>
      </w:r>
      <w:r>
        <w:t xml:space="preserve">,</w:t>
      </w:r>
      <w:r>
        <w:t xml:space="preserve"> </w:t>
      </w:r>
      <w:r>
        <w:rPr>
          <w:iCs/>
          <w:i/>
        </w:rPr>
        <w:t xml:space="preserve">Metarhizium</w:t>
      </w:r>
      <w:r>
        <w:t xml:space="preserve">,</w:t>
      </w:r>
      <w:r>
        <w:t xml:space="preserve"> </w:t>
      </w:r>
      <w:r>
        <w:rPr>
          <w:iCs/>
          <w:i/>
        </w:rPr>
        <w:t xml:space="preserve">Verticillium lecanii</w:t>
      </w:r>
      <w:r>
        <w:t xml:space="preserve">; fungicides</w:t>
      </w:r>
      <w:r>
        <w:t xml:space="preserve"> </w:t>
      </w:r>
      <w:r>
        <w:rPr>
          <w:iCs/>
          <w:i/>
        </w:rPr>
        <w:t xml:space="preserve">Trichoderma viride/harzianum</w:t>
      </w:r>
      <w:r>
        <w:t xml:space="preserve"> </w:t>
      </w:r>
      <w:r>
        <w:t xml:space="preserve">and</w:t>
      </w:r>
      <w:r>
        <w:t xml:space="preserve"> </w:t>
      </w:r>
      <w:r>
        <w:rPr>
          <w:iCs/>
          <w:i/>
        </w:rPr>
        <w:t xml:space="preserve">Pseudomonas fluorescens</w:t>
      </w:r>
      <w:r>
        <w:t xml:space="preserve">.</w:t>
      </w:r>
    </w:p>
    <w:p>
      <w:pPr>
        <w:pStyle w:val="Compact"/>
        <w:numPr>
          <w:ilvl w:val="1"/>
          <w:numId w:val="1161"/>
        </w:numPr>
      </w:pPr>
      <w:r>
        <w:rPr>
          <w:bCs/>
          <w:b/>
        </w:rPr>
        <w:t xml:space="preserve">Botanicals:</w:t>
      </w:r>
      <w:r>
        <w:t xml:space="preserve"> </w:t>
      </w:r>
      <w:r>
        <w:t xml:space="preserve">neem (azadirachtin), pongamia.</w:t>
      </w:r>
    </w:p>
    <w:p>
      <w:pPr>
        <w:pStyle w:val="Compact"/>
        <w:numPr>
          <w:ilvl w:val="0"/>
          <w:numId w:val="1160"/>
        </w:numPr>
      </w:pPr>
      <w:r>
        <w:rPr>
          <w:bCs/>
          <w:b/>
        </w:rPr>
        <w:t xml:space="preserve">Weed management:</w:t>
      </w:r>
      <w:r>
        <w:t xml:space="preserve"> </w:t>
      </w:r>
      <w:r>
        <w:t xml:space="preserve">mulching, stale seedbed, intercultivation, cover crops.</w:t>
      </w:r>
    </w:p>
    <w:p>
      <w:pPr>
        <w:pStyle w:val="Compact"/>
        <w:numPr>
          <w:ilvl w:val="0"/>
          <w:numId w:val="1160"/>
        </w:numPr>
      </w:pPr>
      <w:r>
        <w:rPr>
          <w:bCs/>
          <w:b/>
        </w:rPr>
        <w:t xml:space="preserve">Crop diversification and rotation</w:t>
      </w:r>
      <w:r>
        <w:t xml:space="preserve"> </w:t>
      </w:r>
      <w:r>
        <w:t xml:space="preserve">with legumes; integrated crop–livestock systems.</w:t>
      </w:r>
    </w:p>
    <w:p>
      <w:pPr>
        <w:pStyle w:val="Compact"/>
        <w:numPr>
          <w:ilvl w:val="0"/>
          <w:numId w:val="1160"/>
        </w:numPr>
      </w:pPr>
      <w:r>
        <w:rPr>
          <w:bCs/>
          <w:b/>
        </w:rPr>
        <w:t xml:space="preserve">Conversion period:</w:t>
      </w:r>
      <w:r>
        <w:t xml:space="preserve"> </w:t>
      </w:r>
      <w:r>
        <w:t xml:space="preserve">land must be managed organically for about</w:t>
      </w:r>
      <w:r>
        <w:t xml:space="preserve"> </w:t>
      </w:r>
      <w:r>
        <w:rPr>
          <w:bCs/>
          <w:b/>
        </w:rPr>
        <w:t xml:space="preserve">2 years (annual crops) or 3 years (perennials)</w:t>
      </w:r>
      <w:r>
        <w:t xml:space="preserve"> </w:t>
      </w:r>
      <w:r>
        <w:t xml:space="preserve">before produce can be certified organic.</w:t>
      </w:r>
    </w:p>
    <w:p>
      <w:pPr>
        <w:pStyle w:val="Heading3"/>
      </w:pPr>
      <w:r>
        <w:t xml:space="preserve">20.5.2 Certification and policy in India</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Instrument</w:t>
            </w:r>
          </w:p>
        </w:tc>
        <w:tc>
          <w:tcPr/>
          <w:p>
            <w:pPr>
              <w:pStyle w:val="Compact"/>
              <w:jc w:val="left"/>
            </w:pPr>
            <w:r>
              <w:t xml:space="preserve">Features</w:t>
            </w:r>
          </w:p>
        </w:tc>
      </w:tr>
      <w:tr>
        <w:tc>
          <w:tcPr/>
          <w:p>
            <w:pPr>
              <w:pStyle w:val="Compact"/>
              <w:jc w:val="left"/>
            </w:pPr>
            <w:r>
              <w:rPr>
                <w:bCs/>
                <w:b/>
              </w:rPr>
              <w:t xml:space="preserve">NPOP</w:t>
            </w:r>
            <w:r>
              <w:t xml:space="preserve"> </w:t>
            </w:r>
            <w:r>
              <w:t xml:space="preserve">(National Programme for Organic Production), 2001, Ministry of Commerce /</w:t>
            </w:r>
            <w:r>
              <w:t xml:space="preserve"> </w:t>
            </w:r>
            <w:r>
              <w:rPr>
                <w:bCs/>
                <w:b/>
              </w:rPr>
              <w:t xml:space="preserve">APEDA</w:t>
            </w:r>
          </w:p>
        </w:tc>
        <w:tc>
          <w:tcPr/>
          <w:p>
            <w:pPr>
              <w:pStyle w:val="Compact"/>
              <w:jc w:val="left"/>
            </w:pPr>
            <w:r>
              <w:t xml:space="preserve">Third-party certification by accredited agencies; standards recognised by the EU and Switzerland;</w:t>
            </w:r>
            <w:r>
              <w:t xml:space="preserve"> </w:t>
            </w:r>
            <w:r>
              <w:rPr>
                <w:bCs/>
                <w:b/>
              </w:rPr>
              <w:t xml:space="preserve">“</w:t>
            </w:r>
            <w:r>
              <w:rPr>
                <w:bCs/>
                <w:b/>
              </w:rPr>
              <w:t xml:space="preserve">India Organic</w:t>
            </w:r>
            <w:r>
              <w:rPr>
                <w:bCs/>
                <w:b/>
              </w:rPr>
              <w:t xml:space="preserve">”</w:t>
            </w:r>
            <w:r>
              <w:t xml:space="preserve"> </w:t>
            </w:r>
            <w:r>
              <w:t xml:space="preserve">logo; mainly for exports</w:t>
            </w:r>
          </w:p>
        </w:tc>
      </w:tr>
      <w:tr>
        <w:tc>
          <w:tcPr/>
          <w:p>
            <w:pPr>
              <w:pStyle w:val="Compact"/>
              <w:jc w:val="left"/>
            </w:pPr>
            <w:r>
              <w:rPr>
                <w:bCs/>
                <w:b/>
              </w:rPr>
              <w:t xml:space="preserve">PGS-India</w:t>
            </w:r>
            <w:r>
              <w:t xml:space="preserve"> </w:t>
            </w:r>
            <w:r>
              <w:t xml:space="preserve">(Participatory Guarantee System), Ministry of Agriculture</w:t>
            </w:r>
          </w:p>
        </w:tc>
        <w:tc>
          <w:tcPr/>
          <w:p>
            <w:pPr>
              <w:pStyle w:val="Compact"/>
              <w:jc w:val="left"/>
            </w:pPr>
            <w:r>
              <w:t xml:space="preserve">Group peer certification by local farmer groups; low cost; for domestic markets</w:t>
            </w:r>
          </w:p>
        </w:tc>
      </w:tr>
      <w:tr>
        <w:tc>
          <w:tcPr/>
          <w:p>
            <w:pPr>
              <w:pStyle w:val="Compact"/>
              <w:jc w:val="left"/>
            </w:pPr>
            <w:r>
              <w:rPr>
                <w:bCs/>
                <w:b/>
              </w:rPr>
              <w:t xml:space="preserve">PKVY</w:t>
            </w:r>
            <w:r>
              <w:t xml:space="preserve"> </w:t>
            </w:r>
            <w:r>
              <w:t xml:space="preserve">(Paramparagat Krishi Vikas Yojana), 2015</w:t>
            </w:r>
          </w:p>
        </w:tc>
        <w:tc>
          <w:tcPr/>
          <w:p>
            <w:pPr>
              <w:pStyle w:val="Compact"/>
              <w:jc w:val="left"/>
            </w:pPr>
            <w:r>
              <w:t xml:space="preserve">Cluster-based organic farming with PGS certification; financial support per hectare over 3 years</w:t>
            </w:r>
          </w:p>
        </w:tc>
      </w:tr>
      <w:tr>
        <w:tc>
          <w:tcPr/>
          <w:p>
            <w:pPr>
              <w:pStyle w:val="Compact"/>
              <w:jc w:val="left"/>
            </w:pPr>
            <w:r>
              <w:rPr>
                <w:bCs/>
                <w:b/>
              </w:rPr>
              <w:t xml:space="preserve">MOVCDNER</w:t>
            </w:r>
            <w:r>
              <w:t xml:space="preserve"> </w:t>
            </w:r>
            <w:r>
              <w:t xml:space="preserve">(Mission Organic Value Chain Development for North Eastern Region), 2015</w:t>
            </w:r>
          </w:p>
        </w:tc>
        <w:tc>
          <w:tcPr/>
          <w:p>
            <w:pPr>
              <w:pStyle w:val="Compact"/>
              <w:jc w:val="left"/>
            </w:pPr>
            <w:r>
              <w:t xml:space="preserve">Third-party certified value chains in NE states</w:t>
            </w:r>
          </w:p>
        </w:tc>
      </w:tr>
      <w:tr>
        <w:tc>
          <w:tcPr/>
          <w:p>
            <w:pPr>
              <w:pStyle w:val="Compact"/>
              <w:jc w:val="left"/>
            </w:pPr>
            <w:r>
              <w:rPr>
                <w:bCs/>
                <w:b/>
              </w:rPr>
              <w:t xml:space="preserve">FSSAI</w:t>
            </w:r>
            <w:r>
              <w:t xml:space="preserve"> </w:t>
            </w:r>
            <w:r>
              <w:t xml:space="preserve">Food Safety and Standards (Organic Foods) Regulations, 2017</w:t>
            </w:r>
          </w:p>
        </w:tc>
        <w:tc>
          <w:tcPr/>
          <w:p>
            <w:pPr>
              <w:pStyle w:val="Compact"/>
              <w:jc w:val="left"/>
            </w:pPr>
            <w:r>
              <w:rPr>
                <w:bCs/>
                <w:b/>
              </w:rPr>
              <w:t xml:space="preserve">“</w:t>
            </w:r>
            <w:r>
              <w:rPr>
                <w:bCs/>
                <w:b/>
              </w:rPr>
              <w:t xml:space="preserve">Jaivik Bharat</w:t>
            </w:r>
            <w:r>
              <w:rPr>
                <w:bCs/>
                <w:b/>
              </w:rPr>
              <w:t xml:space="preserve">”</w:t>
            </w:r>
            <w:r>
              <w:t xml:space="preserve"> </w:t>
            </w:r>
            <w:r>
              <w:t xml:space="preserve">logo for domestic organic food</w:t>
            </w:r>
          </w:p>
        </w:tc>
      </w:tr>
      <w:tr>
        <w:tc>
          <w:tcPr/>
          <w:p>
            <w:pPr>
              <w:pStyle w:val="Compact"/>
              <w:jc w:val="left"/>
            </w:pPr>
            <w:r>
              <w:rPr>
                <w:bCs/>
                <w:b/>
              </w:rPr>
              <w:t xml:space="preserve">Sikkim</w:t>
            </w:r>
          </w:p>
        </w:tc>
        <w:tc>
          <w:tcPr/>
          <w:p>
            <w:pPr>
              <w:pStyle w:val="Compact"/>
              <w:jc w:val="left"/>
            </w:pPr>
            <w:r>
              <w:t xml:space="preserve">Declared India’s first fully organic state (2016)</w:t>
            </w:r>
          </w:p>
        </w:tc>
      </w:tr>
      <w:tr>
        <w:tc>
          <w:tcPr/>
          <w:p>
            <w:pPr>
              <w:pStyle w:val="Compact"/>
              <w:jc w:val="left"/>
            </w:pPr>
            <w:r>
              <w:t xml:space="preserve">Others</w:t>
            </w:r>
          </w:p>
        </w:tc>
        <w:tc>
          <w:tcPr/>
          <w:p>
            <w:pPr>
              <w:pStyle w:val="Compact"/>
              <w:jc w:val="left"/>
            </w:pPr>
            <w:r>
              <w:t xml:space="preserve">Large areas under certification in MP, Rajasthan, Maharashtra; India has among the largest numbers of organic producers in the world</w:t>
            </w:r>
          </w:p>
        </w:tc>
      </w:tr>
    </w:tbl>
    <w:p>
      <w:pPr>
        <w:pStyle w:val="Heading3"/>
      </w:pPr>
      <w:r>
        <w:t xml:space="preserve">20.5.3 Comparison of systems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Conventional</w:t>
            </w:r>
          </w:p>
        </w:tc>
        <w:tc>
          <w:tcPr/>
          <w:p>
            <w:pPr>
              <w:pStyle w:val="Compact"/>
              <w:jc w:val="left"/>
            </w:pPr>
            <w:r>
              <w:t xml:space="preserve">Organic</w:t>
            </w:r>
          </w:p>
        </w:tc>
        <w:tc>
          <w:tcPr/>
          <w:p>
            <w:pPr>
              <w:pStyle w:val="Compact"/>
              <w:jc w:val="left"/>
            </w:pPr>
            <w:r>
              <w:t xml:space="preserve">Natural (ZBNF type)</w:t>
            </w:r>
          </w:p>
        </w:tc>
      </w:tr>
      <w:tr>
        <w:tc>
          <w:tcPr/>
          <w:p>
            <w:pPr>
              <w:pStyle w:val="Compact"/>
              <w:jc w:val="left"/>
            </w:pPr>
            <w:r>
              <w:t xml:space="preserve">Synthetic inputs</w:t>
            </w:r>
          </w:p>
        </w:tc>
        <w:tc>
          <w:tcPr/>
          <w:p>
            <w:pPr>
              <w:pStyle w:val="Compact"/>
              <w:jc w:val="left"/>
            </w:pPr>
            <w:r>
              <w:t xml:space="preserve">Used</w:t>
            </w:r>
          </w:p>
        </w:tc>
        <w:tc>
          <w:tcPr/>
          <w:p>
            <w:pPr>
              <w:pStyle w:val="Compact"/>
              <w:jc w:val="left"/>
            </w:pPr>
            <w:r>
              <w:t xml:space="preserve">Prohibited</w:t>
            </w:r>
          </w:p>
        </w:tc>
        <w:tc>
          <w:tcPr/>
          <w:p>
            <w:pPr>
              <w:pStyle w:val="Compact"/>
              <w:jc w:val="left"/>
            </w:pPr>
            <w:r>
              <w:t xml:space="preserve">Prohibited</w:t>
            </w:r>
          </w:p>
        </w:tc>
      </w:tr>
      <w:tr>
        <w:tc>
          <w:tcPr/>
          <w:p>
            <w:pPr>
              <w:pStyle w:val="Compact"/>
              <w:jc w:val="left"/>
            </w:pPr>
            <w:r>
              <w:t xml:space="preserve">External organic inputs</w:t>
            </w:r>
          </w:p>
        </w:tc>
        <w:tc>
          <w:tcPr/>
          <w:p>
            <w:pPr>
              <w:pStyle w:val="Compact"/>
              <w:jc w:val="left"/>
            </w:pPr>
            <w:r>
              <w:t xml:space="preserve">Optional</w:t>
            </w:r>
          </w:p>
        </w:tc>
        <w:tc>
          <w:tcPr/>
          <w:p>
            <w:pPr>
              <w:pStyle w:val="Compact"/>
              <w:jc w:val="left"/>
            </w:pPr>
            <w:r>
              <w:t xml:space="preserve">Yes (manures, composts, certified bio-inputs bought in)</w:t>
            </w:r>
          </w:p>
        </w:tc>
        <w:tc>
          <w:tcPr/>
          <w:p>
            <w:pPr>
              <w:pStyle w:val="Compact"/>
              <w:jc w:val="left"/>
            </w:pPr>
            <w:r>
              <w:t xml:space="preserve">Minimal; mostly on-farm (cow-based preparations)</w:t>
            </w:r>
          </w:p>
        </w:tc>
      </w:tr>
      <w:tr>
        <w:tc>
          <w:tcPr/>
          <w:p>
            <w:pPr>
              <w:pStyle w:val="Compact"/>
              <w:jc w:val="left"/>
            </w:pPr>
            <w:r>
              <w:t xml:space="preserve">Certification</w:t>
            </w:r>
          </w:p>
        </w:tc>
        <w:tc>
          <w:tcPr/>
          <w:p>
            <w:pPr>
              <w:pStyle w:val="Compact"/>
              <w:jc w:val="left"/>
            </w:pPr>
            <w:r>
              <w:t xml:space="preserve">Not required</w:t>
            </w:r>
          </w:p>
        </w:tc>
        <w:tc>
          <w:tcPr/>
          <w:p>
            <w:pPr>
              <w:pStyle w:val="Compact"/>
              <w:jc w:val="left"/>
            </w:pPr>
            <w:r>
              <w:t xml:space="preserve">Required for the label (NPOP/PGS)</w:t>
            </w:r>
          </w:p>
        </w:tc>
        <w:tc>
          <w:tcPr/>
          <w:p>
            <w:pPr>
              <w:pStyle w:val="Compact"/>
              <w:jc w:val="left"/>
            </w:pPr>
            <w:r>
              <w:t xml:space="preserve">Not mandatory (PGS possible)</w:t>
            </w:r>
          </w:p>
        </w:tc>
      </w:tr>
      <w:tr>
        <w:tc>
          <w:tcPr/>
          <w:p>
            <w:pPr>
              <w:pStyle w:val="Compact"/>
              <w:jc w:val="left"/>
            </w:pPr>
            <w:r>
              <w:t xml:space="preserve">Cost of cultivation</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Yield</w:t>
            </w:r>
          </w:p>
        </w:tc>
        <w:tc>
          <w:tcPr/>
          <w:p>
            <w:pPr>
              <w:pStyle w:val="Compact"/>
              <w:jc w:val="left"/>
            </w:pPr>
            <w:r>
              <w:t xml:space="preserve">High (with inputs)</w:t>
            </w:r>
          </w:p>
        </w:tc>
        <w:tc>
          <w:tcPr/>
          <w:p>
            <w:pPr>
              <w:pStyle w:val="Compact"/>
              <w:jc w:val="left"/>
            </w:pPr>
            <w:r>
              <w:t xml:space="preserve">Often 10–25% lower initially, narrowing with time</w:t>
            </w:r>
          </w:p>
        </w:tc>
        <w:tc>
          <w:tcPr/>
          <w:p>
            <w:pPr>
              <w:pStyle w:val="Compact"/>
              <w:jc w:val="left"/>
            </w:pPr>
            <w:r>
              <w:t xml:space="preserve">Debated; site- and crop-specific</w:t>
            </w:r>
          </w:p>
        </w:tc>
      </w:tr>
      <w:tr>
        <w:tc>
          <w:tcPr/>
          <w:p>
            <w:pPr>
              <w:pStyle w:val="Compact"/>
              <w:jc w:val="left"/>
            </w:pPr>
            <w:r>
              <w:t xml:space="preserve">Premium price</w:t>
            </w:r>
          </w:p>
        </w:tc>
        <w:tc>
          <w:tcPr/>
          <w:p>
            <w:pPr>
              <w:pStyle w:val="Compact"/>
              <w:jc w:val="left"/>
            </w:pPr>
            <w:r>
              <w:t xml:space="preserve">No</w:t>
            </w:r>
          </w:p>
        </w:tc>
        <w:tc>
          <w:tcPr/>
          <w:p>
            <w:pPr>
              <w:pStyle w:val="Compact"/>
              <w:jc w:val="left"/>
            </w:pPr>
            <w:r>
              <w:t xml:space="preserve">Yes</w:t>
            </w:r>
          </w:p>
        </w:tc>
        <w:tc>
          <w:tcPr/>
          <w:p>
            <w:pPr>
              <w:pStyle w:val="Compact"/>
              <w:jc w:val="left"/>
            </w:pPr>
            <w:r>
              <w:t xml:space="preserve">Sometimes</w:t>
            </w:r>
          </w:p>
        </w:tc>
      </w:tr>
      <w:tr>
        <w:tc>
          <w:tcPr/>
          <w:p>
            <w:pPr>
              <w:pStyle w:val="Compact"/>
              <w:jc w:val="left"/>
            </w:pPr>
            <w:r>
              <w:t xml:space="preserve">Soil health</w:t>
            </w:r>
          </w:p>
        </w:tc>
        <w:tc>
          <w:tcPr/>
          <w:p>
            <w:pPr>
              <w:pStyle w:val="Compact"/>
              <w:jc w:val="left"/>
            </w:pPr>
            <w:r>
              <w:t xml:space="preserve">Variable; degradation risk</w:t>
            </w:r>
          </w:p>
        </w:tc>
        <w:tc>
          <w:tcPr/>
          <w:p>
            <w:pPr>
              <w:pStyle w:val="Compact"/>
              <w:jc w:val="left"/>
            </w:pPr>
            <w:r>
              <w:t xml:space="preserve">Improves</w:t>
            </w:r>
          </w:p>
        </w:tc>
        <w:tc>
          <w:tcPr/>
          <w:p>
            <w:pPr>
              <w:pStyle w:val="Compact"/>
              <w:jc w:val="left"/>
            </w:pPr>
            <w:r>
              <w:t xml:space="preserve">Improves (biology, mulch)</w:t>
            </w:r>
          </w:p>
        </w:tc>
      </w:tr>
    </w:tbl>
    <w:p>
      <w:pPr>
        <w:pStyle w:val="BodyText"/>
      </w:pPr>
      <w:r>
        <w:rPr>
          <w:bCs/>
          <w:b/>
        </w:rPr>
        <w:t xml:space="preserve">Constraints of organic farming:</w:t>
      </w:r>
      <w:r>
        <w:t xml:space="preserve"> </w:t>
      </w:r>
      <w:r>
        <w:t xml:space="preserve">yield gaps during conversion, limited availability of bulky organic manures (large quantities needed for N), pest outbreaks, certification costs, market linkage, and labour intensity.</w:t>
      </w:r>
      <w:r>
        <w:t xml:space="preserve"> </w:t>
      </w:r>
      <w:r>
        <w:rPr>
          <w:bCs/>
          <w:b/>
        </w:rPr>
        <w:t xml:space="preserve">Strengths:</w:t>
      </w:r>
      <w:r>
        <w:t xml:space="preserve"> </w:t>
      </w:r>
      <w:r>
        <w:t xml:space="preserve">soil carbon, biodiversity, reduced pollution, premium markets, export potential, input self-reliance and resilience.</w:t>
      </w:r>
    </w:p>
    <w:p>
      <w:pPr>
        <w:pStyle w:val="BodyText"/>
      </w:pPr>
      <w:r>
        <w:rPr>
          <w:bCs/>
          <w:b/>
        </w:rPr>
        <w:t xml:space="preserve">Role of remote sensing and GIS:</w:t>
      </w:r>
      <w:r>
        <w:t xml:space="preserve"> </w:t>
      </w:r>
      <w:r>
        <w:t xml:space="preserve">identifying chemical-free and low-input areas (hill and tribal regions, rainfed tracts) as potential organic clusters, monitoring certified fields, supporting traceability (geotagged farms), detecting crop health problems, and mapping soil carbon change.</w:t>
      </w:r>
    </w:p>
    <w:p>
      <w:pPr>
        <w:pStyle w:val="Heading3"/>
      </w:pPr>
      <w:r>
        <w:t xml:space="preserve">20.5.4 Likely interview questions</w:t>
      </w:r>
    </w:p>
    <w:p>
      <w:pPr>
        <w:pStyle w:val="FirstParagraph"/>
      </w:pPr>
      <w:r>
        <w:rPr>
          <w:bCs/>
          <w:b/>
        </w:rPr>
        <w:t xml:space="preserve">Q. Which plant is used to phytoextract arsenic and which metals does Indian mustard accumulate?</w:t>
      </w:r>
      <w:r>
        <w:t xml:space="preserve"> </w:t>
      </w:r>
      <w:r>
        <w:rPr>
          <w:iCs/>
          <w:i/>
        </w:rPr>
        <w:t xml:space="preserve">Pteris vittata</w:t>
      </w:r>
      <w:r>
        <w:t xml:space="preserve"> </w:t>
      </w:r>
      <w:r>
        <w:t xml:space="preserve">for arsenic.</w:t>
      </w:r>
      <w:r>
        <w:t xml:space="preserve"> </w:t>
      </w:r>
      <w:r>
        <w:rPr>
          <w:iCs/>
          <w:i/>
        </w:rPr>
        <w:t xml:space="preserve">Brassica juncea</w:t>
      </w:r>
      <w:r>
        <w:t xml:space="preserve"> </w:t>
      </w:r>
      <w:r>
        <w:t xml:space="preserve">for Pb and Cd.</w:t>
      </w:r>
    </w:p>
    <w:p>
      <w:pPr>
        <w:pStyle w:val="BodyText"/>
      </w:pPr>
      <w:r>
        <w:rPr>
          <w:bCs/>
          <w:b/>
        </w:rPr>
        <w:t xml:space="preserve">Q. What are SAR and RSC, and when is water unsuitable for irrigation?</w:t>
      </w:r>
      <w:r>
        <w:t xml:space="preserve"> </w:t>
      </w:r>
      <w:r>
        <w:t xml:space="preserve">SAR measures sodium hazard. RSC = (CO₃ + HCO₃) − (Ca + Mg). Water with RSC above 2.5 meq L⁻¹ is unsuitable.</w:t>
      </w:r>
    </w:p>
    <w:p>
      <w:pPr>
        <w:pStyle w:val="BodyText"/>
      </w:pPr>
      <w:r>
        <w:rPr>
          <w:bCs/>
          <w:b/>
        </w:rPr>
        <w:t xml:space="preserve">Q. What causes eutrophication and how can remote sensing monitor it?</w:t>
      </w:r>
      <w:r>
        <w:t xml:space="preserve"> </w:t>
      </w:r>
      <w:r>
        <w:t xml:space="preserve">P and N enrichment from runoff and sewage. Remote sensing monitors chlorophyll-a, turbidity and bloom indices from ocean-colour and multispectral sensors.</w:t>
      </w:r>
    </w:p>
    <w:p>
      <w:pPr>
        <w:pStyle w:val="BodyText"/>
      </w:pPr>
      <w:r>
        <w:rPr>
          <w:bCs/>
          <w:b/>
        </w:rPr>
        <w:t xml:space="preserve">Q. Name the four pillars of ZBNF.</w:t>
      </w:r>
      <w:r>
        <w:t xml:space="preserve"> </w:t>
      </w:r>
      <w:r>
        <w:t xml:space="preserve">Jeevamrutha, Beejamrutha, Acchadana (mulching) and Whapasa.</w:t>
      </w:r>
    </w:p>
    <w:p>
      <w:pPr>
        <w:pStyle w:val="BodyText"/>
      </w:pPr>
      <w:r>
        <w:rPr>
          <w:bCs/>
          <w:b/>
        </w:rPr>
        <w:t xml:space="preserve">Q. Distinguish NPOP and PGS-India certification.</w:t>
      </w:r>
      <w:r>
        <w:t xml:space="preserve"> </w:t>
      </w:r>
      <w:r>
        <w:t xml:space="preserve">NPOP is third-party accredited certification under APEDA, mainly for exports. PGS is participatory peer-group certification by farmer groups for domestic markets.</w:t>
      </w:r>
    </w:p>
    <w:p>
      <w:pPr>
        <w:pStyle w:val="BodyText"/>
      </w:pPr>
      <w:r>
        <w:rPr>
          <w:bCs/>
          <w:b/>
        </w:rPr>
        <w:t xml:space="preserve">Q. What is the conversion period in organic farming?</w:t>
      </w:r>
      <w:r>
        <w:t xml:space="preserve"> </w:t>
      </w:r>
      <w:r>
        <w:t xml:space="preserve">About 2 years for annual crops and 3 years for perennial crops.</w:t>
      </w:r>
    </w:p>
    <w:p>
      <w:pPr>
        <w:pStyle w:val="Heading1"/>
      </w:pPr>
      <w:r>
        <w:t xml:space="preserve">Chapter 21. Soil Survey, Soil Mapping and Soil Quality Index</w:t>
      </w:r>
    </w:p>
    <w:p>
      <w:pPr>
        <w:pStyle w:val="Heading2"/>
      </w:pPr>
      <w:r>
        <w:t xml:space="preserve">21.1 Concepts Underlying Remote-Sensing-Based Soil Resource Mapping</w:t>
      </w:r>
    </w:p>
    <w:p>
      <w:pPr>
        <w:pStyle w:val="Heading3"/>
      </w:pPr>
      <w:r>
        <w:t xml:space="preserve">21.1.1 The physiography–lithology–vegetation–soil relationship (the</w:t>
      </w:r>
      <w:r>
        <w:t xml:space="preserve"> </w:t>
      </w:r>
      <w:r>
        <w:t xml:space="preserve">“</w:t>
      </w:r>
      <w:r>
        <w:t xml:space="preserve">hybrid approach</w:t>
      </w:r>
      <w:r>
        <w:t xml:space="preserve">”</w:t>
      </w:r>
      <w:r>
        <w:t xml:space="preserve">)</w:t>
      </w:r>
    </w:p>
    <w:p>
      <w:pPr>
        <w:pStyle w:val="FirstParagraph"/>
      </w:pPr>
      <w:r>
        <w:t xml:space="preserve">Soil formation is governed by five classical soil-forming factors (Jenny’s equation):</w:t>
      </w:r>
      <w:r>
        <w:t xml:space="preserve"> </w:t>
      </w:r>
      <w:r>
        <w:rPr>
          <w:bCs/>
          <w:b/>
        </w:rPr>
        <w:t xml:space="preserve">S = f(cl, o, r, p, t)</w:t>
      </w:r>
      <w:r>
        <w:t xml:space="preserve"> </w:t>
      </w:r>
      <w:r>
        <w:t xml:space="preserve">— climate, organisms (including vegetation), relief/topography, parent material, and time. Because soil itself is not directly</w:t>
      </w:r>
      <w:r>
        <w:t xml:space="preserve"> </w:t>
      </w:r>
      <w:r>
        <w:t xml:space="preserve">“</w:t>
      </w:r>
      <w:r>
        <w:t xml:space="preserve">visible</w:t>
      </w:r>
      <w:r>
        <w:t xml:space="preserve">”</w:t>
      </w:r>
      <w:r>
        <w:t xml:space="preserve"> </w:t>
      </w:r>
      <w:r>
        <w:t xml:space="preserve">to an optical or microwave sensor beyond its immediate surface (a few micrometres to millimetres for optical, a few centimetres for microwave), operational remote-sensing-based soil mapping in India (NRSC/SAC methodology, following on from the National Bureau of Soil Survey and Land Use Planning, NBSS&amp;LUP) uses a</w:t>
      </w:r>
      <w:r>
        <w:t xml:space="preserve"> </w:t>
      </w:r>
      <w:r>
        <w:rPr>
          <w:bCs/>
          <w:b/>
        </w:rPr>
        <w:t xml:space="preserve">hybrid approach</w:t>
      </w:r>
      <w:r>
        <w:t xml:space="preserve"> </w:t>
      </w:r>
      <w:r>
        <w:t xml:space="preserve">that exploits the well-established close relationship between four terrain-observable surrogates and the underlying soil:</w:t>
      </w:r>
    </w:p>
    <w:p>
      <w:pPr>
        <w:pStyle w:val="Compact"/>
        <w:numPr>
          <w:ilvl w:val="0"/>
          <w:numId w:val="1162"/>
        </w:numPr>
      </w:pPr>
      <w:r>
        <w:rPr>
          <w:bCs/>
          <w:b/>
        </w:rPr>
        <w:t xml:space="preserve">Physiography (landform)</w:t>
      </w:r>
      <w:r>
        <w:t xml:space="preserve"> </w:t>
      </w:r>
      <w:r>
        <w:t xml:space="preserve">— controls drainage, erosion/deposition regime, and hence soil depth, texture-sorting and drainage class (e.g., alluvial plains → deep, stratified, fine-to-medium-textured soils; hill/upland terrain → shallow, skeletal, poorly sorted soils; coastal/deltaic terrain → saline/waterlogged soils).</w:t>
      </w:r>
    </w:p>
    <w:p>
      <w:pPr>
        <w:pStyle w:val="Compact"/>
        <w:numPr>
          <w:ilvl w:val="0"/>
          <w:numId w:val="1162"/>
        </w:numPr>
      </w:pPr>
      <w:r>
        <w:rPr>
          <w:bCs/>
          <w:b/>
        </w:rPr>
        <w:t xml:space="preserve">Lithology (parent material/underlying geology)</w:t>
      </w:r>
      <w:r>
        <w:t xml:space="preserve"> </w:t>
      </w:r>
      <w:r>
        <w:t xml:space="preserve">— strongly determines soil mineralogy and initial texture (e.g., basaltic terrain → clay-rich, high-shrink-swell Vertisols/black cotton soils; granitic/gneissic terrain → coarser-textured, often lateritic soils).</w:t>
      </w:r>
    </w:p>
    <w:p>
      <w:pPr>
        <w:pStyle w:val="Compact"/>
        <w:numPr>
          <w:ilvl w:val="0"/>
          <w:numId w:val="1162"/>
        </w:numPr>
      </w:pPr>
      <w:r>
        <w:rPr>
          <w:bCs/>
          <w:b/>
        </w:rPr>
        <w:t xml:space="preserve">Vegetation/land-cover type and vigour</w:t>
      </w:r>
      <w:r>
        <w:t xml:space="preserve"> </w:t>
      </w:r>
      <w:r>
        <w:t xml:space="preserve">— an indirect but diagnostic indicator of soil moisture-holding capacity, depth and fertility status, since vegetation vigour and species composition respond strongly to underlying soil conditions.</w:t>
      </w:r>
    </w:p>
    <w:p>
      <w:pPr>
        <w:pStyle w:val="Compact"/>
        <w:numPr>
          <w:ilvl w:val="0"/>
          <w:numId w:val="1162"/>
        </w:numPr>
      </w:pPr>
      <w:r>
        <w:rPr>
          <w:bCs/>
          <w:b/>
        </w:rPr>
        <w:t xml:space="preserve">Drainage pattern and density</w:t>
      </w:r>
      <w:r>
        <w:t xml:space="preserve"> </w:t>
      </w:r>
      <w:r>
        <w:t xml:space="preserve">(dendritic, trellis, radial, etc., interpreted from imagery) — a classical photo-interpretation surrogate for lithology and structural control, in turn informing soil type.</w:t>
      </w:r>
    </w:p>
    <w:p>
      <w:pPr>
        <w:pStyle w:val="FirstParagraph"/>
      </w:pPr>
      <w:r>
        <w:t xml:space="preserve">Satellite images are interpreted (visually/monoscopically, or via computer-assisted digital classification) to first delineate</w:t>
      </w:r>
      <w:r>
        <w:t xml:space="preserve"> </w:t>
      </w:r>
      <w:r>
        <w:rPr>
          <w:bCs/>
          <w:b/>
        </w:rPr>
        <w:t xml:space="preserve">physiographic units</w:t>
      </w:r>
      <w:r>
        <w:t xml:space="preserve"> </w:t>
      </w:r>
      <w:r>
        <w:t xml:space="preserve">on the basis of tone, texture, pattern, drainage and vegetation association; these units are then field-verified and correlated with soil profile/pedon observations and laboratory data to assign soil taxonomic classes, producing a</w:t>
      </w:r>
      <w:r>
        <w:t xml:space="preserve"> </w:t>
      </w:r>
      <w:r>
        <w:rPr>
          <w:bCs/>
          <w:b/>
        </w:rPr>
        <w:t xml:space="preserve">soil resource map</w:t>
      </w:r>
      <w:r>
        <w:t xml:space="preserve"> </w:t>
      </w:r>
      <w:r>
        <w:t xml:space="preserve">in which each physiographic-unit polygon is attributed with one or more soil series/associations plus their proportion (in a soil-association or soil-complex mapping unit).</w:t>
      </w:r>
    </w:p>
    <w:p>
      <w:pPr>
        <w:pStyle w:val="Heading3"/>
      </w:pPr>
      <w:r>
        <w:t xml:space="preserve">21.1.2 Visual (monoscopic) interpretation versus digital classification</w:t>
      </w:r>
    </w:p>
    <w:p>
      <w:pPr>
        <w:pStyle w:val="Compact"/>
        <w:numPr>
          <w:ilvl w:val="0"/>
          <w:numId w:val="1163"/>
        </w:numPr>
      </w:pPr>
      <w:r>
        <w:rPr>
          <w:bCs/>
          <w:b/>
        </w:rPr>
        <w:t xml:space="preserve">Monoscopic visual interpretation:</w:t>
      </w:r>
      <w:r>
        <w:t xml:space="preserve"> </w:t>
      </w:r>
      <w:r>
        <w:t xml:space="preserve">a trained interpreter delineates physiographic-soil units on hard-copy or on-screen imagery using classical photo-interpretation elements (tone/colour, texture, pattern, shape, size, association, drainage), producing polygon-based soil maps; this remains the dominant, most reliable method for soil mapping in India because soil taxonomic classification requires integrating multiple, often non-spectral, contextual cues (landform position, drainage) that automated per-pixel spectral classifiers do not directly capture.</w:t>
      </w:r>
    </w:p>
    <w:p>
      <w:pPr>
        <w:pStyle w:val="Compact"/>
        <w:numPr>
          <w:ilvl w:val="0"/>
          <w:numId w:val="1163"/>
        </w:numPr>
      </w:pPr>
      <w:r>
        <w:rPr>
          <w:bCs/>
          <w:b/>
        </w:rPr>
        <w:t xml:space="preserve">Computer-assisted digital classification:</w:t>
      </w:r>
      <w:r>
        <w:t xml:space="preserve"> </w:t>
      </w:r>
      <w:r>
        <w:t xml:space="preserve">supervised/unsupervised spectral classification (and, increasingly, digital soil mapping using machine-learning regression/classification of soil properties against a stack of terrain-derivative, climate and remote-sensing covariates — the</w:t>
      </w:r>
      <w:r>
        <w:t xml:space="preserve"> </w:t>
      </w:r>
      <w:r>
        <w:t xml:space="preserve">“</w:t>
      </w:r>
      <w:r>
        <w:t xml:space="preserve">scorpan</w:t>
      </w:r>
      <w:r>
        <w:t xml:space="preserve">”</w:t>
      </w:r>
      <w:r>
        <w:t xml:space="preserve">/CLORPT-based digital soil mapping paradigm) is used to refine boundaries and to interpolate soil properties (as opposed to discrete taxonomic classes) continuously across a landscape, often combined with geostatistical kriging where point laboratory data are available.</w:t>
      </w:r>
    </w:p>
    <w:p>
      <w:pPr>
        <w:pStyle w:val="Heading3"/>
      </w:pPr>
      <w:r>
        <w:t xml:space="preserve">21.1.3 Derivative products from soil resource maps</w:t>
      </w:r>
    </w:p>
    <w:p>
      <w:pPr>
        <w:pStyle w:val="FirstParagraph"/>
      </w:pPr>
      <w:r>
        <w:t xml:space="preserve">Soil resource maps generated by this hybrid approach are further interpreted, using supportive thematic layers (slope, drainage, climate), to derive:</w:t>
      </w:r>
      <w:r>
        <w:t xml:space="preserve"> </w:t>
      </w:r>
      <w:r>
        <w:rPr>
          <w:bCs/>
          <w:b/>
        </w:rPr>
        <w:t xml:space="preserve">Land Capability Classification</w:t>
      </w:r>
      <w:r>
        <w:t xml:space="preserve"> </w:t>
      </w:r>
      <w:r>
        <w:t xml:space="preserve">(grouping land into classes I–VIII by their inherent limitation for sustained agricultural use),</w:t>
      </w:r>
      <w:r>
        <w:t xml:space="preserve"> </w:t>
      </w:r>
      <w:r>
        <w:rPr>
          <w:bCs/>
          <w:b/>
        </w:rPr>
        <w:t xml:space="preserve">Land Irrigability Classification</w:t>
      </w:r>
      <w:r>
        <w:t xml:space="preserve"> </w:t>
      </w:r>
      <w:r>
        <w:t xml:space="preserve">(suitability for irrigation, considering soil depth, texture, drainage, salinity), and</w:t>
      </w:r>
      <w:r>
        <w:t xml:space="preserve"> </w:t>
      </w:r>
      <w:r>
        <w:rPr>
          <w:bCs/>
          <w:b/>
        </w:rPr>
        <w:t xml:space="preserve">Land Suitability</w:t>
      </w:r>
      <w:r>
        <w:t xml:space="preserve"> </w:t>
      </w:r>
      <w:r>
        <w:t xml:space="preserve">for specific crops (matching soil/terrain requirements of a crop against mapped soil properties, following an FAO-type land-evaluation framework).</w:t>
      </w:r>
    </w:p>
    <w:p>
      <w:pPr>
        <w:pStyle w:val="Heading2"/>
      </w:pPr>
      <w:r>
        <w:t xml:space="preserve">21.2 Soil Mapping Scales in India — A Quick-Recall Table</w:t>
      </w:r>
    </w:p>
    <w:p>
      <w:pPr>
        <w:pStyle w:val="FirstParagraph"/>
      </w:pPr>
      <w:r>
        <w:t xml:space="preserve">Different mapping scales serve different levels of planning and require correspondingly different source-image resolution, minimum mappable unit size, and field-verification intensity.</w:t>
      </w:r>
    </w:p>
    <w:tbl>
      <w:tblPr>
        <w:tblStyle w:val="Table"/>
        <w:tblW w:type="pct" w:w="4978"/>
        <w:jc w:val="left"/>
        <w:tblLook w:firstRow="1" w:lastRow="0" w:firstColumn="0" w:lastColumn="0" w:noHBand="0" w:noVBand="0" w:val="0020"/>
      </w:tblPr>
      <w:tblGrid>
        <w:gridCol w:w="872"/>
        <w:gridCol w:w="718"/>
        <w:gridCol w:w="838"/>
        <w:gridCol w:w="5456"/>
      </w:tblGrid>
      <w:tr>
        <w:trPr>
          <w:tblHeader w:val="true"/>
        </w:trPr>
        <w:tc>
          <w:tcPr/>
          <w:p>
            <w:pPr>
              <w:pStyle w:val="Compact"/>
              <w:jc w:val="left"/>
            </w:pPr>
            <w:r>
              <w:t xml:space="preserve">Scale</w:t>
            </w:r>
          </w:p>
        </w:tc>
        <w:tc>
          <w:tcPr/>
          <w:p>
            <w:pPr>
              <w:pStyle w:val="Compact"/>
              <w:jc w:val="left"/>
            </w:pPr>
            <w:r>
              <w:t xml:space="preserve">Typical minimum mappable area</w:t>
            </w:r>
          </w:p>
        </w:tc>
        <w:tc>
          <w:tcPr/>
          <w:p>
            <w:pPr>
              <w:pStyle w:val="Compact"/>
              <w:jc w:val="left"/>
            </w:pPr>
            <w:r>
              <w:t xml:space="preserve">Data/sensor typically used</w:t>
            </w:r>
          </w:p>
        </w:tc>
        <w:tc>
          <w:tcPr/>
          <w:p>
            <w:pPr>
              <w:pStyle w:val="Compact"/>
              <w:jc w:val="left"/>
            </w:pPr>
            <w:r>
              <w:t xml:space="preserve">Purpose / planning level</w:t>
            </w:r>
          </w:p>
        </w:tc>
      </w:tr>
      <w:tr>
        <w:tc>
          <w:tcPr/>
          <w:p>
            <w:pPr>
              <w:pStyle w:val="Compact"/>
              <w:jc w:val="left"/>
            </w:pPr>
            <w:r>
              <w:rPr>
                <w:bCs/>
                <w:b/>
              </w:rPr>
              <w:t xml:space="preserve">1:250,000</w:t>
            </w:r>
            <w:r>
              <w:t xml:space="preserve"> </w:t>
            </w:r>
            <w:r>
              <w:t xml:space="preserve">(national reconnaissance)</w:t>
            </w:r>
          </w:p>
        </w:tc>
        <w:tc>
          <w:tcPr/>
          <w:p>
            <w:pPr>
              <w:pStyle w:val="Compact"/>
              <w:jc w:val="left"/>
            </w:pPr>
            <w:r>
              <w:t xml:space="preserve">~625 ha (2.5 km × 2.5 km at map scale)</w:t>
            </w:r>
          </w:p>
        </w:tc>
        <w:tc>
          <w:tcPr/>
          <w:p>
            <w:pPr>
              <w:pStyle w:val="Compact"/>
              <w:jc w:val="left"/>
            </w:pPr>
            <w:r>
              <w:t xml:space="preserve">AWiFS/LISS-III-class moderate-resolution data</w:t>
            </w:r>
          </w:p>
        </w:tc>
        <w:tc>
          <w:tcPr/>
          <w:p>
            <w:pPr>
              <w:pStyle w:val="Compact"/>
              <w:jc w:val="left"/>
            </w:pPr>
            <w:r>
              <w:t xml:space="preserve">National/state-level resource inventory;</w:t>
            </w:r>
            <w:r>
              <w:t xml:space="preserve"> </w:t>
            </w:r>
            <w:r>
              <w:rPr>
                <w:bCs/>
                <w:b/>
              </w:rPr>
              <w:t xml:space="preserve">annual Land Use/Land Cover mapping and net-sown-area estimation</w:t>
            </w:r>
            <w:r>
              <w:t xml:space="preserve"> </w:t>
            </w:r>
            <w:r>
              <w:t xml:space="preserve">is carried out at this scale under ISRO’s National Agricultural Land Use Mapping programme.</w:t>
            </w:r>
          </w:p>
        </w:tc>
      </w:tr>
      <w:tr>
        <w:tc>
          <w:tcPr/>
          <w:p>
            <w:pPr>
              <w:pStyle w:val="Compact"/>
              <w:jc w:val="left"/>
            </w:pPr>
            <w:r>
              <w:rPr>
                <w:bCs/>
                <w:b/>
              </w:rPr>
              <w:t xml:space="preserve">1:50,000</w:t>
            </w:r>
            <w:r>
              <w:t xml:space="preserve"> </w:t>
            </w:r>
            <w:r>
              <w:t xml:space="preserve">(district/semi-detailed)</w:t>
            </w:r>
          </w:p>
        </w:tc>
        <w:tc>
          <w:tcPr/>
          <w:p>
            <w:pPr>
              <w:pStyle w:val="Compact"/>
              <w:jc w:val="left"/>
            </w:pPr>
            <w:r>
              <w:t xml:space="preserve">~100 ha</w:t>
            </w:r>
          </w:p>
        </w:tc>
        <w:tc>
          <w:tcPr/>
          <w:p>
            <w:pPr>
              <w:pStyle w:val="Compact"/>
              <w:jc w:val="left"/>
            </w:pPr>
            <w:r>
              <w:t xml:space="preserve">LISS-III class data</w:t>
            </w:r>
          </w:p>
        </w:tc>
        <w:tc>
          <w:tcPr/>
          <w:p>
            <w:pPr>
              <w:pStyle w:val="Compact"/>
              <w:jc w:val="left"/>
            </w:pPr>
            <w:r>
              <w:t xml:space="preserve">District-level planning;</w:t>
            </w:r>
            <w:r>
              <w:t xml:space="preserve"> </w:t>
            </w:r>
            <w:r>
              <w:rPr>
                <w:bCs/>
                <w:b/>
              </w:rPr>
              <w:t xml:space="preserve">LULC information generated once every five years (quinquennial)</w:t>
            </w:r>
            <w:r>
              <w:t xml:space="preserve"> </w:t>
            </w:r>
            <w:r>
              <w:t xml:space="preserve">at this scale; wasteland mapping/monitoring also carried out at 1:50,000.</w:t>
            </w:r>
          </w:p>
        </w:tc>
      </w:tr>
      <w:tr>
        <w:tc>
          <w:tcPr/>
          <w:p>
            <w:pPr>
              <w:pStyle w:val="Compact"/>
              <w:jc w:val="left"/>
            </w:pPr>
            <w:r>
              <w:rPr>
                <w:bCs/>
                <w:b/>
              </w:rPr>
              <w:t xml:space="preserve">1:25,000 / 1:12,500</w:t>
            </w:r>
            <w:r>
              <w:t xml:space="preserve"> </w:t>
            </w:r>
            <w:r>
              <w:t xml:space="preserve">(detailed)</w:t>
            </w:r>
          </w:p>
        </w:tc>
        <w:tc>
          <w:tcPr/>
          <w:p>
            <w:pPr>
              <w:pStyle w:val="Compact"/>
              <w:jc w:val="left"/>
            </w:pPr>
            <w:r>
              <w:t xml:space="preserve">6–25 ha</w:t>
            </w:r>
          </w:p>
        </w:tc>
        <w:tc>
          <w:tcPr/>
          <w:p>
            <w:pPr>
              <w:pStyle w:val="Compact"/>
              <w:jc w:val="left"/>
            </w:pPr>
            <w:r>
              <w:t xml:space="preserve">LISS-IV / Cartosat-class high-resolution data</w:t>
            </w:r>
          </w:p>
        </w:tc>
        <w:tc>
          <w:tcPr/>
          <w:p>
            <w:pPr>
              <w:pStyle w:val="Compact"/>
              <w:jc w:val="left"/>
            </w:pPr>
            <w:r>
              <w:t xml:space="preserve">Detailed soil maps prepared in selected districts; wasteland mapping at 1:25,000; watershed-level planning.</w:t>
            </w:r>
          </w:p>
        </w:tc>
      </w:tr>
      <w:tr>
        <w:tc>
          <w:tcPr/>
          <w:p>
            <w:pPr>
              <w:pStyle w:val="Compact"/>
              <w:jc w:val="left"/>
            </w:pPr>
            <w:r>
              <w:rPr>
                <w:bCs/>
                <w:b/>
              </w:rPr>
              <w:t xml:space="preserve">1:10,000</w:t>
            </w:r>
            <w:r>
              <w:t xml:space="preserve"> </w:t>
            </w:r>
            <w:r>
              <w:t xml:space="preserve">(large-scale/cadastral-approaching)</w:t>
            </w:r>
          </w:p>
        </w:tc>
        <w:tc>
          <w:tcPr/>
          <w:p>
            <w:pPr>
              <w:pStyle w:val="Compact"/>
              <w:jc w:val="left"/>
            </w:pPr>
            <w:r>
              <w:t xml:space="preserve">~1–4 ha</w:t>
            </w:r>
          </w:p>
        </w:tc>
        <w:tc>
          <w:tcPr/>
          <w:p>
            <w:pPr>
              <w:pStyle w:val="Compact"/>
              <w:jc w:val="left"/>
            </w:pPr>
            <w:r>
              <w:t xml:space="preserve">LISS-IV, Cartosat PAN+MX, high-resolution data</w:t>
            </w:r>
          </w:p>
        </w:tc>
        <w:tc>
          <w:tcPr/>
          <w:p>
            <w:pPr>
              <w:pStyle w:val="Compact"/>
              <w:jc w:val="left"/>
            </w:pPr>
            <w:r>
              <w:rPr>
                <w:bCs/>
                <w:b/>
              </w:rPr>
              <w:t xml:space="preserve">Village-level soil management</w:t>
            </w:r>
            <w:r>
              <w:t xml:space="preserve">, precision agriculture in mono-cropped systems, delineation of homogeneous nutrient-management zones, planning for schemes such as the Pradhan Mantri Gram Sadak Yojana (rural-road) requiring parcel-level land-use information, water/land-resource planning at the village/taluk level.</w:t>
            </w:r>
          </w:p>
        </w:tc>
      </w:tr>
    </w:tbl>
    <w:p>
      <w:pPr>
        <w:pStyle w:val="BodyText"/>
      </w:pPr>
      <w:r>
        <w:rPr>
          <w:iCs/>
          <w:i/>
        </w:rPr>
        <w:t xml:space="preserve">Interview-relevant point: the guiding principle is that mapping scale, minimum mappable unit and sensor spatial resolution must be internally consistent — a common rule of thumb is that the minimum mappable polygon on the ground should be resolvable by roughly 3–5 sensor pixels across its narrowest dimension, and the map scale denominator should not greatly exceed the reciprocal of what the source imagery can reliably support without introducing spurious positional/boundary error.</w:t>
      </w:r>
    </w:p>
    <w:p>
      <w:pPr>
        <w:pStyle w:val="Heading2"/>
      </w:pPr>
      <w:r>
        <w:t xml:space="preserve">21.3 Soil Taxonomy — the Major Soil Orders Encountered in Indian Soil Mapping</w:t>
      </w:r>
    </w:p>
    <w:p>
      <w:pPr>
        <w:pStyle w:val="FirstParagraph"/>
      </w:pPr>
      <w:r>
        <w:t xml:space="preserve">Soil resource maps ultimately assign each delineated unit to a formal taxonomic class, most commonly using</w:t>
      </w:r>
      <w:r>
        <w:t xml:space="preserve"> </w:t>
      </w:r>
      <w:r>
        <w:rPr>
          <w:bCs/>
          <w:b/>
        </w:rPr>
        <w:t xml:space="preserve">USDA Soil Taxonomy</w:t>
      </w:r>
      <w:r>
        <w:t xml:space="preserve"> </w:t>
      </w:r>
      <w:r>
        <w:t xml:space="preserve">(the classification system NBSS&amp;LUP and most Indian soil-survey work has standardised on), organised into twelve global soil orders, of which the following are most frequently encountered and most important to be able to name and characterise in an Indian agricultural-remote-sensing context:</w:t>
      </w:r>
    </w:p>
    <w:p>
      <w:pPr>
        <w:pStyle w:val="Compact"/>
        <w:numPr>
          <w:ilvl w:val="0"/>
          <w:numId w:val="1164"/>
        </w:numPr>
      </w:pPr>
      <w:r>
        <w:rPr>
          <w:bCs/>
          <w:b/>
        </w:rPr>
        <w:t xml:space="preserve">Alfisols</w:t>
      </w:r>
      <w:r>
        <w:t xml:space="preserve"> </w:t>
      </w:r>
      <w:r>
        <w:t xml:space="preserve">— moderately weathered soils with a clay-enriched (argillic) subsurface horizon and relatively high base saturation (fertile), widespread across the semi-arid to sub-humid peninsular and central Indian uplands; generally good agricultural soils where adequate moisture is available.</w:t>
      </w:r>
    </w:p>
    <w:p>
      <w:pPr>
        <w:pStyle w:val="Compact"/>
        <w:numPr>
          <w:ilvl w:val="0"/>
          <w:numId w:val="1164"/>
        </w:numPr>
      </w:pPr>
      <w:r>
        <w:rPr>
          <w:bCs/>
          <w:b/>
        </w:rPr>
        <w:t xml:space="preserve">Vertisols</w:t>
      </w:r>
      <w:r>
        <w:t xml:space="preserve"> </w:t>
      </w:r>
      <w:r>
        <w:t xml:space="preserve">— the</w:t>
      </w:r>
      <w:r>
        <w:t xml:space="preserve"> </w:t>
      </w:r>
      <w:r>
        <w:t xml:space="preserve">“</w:t>
      </w:r>
      <w:r>
        <w:t xml:space="preserve">black cotton soils</w:t>
      </w:r>
      <w:r>
        <w:t xml:space="preserve">”</w:t>
      </w:r>
      <w:r>
        <w:t xml:space="preserve"> </w:t>
      </w:r>
      <w:r>
        <w:t xml:space="preserve">of peninsular India (particularly the Deccan basaltic-lava-derived tracts of Maharashtra, Madhya Pradesh, Gujarat and parts of Karnataka/Telangana/Andhra Pradesh), characterised by very high shrink-swell smectite clay content producing deep cracking on drying and self-mulching/self-ploughing behaviour on wetting — agriculturally significant both for their high inherent fertility (rich in calcium, magnesium and often mildly alkaline) and for the distinctive water-management/tillage-timing challenges their shrink-swell behaviour imposes (very difficult to work when either too wet — sticky, plastic — or too dry — hard, cracked); the classic remote-sensing spectral signature (dark tone from high organic-matter-appearing but actually mineral-derived colouration, associated with basaltic lithology and characteristic gently undulating plateau physiography) makes Vertisols one of the most reliably remote-sensing-identifiable soil orders in India via the hybrid physiography-lithology mapping approach.</w:t>
      </w:r>
    </w:p>
    <w:p>
      <w:pPr>
        <w:pStyle w:val="Compact"/>
        <w:numPr>
          <w:ilvl w:val="0"/>
          <w:numId w:val="1164"/>
        </w:numPr>
      </w:pPr>
      <w:r>
        <w:rPr>
          <w:bCs/>
          <w:b/>
        </w:rPr>
        <w:t xml:space="preserve">Inceptisols</w:t>
      </w:r>
      <w:r>
        <w:t xml:space="preserve"> </w:t>
      </w:r>
      <w:r>
        <w:t xml:space="preserve">— weakly to moderately developed soils, often found on relatively young alluvial/depositional surfaces (much of the Indo-Gangetic Plain) or on actively eroding slopes where soil development has not proceeded far enough to form more diagnostic subsurface horizons — agriculturally important as the dominant soil order underlying much of India’s most intensively cultivated rice-wheat cropping-system belt.</w:t>
      </w:r>
    </w:p>
    <w:p>
      <w:pPr>
        <w:pStyle w:val="Compact"/>
        <w:numPr>
          <w:ilvl w:val="0"/>
          <w:numId w:val="1164"/>
        </w:numPr>
      </w:pPr>
      <w:r>
        <w:rPr>
          <w:bCs/>
          <w:b/>
        </w:rPr>
        <w:t xml:space="preserve">Entisols</w:t>
      </w:r>
      <w:r>
        <w:t xml:space="preserve"> </w:t>
      </w:r>
      <w:r>
        <w:t xml:space="preserve">— minimally developed soils lacking significant pedogenic horizon development, typically found on very recently deposited material (active river floodplains, coastal/riverine sand deposits) or on steep, actively eroding terrain where soil formation cannot keep pace with erosion — generally lower and more variable agricultural potential, requiring careful land-capability classification before intensive cultivation.</w:t>
      </w:r>
    </w:p>
    <w:p>
      <w:pPr>
        <w:pStyle w:val="Compact"/>
        <w:numPr>
          <w:ilvl w:val="0"/>
          <w:numId w:val="1164"/>
        </w:numPr>
      </w:pPr>
      <w:r>
        <w:rPr>
          <w:bCs/>
          <w:b/>
        </w:rPr>
        <w:t xml:space="preserve">Aridisols</w:t>
      </w:r>
      <w:r>
        <w:t xml:space="preserve"> </w:t>
      </w:r>
      <w:r>
        <w:t xml:space="preserve">— soils of arid/semi-arid regions (western Rajasthan, parts of Gujarat) characterised by low organic matter, often calcareous or gypsic subsurface accumulation, and typically requiring irrigation for productive cultivation — closely associated with the wasteland/desertic-sand mapping categories of the relevant chapter.</w:t>
      </w:r>
    </w:p>
    <w:p>
      <w:pPr>
        <w:pStyle w:val="Compact"/>
        <w:numPr>
          <w:ilvl w:val="0"/>
          <w:numId w:val="1164"/>
        </w:numPr>
      </w:pPr>
      <w:r>
        <w:rPr>
          <w:bCs/>
          <w:b/>
        </w:rPr>
        <w:t xml:space="preserve">Mollisols</w:t>
      </w:r>
      <w:r>
        <w:t xml:space="preserve"> </w:t>
      </w:r>
      <w:r>
        <w:t xml:space="preserve">and</w:t>
      </w:r>
      <w:r>
        <w:t xml:space="preserve"> </w:t>
      </w:r>
      <w:r>
        <w:rPr>
          <w:bCs/>
          <w:b/>
        </w:rPr>
        <w:t xml:space="preserve">Ultisols</w:t>
      </w:r>
      <w:r>
        <w:t xml:space="preserve"> </w:t>
      </w:r>
      <w:r>
        <w:t xml:space="preserve">— comparatively less extensive in India but present in specific regions (base-rich grassland-derived soils and older, more intensely weathered humid-tropical soils respectively), included here for completeness since global/comparative soil-science questions may reference the full twelve-order system.</w:t>
      </w:r>
    </w:p>
    <w:p>
      <w:pPr>
        <w:pStyle w:val="FirstParagraph"/>
      </w:pPr>
      <w:r>
        <w:rPr>
          <w:iCs/>
          <w:i/>
        </w:rPr>
        <w:t xml:space="preserve">Interview-relevant integration point: the Vertisol/Alfisol/Inceptisol/Entisol/Aridisol distribction directly explains why the same remote-sensing-derived vegetation index or SAR backscatter value can correspond to different underlying agronomic conditions in different parts of India — a given NDVI value on cracking Vertisol black-cotton soil (where crop water availability is buffered by the soil’s high water-holding clay content, but access is constrained by workability) carries different agronomic implications than the identical NDVI value on a sandy Entisol or Aridisol (where water availability is the immediate, unbuffered limiting factor) — precisely the kind of soil-type-conditioned interpretation a strong candidate should be ready to articulate when discussing vegetation-index-based crop-condition assessment.</w:t>
      </w:r>
    </w:p>
    <w:p>
      <w:pPr>
        <w:pStyle w:val="Heading2"/>
      </w:pPr>
      <w:r>
        <w:t xml:space="preserve">21.4 Soil Quality Assessment through Remote Sensing</w:t>
      </w:r>
    </w:p>
    <w:p>
      <w:pPr>
        <w:pStyle w:val="Heading3"/>
      </w:pPr>
      <w:r>
        <w:t xml:space="preserve">21.4.1 What</w:t>
      </w:r>
      <w:r>
        <w:t xml:space="preserve"> </w:t>
      </w:r>
      <w:r>
        <w:t xml:space="preserve">“</w:t>
      </w:r>
      <w:r>
        <w:t xml:space="preserve">soil quality</w:t>
      </w:r>
      <w:r>
        <w:t xml:space="preserve">”</w:t>
      </w:r>
      <w:r>
        <w:t xml:space="preserve"> </w:t>
      </w:r>
      <w:r>
        <w:t xml:space="preserve">encompasses</w:t>
      </w:r>
    </w:p>
    <w:p>
      <w:pPr>
        <w:pStyle w:val="FirstParagraph"/>
      </w:pPr>
      <w:r>
        <w:t xml:space="preserve">Soil quality is a composite concept spanning physical (texture, structure, bulk density, water-holding capacity), chemical (organic carbon, pH, nutrient status, salinity/sodicity) and biological (microbial biomass, enzymatic activity) indicators, integrated into indices reflecting a soil’s fitness for sustained agricultural productivity and environmental function. No single remote-sensing measurement retrieves</w:t>
      </w:r>
      <w:r>
        <w:t xml:space="preserve"> </w:t>
      </w:r>
      <w:r>
        <w:t xml:space="preserve">“</w:t>
      </w:r>
      <w:r>
        <w:t xml:space="preserve">soil quality</w:t>
      </w:r>
      <w:r>
        <w:t xml:space="preserve">”</w:t>
      </w:r>
      <w:r>
        <w:t xml:space="preserve"> </w:t>
      </w:r>
      <w:r>
        <w:t xml:space="preserve">directly; rather, several remotely-sensed proxies are combined:</w:t>
      </w:r>
    </w:p>
    <w:p>
      <w:pPr>
        <w:pStyle w:val="Compact"/>
        <w:numPr>
          <w:ilvl w:val="0"/>
          <w:numId w:val="1165"/>
        </w:numPr>
      </w:pPr>
      <w:r>
        <w:rPr>
          <w:bCs/>
          <w:b/>
        </w:rPr>
        <w:t xml:space="preserve">Spectral reflectance-based soil property estimation</w:t>
      </w:r>
      <w:r>
        <w:t xml:space="preserve"> </w:t>
      </w:r>
      <w:r>
        <w:t xml:space="preserve">— soil organic-matter content is inversely related to visible/near-infrared brightness (higher organic matter → darker soil, lower reflectance) exploited in hyperspectral soil-spectroscopy for organic-carbon mapping; iron-oxide absorption features (~0.85–0.9 µm) and clay-mineral absorption features (~2.2 µm, Al-OH; ~2.3 µm, Mg-OH) in SWIR hyperspectral data support texture/mineralogy discrimination.</w:t>
      </w:r>
    </w:p>
    <w:p>
      <w:pPr>
        <w:pStyle w:val="Compact"/>
        <w:numPr>
          <w:ilvl w:val="0"/>
          <w:numId w:val="1165"/>
        </w:numPr>
      </w:pPr>
      <w:r>
        <w:rPr>
          <w:bCs/>
          <w:b/>
        </w:rPr>
        <w:t xml:space="preserve">Salinity/sodicity mapping</w:t>
      </w:r>
      <w:r>
        <w:t xml:space="preserve"> </w:t>
      </w:r>
      <w:r>
        <w:t xml:space="preserve">— salt-affected soils show characteristic high visible-band reflectance (from surface salt-crust efflorescence) and distinct spectral signatures, mapped operationally by NRSC and made available on the Bhuvan portal (salt-affected and waterlogged-area maps).</w:t>
      </w:r>
    </w:p>
    <w:p>
      <w:pPr>
        <w:pStyle w:val="Compact"/>
        <w:numPr>
          <w:ilvl w:val="0"/>
          <w:numId w:val="1165"/>
        </w:numPr>
      </w:pPr>
      <w:r>
        <w:rPr>
          <w:bCs/>
          <w:b/>
        </w:rPr>
        <w:t xml:space="preserve">Erosion status</w:t>
      </w:r>
      <w:r>
        <w:t xml:space="preserve"> </w:t>
      </w:r>
      <w:r>
        <w:t xml:space="preserve">— inferred from a combination of exposed subsoil spectral signatures, gully/rill morphology visible on high-resolution imagery, terrain-derivative (slope, drainage density) analysis, and modelled soil-loss (e.g., RUSLE-type models using remote-sensing-derived vegetation-cover and rainfall-erosivity factors) — soil erosion maps (water erosion, wind erosion) are among NRSC’s VEDAS terrain-and-soil product suite.</w:t>
      </w:r>
    </w:p>
    <w:p>
      <w:pPr>
        <w:pStyle w:val="Compact"/>
        <w:numPr>
          <w:ilvl w:val="0"/>
          <w:numId w:val="1165"/>
        </w:numPr>
      </w:pPr>
      <w:r>
        <w:rPr>
          <w:bCs/>
          <w:b/>
        </w:rPr>
        <w:t xml:space="preserve">Land degradation mapping</w:t>
      </w:r>
      <w:r>
        <w:t xml:space="preserve"> </w:t>
      </w:r>
      <w:r>
        <w:t xml:space="preserve">— synthesising erosion, salinity, waterlogging and vegetation-degradation indicators into composite land-degradation maps, used for planning soil-conservation and reclamation programmes and reported by India toward UNCCD land-degradation-neutrality targets, drawing on SAC’s National Carbon Project soil-carbon-dynamics studies.</w:t>
      </w:r>
    </w:p>
    <w:p>
      <w:pPr>
        <w:pStyle w:val="Compact"/>
        <w:numPr>
          <w:ilvl w:val="0"/>
          <w:numId w:val="1165"/>
        </w:numPr>
      </w:pPr>
      <w:r>
        <w:rPr>
          <w:bCs/>
          <w:b/>
        </w:rPr>
        <w:t xml:space="preserve">Soil moisture and thermal-inertia proxies</w:t>
      </w:r>
      <w:r>
        <w:t xml:space="preserve"> </w:t>
      </w:r>
      <w:r>
        <w:t xml:space="preserve">as an indirect physical-condition indicator.</w:t>
      </w:r>
    </w:p>
    <w:p>
      <w:pPr>
        <w:pStyle w:val="Compact"/>
        <w:numPr>
          <w:ilvl w:val="0"/>
          <w:numId w:val="1165"/>
        </w:numPr>
      </w:pPr>
      <w:r>
        <w:rPr>
          <w:bCs/>
          <w:b/>
        </w:rPr>
        <w:t xml:space="preserve">Vegetation-productivity proxies</w:t>
      </w:r>
      <w:r>
        <w:t xml:space="preserve"> </w:t>
      </w:r>
      <w:r>
        <w:t xml:space="preserve">(multi-year NDVI trend/anomaly analysis) as an indirect, integrative indicator of underlying soil fertility/health, since sustained vegetation vigour under comparable climate is strongly conditioned by soil quality.</w:t>
      </w:r>
    </w:p>
    <w:p>
      <w:pPr>
        <w:pStyle w:val="Heading3"/>
      </w:pPr>
      <w:r>
        <w:t xml:space="preserve">21.4.2 Soil carbon studies</w:t>
      </w:r>
    </w:p>
    <w:p>
      <w:pPr>
        <w:pStyle w:val="FirstParagraph"/>
      </w:pPr>
      <w:r>
        <w:t xml:space="preserve">Under the</w:t>
      </w:r>
      <w:r>
        <w:t xml:space="preserve"> </w:t>
      </w:r>
      <w:r>
        <w:rPr>
          <w:bCs/>
          <w:b/>
        </w:rPr>
        <w:t xml:space="preserve">National Carbon Project</w:t>
      </w:r>
      <w:r>
        <w:t xml:space="preserve">, SAC/NRSC-supported studies estimate</w:t>
      </w:r>
      <w:r>
        <w:t xml:space="preserve"> </w:t>
      </w:r>
      <w:r>
        <w:rPr>
          <w:bCs/>
          <w:b/>
        </w:rPr>
        <w:t xml:space="preserve">soil organic carbon (SOC) density and stock</w:t>
      </w:r>
      <w:r>
        <w:t xml:space="preserve">, producing gridded national products (e.g., the VEDAS</w:t>
      </w:r>
      <w:r>
        <w:t xml:space="preserve"> </w:t>
      </w:r>
      <w:r>
        <w:t xml:space="preserve">“</w:t>
      </w:r>
      <w:r>
        <w:t xml:space="preserve">Soil Carbon Density in India, 5 km grid</w:t>
      </w:r>
      <w:r>
        <w:t xml:space="preserve">”</w:t>
      </w:r>
      <w:r>
        <w:t xml:space="preserve"> </w:t>
      </w:r>
      <w:r>
        <w:t xml:space="preserve">and separate mean organic and mean inorganic soil-carbon-density layers) combining field/laboratory SOC measurements, bulk density and soil-depth information (also mapped nationally as a gridded</w:t>
      </w:r>
      <w:r>
        <w:t xml:space="preserve"> </w:t>
      </w:r>
      <w:r>
        <w:t xml:space="preserve">“</w:t>
      </w:r>
      <w:r>
        <w:t xml:space="preserve">Spatial Map of Soil Depth Class</w:t>
      </w:r>
      <w:r>
        <w:t xml:space="preserve">”</w:t>
      </w:r>
      <w:r>
        <w:t xml:space="preserve">), and terrain/remote-sensing covariates in a digital-soil-mapping regression/kriging framework — providing India’s key technical input to UNCCD land-degradation-neutrality (LDN) national reporting, and to national greenhouse-gas-inventory soil-carbon-pool estimation.</w:t>
      </w:r>
    </w:p>
    <w:p>
      <w:pPr>
        <w:pStyle w:val="Heading2"/>
      </w:pPr>
      <w:r>
        <w:t xml:space="preserve">21.5 Introduction</w:t>
      </w:r>
    </w:p>
    <w:p>
      <w:pPr>
        <w:pStyle w:val="Heading3"/>
      </w:pPr>
      <w:r>
        <w:t xml:space="preserve">21.5.1 What Is Soil Quality / Soil Health?</w:t>
      </w:r>
    </w:p>
    <w:p>
      <w:pPr>
        <w:pStyle w:val="FirstParagraph"/>
      </w:pPr>
      <w:r>
        <w:t xml:space="preserve">Soil quality (used largely interchangeably with soil health in the literature) is most widely defined, following Karlen et al. (1997) and Doran and Parkin (1994), as the capacity of a soil to function within natural or managed ecosystem boundaries so as to sustain biological productivity, maintain or enhance environmental quality (air and water), and support plant, animal, and human health. This definition is deliberately functional rather than compositional: soil quality is not a fixed property that can be read off a single laboratory value, but an emergent, integrative characteristic that depends on how a soil's physical, chemical, and biological properties act together to perform ecosystem functions such as nutrient cycling, water storage and transmission, physical support and habitat provision for roots and organisms, and resilience to and resistance from degradation.</w:t>
      </w:r>
    </w:p>
    <w:p>
      <w:pPr>
        <w:pStyle w:val="BodyText"/>
      </w:pPr>
      <w:r>
        <w:t xml:space="preserve">Two complementary distinctions recur throughout the literature. The first is between inherent soil quality — the baseline capacity set largely by parent material, climate, and long-term pedogenesis (for example, texture or mineralogy) — and dynamic (or manageable) soil quality — the component that changes over management-relevant timescales in response to tillage, residue management, fertilization, and cropping system (for example, soil organic carbon, microbial biomass, or aggregate stability). The second distinction is between comparative assessment, in which soils are ranked or scored against one another under similar conditions, and dynamic assessment, in which the same soil is tracked over time to detect a trajectory of improvement or degradation under a given management regime (Larson and Pierce, 1994).</w:t>
      </w:r>
    </w:p>
    <w:p>
      <w:pPr>
        <w:pStyle w:val="BodyText"/>
      </w:pPr>
      <w:r>
        <w:t xml:space="preserve">Because soil quality cannot be measured directly, it must be inferred from indicators — measurable physical (e.g., bulk density, aggregate stability, texture, water-holding capacity), chemical (e.g., pH, electrical conductivity, organic carbon, available nutrients), and biological (e.g., microbial biomass carbon, enzyme activities, respiration) properties that are sensitive to management and mechanistically linked to soil function. A Soil Quality Index (SQI) — sometimes called a Soil Health Index — is the quantitative device used to combine a set of such indicators into a single, interpretable numerical value.</w:t>
      </w:r>
    </w:p>
    <w:p>
      <w:pPr>
        <w:pStyle w:val="Heading3"/>
      </w:pPr>
      <w:r>
        <w:t xml:space="preserve">21.5.2 Purpose and Applications of an SQI</w:t>
      </w:r>
    </w:p>
    <w:p>
      <w:pPr>
        <w:pStyle w:val="FirstParagraph"/>
      </w:pPr>
      <w:r>
        <w:t xml:space="preserve">An SQI serves several purposes that a single indicator, taken alone, cannot: it condenses a multidimensional set of measurements into one number that can be compared across soils, treatments, landforms, or time; it provides a monitoring and decision-support tool for land managers and policymakers to evaluate whether a management practice (for example, conservation agriculture versus conventional tillage) is improving or degrading soil function; and it allows soil quality to be statistically related to an outcome of agronomic or environmental interest, most commonly crop yield or system productivity, which in turn allows the index itself to be validated. Because an SQI compresses many indicators into a single score, its scientific credibility depends entirely on the rigor of three sequential methodological steps: (1) selecting which indicators to include, (2) transforming each indicator's raw value onto a common, unitless scoring scale, and (3) integrating the individual scores into the composite index. Sections 3 through 7 of this document treat each of these steps in turn; Sections 8 and 9 then treat how a constructed SQI is validated, with particular emphasis on stepwise regression as a validation and sensitivity-screening tool; Section 10 compares the main variants of the method side by side.</w:t>
      </w:r>
    </w:p>
    <w:p>
      <w:pPr>
        <w:pStyle w:val="Heading2"/>
      </w:pPr>
      <w:r>
        <w:t xml:space="preserve">21.6 Conceptual Framework for SQI Development</w:t>
      </w:r>
    </w:p>
    <w:p>
      <w:pPr>
        <w:pStyle w:val="Heading3"/>
      </w:pPr>
      <w:r>
        <w:t xml:space="preserve">21.6.1 The Soil Management Assessment Framework (SMAF)</w:t>
      </w:r>
    </w:p>
    <w:p>
      <w:pPr>
        <w:pStyle w:val="FirstParagraph"/>
      </w:pPr>
      <w:r>
        <w:t xml:space="preserve">The dominant conceptual framework underlying most modern SQI methods is the Soil Management Assessment Framework (SMAF), formalized by Andrews, Karlen, and Cambardella (2004) and built on the earlier work of Karlen and Stott (1994) and Doran and Parkin (1994). SMAF structures the construction of an SQI into three generic, sequential phases:</w:t>
      </w:r>
    </w:p>
    <w:p>
      <w:pPr>
        <w:numPr>
          <w:ilvl w:val="0"/>
          <w:numId w:val="1166"/>
        </w:numPr>
      </w:pPr>
      <w:r>
        <w:t xml:space="preserve">Phase 1 — Indicator selection: choosing an appropriate, function-relevant Minimum Data Set (MDS) of indicators from a larger pool of candidate measurements (the Total Data Set, or TDS).</w:t>
      </w:r>
    </w:p>
    <w:p>
      <w:pPr>
        <w:numPr>
          <w:ilvl w:val="0"/>
          <w:numId w:val="1166"/>
        </w:numPr>
      </w:pPr>
      <w:r>
        <w:t xml:space="preserve">Phase 2 — Indicator scoring (transformation): converting each MDS indicator's raw, differently-scaled and differently-unitted value into a unitless score, typically bounded between 0 and 1 (or 0 and 100), using a scoring (or 'membership') function appropriate to how that indicator relates to soil function.</w:t>
      </w:r>
    </w:p>
    <w:p>
      <w:pPr>
        <w:numPr>
          <w:ilvl w:val="0"/>
          <w:numId w:val="1166"/>
        </w:numPr>
      </w:pPr>
      <w:r>
        <w:t xml:space="preserve">Phase 3 — Integration: combining the individual indicator scores into a single composite index value, usually as a weighted (or unweighted) sum.</w:t>
      </w:r>
    </w:p>
    <w:p>
      <w:pPr>
        <w:pStyle w:val="FirstParagraph"/>
      </w:pPr>
      <w:r>
        <w:t xml:space="preserve">This three-phase logic is common to essentially every SQI variant surveyed in this document — the Cornell Comprehensive Assessment of Soil Health (CASH; Moebius-Clune et al., 2016), the Haney test, and the many PCA-based, expert-opinion-based, and hybrid indices found in the agronomic and pedological literature — even though the specific statistical choices made within each phase differ substantially between studies. Recognizing this shared skeleton is useful because it means every SQI method can be located and compared along exactly three axes: how it selects indicators, how it scores them, and how it weights and combines them.</w:t>
      </w:r>
    </w:p>
    <w:p>
      <w:pPr>
        <w:pStyle w:val="Heading3"/>
      </w:pPr>
      <w:r>
        <w:t xml:space="preserve">21.6.2 Management Goal and Soil Functions</w:t>
      </w:r>
    </w:p>
    <w:p>
      <w:pPr>
        <w:pStyle w:val="FirstParagraph"/>
      </w:pPr>
      <w:r>
        <w:t xml:space="preserve">SMAF-based approaches begin by explicitly naming a management goal — most commonly 'productivity' (i.e., sustaining crop yield), but sometimes 'environmental quality' or a composite goal. This management goal is then decomposed into a small number of soil functions that are believed to jointly determine performance against that goal. A typical decomposition used for productivity-oriented SQIs distinguishes four functions: nutrient cycling (the soil's capacity to supply and retain plant-available nutrients), physical stability and support (structural integrity, aeration, and root penetrability), water relations (infiltration, storage, and supply of plant-available water), and resilience and resistance (the soil's buffering capacity against physical, chemical, or biological stress, often represented by organic carbon pools). Naming these functions up front matters for two reasons: in the expert-opinion route to indicator selection the functions are the categories under which indicators and weights are assigned; and even in the purely statistical (PCA) route, the functions are used post hoc to interpret and label the resulting principal components (e.g., a PC dominated by loadings on organic carbon, microbial biomass carbon, and dehydrogenase activity is typically interpreted as an 'organic matter' or 'biological activity' component).</w:t>
      </w:r>
    </w:p>
    <w:p>
      <w:pPr>
        <w:pStyle w:val="Heading2"/>
      </w:pPr>
      <w:r>
        <w:t xml:space="preserve">21.7 Step 1 — Building the Total Data Set (TDS)</w:t>
      </w:r>
    </w:p>
    <w:p>
      <w:pPr>
        <w:pStyle w:val="FirstParagraph"/>
      </w:pPr>
      <w:r>
        <w:t xml:space="preserve">The Total Data Set is the exhaustive pool of candidate soil indicators measured or assembled for the assessment, before any statistical reduction is applied. A TDS is typically compiled to include representatives of all three indicator domains — physical (e.g., bulk density, penetration resistance, aggregate stability/mean weight diameter, texture fractions, porosity, field capacity, available water capacity, saturated hydraulic conductivity), chemical (e.g., pH, electrical conductivity, cation exchange capacity, soil organic carbon and its labile/total pools, total and available nitrogen, phosphorus, potassium, exchangeable calcium, magnesium, sodium, and micronutrients), and biological (e.g., microbial biomass carbon and nitrogen, basal and substrate-induced respiration, dehydrogenase, urease, phosphatase, β-glucosidase and other enzyme activities, potentially mineralizable nitrogen). TDS sizes in the reviewed literature range widely — from around a dozen variables in narrowly scoped studies to more than twenty-five when physical, chemical, and biological domains are all sampled comprehensively.</w:t>
      </w:r>
    </w:p>
    <w:p>
      <w:pPr>
        <w:pStyle w:val="BodyText"/>
      </w:pPr>
      <w:r>
        <w:t xml:space="preserve">Before any indicator-selection statistics are run, several data-preparation steps are standard practice:</w:t>
      </w:r>
    </w:p>
    <w:p>
      <w:pPr>
        <w:numPr>
          <w:ilvl w:val="0"/>
          <w:numId w:val="1167"/>
        </w:numPr>
      </w:pPr>
      <w:r>
        <w:t xml:space="preserve">Normality screening (e.g., Shapiro–Wilk or Kolmogorov–Smirnov tests) applied to each candidate variable, since downstream multivariate methods (PCA, discriminant analysis, regression) generally assume approximately normal, homoscedastic inputs.</w:t>
      </w:r>
    </w:p>
    <w:p>
      <w:pPr>
        <w:numPr>
          <w:ilvl w:val="0"/>
          <w:numId w:val="1167"/>
        </w:numPr>
      </w:pPr>
      <w:r>
        <w:t xml:space="preserve">Transformation of non-normal variables — commonly logarithmic transformation, and occasionally square-root transformation for specific variables such as pH or sand content — to better satisfy normality.</w:t>
      </w:r>
    </w:p>
    <w:p>
      <w:pPr>
        <w:numPr>
          <w:ilvl w:val="0"/>
          <w:numId w:val="1167"/>
        </w:numPr>
      </w:pPr>
      <w:r>
        <w:t xml:space="preserve">Standardization (conversion to zero mean, unit variance, i.e., z-scores) prior to PCA, which is essential whenever the candidate indicators are measured in different units and scales (e.g., pH is unitless and ranges narrowly, while available potassium may be measured in hundreds of mg/kg) — without standardization, high-magnitude variables would dominate the variance structure purely as an artifact of scale.</w:t>
      </w:r>
    </w:p>
    <w:p>
      <w:pPr>
        <w:numPr>
          <w:ilvl w:val="0"/>
          <w:numId w:val="1167"/>
        </w:numPr>
      </w:pPr>
      <w:r>
        <w:t xml:space="preserve">Outlier screening, for example via the interquartile range (IQR) rule, removing values that fall outside [Q1 − 1.5×IQR, Q3 + 1.5×IQR], and exclusion of any variable that cannot be normalized by any available transformation.</w:t>
      </w:r>
    </w:p>
    <w:p>
      <w:pPr>
        <w:pStyle w:val="FirstParagraph"/>
      </w:pPr>
      <w:r>
        <w:t xml:space="preserve">A preliminary Pearson correlation matrix among all TDS variables is also typically computed at this stage. Although its main statistical use comes later (in redundancy elimination, Section 4.2.4), inspecting it early is useful diagnostically — it reveals which indicator families are tightly interrelated (for example, soil organic carbon and total carbon, or chloride and electrical conductivity) and therefore likely to load onto the same principal component.</w:t>
      </w:r>
    </w:p>
    <w:p>
      <w:pPr>
        <w:pStyle w:val="Heading2"/>
      </w:pPr>
      <w:r>
        <w:t xml:space="preserve">21.8 Step 2 — Selecting the Minimum Data Set (MDS)</w:t>
      </w:r>
    </w:p>
    <w:p>
      <w:pPr>
        <w:pStyle w:val="FirstParagraph"/>
      </w:pPr>
      <w:r>
        <w:t xml:space="preserve">The Minimum Data Set is the small, non-redundant subset of the TDS retained to actually compute the SQI. Reducing the TDS to an MDS serves both a practical purpose (fewer indicators means the index is cheaper and faster to compute for routine monitoring) and a statistical one (retaining highly intercorrelated indicators would cause those correlated soil properties to be effectively double- or triple-counted in the final index, biasing it toward whatever function those correlated variables represent). Two broad, non-exclusive routes to MDS selection appear throughout the literature: an expert-opinion / conceptual-framework route, and a statistical (chiefly PCA-based) route. Many studies compute both in parallel specifically in order to compare them.</w:t>
      </w:r>
    </w:p>
    <w:p>
      <w:pPr>
        <w:pStyle w:val="Heading3"/>
      </w:pPr>
      <w:r>
        <w:t xml:space="preserve">21.8.1 Expert Opinion / Conceptual Framework (EO/CF) Approach</w:t>
      </w:r>
    </w:p>
    <w:p>
      <w:pPr>
        <w:pStyle w:val="FirstParagraph"/>
      </w:pPr>
      <w:r>
        <w:t xml:space="preserve">In the expert-opinion route, indicators are assigned to the MDS not by a statistical reduction algorithm but by the researcher's or a panel of experts' judgment, informed by the literature, about which measurable properties best represent each of the soil functions named in the relevant chapter. For example, under a four-function decomposition (nutrient cycling, physical stability and support, water relations, resilience and resistance), available nitrogen, phosphorus, and potassium, microbial biomass carbon, dehydrogenase activity, pH, and electrical conductivity might be assigned to 'nutrient cycling'; mean weight diameter and bulk density to 'physical stability and support'; porosity and total organic carbon to 'water relations'; and total organic carbon again to 'resilience and resistance' (a single indicator can serve more than one function). The chief advantage of this approach is that it is transparent, interpretable, and does not require a particular dataset's statistical structure to be well-behaved (small sample sizes, for instance, make PCA unstable, but expert-opinion selection is unaffected). Its chief disadvantage, discussed further in the relevant chapter, is subjectivity: different expert panels, or the same panel applied to different cropping systems or regions, can produce different MDS compositions and different indicator-to-function assignments, and this subjectivity propagates into the weighting step as well.</w:t>
      </w:r>
    </w:p>
    <w:p>
      <w:pPr>
        <w:pStyle w:val="Heading3"/>
      </w:pPr>
      <w:r>
        <w:t xml:space="preserve">21.8.2 Statistical (PCA-Based) Approach</w:t>
      </w:r>
    </w:p>
    <w:p>
      <w:pPr>
        <w:pStyle w:val="FirstParagraph"/>
      </w:pPr>
      <w:r>
        <w:t xml:space="preserve">The statistical route uses Principal Component Analysis (PCA) — or, for categorical/ordinal data, its categorical analogue — to let the correlation structure of the TDS itself determine which indicators are retained, with the aim of removing subjectivity and avoiding redundant, highly intercorrelated indicators being counted more than once.</w:t>
      </w:r>
    </w:p>
    <w:p>
      <w:pPr>
        <w:pStyle w:val="Heading4"/>
      </w:pPr>
      <w:r>
        <w:t xml:space="preserve">Principal Component Analysis Fundamentals</w:t>
      </w:r>
    </w:p>
    <w:p>
      <w:pPr>
        <w:pStyle w:val="FirstParagraph"/>
      </w:pPr>
      <w:r>
        <w:t xml:space="preserve">PCA is a dimensionality-reduction technique that transforms a set of possibly correlated variables into a smaller set of uncorrelated variables called principal components (PCs), each a linear combination of the original (standardized) variables. The first PC is constructed to capture the maximum possible variance in the dataset; each subsequent PC captures the maximum remaining variance subject to being orthogonal (uncorrelated) to all previous PCs. Each variable's contribution to a given PC is expressed as its factor loading (equivalently, eigenvector coefficient) on that PC — a value, typically reported between −1 and +1, indicating both the strength and the direction of that variable's association with the component. Applied to an SQI's TDS, PCA serves two distinct purposes simultaneously: it identifies which original variables are the dominant, most information-rich indicators (via factor loadings, used for MDS selection, this section), and — in several methods — it directly supplies the weights used later to combine the selected indicators into the final index.</w:t>
      </w:r>
    </w:p>
    <w:p>
      <w:pPr>
        <w:pStyle w:val="Heading4"/>
      </w:pPr>
      <w:r>
        <w:t xml:space="preserve">Principal Component Retention Criteria</w:t>
      </w:r>
    </w:p>
    <w:p>
      <w:pPr>
        <w:pStyle w:val="FirstParagraph"/>
      </w:pPr>
      <w:r>
        <w:t xml:space="preserve">Not all extracted PCs are retained; only those judged to represent genuine, non-trivial shared variance are kept for indicator selection. The standard rule, following Kaiser (1960), is to retain only PCs with an eigenvalue greater than 1.0 — an eigenvalue of 1.0 corresponds to the amount of variance contributed by a single original (standardized) variable, so a PC with eigenvalue below 1 explains less variance than one original variable did on its own and is considered non-informative. Some studies apply this criterion strictly; others relax it slightly, additionally retaining a PC whose eigenvalue is marginally below 1.0 (e.g., 0.85–0.99) if it still explains a non-trivial share of variance (commonly a threshold of explaining more than 5% of total variance is used as the secondary criterion). A scree plot — eigenvalue plotted against component number — is the standard visual diagnostic for this decision, with the retained components corresponding to the steep initial drop in the plot before it flattens. The number of retained PCs, and the cumulative percentage of total variance they jointly explain (commonly ranging from roughly 65% to more than 90% across the reviewed studies, with 75–90% being typical), are always reported alongside the MDS.</w:t>
      </w:r>
    </w:p>
    <w:p>
      <w:pPr>
        <w:pStyle w:val="Heading4"/>
      </w:pPr>
      <w:r>
        <w:t xml:space="preserve">Factor-Loading Thresholds for Indicator Retention Within a PC</w:t>
      </w:r>
    </w:p>
    <w:p>
      <w:pPr>
        <w:pStyle w:val="FirstParagraph"/>
      </w:pPr>
      <w:r>
        <w:t xml:space="preserve">Within each retained PC, the next question is which of the original variables loading onto it should be treated as 'highly weighted' — i.e., substantively represented by that component — and therefore eligible for the MDS. The literature uses two related but numerically distinct threshold rules for this:</w:t>
      </w:r>
    </w:p>
    <w:p>
      <w:pPr>
        <w:numPr>
          <w:ilvl w:val="0"/>
          <w:numId w:val="1168"/>
        </w:numPr>
      </w:pPr>
      <w:r>
        <w:t xml:space="preserve">Relative-to-maximum rule (most common; following Andrews et al., 2002): first identify the single variable with the highest absolute factor loading on the PC. Any other variable whose absolute loading falls within a specified percentage of that maximum — most commonly within 10% of it, though some studies use a tighter 5% band — is also treated as 'highly weighted' on that PC and becomes a candidate for the MDS. For example, if the highest loading on PC1 is 0.72, the 10% band spans loadings from 0.72 × 0.9 = 0.648 up to 0.72; every variable whose loading falls in that range is a candidate.</w:t>
      </w:r>
    </w:p>
    <w:p>
      <w:pPr>
        <w:numPr>
          <w:ilvl w:val="0"/>
          <w:numId w:val="1168"/>
        </w:numPr>
      </w:pPr>
      <w:r>
        <w:t xml:space="preserve">Fixed absolute-threshold rule (used in some studies, particularly with categorical/morphological data): a variable is considered highly weighted if its absolute factor loading exceeds a fixed cutoff, commonly 0.6, regardless of what the single highest loading on that PC happens to be.</w:t>
      </w:r>
    </w:p>
    <w:p>
      <w:pPr>
        <w:pStyle w:val="FirstParagraph"/>
      </w:pPr>
      <w:r>
        <w:t xml:space="preserve">Both rules exist to prevent an MDS from being needlessly inflated by variables that merely correlate weakly or moderately with a component; only variables that are strong, near-defining representatives of a PC are considered.</w:t>
      </w:r>
    </w:p>
    <w:p>
      <w:pPr>
        <w:pStyle w:val="Heading4"/>
      </w:pPr>
      <w:r>
        <w:t xml:space="preserve">Correlation-Based Redundancy Elimination</w:t>
      </w:r>
    </w:p>
    <w:p>
      <w:pPr>
        <w:pStyle w:val="FirstParagraph"/>
      </w:pPr>
      <w:r>
        <w:t xml:space="preserve">It is common for more than one variable to pass the factor-loading threshold within a single PC — this happens precisely when several indicators are themselves highly intercorrelated (for example, structural grade, structure type, and texture class might all load strongly and almost identically onto the same PC because they are pedogenically linked). Retaining all of them in the MDS would be statistically redundant. The standard resolution is:</w:t>
      </w:r>
    </w:p>
    <w:p>
      <w:pPr>
        <w:numPr>
          <w:ilvl w:val="0"/>
          <w:numId w:val="1169"/>
        </w:numPr>
      </w:pPr>
      <w:r>
        <w:t xml:space="preserve">Compute the Pearson correlation coefficient between every pair of candidate ('highly weighted') variables within that PC.</w:t>
      </w:r>
    </w:p>
    <w:p>
      <w:pPr>
        <w:numPr>
          <w:ilvl w:val="0"/>
          <w:numId w:val="1169"/>
        </w:numPr>
      </w:pPr>
      <w:r>
        <w:t xml:space="preserve">If a pair (or group) of candidates is significantly correlated with one another — common significance/strength cutoffs used in the literature are p &lt; 0.05 combined with |r| exceeding roughly 0.5–0.6 — then only the single variable with the highest factor loading among the correlated group is retained in the final MDS; the remaining, correlated variable(s) are dropped as redundant.</w:t>
      </w:r>
    </w:p>
    <w:p>
      <w:pPr>
        <w:numPr>
          <w:ilvl w:val="0"/>
          <w:numId w:val="1169"/>
        </w:numPr>
      </w:pPr>
      <w:r>
        <w:t xml:space="preserve">If, on the other hand, the candidate variables within a PC are found to be uncorrelated (not statistically significant), the reduction logic does not apply, and all of them are retained in the MDS, since each is then contributing genuinely independent information despite sharing loading on the same component.</w:t>
      </w:r>
    </w:p>
    <w:p>
      <w:pPr>
        <w:pStyle w:val="FirstParagraph"/>
      </w:pPr>
      <w:r>
        <w:t xml:space="preserve">This two-stage procedure — factor-loading threshold, then correlation-based pruning — is repeated independently for every retained PC, and the union of the surviving variables across all PCs constitutes the final MDS. The net effect is that a TDS of, say, twenty or more candidate indicators is typically reduced to an MDS of only three to six indicators, generally with roughly one representative indicator surviving per retained principal component.</w:t>
      </w:r>
    </w:p>
    <w:p>
      <w:pPr>
        <w:pStyle w:val="Heading4"/>
      </w:pPr>
      <w:r>
        <w:t xml:space="preserve">Discriminant Analysis as a Complementary Selection Tool</w:t>
      </w:r>
    </w:p>
    <w:p>
      <w:pPr>
        <w:pStyle w:val="FirstParagraph"/>
      </w:pPr>
      <w:r>
        <w:t xml:space="preserve">Some studies supplement or cross-check PCA-based selection with (stepwise) Discriminant Analysis (DA). Where PCA is unsupervised — it uses only the correlation structure among indicators, with no reference to any outcome or grouping variable — DA is a supervised technique: it seeks the linear combination of candidate variables that best discriminates between predefined groups, such as two different land-use or cropping-rotation systems, or (in a two-round design) first between groups using PC scores as candidate discriminators, and then, in a second round, among the raw variables that make up whichever PCs proved most discriminating. The output of a stepwise DA is a discriminant function of the general linear form Y = a1·X1 + a2·X2 + ... + an·Xn, whose coefficients (a1...an) indicate each retained variable's discriminating power; the practical selection rule is simply that variables whose stepwise inclusion significantly improves group classification accuracy are kept in the MDS, while those that do not are dropped. DA-derived MDS quality is typically reported as the percentage of samples correctly classified into their true group by the resulting function (jackknife or leave-one-out classification accuracies in the high 80s to low 90s percent are typical when DA is used this way).</w:t>
      </w:r>
    </w:p>
    <w:p>
      <w:pPr>
        <w:pStyle w:val="Heading4"/>
      </w:pPr>
      <w:r>
        <w:t xml:space="preserve">Special Case: Categorical/Ordinal Data — CATPCA and Optimal Scaling</w:t>
      </w:r>
    </w:p>
    <w:p>
      <w:pPr>
        <w:pStyle w:val="FirstParagraph"/>
      </w:pPr>
      <w:r>
        <w:t xml:space="preserve">Standard PCA requires continuous, interval-scaled data and cannot be applied directly to categorical field-morphological descriptors (for example, soil structure type, texture class, or Munsell color hue, which are nominal or ordinal rather than continuous). For such data, Categorical Principal Component Analysis (CATPCA), based on an optimal scaling transformation, is used instead. Optimal scaling assigns each category of a nominal or ordinal variable a numerical quantification chosen so as to maximize the variance the transformed variable can explain within the PCA — in effect, converting non-numeric categories into numeric scale values in the way that is statistically most consistent with the rest of the dataset, before the standard PCA machinery (eigenvalue extraction, factor loadings, retention thresholds, correlation-based redundancy elimination) is applied exactly as described above. The resulting quantified values, rather than the original category labels, are then what enters the scoring step.</w:t>
      </w:r>
    </w:p>
    <w:p>
      <w:pPr>
        <w:pStyle w:val="Heading3"/>
      </w:pPr>
      <w:r>
        <w:t xml:space="preserve">21.8.3 Comparing Expert-Opinion and Statistical MDS Selection</w:t>
      </w:r>
    </w:p>
    <w:p>
      <w:pPr>
        <w:pStyle w:val="FirstParagraph"/>
      </w:pPr>
      <w:r>
        <w:t xml:space="preserve">The two routes trade off in predictable ways. Expert-opinion selection is transparent, requires no particular sample size, and produces an MDS whose composition is easy to justify functionally (each indicator is explicitly tied to a named soil function) — but it is subjective, and different studies applying expert opinion to superficially similar systems can select different indicators, weight them differently, and thus report different absolute SQI values that are not necessarily comparable to one another. Statistical (PCA-based) selection is more objective and data-driven, reduces indicator redundancy explicitly through the correlation-pruning step, and produces an MDS and weighting scheme tailored to the specific dataset's variance structure — but it is more complex to execute, requires an adequately sized and reasonably well-behaved dataset, and its output (both the MDS composition and the derived weights) is dataset-specific, meaning it may not transfer cleanly to a different region, soil type, or cropping system without re-running the entire analysis. In practice, many studies compute both an expert-opinion-based SQI and a PCA-based SQI on the same data specifically so that the two can be validated against a common outcome (typically crop yield, Section 8) and compared — several such comparisons have found the two approaches produce indices that are highly correlated with one another and with yield, despite their very different construction logic, which is often taken as reassuring evidence that both are capturing genuine soil-quality signal rather than a methodological artifact.</w:t>
      </w:r>
    </w:p>
    <w:p>
      <w:pPr>
        <w:pStyle w:val="Heading2"/>
      </w:pPr>
      <w:r>
        <w:t xml:space="preserve">21.9 Step 3 — Indicator Transformation and Scoring</w:t>
      </w:r>
    </w:p>
    <w:p>
      <w:pPr>
        <w:pStyle w:val="FirstParagraph"/>
      </w:pPr>
      <w:r>
        <w:t xml:space="preserve">Once the MDS is fixed, each retained indicator must be converted from its raw, differently-scaled measurement into a common, unitless score — conventionally bounded on [0, 1] or [0, 100] — so that indicators as different as pH, bulk density, and enzyme activity can be meaningfully summed together in the same index. This transformation step, sometimes called normalization or membership scoring, is where the analyst encodes what is actually known (or assumed) about how each indicator relates to soil function.</w:t>
      </w:r>
    </w:p>
    <w:p>
      <w:pPr>
        <w:pStyle w:val="Heading3"/>
      </w:pPr>
      <w:r>
        <w:t xml:space="preserve">21.9.1 Why Scoring Is Needed, and the Three Functional Relationships</w:t>
      </w:r>
    </w:p>
    <w:p>
      <w:pPr>
        <w:pStyle w:val="FirstParagraph"/>
      </w:pPr>
      <w:r>
        <w:t xml:space="preserve">Before choosing a scoring function, every MDS indicator must first be classified according to how it is believed to relate to soil quality or function. Three canonical relationship types are used throughout the literature:</w:t>
      </w:r>
    </w:p>
    <w:p>
      <w:pPr>
        <w:numPr>
          <w:ilvl w:val="0"/>
          <w:numId w:val="1170"/>
        </w:numPr>
      </w:pPr>
      <w:r>
        <w:t xml:space="preserve">'More is better': the soil function of interest improves monotonically as the indicator's value increases (e.g., soil organic carbon, aggregate stability, available water capacity, most enzyme activities and microbial biomass — more is, within the observed range, assumed to be functionally favorable).</w:t>
      </w:r>
    </w:p>
    <w:p>
      <w:pPr>
        <w:numPr>
          <w:ilvl w:val="0"/>
          <w:numId w:val="1170"/>
        </w:numPr>
      </w:pPr>
      <w:r>
        <w:t xml:space="preserve">'Less is better': the soil function of interest improves monotonically as the indicator's value decreases (e.g., bulk density, penetration resistance, electrical conductivity in non-saline-target contexts, greenhouse-gas emissions such as N2O — less is favorable).</w:t>
      </w:r>
    </w:p>
    <w:p>
      <w:pPr>
        <w:numPr>
          <w:ilvl w:val="0"/>
          <w:numId w:val="1170"/>
        </w:numPr>
      </w:pPr>
      <w:r>
        <w:t xml:space="preserve">'Optimum' (unimodal): the soil function of interest is maximized at some intermediate value and declines on either side of it (e.g., soil pH, which is typically optimal near neutral to slightly acidic values for most crops and unfavorable if either too acidic or too alkaline; similarly certain nutrient concentrations and texture fractions).</w:t>
      </w:r>
    </w:p>
    <w:p>
      <w:pPr>
        <w:pStyle w:val="FirstParagraph"/>
      </w:pPr>
      <w:r>
        <w:t xml:space="preserve">This classification is usually made a priori, from agronomic/pedological knowledge (informed also by the sign of that indicator's correlation with a productivity outcome, where available), and it determines which specific scoring function — linear or non-linear — is applied to that indicator.</w:t>
      </w:r>
    </w:p>
    <w:p>
      <w:pPr>
        <w:pStyle w:val="Heading3"/>
      </w:pPr>
      <w:r>
        <w:t xml:space="preserve">21.9.2 Linear Scoring Functions</w:t>
      </w:r>
    </w:p>
    <w:p>
      <w:pPr>
        <w:pStyle w:val="FirstParagraph"/>
      </w:pPr>
      <w:r>
        <w:t xml:space="preserve">Linear scoring is the simpler and by far the more commonly applied approach in agronomic SQI studies, particularly where the composite index will subsequently be validated by regressing it against crop yield (several authors explicitly note that non-linear scoring functions, discussed in the relevant chapter, are avoided in that context because they were found to have lower predictive power for the yield outcome than simple linear scores). The three linear scoring forms, corresponding to the three relationship types above, are:</w:t>
      </w:r>
    </w:p>
    <w:p>
      <w:pPr>
        <w:pStyle w:val="BlockText"/>
      </w:pPr>
      <w:r>
        <w:t xml:space="preserve">More is better: Score = (Observed value) / (Maximum observed value)</w:t>
      </w:r>
    </w:p>
    <w:p>
      <w:pPr>
        <w:pStyle w:val="BlockText"/>
      </w:pPr>
      <w:r>
        <w:t xml:space="preserve">Less is better: Score = (Minimum observed value) / (Observed value)</w:t>
      </w:r>
    </w:p>
    <w:p>
      <w:pPr>
        <w:pStyle w:val="FirstParagraph"/>
      </w:pPr>
      <w:r>
        <w:t xml:space="preserve">In both forms the score is bounded on (0, 1], with the single most favorable observation in the dataset receiving a score of exactly 1.0 and every other observation scaled proportionally against it. Some formulations instead scale each indicator against the observed dataset's minimum and maximum jointly, producing a score bounded on a slightly offset interval — for example:</w:t>
      </w:r>
    </w:p>
    <w:p>
      <w:pPr>
        <w:pStyle w:val="BlockText"/>
      </w:pPr>
      <w:r>
        <w:t xml:space="preserve">More is better (min–max form): Score = 0.1 + [(x − x_min) / (x_max − x_min)] × 0.9</w:t>
      </w:r>
    </w:p>
    <w:p>
      <w:pPr>
        <w:pStyle w:val="BlockText"/>
      </w:pPr>
      <w:r>
        <w:t xml:space="preserve">Less is better (min–max form): Score = 1.1 − {0.1 + [(x − x_min) / (x_max − x_min)] × 0.9}</w:t>
      </w:r>
    </w:p>
    <w:p>
      <w:pPr>
        <w:pStyle w:val="FirstParagraph"/>
      </w:pPr>
      <w:r>
        <w:t xml:space="preserve">where x is the observed value of the indicator for a given sample, and x_min and x_max are the minimum and maximum observed values of that indicator across the full dataset. This variant deliberately avoids a score of exactly 0, on the reasoning that even the poorest-observed soil in a dataset still retains some non-zero function.</w:t>
      </w:r>
    </w:p>
    <w:p>
      <w:pPr>
        <w:pStyle w:val="BodyText"/>
      </w:pPr>
      <w:r>
        <w:t xml:space="preserve">For indicators classified as 'optimum,' linear scoring is applied piecewise: values below (or above) the identified optimum are scored using the 'more is better' equation up to the optimum, and values beyond the optimum are scored using the 'less is better' equation — in effect switching from one linear form to the other at the threshold or optimum value, producing an overall triangular (piecewise-linear, tent-shaped) scoring curve rather than a smooth curve. The optimum threshold itself may be set either at the sample mean/median of the observed data, or at an externally justified agronomic benchmark (for example, a pH value or nutrient concentration independently associated in the literature with maximum yield potential for the crop and soil type in question).</w:t>
      </w:r>
    </w:p>
    <w:p>
      <w:pPr>
        <w:pStyle w:val="Heading3"/>
      </w:pPr>
      <w:r>
        <w:t xml:space="preserve">21.9.3 Non-Linear Scoring Functions</w:t>
      </w:r>
    </w:p>
    <w:p>
      <w:pPr>
        <w:pStyle w:val="FirstParagraph"/>
      </w:pPr>
      <w:r>
        <w:t xml:space="preserve">Non-linear scoring replaces the simple ratio or piecewise-linear forms above with a continuous curve fitted to better represent the true, typically non-linear, biological or physical response of soil function to the indicator. Two related non-linear approaches recur in the literature.</w:t>
      </w:r>
    </w:p>
    <w:p>
      <w:pPr>
        <w:pStyle w:val="Heading4"/>
      </w:pPr>
      <w:r>
        <w:t xml:space="preserve">Z-Score / Empirically Fitted Non-Linear Scoring</w:t>
      </w:r>
    </w:p>
    <w:p>
      <w:pPr>
        <w:pStyle w:val="FirstParagraph"/>
      </w:pPr>
      <w:r>
        <w:t xml:space="preserve">In this approach (used in several regional soil-health scoring frameworks modeled on SMAF and CASH), scoring proceeds in three stages rather than one direct formula:</w:t>
      </w:r>
    </w:p>
    <w:p>
      <w:pPr>
        <w:numPr>
          <w:ilvl w:val="0"/>
          <w:numId w:val="1171"/>
        </w:numPr>
      </w:pPr>
      <w:r>
        <w:t xml:space="preserve">(1) Standardize: convert each indicator's raw, normalized (transformed if necessary) value into a Z-score relative to that indicator's own distribution across the dataset, so that Z = 0 at the mean and Z typically ranges from about −3 to +3.</w:t>
      </w:r>
    </w:p>
    <w:p>
      <w:pPr>
        <w:numPr>
          <w:ilvl w:val="0"/>
          <w:numId w:val="1171"/>
        </w:numPr>
      </w:pPr>
      <w:r>
        <w:t xml:space="preserve">(2) Anchor the score curve at defined points according to the indicator's relationship type: for 'more is better' indicators, the score is defined to equal 100 (or 1.0) at Z = +3 and 0 at Z = −3, rising monotonically between; for 'less is better' indicators the anchoring is reversed (100 at Z = −3, 0 at Z = +3); for 'optimum' indicators the score is anchored at 100 at Z = 0 (the distribution mean) and falls to 0 at either extreme (Z = −3 or Z = +3), producing a peaked, unimodal curve — importantly, this peak is often empirically asymmetric/skewed rather than a symmetric triangle, because the underlying biological response is rarely perfectly symmetric around the mean.</w:t>
      </w:r>
    </w:p>
    <w:p>
      <w:pPr>
        <w:numPr>
          <w:ilvl w:val="0"/>
          <w:numId w:val="1171"/>
        </w:numPr>
      </w:pPr>
      <w:r>
        <w:t xml:space="preserve">(3) Fit a continuous non-linear regression model between the raw indicator value and its anchored score, selecting among several candidate functional forms — commonly tested candidates include a second-order polynomial (with or without a forced intercept), a power function, a square-root function, a logarithmic function, and the Hoerl function (a flexible curve of the general form y = a·b^x·x^c) — with the best-fitting form chosen by goodness-of-fit statistics (R² and root-mean-square error, RMSE), subject to the practical constraint that the fitted curve must not develop an inflection point that would cause it to reach its maximum score prematurely (i.e., before the true best-observed indicator values).</w:t>
      </w:r>
    </w:p>
    <w:p>
      <w:pPr>
        <w:pStyle w:val="FirstParagraph"/>
      </w:pPr>
      <w:r>
        <w:t xml:space="preserve">The result of this procedure, applied indicator by indicator, is a family of continuous scoring curves: smoothly rising S-shaped curves for 'more is better' indicators, smoothly falling curves for 'less is better' indicators, and skewed unimodal (peaked) curves for 'optimum' indicators — each specific to that indicator's empirical distribution in the dataset used to derive it.</w:t>
      </w:r>
    </w:p>
    <w:p>
      <w:pPr>
        <w:pStyle w:val="Heading4"/>
      </w:pPr>
      <w:r>
        <w:t xml:space="preserve">Sigmoidal (Logistic-Type) Scoring Function</w:t>
      </w:r>
    </w:p>
    <w:p>
      <w:pPr>
        <w:pStyle w:val="FirstParagraph"/>
      </w:pPr>
      <w:r>
        <w:t xml:space="preserve">A second, more compact non-linear approach fits a single explicit sigmoidal (logistic-type) equation directly to each indicator, rather than deriving the curve from Z-score anchoring and model selection. The general form is:</w:t>
      </w:r>
    </w:p>
    <w:p>
      <w:pPr>
        <w:pStyle w:val="BlockText"/>
      </w:pPr>
      <w:r>
        <w:t xml:space="preserve">y = a / [1 + (x / x₀)^b]</w:t>
      </w:r>
    </w:p>
    <w:p>
      <w:pPr>
        <w:pStyle w:val="FirstParagraph"/>
      </w:pPr>
      <w:r>
        <w:t xml:space="preserve">where y is the normalized score (bounded between 0 and the asymptote a, typically set to a = 1); x is the raw observed value of the indicator; x₀ is a scale parameter — commonly set equal to the mean value of that indicator across the dataset, which has the convenient property of fixing the score at exactly 0.5 whenever the indicator takes its mean value; and b is a shape parameter controlling the steepness and direction of the curve. For a 'more is better' indicator (higher raw value should map to a higher score, approaching the upper asymptote), a negative shape parameter is used — a commonly cited fitted value in the literature is b ≈ −2.5 — giving:</w:t>
      </w:r>
    </w:p>
    <w:p>
      <w:pPr>
        <w:pStyle w:val="BlockText"/>
      </w:pPr>
      <w:r>
        <w:t xml:space="preserve">y = 1 / [1 + (x / x₀)^(−2.5)]</w:t>
      </w:r>
    </w:p>
    <w:p>
      <w:pPr>
        <w:pStyle w:val="FirstParagraph"/>
      </w:pPr>
      <w:r>
        <w:t xml:space="preserve">This produces a smooth, S-shaped (sigmoidal) curve that rises from near 0 at low raw values, through 0.5 at the mean, to near 1.0 (the asymptote) at high raw values — closely fitting empirical data in several published applications (goodness-of-fit R² values in excess of 0.999 have been reported when this form is fitted to biological/biochemical soil indicators). The principal motivation for this non-linear form, as opposed to the simple linear ratio of the relevant chapter, is that a straight linear ratio would allow whichever indicator happens to have the largest raw numeric range to dominate the composite index purely as an artifact of measurement scale — for instance, an indicator measured in the hundreds of units would swing its linear score across a much wider effective range than an indicator measured in single units, even if the two are equally important biologically. The sigmoidal transform compresses each indicator onto an equivalent (0, 1) scale in a way that reflects its own distribution, rather than its absolute numeric magnitude, so that no single indicator can dominate the sum purely because of its units.</w:t>
      </w:r>
    </w:p>
    <w:p>
      <w:pPr>
        <w:pStyle w:val="Heading4"/>
      </w:pPr>
      <w:r>
        <w:t xml:space="preserve">Choosing Curve Shape and Reporting Fit Statistics</w:t>
      </w:r>
    </w:p>
    <w:p>
      <w:pPr>
        <w:pStyle w:val="FirstParagraph"/>
      </w:pPr>
      <w:r>
        <w:t xml:space="preserve">Regardless of which non-linear form is used, the fitted curve's adequacy is always reported using standard regression goodness-of-fit statistics — chiefly the coefficient of determination (R²) between the fitted curve and the anchored/observed scores, and sometimes the root-mean-square error (RMSE). Curve-fitting is typically performed using dedicated non-linear regression or curve-fitting software (for example, SigmaPlot), separately for every indicator in the MDS, since each indicator's distribution, and therefore its best-fitting scale parameter(s), differs.</w:t>
      </w:r>
    </w:p>
    <w:p>
      <w:pPr>
        <w:pStyle w:val="Heading4"/>
      </w:pPr>
      <w:r>
        <w:t xml:space="preserve">Linear versus Non-Linear Scoring: Trade-Offs</w:t>
      </w:r>
    </w:p>
    <w:p>
      <w:pPr>
        <w:pStyle w:val="FirstParagraph"/>
      </w:pPr>
      <w:r>
        <w:t xml:space="preserve">The choice between linear and non-linear scoring is a genuine methodological fork with documented consequences, not merely a stylistic preference:</w:t>
      </w:r>
    </w:p>
    <w:p>
      <w:pPr>
        <w:numPr>
          <w:ilvl w:val="0"/>
          <w:numId w:val="1172"/>
        </w:numPr>
      </w:pPr>
      <w:r>
        <w:t xml:space="preserve">Non-linear (curvilinear) scoring more faithfully represents the typically threshold-like, saturating, or optimum-centered biological and physical responses that most soil indicators actually display — few soil functions genuinely respond in a straight-line fashion across their entire observed range.</w:t>
      </w:r>
    </w:p>
    <w:p>
      <w:pPr>
        <w:numPr>
          <w:ilvl w:val="0"/>
          <w:numId w:val="1172"/>
        </w:numPr>
      </w:pPr>
      <w:r>
        <w:t xml:space="preserve">Non-linear scoring is more mathematically and computationally demanding: it requires fitting and validating a separate non-linear regression model per indicator (with attendant risks of overfitting or an ill-behaved inflection point, as noted in the relevant chapter), whereas linear scoring requires only a simple ratio calculation.</w:t>
      </w:r>
    </w:p>
    <w:p>
      <w:pPr>
        <w:numPr>
          <w:ilvl w:val="0"/>
          <w:numId w:val="1172"/>
        </w:numPr>
      </w:pPr>
      <w:r>
        <w:t xml:space="preserve">Empirically, at least one comparative study cited in this literature found that non-linear scoring functions performed worse (lower R²) than simple linear scoring functions when the resulting SQI was subsequently validated against crop yield, and explicitly adopted linear scoring for that reason — suggesting that the added mathematical flexibility of a non-linear curve does not automatically translate into a more agronomically predictive index, and that the two choices should ideally be compared empirically on the dataset and outcome at hand rather than assumed.</w:t>
      </w:r>
    </w:p>
    <w:p>
      <w:pPr>
        <w:numPr>
          <w:ilvl w:val="0"/>
          <w:numId w:val="1172"/>
        </w:numPr>
      </w:pPr>
      <w:r>
        <w:t xml:space="preserve">Non-linear, Z-score-anchored scoring is particularly well suited to frameworks that aim to be regionally standardized and reused across many future samples (a soil-health scoring tool, as opposed to a one-off research index), because once fitted, the resulting curve equation can be applied to any new sample's raw value without recomputing the whole dataset's PCA and weights — whereas simple linear (max-ratio) scoring is inherently dataset-relative, since the score of any given sample depends on whatever the maximum or minimum happens to be within that particular dataset, and can therefore shift if the dataset is later expanded.</w:t>
      </w:r>
    </w:p>
    <w:p>
      <w:pPr>
        <w:pStyle w:val="Heading3"/>
      </w:pPr>
      <w:r>
        <w:t xml:space="preserve">21.9.4 Special Case: Scoring Optimal-Scaling-Transformed (Categorical) Indicators</w:t>
      </w:r>
    </w:p>
    <w:p>
      <w:pPr>
        <w:pStyle w:val="FirstParagraph"/>
      </w:pPr>
      <w:r>
        <w:t xml:space="preserve">For indicators derived via CATPCA/optimal scaling, the same linear 'more is better' / 'less is better' / 'optimum' scoring equations of the relevant chapter are applied, but to the optimal-scaling quantification value of the indicator (the transformed numeric score assigned to each category) rather than to a directly measured physical quantity. An 'optimum' function for such an indicator is constructed, as with continuous indicators, as a combination of the 'more is better' and 'less is better' equations applied on either side of the identified optimum quantification value.</w:t>
      </w:r>
    </w:p>
    <w:p>
      <w:pPr>
        <w:pStyle w:val="Heading2"/>
      </w:pPr>
      <w:r>
        <w:t xml:space="preserve">21.10 Step 4 — Weighting of Indicators</w:t>
      </w:r>
    </w:p>
    <w:p>
      <w:pPr>
        <w:pStyle w:val="FirstParagraph"/>
      </w:pPr>
      <w:r>
        <w:t xml:space="preserve">Once every MDS indicator has been converted to a common score, a weight must be assigned to each before they can be combined, reflecting the relative importance (or informativeness) of that indicator to overall soil quality. Four distinct weighting philosophies appear in the literature, in increasing order of statistical sophistication.</w:t>
      </w:r>
    </w:p>
    <w:p>
      <w:pPr>
        <w:pStyle w:val="Heading3"/>
      </w:pPr>
      <w:r>
        <w:t xml:space="preserve">21.10.1 Equal (Unweighted) Additive Weighting</w:t>
      </w:r>
    </w:p>
    <w:p>
      <w:pPr>
        <w:pStyle w:val="FirstParagraph"/>
      </w:pPr>
      <w:r>
        <w:t xml:space="preserve">The simplest approach dispenses with differential weighting altogether: each indicator's score (or, in some variants, an integer sub-score assigned from literature-based threshold classes rather than a continuous 0–1 scale) is simply summed, and the resulting sum is then linearly rescaled onto a common (0, 1) range using the dataset's own observed minimum and maximum total scores:</w:t>
      </w:r>
    </w:p>
    <w:p>
      <w:pPr>
        <w:pStyle w:val="BlockText"/>
      </w:pPr>
      <w:r>
        <w:t xml:space="preserve">Rescaled index = (ΣScore − ΣScore_min) / (ΣScore_max − ΣScore_min)</w:t>
      </w:r>
    </w:p>
    <w:p>
      <w:pPr>
        <w:pStyle w:val="FirstParagraph"/>
      </w:pPr>
      <w:r>
        <w:t xml:space="preserve">This approach is the most transparent and easiest to apply — soil quality can be assessed with any number of available indicators, from a handful up to the full TDS, without requiring any particular statistical infrastructure — but it implicitly assumes every indicator matters equally to soil function, an assumption rarely defensible on agronomic grounds, and it depends heavily on where the threshold classes or score boundaries were set, which is itself typically a subjective, literature-review-based judgment.</w:t>
      </w:r>
    </w:p>
    <w:p>
      <w:pPr>
        <w:pStyle w:val="Heading3"/>
      </w:pPr>
      <w:r>
        <w:t xml:space="preserve">21.10.2 Expert-Assigned Hierarchical Weighting</w:t>
      </w:r>
    </w:p>
    <w:p>
      <w:pPr>
        <w:pStyle w:val="FirstParagraph"/>
      </w:pPr>
      <w:r>
        <w:t xml:space="preserve">In the expert-opinion (conceptual framework) route, weighting is applied hierarchically at two levels, mirroring the function-based structure introduced in the relevant chapter and Section 4.1:</w:t>
      </w:r>
    </w:p>
    <w:p>
      <w:pPr>
        <w:numPr>
          <w:ilvl w:val="0"/>
          <w:numId w:val="1173"/>
        </w:numPr>
      </w:pPr>
      <w:r>
        <w:t xml:space="preserve">Function-level weights are assigned by expert judgment to each of the named soil functions (nutrient cycling, physical stability and support, water relations, resilience and resistance), summing to 1.0 across all functions — reflecting the relative importance of each function to the overall management goal (e.g., productivity).</w:t>
      </w:r>
    </w:p>
    <w:p>
      <w:pPr>
        <w:numPr>
          <w:ilvl w:val="0"/>
          <w:numId w:val="1173"/>
        </w:numPr>
      </w:pPr>
      <w:r>
        <w:t xml:space="preserve">Indicator-level sub-weights are then assigned, also by expert judgment, to each indicator within its assigned function, again summing to 1.0 within that function — reflecting the relative importance of that specific measurement to representing the function it has been assigned to.</w:t>
      </w:r>
    </w:p>
    <w:p>
      <w:pPr>
        <w:pStyle w:val="FirstParagraph"/>
      </w:pPr>
      <w:r>
        <w:t xml:space="preserve">The composite index is then computed by first forming a weighted sub-score for each function (the sum of its indicators' scores times their within-function sub-weights), and then summing those function-level sub-scores weighted by their function-level weights — a nested, two-level weighted sum. This preserves interpretability (one can inspect how much each named soil function is contributing to the total) at the cost of requiring two separate rounds of subjective weight assignment.</w:t>
      </w:r>
    </w:p>
    <w:p>
      <w:pPr>
        <w:pStyle w:val="Heading3"/>
      </w:pPr>
      <w:r>
        <w:t xml:space="preserve">21.10.3 Statistically-Derived (PCA Variance-Based) Weighting</w:t>
      </w:r>
    </w:p>
    <w:p>
      <w:pPr>
        <w:pStyle w:val="FirstParagraph"/>
      </w:pPr>
      <w:r>
        <w:t xml:space="preserve">In the PCA-based route, weights are derived directly and objectively from the PCA output itself, removing subjective judgment from this step. The standard formula assigns each MDS indicator a weight equal to the proportion of variance explained by the principal component from which that indicator was selected, expressed relative to the cumulative variance explained by all retained PCs:</w:t>
      </w:r>
    </w:p>
    <w:p>
      <w:pPr>
        <w:pStyle w:val="BlockText"/>
      </w:pPr>
      <w:r>
        <w:t xml:space="preserve">Weight of indicator i = (% variance explained by its PC) / (Cumulative % variance explained by all retained PCs)</w:t>
      </w:r>
    </w:p>
    <w:p>
      <w:pPr>
        <w:pStyle w:val="FirstParagraph"/>
      </w:pPr>
      <w:r>
        <w:t xml:space="preserve">Because each retained PC contributes exactly one weight (used for its single surviving MDS representative, per Section 4.2.4), and the denominator is the sum of all retained PCs' variance shares, these weights automatically sum to 1.0 across the full MDS. A PC that explains a larger share of the dataset's total variance — and is therefore judged to represent a more dominant, more information-rich axis of soil variability — receives proportionally more influence in the final composite index. A closely related variant, used when PCA supplies weights but is not used for indicator selection (i.e., all TDS indicators are retained rather than reduced to an MDS), instead computes each indicator's weight as the sum, across all retained PCs, of that indicator's eigenvector loading multiplied by the variance explained by that PC — again setting any resulting negative weight to zero, since a negative weighting factor has no straightforward interpretation as an importance weight.</w:t>
      </w:r>
    </w:p>
    <w:p>
      <w:pPr>
        <w:pStyle w:val="Heading3"/>
      </w:pPr>
      <w:r>
        <w:t xml:space="preserve">21.10.4 Factor-Loading-Based Weighting</w:t>
      </w:r>
    </w:p>
    <w:p>
      <w:pPr>
        <w:pStyle w:val="FirstParagraph"/>
      </w:pPr>
      <w:r>
        <w:t xml:space="preserve">A fourth, related but distinct approach — most often seen where the MDS is derived from factor analysis on a biologically/biochemically focused indicator set rather than a full physical–chemical–biological TDS — assigns each MDS indicator a weight equal to its own factor loading on the dominant retained factor (rather than a variance-explained ratio at the component level). This directly uses the strength of each indicator's individual statistical association with the underlying factor as its importance weight, and is typically applied specifically to prevent indicators with small absolute numeric ranges (for example, an enzyme activity measured in small fractional units) from being effectively invisible in the composite index relative to indicators with large absolute numeric ranges — a concern that also partly motivates the non-linear sigmoidal scoring approach of the relevant chapter, and the two techniques (factor-loading weighting and sigmoidal scoring) are often used together for exactly this reason.</w:t>
      </w:r>
    </w:p>
    <w:p>
      <w:pPr>
        <w:pStyle w:val="Heading2"/>
      </w:pPr>
      <w:r>
        <w:t xml:space="preserve">21.11 Step 5 — Integrating Scores into a Composite SQI</w:t>
      </w:r>
    </w:p>
    <w:p>
      <w:pPr>
        <w:pStyle w:val="Heading3"/>
      </w:pPr>
      <w:r>
        <w:t xml:space="preserve">21.11.1 The General Weighted Additive Formula</w:t>
      </w:r>
    </w:p>
    <w:p>
      <w:pPr>
        <w:pStyle w:val="FirstParagraph"/>
      </w:pPr>
      <w:r>
        <w:t xml:space="preserve">Regardless of which route was used to obtain the indicator scores and weights, the near-universal final integration step in the SQI literature is a simple weighted linear sum:</w:t>
      </w:r>
    </w:p>
    <w:p>
      <w:pPr>
        <w:pStyle w:val="BlockText"/>
      </w:pPr>
      <w:r>
        <w:t xml:space="preserve">SQI = Σ (Wᵢ × Sᵢ), for i = 1 to n</w:t>
      </w:r>
    </w:p>
    <w:p>
      <w:pPr>
        <w:pStyle w:val="FirstParagraph"/>
      </w:pPr>
      <w:r>
        <w:t xml:space="preserve">where Sᵢ is the normalized score of the i-th MDS indicator, Wᵢ is its assigned weight, and n is the number of indicators in the MDS. When weights sum to 1.0 (as is standard for both the PCA-variance-based and expert-assigned weighting schemes of the relevant chapter), the resulting SQI is automatically bounded on the same scale as the individual scores — typically (0, 1) — with a higher SQI value interpreted as indicating higher overall soil quality/function. This weighted-additive form is what unifies essentially all the SQI variants surveyed in this document (the equal-weighted sum of the relevant chapter is simply the special case Wᵢ = 1/n for all i).</w:t>
      </w:r>
    </w:p>
    <w:p>
      <w:pPr>
        <w:pStyle w:val="Heading3"/>
      </w:pPr>
      <w:r>
        <w:t xml:space="preserve">21.11.2 Hierarchical (Nested) Integration</w:t>
      </w:r>
    </w:p>
    <w:p>
      <w:pPr>
        <w:pStyle w:val="FirstParagraph"/>
      </w:pPr>
      <w:r>
        <w:t xml:space="preserve">Where weighting is hierarchical, integration is correspondingly nested: an inner weighted sum is computed within each soil function (indicator scores times their within-function sub-weights), and an outer weighted sum then combines these function-level sub-scores using the function-level weights. Algebraically this nested form is equivalent to a single-level weighted sum of the relevant chapter in which each indicator's effective overall weight is the product of its within-function sub-weight and its function's top-level weight — but presenting it in the nested form preserves the diagnostic ability to see each function's separate contribution to the total.</w:t>
      </w:r>
    </w:p>
    <w:p>
      <w:pPr>
        <w:pStyle w:val="Heading3"/>
      </w:pPr>
      <w:r>
        <w:t xml:space="preserve">21.11.3 Alternative, Non-Additive Integration Approaches</w:t>
      </w:r>
    </w:p>
    <w:p>
      <w:pPr>
        <w:pStyle w:val="FirstParagraph"/>
      </w:pPr>
      <w:r>
        <w:t xml:space="preserve">Not every study reduces its selected indicators to a single weighted-sum SQI value. Two alternative integration strategies also appear in the literature and are worth distinguishing conceptually:</w:t>
      </w:r>
    </w:p>
    <w:p>
      <w:pPr>
        <w:numPr>
          <w:ilvl w:val="0"/>
          <w:numId w:val="1174"/>
        </w:numPr>
      </w:pPr>
      <w:r>
        <w:t xml:space="preserve">Discriminant-function integration: rather than producing a continuous quality score, the selected MDS variables are combined into a linear discriminant function whose purpose is to classify soils into predefined categories (e.g., management system, degradation class, or soil taxonomic group) rather than to rank them on a continuous scale. The discriminant function itself (its coefficients) is, in this sense, the 'index,' and its output is a classification, evaluated by classification accuracy rather than by a validation correlation.</w:t>
      </w:r>
    </w:p>
    <w:p>
      <w:pPr>
        <w:numPr>
          <w:ilvl w:val="0"/>
          <w:numId w:val="1174"/>
        </w:numPr>
      </w:pPr>
      <w:r>
        <w:t xml:space="preserve">Direct regression integration: some studies dispense with computing any normalized, weighted composite score at all, and instead treat the reduced MDS variables (in their raw, unscaled units) as the direct predictors in a multiple regression against an outcome variable (typically yield or biomass). In this approach, the 'index' is effectively the fitted regression equation itself, and the regression's R² serves simultaneously as both the model fit statistic and the implicit validation of how well the selected MDS represents the outcome of interest. This is methodologically simpler than the scored-and-weighted approaches above, but it forfeits the ability to report a single, portable soil-quality score for a soil sample independent of the specific regression model and outcome variable used.</w:t>
      </w:r>
    </w:p>
    <w:p>
      <w:pPr>
        <w:pStyle w:val="Heading2"/>
      </w:pPr>
      <w:r>
        <w:t xml:space="preserve">21.12 Step 6 — Validating the SQI</w:t>
      </w:r>
    </w:p>
    <w:p>
      <w:pPr>
        <w:pStyle w:val="FirstParagraph"/>
      </w:pPr>
      <w:r>
        <w:t xml:space="preserve">Because an SQI is a constructed statistical device rather than a directly observed quantity, it must be validated against some independent benchmark before it can be trusted as a genuine measure of soil quality or used to compare management systems. Validation addresses the question: does the index, once built, actually behave the way soil quality should be expected to behave? Several complementary validation strategies are used, often in combination.</w:t>
      </w:r>
    </w:p>
    <w:p>
      <w:pPr>
        <w:pStyle w:val="Heading3"/>
      </w:pPr>
      <w:r>
        <w:t xml:space="preserve">21.12.1 Correlation and Regression Against Crop Yield or Productivity</w:t>
      </w:r>
    </w:p>
    <w:p>
      <w:pPr>
        <w:pStyle w:val="FirstParagraph"/>
      </w:pPr>
      <w:r>
        <w:t xml:space="preserve">The single most common validation strategy is to test whether the constructed SQI is significantly and positively correlated with, or predictive of, crop yield or a system productivity metric, on the logic that a genuinely higher-quality soil should support higher, more stable production. Because many SQI studies involve more than one crop in rotation (for example, a rice–wheat or maize–wheat system), yields are typically first converted into a single common-currency productivity metric before validation — for instance, an 'equivalent yield' that converts a secondary crop's output into the primary crop's terms using their relative market prices (minimum support price ratios in several studies), or simply summing the grain-equivalent yields of both crops in the rotation. The SQI (as the independent variable) is then related to this productivity metric (as the dependent variable) via simple or multiple linear regression, and the resulting R² is reported and interpreted as the percentage of variation in productivity 'explained by' soil quality as captured by the index; values in the range of roughly 0.4 to 0.8 are typical of validated SQIs in the reviewed literature, with weaker (but still often statistically significant) correlations more likely in surface layers under favorable growing conditions and stronger correlations often emerging specifically under water-limited or otherwise stressed growing seasons, when soil-quality differences are more likely to become yield-limiting.</w:t>
      </w:r>
    </w:p>
    <w:p>
      <w:pPr>
        <w:pStyle w:val="Heading3"/>
      </w:pPr>
      <w:r>
        <w:t xml:space="preserve">21.12.2 Discriminant Analysis for Validation</w:t>
      </w:r>
    </w:p>
    <w:p>
      <w:pPr>
        <w:pStyle w:val="FirstParagraph"/>
      </w:pPr>
      <w:r>
        <w:t xml:space="preserve">Where an MDS was originally partly or wholly selected via discriminant analysis, the same or a follow-up discriminant analysis can serve a validation role: if the discriminant function built from the MDS indicators can correctly classify soils into known, independently defined categories (e.g., different management systems, or land uses known a priori to differ in quality) at a high rate, this is taken as evidence that the MDS captures functionally meaningful, quality-relevant variation rather than statistical noise.</w:t>
      </w:r>
    </w:p>
    <w:p>
      <w:pPr>
        <w:pStyle w:val="Heading3"/>
      </w:pPr>
      <w:r>
        <w:t xml:space="preserve">21.12.3 Internal Consistency and Threshold/Percentile-Based Classification</w:t>
      </w:r>
    </w:p>
    <w:p>
      <w:pPr>
        <w:pStyle w:val="FirstParagraph"/>
      </w:pPr>
      <w:r>
        <w:t xml:space="preserve">Where no yield or other independent outcome variable is available (for example, in purely pedological or landform-comparison studies, or in a degradation-index context rather than an agronomic one), validation instead proceeds by internal consistency: the SQI's ranking of soils, sites, or landforms is compared against an independent, a priori expectation of relative quality — for example, a reference undisturbed or 'ideal' soil, an independently known vegetation-cover density gradient, or a known landform-development sequence — and the index is judged validated if its ranking agrees with that expectation. A related technique divides the observed distribution of computed SQI values into percentile-based classes (commonly using the 25th, 50th, and 75th percentiles to define, e.g., 'high degradation,' 'moderate degradation,' 'low degradation,' and 'no degradation' categories) to make the continuous index actionable for classification and communication purposes, while explicitly noting that such percentile thresholds are dataset-specific and require independent validation before being applied to soils from a different region or climate.</w:t>
      </w:r>
    </w:p>
    <w:p>
      <w:pPr>
        <w:pStyle w:val="Heading3"/>
      </w:pPr>
      <w:r>
        <w:t xml:space="preserve">21.12.4 Model Selection and Fit Statistics Used in Validation</w:t>
      </w:r>
    </w:p>
    <w:p>
      <w:pPr>
        <w:pStyle w:val="FirstParagraph"/>
      </w:pPr>
      <w:r>
        <w:t xml:space="preserve">Several statistics recur across validation regressions and are worth defining explicitly, since they are also central to the stepwise-regression methodology treated in depth in the relevant chapter:</w:t>
      </w:r>
    </w:p>
    <w:p>
      <w:pPr>
        <w:numPr>
          <w:ilvl w:val="0"/>
          <w:numId w:val="1175"/>
        </w:numPr>
      </w:pPr>
      <w:r>
        <w:t xml:space="preserve">R² (coefficient of determination): the proportion of variance in the outcome variable (e.g., yield) statistically explained by the predictor(s) (e.g., the SQI or its component indicators); bounded 0 to 1, with higher values indicating better explanatory fit.</w:t>
      </w:r>
    </w:p>
    <w:p>
      <w:pPr>
        <w:numPr>
          <w:ilvl w:val="0"/>
          <w:numId w:val="1175"/>
        </w:numPr>
      </w:pPr>
      <w:r>
        <w:t xml:space="preserve">Adjusted R²: a modification of R² that penalizes the addition of predictors that do not genuinely improve model fit, making it the more reliable statistic when comparing models with different numbers of predictors (as is routinely required when comparing a full-indicator model against a reduced, stepwise-selected model, Section 9.5).</w:t>
      </w:r>
    </w:p>
    <w:p>
      <w:pPr>
        <w:numPr>
          <w:ilvl w:val="0"/>
          <w:numId w:val="1175"/>
        </w:numPr>
      </w:pPr>
      <w:r>
        <w:t xml:space="preserve">Akaike's Information Criterion (AIC): a model-selection statistic that trades off goodness of fit against model complexity (number of parameters); lower AIC values indicate a preferred model, and AIC is particularly useful for comparing non-nested regression models built from different indicator subsets.</w:t>
      </w:r>
    </w:p>
    <w:p>
      <w:pPr>
        <w:numPr>
          <w:ilvl w:val="0"/>
          <w:numId w:val="1175"/>
        </w:numPr>
      </w:pPr>
      <w:r>
        <w:t xml:space="preserve">ANOVA F-test and its significance level: used to test whether a regression model, taken as a whole, explains a statistically significant share of variance in the outcome variable, as distinct from the significance of any individual predictor within it.</w:t>
      </w:r>
    </w:p>
    <w:p>
      <w:pPr>
        <w:pStyle w:val="Heading2"/>
      </w:pPr>
      <w:r>
        <w:t xml:space="preserve">21.13 Comparative Summary of SQI Construction Methods</w:t>
      </w:r>
    </w:p>
    <w:p>
      <w:pPr>
        <w:pStyle w:val="FirstParagraph"/>
      </w:pPr>
      <w:r>
        <w:t xml:space="preserve">The table below summarizes, side by side, the principal methodological choices available at each of the three SMAF phases (indicator selection, scoring, weighting/integration), as a quick-reference synthesis of Sections 4 through 7.</w:t>
      </w:r>
    </w:p>
    <w:tbl>
      <w:tblPr>
        <w:tblStyle w:val="Table"/>
        <w:tblW w:type="pct" w:w="4963"/>
        <w:jc w:val="left"/>
        <w:tblLook w:firstRow="1" w:lastRow="0" w:firstColumn="0" w:lastColumn="0" w:noHBand="0" w:noVBand="0" w:val="0020"/>
      </w:tblPr>
      <w:tblGrid>
        <w:gridCol w:w="706"/>
        <w:gridCol w:w="1177"/>
        <w:gridCol w:w="3591"/>
        <w:gridCol w:w="2384"/>
      </w:tblGrid>
      <w:tr>
        <w:trPr>
          <w:tblHeader w:val="true"/>
        </w:trPr>
        <w:tc>
          <w:tcPr/>
          <w:p>
            <w:pPr>
              <w:pStyle w:val="Compact"/>
              <w:jc w:val="left"/>
            </w:pPr>
            <w:r>
              <w:rPr>
                <w:bCs/>
                <w:b/>
              </w:rPr>
              <w:t xml:space="preserve">Phase</w:t>
            </w:r>
          </w:p>
        </w:tc>
        <w:tc>
          <w:tcPr/>
          <w:p>
            <w:pPr>
              <w:pStyle w:val="Compact"/>
              <w:jc w:val="left"/>
            </w:pPr>
            <w:r>
              <w:rPr>
                <w:bCs/>
                <w:b/>
              </w:rPr>
              <w:t xml:space="preserve">Approach</w:t>
            </w:r>
          </w:p>
        </w:tc>
        <w:tc>
          <w:tcPr/>
          <w:p>
            <w:pPr>
              <w:pStyle w:val="Compact"/>
              <w:jc w:val="left"/>
            </w:pPr>
            <w:r>
              <w:rPr>
                <w:bCs/>
                <w:b/>
              </w:rPr>
              <w:t xml:space="preserve">Key Mechanism</w:t>
            </w:r>
          </w:p>
        </w:tc>
        <w:tc>
          <w:tcPr/>
          <w:p>
            <w:pPr>
              <w:pStyle w:val="Compact"/>
              <w:jc w:val="left"/>
            </w:pPr>
            <w:r>
              <w:rPr>
                <w:bCs/>
                <w:b/>
              </w:rPr>
              <w:t xml:space="preserve">Typical Use Case</w:t>
            </w:r>
          </w:p>
        </w:tc>
      </w:tr>
      <w:tr>
        <w:tc>
          <w:tcPr/>
          <w:p>
            <w:pPr>
              <w:pStyle w:val="Compact"/>
              <w:jc w:val="left"/>
            </w:pPr>
            <w:r>
              <w:t xml:space="preserve">Indicator selection</w:t>
            </w:r>
          </w:p>
        </w:tc>
        <w:tc>
          <w:tcPr/>
          <w:p>
            <w:pPr>
              <w:pStyle w:val="Compact"/>
              <w:jc w:val="left"/>
            </w:pPr>
            <w:r>
              <w:t xml:space="preserve">Expert opinion / conceptual framework</w:t>
            </w:r>
          </w:p>
        </w:tc>
        <w:tc>
          <w:tcPr/>
          <w:p>
            <w:pPr>
              <w:pStyle w:val="Compact"/>
              <w:jc w:val="left"/>
            </w:pPr>
            <w:r>
              <w:t xml:space="preserve">Indicators assigned to soil functions by literature-informed judgment</w:t>
            </w:r>
          </w:p>
        </w:tc>
        <w:tc>
          <w:tcPr/>
          <w:p>
            <w:pPr>
              <w:pStyle w:val="Compact"/>
              <w:jc w:val="left"/>
            </w:pPr>
            <w:r>
              <w:t xml:space="preserve">Small samples; when function-based interpretability is prioritized</w:t>
            </w:r>
          </w:p>
        </w:tc>
      </w:tr>
      <w:tr>
        <w:tc>
          <w:tcPr/>
          <w:p>
            <w:pPr>
              <w:pStyle w:val="Compact"/>
              <w:jc w:val="left"/>
            </w:pPr>
            <w:r>
              <w:t xml:space="preserve">Indicator selection</w:t>
            </w:r>
          </w:p>
        </w:tc>
        <w:tc>
          <w:tcPr/>
          <w:p>
            <w:pPr>
              <w:pStyle w:val="Compact"/>
              <w:jc w:val="left"/>
            </w:pPr>
            <w:r>
              <w:t xml:space="preserve">PCA-based (statistical)</w:t>
            </w:r>
          </w:p>
        </w:tc>
        <w:tc>
          <w:tcPr/>
          <w:p>
            <w:pPr>
              <w:pStyle w:val="Compact"/>
              <w:jc w:val="left"/>
            </w:pPr>
            <w:r>
              <w:t xml:space="preserve">Eigenvalue &gt; 1 retention; factor-loading threshold (~10% of max, or fixed ≥0.6); correlation-based redundancy pruning</w:t>
            </w:r>
          </w:p>
        </w:tc>
        <w:tc>
          <w:tcPr/>
          <w:p>
            <w:pPr>
              <w:pStyle w:val="Compact"/>
              <w:jc w:val="left"/>
            </w:pPr>
            <w:r>
              <w:t xml:space="preserve">Larger datasets; when objectivity and data-driven reduction is prioritized</w:t>
            </w:r>
          </w:p>
        </w:tc>
      </w:tr>
      <w:tr>
        <w:tc>
          <w:tcPr/>
          <w:p>
            <w:pPr>
              <w:pStyle w:val="Compact"/>
              <w:jc w:val="left"/>
            </w:pPr>
            <w:r>
              <w:t xml:space="preserve">Indicator selection</w:t>
            </w:r>
          </w:p>
        </w:tc>
        <w:tc>
          <w:tcPr/>
          <w:p>
            <w:pPr>
              <w:pStyle w:val="Compact"/>
              <w:jc w:val="left"/>
            </w:pPr>
            <w:r>
              <w:t xml:space="preserve">Discriminant analysis (DA)</w:t>
            </w:r>
          </w:p>
        </w:tc>
        <w:tc>
          <w:tcPr/>
          <w:p>
            <w:pPr>
              <w:pStyle w:val="Compact"/>
              <w:jc w:val="left"/>
            </w:pPr>
            <w:r>
              <w:t xml:space="preserve">Stepwise selection of variables maximizing group classification accuracy</w:t>
            </w:r>
          </w:p>
        </w:tc>
        <w:tc>
          <w:tcPr/>
          <w:p>
            <w:pPr>
              <w:pStyle w:val="Compact"/>
              <w:jc w:val="left"/>
            </w:pPr>
            <w:r>
              <w:t xml:space="preserve">Complementing/validating PCA selection; classification-oriented studies</w:t>
            </w:r>
          </w:p>
        </w:tc>
      </w:tr>
      <w:tr>
        <w:tc>
          <w:tcPr/>
          <w:p>
            <w:pPr>
              <w:pStyle w:val="Compact"/>
              <w:jc w:val="left"/>
            </w:pPr>
            <w:r>
              <w:t xml:space="preserve">Indicator selection</w:t>
            </w:r>
          </w:p>
        </w:tc>
        <w:tc>
          <w:tcPr/>
          <w:p>
            <w:pPr>
              <w:pStyle w:val="Compact"/>
              <w:jc w:val="left"/>
            </w:pPr>
            <w:r>
              <w:t xml:space="preserve">CATPCA / optimal scaling</w:t>
            </w:r>
          </w:p>
        </w:tc>
        <w:tc>
          <w:tcPr/>
          <w:p>
            <w:pPr>
              <w:pStyle w:val="Compact"/>
              <w:jc w:val="left"/>
            </w:pPr>
            <w:r>
              <w:t xml:space="preserve">Nonlinear quantification of categorical/ordinal data before standard PCA</w:t>
            </w:r>
          </w:p>
        </w:tc>
        <w:tc>
          <w:tcPr/>
          <w:p>
            <w:pPr>
              <w:pStyle w:val="Compact"/>
              <w:jc w:val="left"/>
            </w:pPr>
            <w:r>
              <w:t xml:space="preserve">Field-morphological or other categorical indicator sets</w:t>
            </w:r>
          </w:p>
        </w:tc>
      </w:tr>
      <w:tr>
        <w:tc>
          <w:tcPr/>
          <w:p>
            <w:pPr>
              <w:pStyle w:val="Compact"/>
              <w:jc w:val="left"/>
            </w:pPr>
            <w:r>
              <w:t xml:space="preserve">Scoring</w:t>
            </w:r>
          </w:p>
        </w:tc>
        <w:tc>
          <w:tcPr/>
          <w:p>
            <w:pPr>
              <w:pStyle w:val="Compact"/>
              <w:jc w:val="left"/>
            </w:pPr>
            <w:r>
              <w:t xml:space="preserve">Linear — more/less is better</w:t>
            </w:r>
          </w:p>
        </w:tc>
        <w:tc>
          <w:tcPr/>
          <w:p>
            <w:pPr>
              <w:pStyle w:val="Compact"/>
              <w:jc w:val="left"/>
            </w:pPr>
            <w:r>
              <w:t xml:space="preserve">Ratio to observed maximum or minimum</w:t>
            </w:r>
          </w:p>
        </w:tc>
        <w:tc>
          <w:tcPr/>
          <w:p>
            <w:pPr>
              <w:pStyle w:val="Compact"/>
              <w:jc w:val="left"/>
            </w:pPr>
            <w:r>
              <w:t xml:space="preserve">Simple, dataset-relative scoring; favored ahead of yield-regression validation</w:t>
            </w:r>
          </w:p>
        </w:tc>
      </w:tr>
      <w:tr>
        <w:tc>
          <w:tcPr/>
          <w:p>
            <w:pPr>
              <w:pStyle w:val="Compact"/>
              <w:jc w:val="left"/>
            </w:pPr>
            <w:r>
              <w:t xml:space="preserve">Scoring</w:t>
            </w:r>
          </w:p>
        </w:tc>
        <w:tc>
          <w:tcPr/>
          <w:p>
            <w:pPr>
              <w:pStyle w:val="Compact"/>
              <w:jc w:val="left"/>
            </w:pPr>
            <w:r>
              <w:t xml:space="preserve">Linear — optimum</w:t>
            </w:r>
          </w:p>
        </w:tc>
        <w:tc>
          <w:tcPr/>
          <w:p>
            <w:pPr>
              <w:pStyle w:val="Compact"/>
              <w:jc w:val="left"/>
            </w:pPr>
            <w:r>
              <w:t xml:space="preserve">Piecewise combination of more-is-better and less-is-better around a threshold</w:t>
            </w:r>
          </w:p>
        </w:tc>
        <w:tc>
          <w:tcPr/>
          <w:p>
            <w:pPr>
              <w:pStyle w:val="Compact"/>
              <w:jc w:val="left"/>
            </w:pPr>
            <w:r>
              <w:t xml:space="preserve">Indicators with a known optimum (e.g., pH)</w:t>
            </w:r>
          </w:p>
        </w:tc>
      </w:tr>
      <w:tr>
        <w:tc>
          <w:tcPr/>
          <w:p>
            <w:pPr>
              <w:pStyle w:val="Compact"/>
              <w:jc w:val="left"/>
            </w:pPr>
            <w:r>
              <w:t xml:space="preserve">Scoring</w:t>
            </w:r>
          </w:p>
        </w:tc>
        <w:tc>
          <w:tcPr/>
          <w:p>
            <w:pPr>
              <w:pStyle w:val="Compact"/>
              <w:jc w:val="left"/>
            </w:pPr>
            <w:r>
              <w:t xml:space="preserve">Non-linear — Z-score curve fit</w:t>
            </w:r>
          </w:p>
        </w:tc>
        <w:tc>
          <w:tcPr/>
          <w:p>
            <w:pPr>
              <w:pStyle w:val="Compact"/>
              <w:jc w:val="left"/>
            </w:pPr>
            <w:r>
              <w:t xml:space="preserve">Z-score anchoring + best-fit non-linear regression curve (polynomial, power, Hoerl, etc.)</w:t>
            </w:r>
          </w:p>
        </w:tc>
        <w:tc>
          <w:tcPr/>
          <w:p>
            <w:pPr>
              <w:pStyle w:val="Compact"/>
              <w:jc w:val="left"/>
            </w:pPr>
            <w:r>
              <w:t xml:space="preserve">Regionally standardized, reusable scoring frameworks (SMAF/CASH-style)</w:t>
            </w:r>
          </w:p>
        </w:tc>
      </w:tr>
      <w:tr>
        <w:tc>
          <w:tcPr/>
          <w:p>
            <w:pPr>
              <w:pStyle w:val="Compact"/>
              <w:jc w:val="left"/>
            </w:pPr>
            <w:r>
              <w:t xml:space="preserve">Scoring</w:t>
            </w:r>
          </w:p>
        </w:tc>
        <w:tc>
          <w:tcPr/>
          <w:p>
            <w:pPr>
              <w:pStyle w:val="Compact"/>
              <w:jc w:val="left"/>
            </w:pPr>
            <w:r>
              <w:t xml:space="preserve">Non-linear — sigmoidal</w:t>
            </w:r>
          </w:p>
        </w:tc>
        <w:tc>
          <w:tcPr/>
          <w:p>
            <w:pPr>
              <w:pStyle w:val="Compact"/>
              <w:jc w:val="left"/>
            </w:pPr>
            <w:r>
              <w:t xml:space="preserve">y = a / [1 + (x/x₀)^b], x₀ = mean, fitted shape parameter b</w:t>
            </w:r>
          </w:p>
        </w:tc>
        <w:tc>
          <w:tcPr/>
          <w:p>
            <w:pPr>
              <w:pStyle w:val="Compact"/>
              <w:jc w:val="left"/>
            </w:pPr>
            <w:r>
              <w:t xml:space="preserve">Preventing large-magnitude indicators from dominating the index</w:t>
            </w:r>
          </w:p>
        </w:tc>
      </w:tr>
      <w:tr>
        <w:tc>
          <w:tcPr/>
          <w:p>
            <w:pPr>
              <w:pStyle w:val="Compact"/>
              <w:jc w:val="left"/>
            </w:pPr>
            <w:r>
              <w:t xml:space="preserve">Weighting/Integration</w:t>
            </w:r>
          </w:p>
        </w:tc>
        <w:tc>
          <w:tcPr/>
          <w:p>
            <w:pPr>
              <w:pStyle w:val="Compact"/>
              <w:jc w:val="left"/>
            </w:pPr>
            <w:r>
              <w:t xml:space="preserve">Equal weighting</w:t>
            </w:r>
          </w:p>
        </w:tc>
        <w:tc>
          <w:tcPr/>
          <w:p>
            <w:pPr>
              <w:pStyle w:val="Compact"/>
              <w:jc w:val="left"/>
            </w:pPr>
            <w:r>
              <w:t xml:space="preserve">Wᵢ = 1/n for all indicators</w:t>
            </w:r>
          </w:p>
        </w:tc>
        <w:tc>
          <w:tcPr/>
          <w:p>
            <w:pPr>
              <w:pStyle w:val="Compact"/>
              <w:jc w:val="left"/>
            </w:pPr>
            <w:r>
              <w:t xml:space="preserve">Simplicity; minimal statistical infrastructure required</w:t>
            </w:r>
          </w:p>
        </w:tc>
      </w:tr>
      <w:tr>
        <w:tc>
          <w:tcPr/>
          <w:p>
            <w:pPr>
              <w:pStyle w:val="Compact"/>
              <w:jc w:val="left"/>
            </w:pPr>
            <w:r>
              <w:t xml:space="preserve">Weighting/Integration</w:t>
            </w:r>
          </w:p>
        </w:tc>
        <w:tc>
          <w:tcPr/>
          <w:p>
            <w:pPr>
              <w:pStyle w:val="Compact"/>
              <w:jc w:val="left"/>
            </w:pPr>
            <w:r>
              <w:t xml:space="preserve">Expert hierarchical weighting</w:t>
            </w:r>
          </w:p>
        </w:tc>
        <w:tc>
          <w:tcPr/>
          <w:p>
            <w:pPr>
              <w:pStyle w:val="Compact"/>
              <w:jc w:val="left"/>
            </w:pPr>
            <w:r>
              <w:t xml:space="preserve">Two-level nested Σ(Wfunction × Σ(Wsub-indicator × Score))</w:t>
            </w:r>
          </w:p>
        </w:tc>
        <w:tc>
          <w:tcPr/>
          <w:p>
            <w:pPr>
              <w:pStyle w:val="Compact"/>
              <w:jc w:val="left"/>
            </w:pPr>
            <w:r>
              <w:t xml:space="preserve">When function-level interpretability of contributions is desired</w:t>
            </w:r>
          </w:p>
        </w:tc>
      </w:tr>
      <w:tr>
        <w:tc>
          <w:tcPr/>
          <w:p>
            <w:pPr>
              <w:pStyle w:val="Compact"/>
              <w:jc w:val="left"/>
            </w:pPr>
            <w:r>
              <w:t xml:space="preserve">Weighting/Integration</w:t>
            </w:r>
          </w:p>
        </w:tc>
        <w:tc>
          <w:tcPr/>
          <w:p>
            <w:pPr>
              <w:pStyle w:val="Compact"/>
              <w:jc w:val="left"/>
            </w:pPr>
            <w:r>
              <w:t xml:space="preserve">PCA variance-based weighting</w:t>
            </w:r>
          </w:p>
        </w:tc>
        <w:tc>
          <w:tcPr/>
          <w:p>
            <w:pPr>
              <w:pStyle w:val="Compact"/>
              <w:jc w:val="left"/>
            </w:pPr>
            <w:r>
              <w:t xml:space="preserve">Wᵢ = (%variance of PCᵢ) / (cumulative %variance of retained PCs)</w:t>
            </w:r>
          </w:p>
        </w:tc>
        <w:tc>
          <w:tcPr/>
          <w:p>
            <w:pPr>
              <w:pStyle w:val="Compact"/>
              <w:jc w:val="left"/>
            </w:pPr>
            <w:r>
              <w:t xml:space="preserve">Objective, dataset-derived weighting paired with PCA-based MDS</w:t>
            </w:r>
          </w:p>
        </w:tc>
      </w:tr>
      <w:tr>
        <w:tc>
          <w:tcPr/>
          <w:p>
            <w:pPr>
              <w:pStyle w:val="Compact"/>
              <w:jc w:val="left"/>
            </w:pPr>
            <w:r>
              <w:t xml:space="preserve">Weighting/Integration</w:t>
            </w:r>
          </w:p>
        </w:tc>
        <w:tc>
          <w:tcPr/>
          <w:p>
            <w:pPr>
              <w:pStyle w:val="Compact"/>
              <w:jc w:val="left"/>
            </w:pPr>
            <w:r>
              <w:t xml:space="preserve">Factor-loading-based weighting</w:t>
            </w:r>
          </w:p>
        </w:tc>
        <w:tc>
          <w:tcPr/>
          <w:p>
            <w:pPr>
              <w:pStyle w:val="Compact"/>
              <w:jc w:val="left"/>
            </w:pPr>
            <w:r>
              <w:t xml:space="preserve">Wᵢ = indicator's own loading on the dominant factor</w:t>
            </w:r>
          </w:p>
        </w:tc>
        <w:tc>
          <w:tcPr/>
          <w:p>
            <w:pPr>
              <w:pStyle w:val="Compact"/>
              <w:jc w:val="left"/>
            </w:pPr>
            <w:r>
              <w:t xml:space="preserve">Biologically/biochemically focused indicator sets; small-magnitude indicators</w:t>
            </w:r>
          </w:p>
        </w:tc>
      </w:tr>
    </w:tbl>
    <w:p>
      <w:pPr>
        <w:pStyle w:val="BodyText"/>
      </w:pPr>
      <w:r>
        <w:t xml:space="preserve">Validation strategies and the stepwise-regression sensitivity procedure apply largely independently of which combination of the above choices was used to construct the SQI — meaning any constructed index, regardless of its construction path, can and generally should be run through the same validation logic before being interpreted or applied.</w:t>
      </w:r>
    </w:p>
    <w:p>
      <w:pPr>
        <w:pStyle w:val="PartTitle"/>
      </w:pPr>
      <w:r>
        <w:t xml:space="preserve">Part IV</w:t>
      </w:r>
      <w:r>
        <w:br/>
      </w:r>
      <w:r>
        <w:t xml:space="preserve">Agrometeorology and Crop–Atmosphere Interactions</w:t>
      </w:r>
    </w:p>
    <w:p>
      <w:pPr>
        <w:pStyle w:val="PartSub"/>
      </w:pPr>
      <w:r>
        <w:t xml:space="preserve">Physics of the atmosphere, energy balance, flux measurement, ET, thermal time, forecasting, drought, hazards and climate change</w:t>
      </w:r>
    </w:p>
    <w:p>
      <w:pPr>
        <w:pStyle w:val="Heading1"/>
      </w:pPr>
      <w:r>
        <w:t xml:space="preserve">Chapter 22. Agrometeorology and the Physics of the Atmosphere</w:t>
      </w:r>
    </w:p>
    <w:p>
      <w:pPr>
        <w:pStyle w:val="Heading2"/>
      </w:pPr>
      <w:r>
        <w:t xml:space="preserve">22.1 What is Agricultural Meteorology (Agrometeorology)?</w:t>
      </w:r>
    </w:p>
    <w:p>
      <w:pPr>
        <w:pStyle w:val="FirstParagraph"/>
      </w:pPr>
      <w:r>
        <w:t xml:space="preserve">Agricultural meteorology, or agrometeorology, is the applied branch of atmospheric science that studies the interaction between weather/climate and agricultural production — crops, livestock, soils, pests, and water resources. It sits at the interface of meteorology, agronomy, soil science, hydrology and, increasingly, remote sensing and space science. The discipline translates raw atmospheric observations and forecasts into decision-support information that farmers, extension agencies, insurers and planners can act upon. In the Indian context, where roughly half the workforce depends on agriculture and where more than 60% of the net sown area is still rainfed, weather is the single largest source of production risk, making agrometeorology a subject of direct national importance.</w:t>
      </w:r>
    </w:p>
    <w:p>
      <w:pPr>
        <w:pStyle w:val="BodyText"/>
      </w:pPr>
      <w:r>
        <w:t xml:space="preserve">The scope of agrometeorology spans four broad functions: (a) monitoring — continuous observation of atmospheric and land-surface variables using surface networks, radars and satellites; (b) forecasting — generating short, medium and long-range predictions of weather and derived agromet parameters; (c) impact assessment — translating weather anomalies into crop yield, pest/disease, or damage estimates; and (d) advisory dissemination — converting scientific forecasts into farmer-actionable recommendations. For an agricultural meteorologist working at an institution such as ISRO's Space Applications Centre (SAC), an additional dimension is central: using satellite remote sensing and space-based observation systems as the primary data source for all four functions at a national and sub-national scale.</w:t>
      </w:r>
    </w:p>
    <w:p>
      <w:pPr>
        <w:pStyle w:val="Heading2"/>
      </w:pPr>
      <w:r>
        <w:t xml:space="preserve">22.2 Why Weather Forecasting Matters for Agriculture</w:t>
      </w:r>
    </w:p>
    <w:p>
      <w:pPr>
        <w:numPr>
          <w:ilvl w:val="0"/>
          <w:numId w:val="1176"/>
        </w:numPr>
      </w:pPr>
      <w:r>
        <w:t xml:space="preserve">Crop planning: sowing window selection, choice of variety and crop, and contingency cropping depend on the onset, progress and withdrawal of the monsoon and on seasonal rainfall/temperature outlooks.</w:t>
      </w:r>
    </w:p>
    <w:p>
      <w:pPr>
        <w:numPr>
          <w:ilvl w:val="0"/>
          <w:numId w:val="1176"/>
        </w:numPr>
      </w:pPr>
      <w:r>
        <w:t xml:space="preserve">Input management: irrigation scheduling, fertilizer top-dressing (avoiding application before heavy rain), and pesticide spraying (avoiding spraying before rain or high wind) are all governed by short-range (1–5 day) forecasts.</w:t>
      </w:r>
    </w:p>
    <w:p>
      <w:pPr>
        <w:numPr>
          <w:ilvl w:val="0"/>
          <w:numId w:val="1176"/>
        </w:numPr>
      </w:pPr>
      <w:r>
        <w:t xml:space="preserve">Risk mitigation: early warning of hailstorms, frost, heat waves, cold waves, unseasonal rain and cyclones allows farmers to take protective action (e.g., smoke generation against frost, harvesting before a cyclone landfall).</w:t>
      </w:r>
    </w:p>
    <w:p>
      <w:pPr>
        <w:numPr>
          <w:ilvl w:val="0"/>
          <w:numId w:val="1176"/>
        </w:numPr>
      </w:pPr>
      <w:r>
        <w:t xml:space="preserve">Yield and production forecasting: pre-harvest crop production estimates rely on cumulative agrometeorological indices (rainfall, growing degree days, soil moisture) combined with remote sensing of crop vigour.</w:t>
      </w:r>
    </w:p>
    <w:p>
      <w:pPr>
        <w:numPr>
          <w:ilvl w:val="0"/>
          <w:numId w:val="1176"/>
        </w:numPr>
      </w:pPr>
      <w:r>
        <w:t xml:space="preserve">Food security and policy: national foodgrain production forecasts (e.g., under the FASAL programme) feed into buffer-stock, import–export and price-stabilisation decisions of the Government of India.</w:t>
      </w:r>
    </w:p>
    <w:p>
      <w:pPr>
        <w:numPr>
          <w:ilvl w:val="0"/>
          <w:numId w:val="1176"/>
        </w:numPr>
      </w:pPr>
      <w:r>
        <w:t xml:space="preserve">Insurance and disaster compensation: weather-based crop insurance and the Pradhan Mantri Fasal Bima Yojana (PMFBY) use weather and satellite data for yield-loss estimation and claim settlement.</w:t>
      </w:r>
    </w:p>
    <w:p>
      <w:pPr>
        <w:pStyle w:val="Heading2"/>
      </w:pPr>
      <w:r>
        <w:t xml:space="preserve">22.3 The India-Specific Context</w:t>
      </w:r>
    </w:p>
    <w:p>
      <w:pPr>
        <w:pStyle w:val="FirstParagraph"/>
      </w:pPr>
      <w:r>
        <w:t xml:space="preserve">India's agriculture operates under one of the most complex meteorological regimes in the world: a monsoon-dominated climate with extreme spatial and temporal rainfall variability, a bimodal cropping calendar (kharif and rabi), diverse agro-climatic zones (15 as classified by the Planning Commission/ICAR), and high exposure to hydro-meteorological extremes — droughts, floods, cyclones, hailstorms, frost and heat waves. This has led India to build one of the most elaborate operational agromet service chains in the developing world, spanning the India Meteorological Department (IMD), the Indian Council of Agricultural Research (ICAR), the Ministry of Earth Sciences (MoES), and the Department of Space (DOS) through ISRO's Space Applications Centre (SAC) and National Remote Sensing Centre (NRSC). An agricultural meteorologist at SAC is expected to understand not only atmospheric science but also how satellite-derived products (rainfall, land surface temperature, soil moisture, vegetation indices) feed into this national service chain.</w:t>
      </w:r>
    </w:p>
    <w:p>
      <w:pPr>
        <w:pStyle w:val="Heading2"/>
      </w:pPr>
      <w:r>
        <w:t xml:space="preserve">22.4 Conservation Laws in the Atmosphere and the Crop Environment</w:t>
      </w:r>
    </w:p>
    <w:p>
      <w:pPr>
        <w:pStyle w:val="FirstParagraph"/>
      </w:pPr>
      <w:r>
        <w:t xml:space="preserve">Every process in agrometeorology — from a leaf exchanging CO₂ to a cyclone forming — obeys three conservation laws. Numerical weather prediction models, crop models and flux-measurement theory are all built on them.</w:t>
      </w:r>
    </w:p>
    <w:p>
      <w:pPr>
        <w:pStyle w:val="Heading3"/>
      </w:pPr>
      <w:r>
        <w:t xml:space="preserve">22.4.1 Conservation of mass (continuity)</w:t>
      </w:r>
    </w:p>
    <w:p>
      <w:pPr>
        <w:pStyle w:val="FirstParagraph"/>
      </w:pPr>
      <w:r>
        <w:t xml:space="preserve">Mass is neither created nor destroyed. For air of density</w:t>
      </w:r>
      <w:r>
        <w:t xml:space="preserve"> </w:t>
      </w:r>
      <m:oMath>
        <m:r>
          <m:t>ρ</m:t>
        </m:r>
      </m:oMath>
      <w:r>
        <w:t xml:space="preserve"> </w:t>
      </w:r>
      <w:r>
        <w:t xml:space="preserve">moving with velocity</w:t>
      </w:r>
      <w:r>
        <w:t xml:space="preserve"> </w:t>
      </w:r>
      <m:oMath>
        <m:acc>
          <m:accPr>
            <m:chr m:val="⃗"/>
          </m:accPr>
          <m:e>
            <m:r>
              <m:t>V</m:t>
            </m:r>
          </m:e>
        </m:acc>
        <m:r>
          <m:rPr>
            <m:sty m:val="p"/>
          </m:rPr>
          <m:t>=</m:t>
        </m:r>
        <m:d>
          <m:dPr>
            <m:begChr m:val="("/>
            <m:endChr m:val=")"/>
            <m:sepChr m:val=""/>
            <m:grow/>
          </m:dPr>
          <m:e>
            <m:r>
              <m:t>u</m:t>
            </m:r>
            <m:r>
              <m:rPr>
                <m:sty m:val="p"/>
              </m:rPr>
              <m:t>,</m:t>
            </m:r>
            <m:r>
              <m:t>v</m:t>
            </m:r>
            <m:r>
              <m:rPr>
                <m:sty m:val="p"/>
              </m:rPr>
              <m:t>,</m:t>
            </m:r>
            <m:r>
              <m:t>w</m:t>
            </m:r>
          </m:e>
        </m:d>
      </m:oMath>
      <w:r>
        <w:t xml:space="preserve">:</w:t>
      </w:r>
    </w:p>
    <w:p>
      <w:pPr>
        <w:pStyle w:val="BodyText"/>
      </w:pPr>
      <m:oMathPara>
        <m:oMathParaPr>
          <m:jc m:val="center"/>
        </m:oMathParaPr>
        <m:oMath>
          <m:f>
            <m:fPr>
              <m:type m:val="bar"/>
            </m:fPr>
            <m:num>
              <m:r>
                <m:rPr>
                  <m:sty m:val="p"/>
                </m:rPr>
                <m:t>∂</m:t>
              </m:r>
              <m:r>
                <m:t>ρ</m:t>
              </m:r>
            </m:num>
            <m:den>
              <m:r>
                <m:rPr>
                  <m:sty m:val="p"/>
                </m:rPr>
                <m:t>∂</m:t>
              </m:r>
              <m:r>
                <m:t>t</m:t>
              </m:r>
            </m:den>
          </m:f>
          <m:r>
            <m:rPr>
              <m:sty m:val="p"/>
            </m:rPr>
            <m:t>+</m:t>
          </m:r>
          <m:r>
            <m:rPr>
              <m:sty m:val="p"/>
            </m:rPr>
            <m:t>∇</m:t>
          </m:r>
          <m:r>
            <m:rPr>
              <m:sty m:val="p"/>
            </m:rPr>
            <m:t>⋅</m:t>
          </m:r>
          <m:d>
            <m:dPr>
              <m:begChr m:val="("/>
              <m:endChr m:val=")"/>
              <m:sepChr m:val=""/>
              <m:grow/>
            </m:dPr>
            <m:e>
              <m:r>
                <m:t>ρ</m:t>
              </m:r>
              <m:acc>
                <m:accPr>
                  <m:chr m:val="⃗"/>
                </m:accPr>
                <m:e>
                  <m:r>
                    <m:t>V</m:t>
                  </m:r>
                </m:e>
              </m:acc>
            </m:e>
          </m:d>
          <m:r>
            <m:rPr>
              <m:sty m:val="p"/>
            </m:rPr>
            <m:t>=</m:t>
          </m:r>
          <m:r>
            <m:t>0</m:t>
          </m:r>
        </m:oMath>
      </m:oMathPara>
    </w:p>
    <w:p>
      <w:pPr>
        <w:pStyle w:val="FirstParagraph"/>
      </w:pPr>
      <w:r>
        <w:t xml:space="preserve">For incompressible flow near the surface this reduces to</w:t>
      </w:r>
      <w:r>
        <w:t xml:space="preserve"> </w:t>
      </w:r>
      <m:oMath>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r>
          <m:rPr>
            <m:sty m:val="p"/>
          </m:rPr>
          <m:t>+</m:t>
        </m:r>
        <m:f>
          <m:fPr>
            <m:type m:val="bar"/>
          </m:fPr>
          <m:num>
            <m:r>
              <m:rPr>
                <m:sty m:val="p"/>
              </m:rPr>
              <m:t>∂</m:t>
            </m:r>
            <m:r>
              <m:t>w</m:t>
            </m:r>
          </m:num>
          <m:den>
            <m:r>
              <m:rPr>
                <m:sty m:val="p"/>
              </m:rPr>
              <m:t>∂</m:t>
            </m:r>
            <m:r>
              <m:t>z</m:t>
            </m:r>
          </m:den>
        </m:f>
        <m:r>
          <m:rPr>
            <m:sty m:val="p"/>
          </m:rPr>
          <m:t>=</m:t>
        </m:r>
        <m:r>
          <m:t>0</m:t>
        </m:r>
      </m:oMath>
      <w:r>
        <w:t xml:space="preserve">: horizontal</w:t>
      </w:r>
      <w:r>
        <w:t xml:space="preserve"> </w:t>
      </w:r>
      <w:r>
        <w:rPr>
          <w:bCs/>
          <w:b/>
        </w:rPr>
        <w:t xml:space="preserve">convergence</w:t>
      </w:r>
      <w:r>
        <w:t xml:space="preserve"> </w:t>
      </w:r>
      <w:r>
        <w:t xml:space="preserve">forces upward motion (cloud and rain) and</w:t>
      </w:r>
      <w:r>
        <w:t xml:space="preserve"> </w:t>
      </w:r>
      <w:r>
        <w:rPr>
          <w:bCs/>
          <w:b/>
        </w:rPr>
        <w:t xml:space="preserve">divergence</w:t>
      </w:r>
      <w:r>
        <w:t xml:space="preserve"> </w:t>
      </w:r>
      <w:r>
        <w:t xml:space="preserve">forces subsidence (clear skies).</w:t>
      </w:r>
    </w:p>
    <w:p>
      <w:pPr>
        <w:pStyle w:val="BodyText"/>
      </w:pPr>
      <w:r>
        <w:t xml:space="preserve">The same principle applied to a scalar</w:t>
      </w:r>
      <w:r>
        <w:t xml:space="preserve"> </w:t>
      </w:r>
      <m:oMath>
        <m:r>
          <m:t>c</m:t>
        </m:r>
      </m:oMath>
      <w:r>
        <w:t xml:space="preserve"> </w:t>
      </w:r>
      <w:r>
        <w:t xml:space="preserve">(water vapour, CO₂) gives the</w:t>
      </w:r>
      <w:r>
        <w:t xml:space="preserve"> </w:t>
      </w:r>
      <w:r>
        <w:rPr>
          <w:bCs/>
          <w:b/>
        </w:rPr>
        <w:t xml:space="preserve">scalar budget</w:t>
      </w:r>
      <w:r>
        <w:t xml:space="preserve">:</w:t>
      </w:r>
    </w:p>
    <w:p>
      <w:pPr>
        <w:pStyle w:val="BodyText"/>
      </w:pPr>
      <m:oMathPara>
        <m:oMathParaPr>
          <m:jc m:val="center"/>
        </m:oMathParaPr>
        <m:oMath>
          <m:f>
            <m:fPr>
              <m:type m:val="bar"/>
            </m:fPr>
            <m:num>
              <m:r>
                <m:rPr>
                  <m:sty m:val="p"/>
                </m:rPr>
                <m:t>∂</m:t>
              </m:r>
              <m:r>
                <m:t>c</m:t>
              </m:r>
            </m:num>
            <m:den>
              <m:r>
                <m:rPr>
                  <m:sty m:val="p"/>
                </m:rPr>
                <m:t>∂</m:t>
              </m:r>
              <m:r>
                <m:t>t</m:t>
              </m:r>
            </m:den>
          </m:f>
          <m:r>
            <m:rPr>
              <m:sty m:val="p"/>
            </m:rPr>
            <m:t>+</m:t>
          </m:r>
          <m:acc>
            <m:accPr>
              <m:chr m:val="⃗"/>
            </m:accPr>
            <m:e>
              <m:r>
                <m:t>V</m:t>
              </m:r>
            </m:e>
          </m:acc>
          <m:r>
            <m:rPr>
              <m:sty m:val="p"/>
            </m:rPr>
            <m:t>⋅</m:t>
          </m:r>
          <m:r>
            <m:rPr>
              <m:sty m:val="p"/>
            </m:rPr>
            <m:t>∇</m:t>
          </m:r>
          <m:r>
            <m:t>c</m:t>
          </m:r>
          <m:r>
            <m:rPr>
              <m:sty m:val="p"/>
            </m:rPr>
            <m:t>=</m:t>
          </m:r>
          <m:r>
            <m:t>S</m:t>
          </m:r>
          <m:r>
            <m:rPr>
              <m:sty m:val="p"/>
            </m:rPr>
            <m:t>−</m:t>
          </m:r>
          <m:f>
            <m:fPr>
              <m:type m:val="bar"/>
            </m:fPr>
            <m:num>
              <m:r>
                <m:rPr>
                  <m:sty m:val="p"/>
                </m:rPr>
                <m:t>∂</m:t>
              </m:r>
              <m:bar>
                <m:barPr>
                  <m:pos m:val="top"/>
                </m:barPr>
                <m:e>
                  <m:r>
                    <m:t>w</m:t>
                  </m:r>
                  <m:r>
                    <m:rPr>
                      <m:sty m:val="p"/>
                    </m:rPr>
                    <m:t>′</m:t>
                  </m:r>
                  <m:r>
                    <m:t>c</m:t>
                  </m:r>
                  <m:r>
                    <m:rPr>
                      <m:sty m:val="p"/>
                    </m:rPr>
                    <m:t>′</m:t>
                  </m:r>
                </m:e>
              </m:bar>
            </m:num>
            <m:den>
              <m:r>
                <m:rPr>
                  <m:sty m:val="p"/>
                </m:rPr>
                <m:t>∂</m:t>
              </m:r>
              <m:r>
                <m:t>z</m:t>
              </m:r>
            </m:den>
          </m:f>
        </m:oMath>
      </m:oMathPara>
    </w:p>
    <w:p>
      <w:pPr>
        <w:pStyle w:val="FirstParagraph"/>
      </w:pPr>
      <w:r>
        <w:t xml:space="preserve">This is the basis of eddy-covariance flux measurement, the storage term and the advection correction. The</w:t>
      </w:r>
      <w:r>
        <w:t xml:space="preserve"> </w:t>
      </w:r>
      <w:r>
        <w:rPr>
          <w:bCs/>
          <w:b/>
        </w:rPr>
        <w:t xml:space="preserve">water balance</w:t>
      </w:r>
      <w:r>
        <w:t xml:space="preserve"> </w:t>
      </w:r>
      <w:r>
        <w:t xml:space="preserve">and</w:t>
      </w:r>
      <w:r>
        <w:t xml:space="preserve"> </w:t>
      </w:r>
      <w:r>
        <w:rPr>
          <w:bCs/>
          <w:b/>
        </w:rPr>
        <w:t xml:space="preserve">soil water balance</w:t>
      </w:r>
      <w:r>
        <w:t xml:space="preserve"> </w:t>
      </w:r>
      <w:r>
        <w:t xml:space="preserve">are mass-conservation statements too.</w:t>
      </w:r>
    </w:p>
    <w:p>
      <w:pPr>
        <w:pStyle w:val="Heading3"/>
      </w:pPr>
      <w:r>
        <w:t xml:space="preserve">22.4.2 Conservation of energy (first law of thermodynamics)</w:t>
      </w:r>
    </w:p>
    <w:p>
      <w:pPr>
        <w:pStyle w:val="FirstParagraph"/>
      </w:pPr>
      <w:r>
        <w:t xml:space="preserve">Heat added to a parcel goes into raising its internal energy and doing work:</w:t>
      </w:r>
    </w:p>
    <w:p>
      <w:pPr>
        <w:pStyle w:val="BodyText"/>
      </w:pPr>
      <m:oMathPara>
        <m:oMathParaPr>
          <m:jc m:val="center"/>
        </m:oMathParaPr>
        <m:oMath>
          <m:r>
            <m:t>d</m:t>
          </m:r>
          <m:r>
            <m:t>Q</m:t>
          </m:r>
          <m:r>
            <m:rPr>
              <m:sty m:val="p"/>
            </m:rPr>
            <m:t>=</m:t>
          </m:r>
          <m:sSub>
            <m:e>
              <m:r>
                <m:t>c</m:t>
              </m:r>
            </m:e>
            <m:sub>
              <m:r>
                <m:t>v</m:t>
              </m:r>
            </m:sub>
          </m:sSub>
          <m:r>
            <m:t> </m:t>
          </m:r>
          <m:r>
            <m:t>d</m:t>
          </m:r>
          <m:r>
            <m:t>T</m:t>
          </m:r>
          <m:r>
            <m:rPr>
              <m:sty m:val="p"/>
            </m:rPr>
            <m:t>+</m:t>
          </m:r>
          <m:r>
            <m:t>p</m:t>
          </m:r>
          <m:r>
            <m:t> </m:t>
          </m:r>
          <m:r>
            <m:t>d</m:t>
          </m:r>
          <m:r>
            <m:t>α</m:t>
          </m:r>
          <m:r>
            <m:t>  </m:t>
          </m:r>
          <m:r>
            <m:rPr>
              <m:nor/>
              <m:sty m:val="p"/>
            </m:rPr>
            <m:t>or</m:t>
          </m:r>
          <m:r>
            <m:t>  </m:t>
          </m:r>
          <m:r>
            <m:t>d</m:t>
          </m:r>
          <m:r>
            <m:t>Q</m:t>
          </m:r>
          <m:r>
            <m:rPr>
              <m:sty m:val="p"/>
            </m:rPr>
            <m:t>=</m:t>
          </m:r>
          <m:sSub>
            <m:e>
              <m:r>
                <m:t>c</m:t>
              </m:r>
            </m:e>
            <m:sub>
              <m:r>
                <m:t>p</m:t>
              </m:r>
            </m:sub>
          </m:sSub>
          <m:r>
            <m:t> </m:t>
          </m:r>
          <m:r>
            <m:t>d</m:t>
          </m:r>
          <m:r>
            <m:t>T</m:t>
          </m:r>
          <m:r>
            <m:rPr>
              <m:sty m:val="p"/>
            </m:rPr>
            <m:t>−</m:t>
          </m:r>
          <m:r>
            <m:t>α</m:t>
          </m:r>
          <m:r>
            <m:t> </m:t>
          </m:r>
          <m:r>
            <m:t>d</m:t>
          </m:r>
          <m:r>
            <m:t>p</m:t>
          </m:r>
        </m:oMath>
      </m:oMathPara>
    </w:p>
    <w:p>
      <w:pPr>
        <w:pStyle w:val="FirstParagraph"/>
      </w:pPr>
      <w:r>
        <w:t xml:space="preserve">(</w:t>
      </w:r>
      <m:oMath>
        <m:r>
          <m:t>α</m:t>
        </m:r>
        <m:r>
          <m:rPr>
            <m:sty m:val="p"/>
          </m:rPr>
          <m:t>=</m:t>
        </m:r>
        <m:r>
          <m:t>1</m:t>
        </m:r>
        <m:r>
          <m:rPr>
            <m:sty m:val="p"/>
          </m:rPr>
          <m:t>/</m:t>
        </m:r>
        <m:r>
          <m:t>ρ</m:t>
        </m:r>
      </m:oMath>
      <w:r>
        <w:t xml:space="preserve"> </w:t>
      </w:r>
      <w:r>
        <w:t xml:space="preserve">= specific volume.) For</w:t>
      </w:r>
      <w:r>
        <w:t xml:space="preserve"> </w:t>
      </w:r>
      <w:r>
        <w:rPr>
          <w:bCs/>
          <w:b/>
        </w:rPr>
        <w:t xml:space="preserve">adiabatic</w:t>
      </w:r>
      <w:r>
        <w:t xml:space="preserve"> </w:t>
      </w:r>
      <w:r>
        <w:t xml:space="preserve">processes (dQ = 0) a rising parcel cools at the</w:t>
      </w:r>
      <w:r>
        <w:t xml:space="preserve"> </w:t>
      </w:r>
      <w:r>
        <w:rPr>
          <w:bCs/>
          <w:b/>
        </w:rPr>
        <w:t xml:space="preserve">dry adiabatic lapse rate</w:t>
      </w:r>
      <w:r>
        <w:t xml:space="preserve"> </w:t>
      </w:r>
      <m:oMath>
        <m:sSub>
          <m:e>
            <m:r>
              <m:t>Γ</m:t>
            </m:r>
          </m:e>
          <m:sub>
            <m:r>
              <m:t>d</m:t>
            </m:r>
          </m:sub>
        </m:sSub>
        <m:r>
          <m:rPr>
            <m:sty m:val="p"/>
          </m:rPr>
          <m:t>=</m:t>
        </m:r>
        <m:r>
          <m:t>g</m:t>
        </m:r>
        <m:r>
          <m:rPr>
            <m:sty m:val="p"/>
          </m:rPr>
          <m:t>/</m:t>
        </m:r>
        <m:sSub>
          <m:e>
            <m:r>
              <m:t>c</m:t>
            </m:r>
          </m:e>
          <m:sub>
            <m:r>
              <m:t>p</m:t>
            </m:r>
          </m:sub>
        </m:sSub>
        <m:r>
          <m:rPr>
            <m:sty m:val="p"/>
          </m:rPr>
          <m:t>≈</m:t>
        </m:r>
        <m:r>
          <m:t>9.8</m:t>
        </m:r>
      </m:oMath>
      <w:r>
        <w:t xml:space="preserve"> </w:t>
      </w:r>
      <w:r>
        <w:t xml:space="preserve">°C km⁻¹. Saturated parcels cool more slowly (≈ 4–7 °C km⁻¹) because condensation releases latent heat.</w:t>
      </w:r>
    </w:p>
    <w:p>
      <w:pPr>
        <w:pStyle w:val="BodyText"/>
      </w:pPr>
      <w:r>
        <w:t xml:space="preserve">At the Earth’s surface energy conservation becomes the</w:t>
      </w:r>
      <w:r>
        <w:t xml:space="preserve"> </w:t>
      </w:r>
      <w:r>
        <w:rPr>
          <w:bCs/>
          <w:b/>
        </w:rPr>
        <w:t xml:space="preserve">surface energy balance</w:t>
      </w:r>
      <w:r>
        <w:t xml:space="preserve">:</w:t>
      </w:r>
    </w:p>
    <w:p>
      <w:pPr>
        <w:pStyle w:val="BodyText"/>
      </w:pPr>
      <m:oMathPara>
        <m:oMathParaPr>
          <m:jc m:val="center"/>
        </m:oMathParaPr>
        <m:oMath>
          <m:sSub>
            <m:e>
              <m:r>
                <m:t>R</m:t>
              </m:r>
            </m:e>
            <m:sub>
              <m:r>
                <m:t>n</m:t>
              </m:r>
            </m:sub>
          </m:sSub>
          <m:r>
            <m:rPr>
              <m:sty m:val="p"/>
            </m:rPr>
            <m:t>=</m:t>
          </m:r>
          <m:r>
            <m:t>H</m:t>
          </m:r>
          <m:r>
            <m:rPr>
              <m:sty m:val="p"/>
            </m:rPr>
            <m:t>+</m:t>
          </m:r>
          <m:r>
            <m:t>L</m:t>
          </m:r>
          <m:r>
            <m:t>E</m:t>
          </m:r>
          <m:r>
            <m:rPr>
              <m:sty m:val="p"/>
            </m:rPr>
            <m:t>+</m:t>
          </m:r>
          <m:r>
            <m:t>G</m:t>
          </m:r>
          <m:r>
            <m:rPr>
              <m:sty m:val="p"/>
            </m:rPr>
            <m:t>+</m:t>
          </m:r>
          <m:r>
            <m:t>S</m:t>
          </m:r>
          <m:r>
            <m:rPr>
              <m:sty m:val="p"/>
            </m:rPr>
            <m:t>+</m:t>
          </m:r>
          <m:sSub>
            <m:e>
              <m:r>
                <m:t>P</m:t>
              </m:r>
            </m:e>
            <m:sub>
              <m:r>
                <m:t>s</m:t>
              </m:r>
            </m:sub>
          </m:sSub>
        </m:oMath>
      </m:oMathPara>
    </w:p>
    <w:p>
      <w:pPr>
        <w:pStyle w:val="FirstParagraph"/>
      </w:pPr>
      <w:r>
        <w:t xml:space="preserve">(net radiation partitioned into sensible heat, latent heat, soil heat flux, canopy storage and photosynthesis — the last two are small).</w:t>
      </w:r>
    </w:p>
    <w:p>
      <w:pPr>
        <w:pStyle w:val="Heading3"/>
      </w:pPr>
      <w:r>
        <w:t xml:space="preserve">22.4.3 Conservation of momentum (Newton’s second law)</w:t>
      </w:r>
    </w:p>
    <w:p>
      <w:pPr>
        <w:pStyle w:val="FirstParagraph"/>
      </w:pPr>
      <w:r>
        <w:t xml:space="preserve">The acceleration of a parcel equals the sum of forces per unit mass. In the horizontal (the</w:t>
      </w:r>
      <w:r>
        <w:t xml:space="preserve"> </w:t>
      </w:r>
      <w:r>
        <w:rPr>
          <w:bCs/>
          <w:b/>
        </w:rPr>
        <w:t xml:space="preserve">equation of motion</w:t>
      </w:r>
      <w:r>
        <w:t xml:space="preserve">):</w:t>
      </w:r>
    </w:p>
    <w:p>
      <w:pPr>
        <w:pStyle w:val="BodyText"/>
      </w:pPr>
      <m:oMathPara>
        <m:oMathParaPr>
          <m:jc m:val="center"/>
        </m:oMathParaPr>
        <m:oMath>
          <m:f>
            <m:fPr>
              <m:type m:val="bar"/>
            </m:fPr>
            <m:num>
              <m:r>
                <m:t>d</m:t>
              </m:r>
              <m:acc>
                <m:accPr>
                  <m:chr m:val="⃗"/>
                </m:accPr>
                <m:e>
                  <m:r>
                    <m:t>V</m:t>
                  </m:r>
                </m:e>
              </m:acc>
            </m:num>
            <m:den>
              <m:r>
                <m:t>d</m:t>
              </m:r>
              <m:r>
                <m:t>t</m:t>
              </m:r>
            </m:den>
          </m:f>
          <m:r>
            <m:rPr>
              <m:sty m:val="p"/>
            </m:rPr>
            <m:t>=</m:t>
          </m:r>
          <m:r>
            <m:rPr>
              <m:sty m:val="p"/>
            </m:rPr>
            <m:t>−</m:t>
          </m:r>
          <m:f>
            <m:fPr>
              <m:type m:val="bar"/>
            </m:fPr>
            <m:num>
              <m:r>
                <m:t>1</m:t>
              </m:r>
            </m:num>
            <m:den>
              <m:r>
                <m:t>ρ</m:t>
              </m:r>
            </m:den>
          </m:f>
          <m:r>
            <m:rPr>
              <m:sty m:val="p"/>
            </m:rPr>
            <m:t>∇</m:t>
          </m:r>
          <m:r>
            <m:t>p</m:t>
          </m:r>
          <m:r>
            <m:rPr>
              <m:sty m:val="p"/>
            </m:rPr>
            <m:t>−</m:t>
          </m:r>
          <m:r>
            <m:t>2</m:t>
          </m:r>
          <m:acc>
            <m:accPr>
              <m:chr m:val="⃗"/>
            </m:accPr>
            <m:e>
              <m:r>
                <m:t>Ω</m:t>
              </m:r>
            </m:e>
          </m:acc>
          <m:r>
            <m:rPr>
              <m:sty m:val="p"/>
            </m:rPr>
            <m:t>×</m:t>
          </m:r>
          <m:acc>
            <m:accPr>
              <m:chr m:val="⃗"/>
            </m:accPr>
            <m:e>
              <m:r>
                <m:t>V</m:t>
              </m:r>
            </m:e>
          </m:acc>
          <m:r>
            <m:rPr>
              <m:sty m:val="p"/>
            </m:rPr>
            <m:t>+</m:t>
          </m:r>
          <m:acc>
            <m:accPr>
              <m:chr m:val="⃗"/>
            </m:accPr>
            <m:e>
              <m:r>
                <m:t>g</m:t>
              </m:r>
            </m:e>
          </m:acc>
          <m:r>
            <m:rPr>
              <m:sty m:val="p"/>
            </m:rPr>
            <m:t>+</m:t>
          </m:r>
          <m:sSub>
            <m:e>
              <m:acc>
                <m:accPr>
                  <m:chr m:val="⃗"/>
                </m:accPr>
                <m:e>
                  <m:r>
                    <m:t>F</m:t>
                  </m:r>
                </m:e>
              </m:acc>
            </m:e>
            <m:sub>
              <m:r>
                <m:t>r</m:t>
              </m:r>
            </m:sub>
          </m:sSub>
        </m:oMath>
      </m:oMathPara>
    </w:p>
    <w:p>
      <w:pPr>
        <w:pStyle w:val="FirstParagraph"/>
      </w:pPr>
      <w:r>
        <w:t xml:space="preserve">pressure-gradient force + Coriolis force + gravity + friction. Near the ground, momentum is transferred downward to the surface by turbulence (Reynolds stress</w:t>
      </w:r>
      <w:r>
        <w:t xml:space="preserve"> </w:t>
      </w:r>
      <m:oMath>
        <m:r>
          <m:t>τ</m:t>
        </m:r>
        <m:r>
          <m:rPr>
            <m:sty m:val="p"/>
          </m:rPr>
          <m:t>=</m:t>
        </m:r>
        <m:r>
          <m:rPr>
            <m:sty m:val="p"/>
          </m:rPr>
          <m:t>−</m:t>
        </m:r>
        <m:r>
          <m:t>ρ</m:t>
        </m:r>
        <m:bar>
          <m:barPr>
            <m:pos m:val="top"/>
          </m:barPr>
          <m:e>
            <m:r>
              <m:t>u</m:t>
            </m:r>
            <m:r>
              <m:rPr>
                <m:sty m:val="p"/>
              </m:rPr>
              <m:t>′</m:t>
            </m:r>
            <m:r>
              <m:t>w</m:t>
            </m:r>
            <m:r>
              <m:rPr>
                <m:sty m:val="p"/>
              </m:rPr>
              <m:t>′</m:t>
            </m:r>
          </m:e>
        </m:bar>
      </m:oMath>
      <w:r>
        <w:t xml:space="preserve">), creating the logarithmic wind profile and the drag that crops and forests experience.</w:t>
      </w:r>
    </w:p>
    <w:p>
      <w:pPr>
        <w:pStyle w:val="KeyPoint"/>
      </w:pPr>
      <w:r>
        <w:rPr>
          <w:bCs/>
          <w:b/>
        </w:rPr>
        <w:t xml:space="preserve">Three equations, one atmosphere:</w:t>
      </w:r>
      <w:r>
        <w:t xml:space="preserve"> </w:t>
      </w:r>
      <w:r>
        <w:t xml:space="preserve">continuity (mass), thermodynamic energy equation (energy) and the equations of motion (momentum), together with the</w:t>
      </w:r>
      <w:r>
        <w:t xml:space="preserve"> </w:t>
      </w:r>
      <w:r>
        <w:rPr>
          <w:bCs/>
          <w:b/>
        </w:rPr>
        <w:t xml:space="preserve">ideal gas law</w:t>
      </w:r>
      <w:r>
        <w:t xml:space="preserve"> </w:t>
      </w:r>
      <m:oMath>
        <m:r>
          <m:t>p</m:t>
        </m:r>
        <m:r>
          <m:rPr>
            <m:sty m:val="p"/>
          </m:rPr>
          <m:t>=</m:t>
        </m:r>
        <m:r>
          <m:t>ρ</m:t>
        </m:r>
        <m:sSub>
          <m:e>
            <m:r>
              <m:t>R</m:t>
            </m:r>
          </m:e>
          <m:sub>
            <m:r>
              <m:t>d</m:t>
            </m:r>
          </m:sub>
        </m:sSub>
        <m:r>
          <m:t>T</m:t>
        </m:r>
      </m:oMath>
      <w:r>
        <w:t xml:space="preserve"> </w:t>
      </w:r>
      <w:r>
        <w:t xml:space="preserve">and a moisture equation, form the</w:t>
      </w:r>
      <w:r>
        <w:t xml:space="preserve"> </w:t>
      </w:r>
      <w:r>
        <w:t xml:space="preserve">“</w:t>
      </w:r>
      <w:r>
        <w:t xml:space="preserve">primitive equations</w:t>
      </w:r>
      <w:r>
        <w:t xml:space="preserve">”</w:t>
      </w:r>
      <w:r>
        <w:t xml:space="preserve"> </w:t>
      </w:r>
      <w:r>
        <w:t xml:space="preserve">solved by every NWP model (GFS, NCUM, WRF).</w:t>
      </w:r>
    </w:p>
    <w:p>
      <w:pPr>
        <w:pStyle w:val="Heading2"/>
      </w:pPr>
      <w:r>
        <w:t xml:space="preserve">22.5 Forces in Nature</w:t>
      </w:r>
    </w:p>
    <w:p>
      <w:pPr>
        <w:pStyle w:val="Heading3"/>
      </w:pPr>
      <w:r>
        <w:t xml:space="preserve">22.5.1 Fundamental forces</w:t>
      </w:r>
    </w:p>
    <w:p>
      <w:pPr>
        <w:pStyle w:val="FirstParagraph"/>
      </w:pPr>
      <w:r>
        <w:t xml:space="preserve">Physics recognises four fundamental interactions:</w:t>
      </w:r>
      <w:r>
        <w:t xml:space="preserve"> </w:t>
      </w:r>
      <w:r>
        <w:rPr>
          <w:bCs/>
          <w:b/>
        </w:rPr>
        <w:t xml:space="preserve">gravitational</w:t>
      </w:r>
      <w:r>
        <w:t xml:space="preserve"> </w:t>
      </w:r>
      <w:r>
        <w:t xml:space="preserve">(weakest, but long-range and cumulative — governs the atmosphere’s hydrostatic structure, precipitation and runoff),</w:t>
      </w:r>
      <w:r>
        <w:t xml:space="preserve"> </w:t>
      </w:r>
      <w:r>
        <w:rPr>
          <w:bCs/>
          <w:b/>
        </w:rPr>
        <w:t xml:space="preserve">electromagnetic</w:t>
      </w:r>
      <w:r>
        <w:t xml:space="preserve"> </w:t>
      </w:r>
      <w:r>
        <w:t xml:space="preserve">(all chemistry, radiation, friction, surface tension, adhesion of soil water),</w:t>
      </w:r>
      <w:r>
        <w:t xml:space="preserve"> </w:t>
      </w:r>
      <w:r>
        <w:rPr>
          <w:bCs/>
          <w:b/>
        </w:rPr>
        <w:t xml:space="preserve">strong nuclear</w:t>
      </w:r>
      <w:r>
        <w:t xml:space="preserve"> </w:t>
      </w:r>
      <w:r>
        <w:t xml:space="preserve">and</w:t>
      </w:r>
      <w:r>
        <w:t xml:space="preserve"> </w:t>
      </w:r>
      <w:r>
        <w:rPr>
          <w:bCs/>
          <w:b/>
        </w:rPr>
        <w:t xml:space="preserve">weak nuclear</w:t>
      </w:r>
      <w:r>
        <w:t xml:space="preserve"> </w:t>
      </w:r>
      <w:r>
        <w:t xml:space="preserve">(the source of solar energy through fusion and of radioactive decay). Remote sensing exploits electromagnetic interaction; the Sun’s energy comes from nuclear forces; weather is shaped by gravity plus the apparent forces of a rotating Earth.</w:t>
      </w:r>
    </w:p>
    <w:p>
      <w:pPr>
        <w:pStyle w:val="Heading3"/>
      </w:pPr>
      <w:r>
        <w:t xml:space="preserve">22.5.2 Forces that move the atmosphere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Force</w:t>
            </w:r>
          </w:p>
        </w:tc>
        <w:tc>
          <w:tcPr/>
          <w:p>
            <w:pPr>
              <w:pStyle w:val="Compact"/>
              <w:jc w:val="left"/>
            </w:pPr>
            <w:r>
              <w:t xml:space="preserve">Expression (per unit mass)</w:t>
            </w:r>
          </w:p>
        </w:tc>
        <w:tc>
          <w:tcPr/>
          <w:p>
            <w:pPr>
              <w:pStyle w:val="Compact"/>
              <w:jc w:val="left"/>
            </w:pPr>
            <w:r>
              <w:t xml:space="preserve">Role</w:t>
            </w:r>
          </w:p>
        </w:tc>
      </w:tr>
      <w:tr>
        <w:tc>
          <w:tcPr/>
          <w:p>
            <w:pPr>
              <w:pStyle w:val="Compact"/>
              <w:jc w:val="left"/>
            </w:pPr>
            <w:r>
              <w:rPr>
                <w:bCs/>
                <w:b/>
              </w:rPr>
              <w:t xml:space="preserve">Pressure-gradient force (PGF)</w:t>
            </w:r>
          </w:p>
        </w:tc>
        <w:tc>
          <w:tcPr/>
          <w:p>
            <w:pPr>
              <w:pStyle w:val="Compact"/>
              <w:jc w:val="left"/>
            </w:pPr>
            <m:oMath>
              <m:r>
                <m:rPr>
                  <m:sty m:val="p"/>
                </m:rPr>
                <m:t>−</m:t>
              </m:r>
              <m:f>
                <m:fPr>
                  <m:type m:val="bar"/>
                </m:fPr>
                <m:num>
                  <m:r>
                    <m:t>1</m:t>
                  </m:r>
                </m:num>
                <m:den>
                  <m:r>
                    <m:t>ρ</m:t>
                  </m:r>
                </m:den>
              </m:f>
              <m:f>
                <m:fPr>
                  <m:type m:val="bar"/>
                </m:fPr>
                <m:num>
                  <m:r>
                    <m:rPr>
                      <m:sty m:val="p"/>
                    </m:rPr>
                    <m:t>∂</m:t>
                  </m:r>
                  <m:r>
                    <m:t>p</m:t>
                  </m:r>
                </m:num>
                <m:den>
                  <m:r>
                    <m:rPr>
                      <m:sty m:val="p"/>
                    </m:rPr>
                    <m:t>∂</m:t>
                  </m:r>
                  <m:r>
                    <m:t>n</m:t>
                  </m:r>
                </m:den>
              </m:f>
            </m:oMath>
          </w:p>
        </w:tc>
        <w:tc>
          <w:tcPr/>
          <w:p>
            <w:pPr>
              <w:pStyle w:val="Compact"/>
              <w:jc w:val="left"/>
            </w:pPr>
            <w:r>
              <w:t xml:space="preserve">Drives air from high to low pressure; magnitude ∝ isobar spacing</w:t>
            </w:r>
          </w:p>
        </w:tc>
      </w:tr>
      <w:tr>
        <w:tc>
          <w:tcPr/>
          <w:p>
            <w:pPr>
              <w:pStyle w:val="Compact"/>
              <w:jc w:val="left"/>
            </w:pPr>
            <w:r>
              <w:rPr>
                <w:bCs/>
                <w:b/>
              </w:rPr>
              <w:t xml:space="preserve">Coriolis force</w:t>
            </w:r>
          </w:p>
        </w:tc>
        <w:tc>
          <w:tcPr/>
          <w:p>
            <w:pPr>
              <w:pStyle w:val="Compact"/>
              <w:jc w:val="left"/>
            </w:pPr>
            <m:oMath>
              <m:r>
                <m:t>f</m:t>
              </m:r>
              <m:r>
                <m:t>V</m:t>
              </m:r>
            </m:oMath>
            <w:r>
              <w:t xml:space="preserve">, with</w:t>
            </w:r>
            <w:r>
              <w:t xml:space="preserve"> </w:t>
            </w:r>
            <m:oMath>
              <m:r>
                <m:t>f</m:t>
              </m:r>
              <m:r>
                <m:rPr>
                  <m:sty m:val="p"/>
                </m:rPr>
                <m:t>=</m:t>
              </m:r>
              <m:r>
                <m:t>2</m:t>
              </m:r>
              <m:r>
                <m:t>Ω</m:t>
              </m:r>
              <m:r>
                <m:rPr>
                  <m:sty m:val="p"/>
                </m:rPr>
                <m:t>sin</m:t>
              </m:r>
              <m:r>
                <m:t>ϕ</m:t>
              </m:r>
            </m:oMath>
            <w:r>
              <w:t xml:space="preserve"> </w:t>
            </w:r>
            <w:r>
              <w:t xml:space="preserve">(</w:t>
            </w:r>
            <m:oMath>
              <m:r>
                <m:t>Ω</m:t>
              </m:r>
              <m:r>
                <m:rPr>
                  <m:sty m:val="p"/>
                </m:rPr>
                <m:t>=</m:t>
              </m:r>
              <m:r>
                <m:t>7.292</m:t>
              </m:r>
              <m:r>
                <m:rPr>
                  <m:sty m:val="p"/>
                </m:rPr>
                <m:t>×</m:t>
              </m:r>
              <m:sSup>
                <m:e>
                  <m:r>
                    <m:t>10</m:t>
                  </m:r>
                </m:e>
                <m:sup>
                  <m:r>
                    <m:rPr>
                      <m:sty m:val="p"/>
                    </m:rPr>
                    <m:t>−</m:t>
                  </m:r>
                  <m:r>
                    <m:t>5</m:t>
                  </m:r>
                </m:sup>
              </m:sSup>
            </m:oMath>
            <w:r>
              <w:t xml:space="preserve"> </w:t>
            </w:r>
            <w:r>
              <w:t xml:space="preserve">s⁻¹)</w:t>
            </w:r>
          </w:p>
        </w:tc>
        <w:tc>
          <w:tcPr/>
          <w:p>
            <w:pPr>
              <w:pStyle w:val="Compact"/>
              <w:jc w:val="left"/>
            </w:pPr>
            <w:r>
              <w:t xml:space="preserve">Apparent force due to Earth’s rotation; deflects motion to the</w:t>
            </w:r>
            <w:r>
              <w:t xml:space="preserve"> </w:t>
            </w:r>
            <w:r>
              <w:rPr>
                <w:bCs/>
                <w:b/>
              </w:rPr>
              <w:t xml:space="preserve">right in NH</w:t>
            </w:r>
            <w:r>
              <w:t xml:space="preserve">, left in SH; zero at equator, max at poles; changes direction, not speed</w:t>
            </w:r>
          </w:p>
        </w:tc>
      </w:tr>
      <w:tr>
        <w:tc>
          <w:tcPr/>
          <w:p>
            <w:pPr>
              <w:pStyle w:val="Compact"/>
              <w:jc w:val="left"/>
            </w:pPr>
            <w:r>
              <w:rPr>
                <w:bCs/>
                <w:b/>
              </w:rPr>
              <w:t xml:space="preserve">Centrifugal (centripetal acceleration)</w:t>
            </w:r>
          </w:p>
        </w:tc>
        <w:tc>
          <w:tcPr/>
          <w:p>
            <w:pPr>
              <w:pStyle w:val="Compact"/>
              <w:jc w:val="left"/>
            </w:pPr>
            <m:oMath>
              <m:sSup>
                <m:e>
                  <m:r>
                    <m:t>V</m:t>
                  </m:r>
                </m:e>
                <m:sup>
                  <m:r>
                    <m:t>2</m:t>
                  </m:r>
                </m:sup>
              </m:sSup>
              <m:r>
                <m:rPr>
                  <m:sty m:val="p"/>
                </m:rPr>
                <m:t>/</m:t>
              </m:r>
              <m:r>
                <m:t>r</m:t>
              </m:r>
            </m:oMath>
          </w:p>
        </w:tc>
        <w:tc>
          <w:tcPr/>
          <w:p>
            <w:pPr>
              <w:pStyle w:val="Compact"/>
              <w:jc w:val="left"/>
            </w:pPr>
            <w:r>
              <w:t xml:space="preserve">Important in curved flow (cyclones)</w:t>
            </w:r>
          </w:p>
        </w:tc>
      </w:tr>
      <w:tr>
        <w:tc>
          <w:tcPr/>
          <w:p>
            <w:pPr>
              <w:pStyle w:val="Compact"/>
              <w:jc w:val="left"/>
            </w:pPr>
            <w:r>
              <w:rPr>
                <w:bCs/>
                <w:b/>
              </w:rPr>
              <w:t xml:space="preserve">Friction</w:t>
            </w:r>
          </w:p>
        </w:tc>
        <w:tc>
          <w:tcPr/>
          <w:p>
            <w:pPr>
              <w:pStyle w:val="Compact"/>
              <w:jc w:val="left"/>
            </w:pPr>
            <w:r>
              <w:t xml:space="preserve">Proportional to V; acts opposite to motion</w:t>
            </w:r>
          </w:p>
        </w:tc>
        <w:tc>
          <w:tcPr/>
          <w:p>
            <w:pPr>
              <w:pStyle w:val="Compact"/>
              <w:jc w:val="left"/>
            </w:pPr>
            <w:r>
              <w:t xml:space="preserve">Strong within the boundary layer (~1 km); slows wind and turns it toward low pressure</w:t>
            </w:r>
          </w:p>
        </w:tc>
      </w:tr>
      <w:tr>
        <w:tc>
          <w:tcPr/>
          <w:p>
            <w:pPr>
              <w:pStyle w:val="Compact"/>
              <w:jc w:val="left"/>
            </w:pPr>
            <w:r>
              <w:rPr>
                <w:bCs/>
                <w:b/>
              </w:rPr>
              <w:t xml:space="preserve">Gravity</w:t>
            </w:r>
          </w:p>
        </w:tc>
        <w:tc>
          <w:tcPr/>
          <w:p>
            <w:pPr>
              <w:pStyle w:val="Compact"/>
              <w:jc w:val="left"/>
            </w:pPr>
            <m:oMath>
              <m:r>
                <m:t>g</m:t>
              </m:r>
            </m:oMath>
            <w:r>
              <w:t xml:space="preserve"> </w:t>
            </w:r>
            <w:r>
              <w:t xml:space="preserve">≈ 9.81 m s⁻²</w:t>
            </w:r>
          </w:p>
        </w:tc>
        <w:tc>
          <w:tcPr/>
          <w:p>
            <w:pPr>
              <w:pStyle w:val="Compact"/>
              <w:jc w:val="left"/>
            </w:pPr>
            <w:r>
              <w:t xml:space="preserve">Balanced vertically by pressure gradient (hydrostatic balance)</w:t>
            </w:r>
          </w:p>
        </w:tc>
      </w:tr>
    </w:tbl>
    <w:p>
      <w:pPr>
        <w:pStyle w:val="Heading3"/>
      </w:pPr>
      <w:r>
        <w:t xml:space="preserve">22.5.3 Balanced winds</w:t>
      </w:r>
    </w:p>
    <w:p>
      <w:pPr>
        <w:pStyle w:val="Compact"/>
        <w:numPr>
          <w:ilvl w:val="0"/>
          <w:numId w:val="1177"/>
        </w:numPr>
      </w:pPr>
      <w:r>
        <w:rPr>
          <w:bCs/>
          <w:b/>
        </w:rPr>
        <w:t xml:space="preserve">Hydrostatic balance:</w:t>
      </w:r>
      <w:r>
        <w:t xml:space="preserve"> </w:t>
      </w:r>
      <m:oMath>
        <m:f>
          <m:fPr>
            <m:type m:val="bar"/>
          </m:fPr>
          <m:num>
            <m:r>
              <m:rPr>
                <m:sty m:val="p"/>
              </m:rPr>
              <m:t>∂</m:t>
            </m:r>
            <m:r>
              <m:t>p</m:t>
            </m:r>
          </m:num>
          <m:den>
            <m:r>
              <m:rPr>
                <m:sty m:val="p"/>
              </m:rPr>
              <m:t>∂</m:t>
            </m:r>
            <m:r>
              <m:t>z</m:t>
            </m:r>
          </m:den>
        </m:f>
        <m:r>
          <m:rPr>
            <m:sty m:val="p"/>
          </m:rPr>
          <m:t>=</m:t>
        </m:r>
        <m:r>
          <m:rPr>
            <m:sty m:val="p"/>
          </m:rPr>
          <m:t>−</m:t>
        </m:r>
        <m:r>
          <m:t>ρ</m:t>
        </m:r>
        <m:r>
          <m:t>g</m:t>
        </m:r>
      </m:oMath>
      <w:r>
        <w:t xml:space="preserve"> </w:t>
      </w:r>
      <w:r>
        <w:t xml:space="preserve">— pressure falls with height (≈ 1 hPa per 8 m near the surface; halves every ~5.5 km).</w:t>
      </w:r>
    </w:p>
    <w:p>
      <w:pPr>
        <w:pStyle w:val="Compact"/>
        <w:numPr>
          <w:ilvl w:val="0"/>
          <w:numId w:val="1177"/>
        </w:numPr>
      </w:pPr>
      <w:r>
        <w:rPr>
          <w:bCs/>
          <w:b/>
        </w:rPr>
        <w:t xml:space="preserve">Geostrophic wind:</w:t>
      </w:r>
      <w:r>
        <w:t xml:space="preserve"> </w:t>
      </w:r>
      <w:r>
        <w:t xml:space="preserve">PGF = Coriolis force, so the wind blows</w:t>
      </w:r>
      <w:r>
        <w:t xml:space="preserve"> </w:t>
      </w:r>
      <w:r>
        <w:rPr>
          <w:bCs/>
          <w:b/>
        </w:rPr>
        <w:t xml:space="preserve">parallel to isobars</w:t>
      </w:r>
      <w:r>
        <w:t xml:space="preserve"> </w:t>
      </w:r>
      <w:r>
        <w:t xml:space="preserve">above the friction layer:</w:t>
      </w:r>
      <w:r>
        <w:t xml:space="preserve"> </w:t>
      </w:r>
      <m:oMath>
        <m:sSub>
          <m:e>
            <m:r>
              <m:t>V</m:t>
            </m:r>
          </m:e>
          <m:sub>
            <m:r>
              <m:t>g</m:t>
            </m:r>
          </m:sub>
        </m:sSub>
        <m:r>
          <m:rPr>
            <m:sty m:val="p"/>
          </m:rPr>
          <m:t>=</m:t>
        </m:r>
        <m:f>
          <m:fPr>
            <m:type m:val="bar"/>
          </m:fPr>
          <m:num>
            <m:r>
              <m:t>1</m:t>
            </m:r>
          </m:num>
          <m:den>
            <m:r>
              <m:t>ρ</m:t>
            </m:r>
            <m:r>
              <m:t>f</m:t>
            </m:r>
          </m:den>
        </m:f>
        <m:f>
          <m:fPr>
            <m:type m:val="bar"/>
          </m:fPr>
          <m:num>
            <m:r>
              <m:rPr>
                <m:sty m:val="p"/>
              </m:rPr>
              <m:t>∂</m:t>
            </m:r>
            <m:r>
              <m:t>p</m:t>
            </m:r>
          </m:num>
          <m:den>
            <m:r>
              <m:rPr>
                <m:sty m:val="p"/>
              </m:rPr>
              <m:t>∂</m:t>
            </m:r>
            <m:r>
              <m:t>n</m:t>
            </m:r>
          </m:den>
        </m:f>
      </m:oMath>
      <w:r>
        <w:t xml:space="preserve">. Low pressure lies to the left in the NH (Buys-Ballot’s law).</w:t>
      </w:r>
    </w:p>
    <w:p>
      <w:pPr>
        <w:pStyle w:val="Compact"/>
        <w:numPr>
          <w:ilvl w:val="0"/>
          <w:numId w:val="1177"/>
        </w:numPr>
      </w:pPr>
      <w:r>
        <w:rPr>
          <w:bCs/>
          <w:b/>
        </w:rPr>
        <w:t xml:space="preserve">Gradient wind:</w:t>
      </w:r>
      <w:r>
        <w:t xml:space="preserve"> </w:t>
      </w:r>
      <w:r>
        <w:t xml:space="preserve">PGF, Coriolis and centrifugal force balance in curved flow — sub-geostrophic around lows, super-geostrophic around highs.</w:t>
      </w:r>
    </w:p>
    <w:p>
      <w:pPr>
        <w:pStyle w:val="Compact"/>
        <w:numPr>
          <w:ilvl w:val="0"/>
          <w:numId w:val="1177"/>
        </w:numPr>
      </w:pPr>
      <w:r>
        <w:rPr>
          <w:bCs/>
          <w:b/>
        </w:rPr>
        <w:t xml:space="preserve">Cyclostrophic wind:</w:t>
      </w:r>
      <w:r>
        <w:t xml:space="preserve"> </w:t>
      </w:r>
      <w:r>
        <w:t xml:space="preserve">in small intense vortices (tornadoes, near-equatorial systems where</w:t>
      </w:r>
      <w:r>
        <w:t xml:space="preserve"> </w:t>
      </w:r>
      <m:oMath>
        <m:r>
          <m:t>f</m:t>
        </m:r>
        <m:r>
          <m:rPr>
            <m:sty m:val="p"/>
          </m:rPr>
          <m:t>≈</m:t>
        </m:r>
        <m:r>
          <m:t>0</m:t>
        </m:r>
      </m:oMath>
      <w:r>
        <w:t xml:space="preserve">), PGF balances centrifugal force.</w:t>
      </w:r>
    </w:p>
    <w:p>
      <w:pPr>
        <w:pStyle w:val="Compact"/>
        <w:numPr>
          <w:ilvl w:val="0"/>
          <w:numId w:val="1177"/>
        </w:numPr>
      </w:pPr>
      <w:r>
        <w:rPr>
          <w:bCs/>
          <w:b/>
        </w:rPr>
        <w:t xml:space="preserve">Surface (friction) wind:</w:t>
      </w:r>
      <w:r>
        <w:t xml:space="preserve"> </w:t>
      </w:r>
      <w:r>
        <w:t xml:space="preserve">crosses isobars at 10–30° over sea and 30–45° over land toward low pressure — producing</w:t>
      </w:r>
      <w:r>
        <w:t xml:space="preserve"> </w:t>
      </w:r>
      <w:r>
        <w:rPr>
          <w:bCs/>
          <w:b/>
        </w:rPr>
        <w:t xml:space="preserve">convergence and ascent in lows (cloud, rain)</w:t>
      </w:r>
      <w:r>
        <w:t xml:space="preserve"> </w:t>
      </w:r>
      <w:r>
        <w:t xml:space="preserve">and divergence and subsidence in highs (fair weather).</w:t>
      </w:r>
    </w:p>
    <w:p>
      <w:pPr>
        <w:pStyle w:val="Compact"/>
        <w:numPr>
          <w:ilvl w:val="0"/>
          <w:numId w:val="1177"/>
        </w:numPr>
      </w:pPr>
      <w:r>
        <w:rPr>
          <w:bCs/>
          <w:b/>
        </w:rPr>
        <w:t xml:space="preserve">Thermal wind:</w:t>
      </w:r>
      <w:r>
        <w:t xml:space="preserve"> </w:t>
      </w:r>
      <w:r>
        <w:t xml:space="preserve">vertical wind shear due to horizontal temperature gradients — explains the westerly jet stream and the</w:t>
      </w:r>
      <w:r>
        <w:t xml:space="preserve"> </w:t>
      </w:r>
      <w:r>
        <w:rPr>
          <w:bCs/>
          <w:b/>
        </w:rPr>
        <w:t xml:space="preserve">Tropical Easterly Jet</w:t>
      </w:r>
      <w:r>
        <w:t xml:space="preserve"> </w:t>
      </w:r>
      <w:r>
        <w:t xml:space="preserve">over India in monsoon.</w:t>
      </w:r>
    </w:p>
    <w:p>
      <w:pPr>
        <w:pStyle w:val="FirstParagraph"/>
      </w:pPr>
      <w:r>
        <w:rPr>
          <w:bCs/>
          <w:b/>
        </w:rPr>
        <w:t xml:space="preserve">Why tropical cyclones do not form within about 5° of the equator:</w:t>
      </w:r>
      <w:r>
        <w:t xml:space="preserve"> </w:t>
      </w:r>
      <w:r>
        <w:t xml:space="preserve">the Coriolis parameter is too small to organise rotation.</w:t>
      </w:r>
    </w:p>
    <w:p>
      <w:pPr>
        <w:pStyle w:val="Heading3"/>
      </w:pPr>
      <w:r>
        <w:t xml:space="preserve">22.5.4 Other forces relevant to agriculture</w:t>
      </w:r>
    </w:p>
    <w:p>
      <w:pPr>
        <w:pStyle w:val="Compact"/>
        <w:numPr>
          <w:ilvl w:val="0"/>
          <w:numId w:val="1178"/>
        </w:numPr>
      </w:pPr>
      <w:r>
        <w:rPr>
          <w:bCs/>
          <w:b/>
        </w:rPr>
        <w:t xml:space="preserve">Buoyancy:</w:t>
      </w:r>
      <w:r>
        <w:t xml:space="preserve"> </w:t>
      </w:r>
      <m:oMath>
        <m:r>
          <m:t>B</m:t>
        </m:r>
        <m:r>
          <m:rPr>
            <m:sty m:val="p"/>
          </m:rPr>
          <m:t>=</m:t>
        </m:r>
        <m:r>
          <m:t>g</m:t>
        </m:r>
        <m:r>
          <m:t> </m:t>
        </m:r>
        <m:f>
          <m:fPr>
            <m:type m:val="bar"/>
          </m:fPr>
          <m:num>
            <m:sSub>
              <m:e>
                <m:r>
                  <m:t>T</m:t>
                </m:r>
              </m:e>
              <m:sub>
                <m:r>
                  <m:t>p</m:t>
                </m:r>
                <m:r>
                  <m:t>a</m:t>
                </m:r>
                <m:r>
                  <m:t>r</m:t>
                </m:r>
                <m:r>
                  <m:t>c</m:t>
                </m:r>
                <m:r>
                  <m:t>e</m:t>
                </m:r>
                <m:r>
                  <m:t>l</m:t>
                </m:r>
              </m:sub>
            </m:sSub>
            <m:r>
              <m:rPr>
                <m:sty m:val="p"/>
              </m:rPr>
              <m:t>−</m:t>
            </m:r>
            <m:sSub>
              <m:e>
                <m:r>
                  <m:t>T</m:t>
                </m:r>
              </m:e>
              <m:sub>
                <m:r>
                  <m:t>e</m:t>
                </m:r>
                <m:r>
                  <m:t>n</m:t>
                </m:r>
                <m:r>
                  <m:t>v</m:t>
                </m:r>
              </m:sub>
            </m:sSub>
          </m:num>
          <m:den>
            <m:sSub>
              <m:e>
                <m:r>
                  <m:t>T</m:t>
                </m:r>
              </m:e>
              <m:sub>
                <m:r>
                  <m:t>e</m:t>
                </m:r>
                <m:r>
                  <m:t>n</m:t>
                </m:r>
                <m:r>
                  <m:t>v</m:t>
                </m:r>
              </m:sub>
            </m:sSub>
          </m:den>
        </m:f>
      </m:oMath>
      <w:r>
        <w:t xml:space="preserve"> </w:t>
      </w:r>
      <w:r>
        <w:t xml:space="preserve">— drives convection, thunderstorms and thermals; basis of atmospheric stability.</w:t>
      </w:r>
    </w:p>
    <w:p>
      <w:pPr>
        <w:pStyle w:val="Compact"/>
        <w:numPr>
          <w:ilvl w:val="0"/>
          <w:numId w:val="1178"/>
        </w:numPr>
      </w:pPr>
      <w:r>
        <w:rPr>
          <w:bCs/>
          <w:b/>
        </w:rPr>
        <w:t xml:space="preserve">Surface tension and capillary forces:</w:t>
      </w:r>
      <w:r>
        <w:t xml:space="preserve"> </w:t>
      </w:r>
      <w:r>
        <w:t xml:space="preserve">hold soil water, drive capillary rise.</w:t>
      </w:r>
    </w:p>
    <w:p>
      <w:pPr>
        <w:pStyle w:val="Compact"/>
        <w:numPr>
          <w:ilvl w:val="0"/>
          <w:numId w:val="1178"/>
        </w:numPr>
      </w:pPr>
      <w:r>
        <w:rPr>
          <w:bCs/>
          <w:b/>
        </w:rPr>
        <w:t xml:space="preserve">Drag force on plants:</w:t>
      </w:r>
      <w:r>
        <w:t xml:space="preserve"> </w:t>
      </w:r>
      <m:oMath>
        <m:sSub>
          <m:e>
            <m:r>
              <m:t>F</m:t>
            </m:r>
          </m:e>
          <m:sub>
            <m:r>
              <m:t>D</m:t>
            </m:r>
          </m:sub>
        </m:sSub>
        <m:r>
          <m:rPr>
            <m:sty m:val="p"/>
          </m:rPr>
          <m:t>=</m:t>
        </m:r>
        <m:f>
          <m:fPr>
            <m:type m:val="lin"/>
          </m:fPr>
          <m:num>
            <m:r>
              <m:t>1</m:t>
            </m:r>
          </m:num>
          <m:den>
            <m:r>
              <m:t>2</m:t>
            </m:r>
          </m:den>
        </m:f>
        <m:r>
          <m:t>ρ</m:t>
        </m:r>
        <m:sSub>
          <m:e>
            <m:r>
              <m:t>C</m:t>
            </m:r>
          </m:e>
          <m:sub>
            <m:r>
              <m:t>D</m:t>
            </m:r>
          </m:sub>
        </m:sSub>
        <m:r>
          <m:t>A</m:t>
        </m:r>
        <m:sSup>
          <m:e>
            <m:r>
              <m:t>V</m:t>
            </m:r>
          </m:e>
          <m:sup>
            <m:r>
              <m:t>2</m:t>
            </m:r>
          </m:sup>
        </m:sSup>
      </m:oMath>
      <w:r>
        <w:t xml:space="preserve"> </w:t>
      </w:r>
      <w:r>
        <w:t xml:space="preserve">— causes lodging, windthrow and the momentum sink that defines zero-plane displacement.</w:t>
      </w:r>
    </w:p>
    <w:p>
      <w:pPr>
        <w:pStyle w:val="Heading2"/>
      </w:pPr>
      <w:r>
        <w:t xml:space="preserve">22.6 Heat and Temperature</w:t>
      </w:r>
    </w:p>
    <w:p>
      <w:pPr>
        <w:pStyle w:val="Heading3"/>
      </w:pPr>
      <w:r>
        <w:t xml:space="preserve">22.6.1 Concepts</w:t>
      </w:r>
    </w:p>
    <w:p>
      <w:pPr>
        <w:pStyle w:val="Compact"/>
        <w:numPr>
          <w:ilvl w:val="0"/>
          <w:numId w:val="1179"/>
        </w:numPr>
      </w:pPr>
      <w:r>
        <w:rPr>
          <w:bCs/>
          <w:b/>
        </w:rPr>
        <w:t xml:space="preserve">Temperature</w:t>
      </w:r>
      <w:r>
        <w:t xml:space="preserve"> </w:t>
      </w:r>
      <w:r>
        <w:t xml:space="preserve">is a measure of the average kinetic energy of molecules (an intensive property).</w:t>
      </w:r>
      <w:r>
        <w:t xml:space="preserve"> </w:t>
      </w:r>
      <w:r>
        <w:rPr>
          <w:bCs/>
          <w:b/>
        </w:rPr>
        <w:t xml:space="preserve">Heat</w:t>
      </w:r>
      <w:r>
        <w:t xml:space="preserve"> </w:t>
      </w:r>
      <w:r>
        <w:t xml:space="preserve">is energy in transit due to a temperature difference (an extensive quantity, joules).</w:t>
      </w:r>
    </w:p>
    <w:p>
      <w:pPr>
        <w:pStyle w:val="Compact"/>
        <w:numPr>
          <w:ilvl w:val="0"/>
          <w:numId w:val="1179"/>
        </w:numPr>
      </w:pPr>
      <w:r>
        <w:t xml:space="preserve">Scales: Celsius, Kelvin (</w:t>
      </w:r>
      <m:oMath>
        <m:r>
          <m:t>K</m:t>
        </m:r>
        <m:r>
          <m:rPr>
            <m:sty m:val="p"/>
          </m:rPr>
          <m:t>=</m:t>
        </m:r>
        <m:r>
          <m:rPr>
            <m:sty m:val="p"/>
          </m:rPr>
          <m:t>°</m:t>
        </m:r>
        <m:r>
          <m:t>C</m:t>
        </m:r>
        <m:r>
          <m:rPr>
            <m:sty m:val="p"/>
          </m:rPr>
          <m:t>+</m:t>
        </m:r>
        <m:r>
          <m:t>273.15</m:t>
        </m:r>
      </m:oMath>
      <w:r>
        <w:t xml:space="preserve">), Fahrenheit (</w:t>
      </w:r>
      <m:oMath>
        <m:r>
          <m:rPr>
            <m:sty m:val="p"/>
          </m:rPr>
          <m:t>°</m:t>
        </m:r>
        <m:r>
          <m:t>F</m:t>
        </m:r>
        <m:r>
          <m:rPr>
            <m:sty m:val="p"/>
          </m:rPr>
          <m:t>=</m:t>
        </m:r>
        <m:r>
          <m:t>1.8</m:t>
        </m:r>
        <m:r>
          <m:t> </m:t>
        </m:r>
        <m:r>
          <m:rPr>
            <m:sty m:val="p"/>
          </m:rPr>
          <m:t>°</m:t>
        </m:r>
        <m:r>
          <m:t>C</m:t>
        </m:r>
        <m:r>
          <m:rPr>
            <m:sty m:val="p"/>
          </m:rPr>
          <m:t>+</m:t>
        </m:r>
        <m:r>
          <m:t>32</m:t>
        </m:r>
      </m:oMath>
      <w:r>
        <w:t xml:space="preserve">). Absolute zero 0 K = −273.15 °C.</w:t>
      </w:r>
    </w:p>
    <w:p>
      <w:pPr>
        <w:pStyle w:val="Compact"/>
        <w:numPr>
          <w:ilvl w:val="0"/>
          <w:numId w:val="1179"/>
        </w:numPr>
      </w:pPr>
      <w:r>
        <w:rPr>
          <w:bCs/>
          <w:b/>
        </w:rPr>
        <w:t xml:space="preserve">Potential temperature</w:t>
      </w:r>
      <w:r>
        <w:t xml:space="preserve"> </w:t>
      </w:r>
      <m:oMath>
        <m:r>
          <m:t>θ</m:t>
        </m:r>
        <m:r>
          <m:rPr>
            <m:sty m:val="p"/>
          </m:rPr>
          <m:t>=</m:t>
        </m:r>
        <m:r>
          <m:t>T</m:t>
        </m:r>
        <m:sSup>
          <m:e>
            <m:d>
              <m:dPr>
                <m:begChr m:val="("/>
                <m:endChr m:val=")"/>
                <m:sepChr m:val=""/>
                <m:grow/>
              </m:dPr>
              <m:e>
                <m:f>
                  <m:fPr>
                    <m:type m:val="bar"/>
                  </m:fPr>
                  <m:num>
                    <m:r>
                      <m:t>1000</m:t>
                    </m:r>
                  </m:num>
                  <m:den>
                    <m:r>
                      <m:t>p</m:t>
                    </m:r>
                  </m:den>
                </m:f>
              </m:e>
            </m:d>
          </m:e>
          <m:sup>
            <m:r>
              <m:t>R</m:t>
            </m:r>
            <m:r>
              <m:rPr>
                <m:sty m:val="p"/>
              </m:rPr>
              <m:t>/</m:t>
            </m:r>
            <m:sSub>
              <m:e>
                <m:r>
                  <m:t>c</m:t>
                </m:r>
              </m:e>
              <m:sub>
                <m:r>
                  <m:t>p</m:t>
                </m:r>
              </m:sub>
            </m:sSub>
          </m:sup>
        </m:sSup>
      </m:oMath>
      <w:r>
        <w:t xml:space="preserve"> </w:t>
      </w:r>
      <w:r>
        <w:t xml:space="preserve">(</w:t>
      </w:r>
      <m:oMath>
        <m:r>
          <m:t>R</m:t>
        </m:r>
        <m:r>
          <m:rPr>
            <m:sty m:val="p"/>
          </m:rPr>
          <m:t>/</m:t>
        </m:r>
        <m:sSub>
          <m:e>
            <m:r>
              <m:t>c</m:t>
            </m:r>
          </m:e>
          <m:sub>
            <m:r>
              <m:t>p</m:t>
            </m:r>
          </m:sub>
        </m:sSub>
        <m:r>
          <m:rPr>
            <m:sty m:val="p"/>
          </m:rPr>
          <m:t>≈</m:t>
        </m:r>
        <m:r>
          <m:t>0.286</m:t>
        </m:r>
      </m:oMath>
      <w:r>
        <w:t xml:space="preserve">) — temperature a parcel would have if brought adiabatically to 1000 hPa; conserved in dry adiabatic motion, used to diagnose stability and in flux measurements (</w:t>
      </w:r>
      <m:oMath>
        <m:r>
          <m:t>H</m:t>
        </m:r>
        <m:r>
          <m:rPr>
            <m:sty m:val="p"/>
          </m:rPr>
          <m:t>=</m:t>
        </m:r>
        <m:r>
          <m:t>ρ</m:t>
        </m:r>
        <m:sSub>
          <m:e>
            <m:r>
              <m:t>c</m:t>
            </m:r>
          </m:e>
          <m:sub>
            <m:r>
              <m:t>p</m:t>
            </m:r>
          </m:sub>
        </m:sSub>
        <m:bar>
          <m:barPr>
            <m:pos m:val="top"/>
          </m:barPr>
          <m:e>
            <m:r>
              <m:t>w</m:t>
            </m:r>
            <m:r>
              <m:rPr>
                <m:sty m:val="p"/>
              </m:rPr>
              <m:t>′</m:t>
            </m:r>
            <m:r>
              <m:t>θ</m:t>
            </m:r>
            <m:r>
              <m:rPr>
                <m:sty m:val="p"/>
              </m:rPr>
              <m:t>′</m:t>
            </m:r>
          </m:e>
        </m:bar>
      </m:oMath>
      <w:r>
        <w:t xml:space="preserve">).</w:t>
      </w:r>
    </w:p>
    <w:p>
      <w:pPr>
        <w:pStyle w:val="Compact"/>
        <w:numPr>
          <w:ilvl w:val="0"/>
          <w:numId w:val="1179"/>
        </w:numPr>
      </w:pPr>
      <w:r>
        <w:rPr>
          <w:bCs/>
          <w:b/>
        </w:rPr>
        <w:t xml:space="preserve">Virtual temperature</w:t>
      </w:r>
      <w:r>
        <w:t xml:space="preserve"> </w:t>
      </w:r>
      <m:oMath>
        <m:sSub>
          <m:e>
            <m:r>
              <m:t>T</m:t>
            </m:r>
          </m:e>
          <m:sub>
            <m:r>
              <m:t>v</m:t>
            </m:r>
          </m:sub>
        </m:sSub>
        <m:r>
          <m:rPr>
            <m:sty m:val="p"/>
          </m:rPr>
          <m:t>=</m:t>
        </m:r>
        <m:r>
          <m:t>T</m:t>
        </m:r>
        <m:d>
          <m:dPr>
            <m:begChr m:val="("/>
            <m:endChr m:val=")"/>
            <m:sepChr m:val=""/>
            <m:grow/>
          </m:dPr>
          <m:e>
            <m:r>
              <m:t>1</m:t>
            </m:r>
            <m:r>
              <m:rPr>
                <m:sty m:val="p"/>
              </m:rPr>
              <m:t>+</m:t>
            </m:r>
            <m:r>
              <m:t>0.61</m:t>
            </m:r>
            <m:r>
              <m:t>q</m:t>
            </m:r>
          </m:e>
        </m:d>
      </m:oMath>
      <w:r>
        <w:t xml:space="preserve"> </w:t>
      </w:r>
      <w:r>
        <w:t xml:space="preserve">— accounts for lighter moist air.</w:t>
      </w:r>
    </w:p>
    <w:p>
      <w:pPr>
        <w:pStyle w:val="Heading3"/>
      </w:pPr>
      <w:r>
        <w:t xml:space="preserve">22.6.2 Specific heat and latent heat</w:t>
      </w:r>
    </w:p>
    <w:p>
      <w:pPr>
        <w:pStyle w:val="FirstParagraph"/>
      </w:pPr>
      <w:r>
        <w:rPr>
          <w:bCs/>
          <w:b/>
        </w:rPr>
        <w:t xml:space="preserve">Specific heat capacity</w:t>
      </w:r>
      <w:r>
        <w:t xml:space="preserve"> </w:t>
      </w:r>
      <m:oMath>
        <m:r>
          <m:t>c</m:t>
        </m:r>
      </m:oMath>
      <w:r>
        <w:t xml:space="preserve"> </w:t>
      </w:r>
      <w:r>
        <w:t xml:space="preserve">= heat needed to raise 1 kg by 1 K:</w:t>
      </w:r>
      <w:r>
        <w:t xml:space="preserve"> </w:t>
      </w:r>
      <m:oMath>
        <m:r>
          <m:t>Q</m:t>
        </m:r>
        <m:r>
          <m:rPr>
            <m:sty m:val="p"/>
          </m:rPr>
          <m:t>=</m:t>
        </m:r>
        <m:r>
          <m:t>m</m:t>
        </m:r>
        <m:r>
          <m:t> </m:t>
        </m:r>
        <m:r>
          <m:t>c</m:t>
        </m:r>
        <m:r>
          <m:t> </m:t>
        </m:r>
        <m:r>
          <m:t>Δ</m:t>
        </m:r>
        <m:r>
          <m:t>T</m:t>
        </m:r>
      </m:oMath>
      <w:r>
        <w:t xml:space="preserv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Substance</w:t>
            </w:r>
          </w:p>
        </w:tc>
        <w:tc>
          <w:tcPr/>
          <w:p>
            <w:pPr>
              <w:pStyle w:val="Compact"/>
              <w:jc w:val="left"/>
            </w:pPr>
            <w:r>
              <w:t xml:space="preserve">Specific heat (J kg⁻¹ K⁻¹)</w:t>
            </w:r>
          </w:p>
        </w:tc>
        <w:tc>
          <w:tcPr/>
          <w:p>
            <w:pPr>
              <w:pStyle w:val="Compact"/>
              <w:jc w:val="left"/>
            </w:pPr>
            <w:r>
              <w:t xml:space="preserve">Volumetric heat capacity (MJ m⁻³ K⁻¹)</w:t>
            </w:r>
          </w:p>
        </w:tc>
      </w:tr>
      <w:tr>
        <w:tc>
          <w:tcPr/>
          <w:p>
            <w:pPr>
              <w:pStyle w:val="Compact"/>
              <w:jc w:val="left"/>
            </w:pPr>
            <w:r>
              <w:t xml:space="preserve">Water</w:t>
            </w:r>
          </w:p>
        </w:tc>
        <w:tc>
          <w:tcPr/>
          <w:p>
            <w:pPr>
              <w:pStyle w:val="Compact"/>
              <w:jc w:val="left"/>
            </w:pPr>
            <w:r>
              <w:rPr>
                <w:bCs/>
                <w:b/>
              </w:rPr>
              <w:t xml:space="preserve">4186</w:t>
            </w:r>
            <w:r>
              <w:t xml:space="preserve"> </w:t>
            </w:r>
            <w:r>
              <w:t xml:space="preserve">(highest of common substances)</w:t>
            </w:r>
          </w:p>
        </w:tc>
        <w:tc>
          <w:tcPr/>
          <w:p>
            <w:pPr>
              <w:pStyle w:val="Compact"/>
              <w:jc w:val="left"/>
            </w:pPr>
            <w:r>
              <w:t xml:space="preserve">4.18</w:t>
            </w:r>
          </w:p>
        </w:tc>
      </w:tr>
      <w:tr>
        <w:tc>
          <w:tcPr/>
          <w:p>
            <w:pPr>
              <w:pStyle w:val="Compact"/>
              <w:jc w:val="left"/>
            </w:pPr>
            <w:r>
              <w:t xml:space="preserve">Ice</w:t>
            </w:r>
          </w:p>
        </w:tc>
        <w:tc>
          <w:tcPr/>
          <w:p>
            <w:pPr>
              <w:pStyle w:val="Compact"/>
              <w:jc w:val="left"/>
            </w:pPr>
            <w:r>
              <w:t xml:space="preserve">2100</w:t>
            </w:r>
          </w:p>
        </w:tc>
        <w:tc>
          <w:tcPr/>
          <w:p>
            <w:pPr>
              <w:pStyle w:val="Compact"/>
              <w:jc w:val="left"/>
            </w:pPr>
            <w:r>
              <w:t xml:space="preserve">1.9</w:t>
            </w:r>
          </w:p>
        </w:tc>
      </w:tr>
      <w:tr>
        <w:tc>
          <w:tcPr/>
          <w:p>
            <w:pPr>
              <w:pStyle w:val="Compact"/>
              <w:jc w:val="left"/>
            </w:pPr>
            <w:r>
              <w:t xml:space="preserve">Dry air (</w:t>
            </w:r>
            <m:oMath>
              <m:sSub>
                <m:e>
                  <m:r>
                    <m:t>c</m:t>
                  </m:r>
                </m:e>
                <m:sub>
                  <m:r>
                    <m:t>p</m:t>
                  </m:r>
                </m:sub>
              </m:sSub>
            </m:oMath>
            <w:r>
              <w:t xml:space="preserve">)</w:t>
            </w:r>
          </w:p>
        </w:tc>
        <w:tc>
          <w:tcPr/>
          <w:p>
            <w:pPr>
              <w:pStyle w:val="Compact"/>
              <w:jc w:val="left"/>
            </w:pPr>
            <w:r>
              <w:rPr>
                <w:bCs/>
                <w:b/>
              </w:rPr>
              <w:t xml:space="preserve">1005</w:t>
            </w:r>
            <w:r>
              <w:t xml:space="preserve"> </w:t>
            </w:r>
            <w:r>
              <w:t xml:space="preserve">(</w:t>
            </w:r>
            <m:oMath>
              <m:sSub>
                <m:e>
                  <m:r>
                    <m:t>c</m:t>
                  </m:r>
                </m:e>
                <m:sub>
                  <m:r>
                    <m:t>v</m:t>
                  </m:r>
                </m:sub>
              </m:sSub>
            </m:oMath>
            <w:r>
              <w:t xml:space="preserve"> </w:t>
            </w:r>
            <w:r>
              <w:t xml:space="preserve">= 718)</w:t>
            </w:r>
          </w:p>
        </w:tc>
        <w:tc>
          <w:tcPr/>
          <w:p>
            <w:pPr>
              <w:pStyle w:val="Compact"/>
              <w:jc w:val="left"/>
            </w:pPr>
            <w:r>
              <w:t xml:space="preserve">0.0012</w:t>
            </w:r>
          </w:p>
        </w:tc>
      </w:tr>
      <w:tr>
        <w:tc>
          <w:tcPr/>
          <w:p>
            <w:pPr>
              <w:pStyle w:val="Compact"/>
              <w:jc w:val="left"/>
            </w:pPr>
            <w:r>
              <w:t xml:space="preserve">Soil minerals</w:t>
            </w:r>
          </w:p>
        </w:tc>
        <w:tc>
          <w:tcPr/>
          <w:p>
            <w:pPr>
              <w:pStyle w:val="Compact"/>
              <w:jc w:val="left"/>
            </w:pPr>
            <w:r>
              <w:t xml:space="preserve">~800</w:t>
            </w:r>
          </w:p>
        </w:tc>
        <w:tc>
          <w:tcPr/>
          <w:p>
            <w:pPr>
              <w:pStyle w:val="Compact"/>
              <w:jc w:val="left"/>
            </w:pPr>
            <w:r>
              <w:t xml:space="preserve">~2.0</w:t>
            </w:r>
          </w:p>
        </w:tc>
      </w:tr>
      <w:tr>
        <w:tc>
          <w:tcPr/>
          <w:p>
            <w:pPr>
              <w:pStyle w:val="Compact"/>
              <w:jc w:val="left"/>
            </w:pPr>
            <w:r>
              <w:t xml:space="preserve">Organic matter</w:t>
            </w:r>
          </w:p>
        </w:tc>
        <w:tc>
          <w:tcPr/>
          <w:p>
            <w:pPr>
              <w:pStyle w:val="Compact"/>
              <w:jc w:val="left"/>
            </w:pPr>
            <w:r>
              <w:t xml:space="preserve">~1900</w:t>
            </w:r>
          </w:p>
        </w:tc>
        <w:tc>
          <w:tcPr/>
          <w:p>
            <w:pPr>
              <w:pStyle w:val="Compact"/>
              <w:jc w:val="left"/>
            </w:pPr>
            <w:r>
              <w:t xml:space="preserve">~2.5</w:t>
            </w:r>
          </w:p>
        </w:tc>
      </w:tr>
    </w:tbl>
    <w:p>
      <w:pPr>
        <w:pStyle w:val="BodyText"/>
      </w:pPr>
      <w:r>
        <w:t xml:space="preserve">Water’s high specific heat explains the</w:t>
      </w:r>
      <w:r>
        <w:t xml:space="preserve"> </w:t>
      </w:r>
      <w:r>
        <w:rPr>
          <w:bCs/>
          <w:b/>
        </w:rPr>
        <w:t xml:space="preserve">moderating influence of oceans and large lakes</w:t>
      </w:r>
      <w:r>
        <w:t xml:space="preserve"> </w:t>
      </w:r>
      <w:r>
        <w:t xml:space="preserve">(maritime climates), the slower warming of wet soils, and why irrigation protects crops from frost.</w:t>
      </w:r>
    </w:p>
    <w:p>
      <w:pPr>
        <w:pStyle w:val="BodyText"/>
      </w:pPr>
      <w:r>
        <w:rPr>
          <w:bCs/>
          <w:b/>
        </w:rPr>
        <w:t xml:space="preserve">Latent heat</w:t>
      </w:r>
      <w:r>
        <w:t xml:space="preserve"> </w:t>
      </w:r>
      <w:r>
        <w:t xml:space="preserve">is energy absorbed or released during phase change without temperature change:</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Process</w:t>
            </w:r>
          </w:p>
        </w:tc>
        <w:tc>
          <w:tcPr/>
          <w:p>
            <w:pPr>
              <w:pStyle w:val="Compact"/>
              <w:jc w:val="left"/>
            </w:pPr>
            <w:r>
              <w:t xml:space="preserve">Latent heat (MJ kg⁻¹)</w:t>
            </w:r>
          </w:p>
        </w:tc>
      </w:tr>
      <w:tr>
        <w:tc>
          <w:tcPr/>
          <w:p>
            <w:pPr>
              <w:pStyle w:val="Compact"/>
              <w:jc w:val="left"/>
            </w:pPr>
            <w:r>
              <w:t xml:space="preserve">Vaporisation / condensation</w:t>
            </w:r>
          </w:p>
        </w:tc>
        <w:tc>
          <w:tcPr/>
          <w:p>
            <w:pPr>
              <w:pStyle w:val="Compact"/>
              <w:jc w:val="left"/>
            </w:pPr>
            <w:r>
              <w:rPr>
                <w:bCs/>
                <w:b/>
              </w:rPr>
              <w:t xml:space="preserve">2.45 at 20 °C</w:t>
            </w:r>
            <w:r>
              <w:t xml:space="preserve"> </w:t>
            </w:r>
            <w:r>
              <w:t xml:space="preserve">(2.50 at 0 °C)</w:t>
            </w:r>
          </w:p>
        </w:tc>
      </w:tr>
      <w:tr>
        <w:tc>
          <w:tcPr/>
          <w:p>
            <w:pPr>
              <w:pStyle w:val="Compact"/>
              <w:jc w:val="left"/>
            </w:pPr>
            <w:r>
              <w:t xml:space="preserve">Fusion / freezing</w:t>
            </w:r>
          </w:p>
        </w:tc>
        <w:tc>
          <w:tcPr/>
          <w:p>
            <w:pPr>
              <w:pStyle w:val="Compact"/>
              <w:jc w:val="left"/>
            </w:pPr>
            <w:r>
              <w:t xml:space="preserve">0.334</w:t>
            </w:r>
          </w:p>
        </w:tc>
      </w:tr>
      <w:tr>
        <w:tc>
          <w:tcPr/>
          <w:p>
            <w:pPr>
              <w:pStyle w:val="Compact"/>
              <w:jc w:val="left"/>
            </w:pPr>
            <w:r>
              <w:t xml:space="preserve">Sublimation</w:t>
            </w:r>
          </w:p>
        </w:tc>
        <w:tc>
          <w:tcPr/>
          <w:p>
            <w:pPr>
              <w:pStyle w:val="Compact"/>
              <w:jc w:val="left"/>
            </w:pPr>
            <w:r>
              <w:t xml:space="preserve">2.83</w:t>
            </w:r>
          </w:p>
        </w:tc>
      </w:tr>
    </w:tbl>
    <w:p>
      <w:pPr>
        <w:pStyle w:val="BodyText"/>
      </w:pPr>
      <w:r>
        <w:t xml:space="preserve">Evaporating 1 mm of water from 1 m² (1 kg) needs 2.45 MJ — hence</w:t>
      </w:r>
      <w:r>
        <w:t xml:space="preserve"> </w:t>
      </w:r>
      <w:r>
        <w:rPr>
          <w:bCs/>
          <w:b/>
        </w:rPr>
        <w:t xml:space="preserve">1 mm day⁻¹ ET ≈ 28.4 W m⁻²</w:t>
      </w:r>
      <w:r>
        <w:t xml:space="preserve">. Latent heat released by condensation powers thunderstorms, monsoon depressions and cyclones.</w:t>
      </w:r>
      <w:r>
        <w:t xml:space="preserve"> </w:t>
      </w:r>
      <w:r>
        <w:rPr>
          <w:bCs/>
          <w:b/>
        </w:rPr>
        <w:t xml:space="preserve">Frost protection by sprinkling</w:t>
      </w:r>
      <w:r>
        <w:t xml:space="preserve"> </w:t>
      </w:r>
      <w:r>
        <w:t xml:space="preserve">works because freezing water releases 0.334 MJ kg⁻¹, holding plant tissue near 0 °C.</w:t>
      </w:r>
    </w:p>
    <w:p>
      <w:pPr>
        <w:pStyle w:val="Heading3"/>
      </w:pPr>
      <w:r>
        <w:t xml:space="preserve">22.6.3 Measurement of heat and temperature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Instrument</w:t>
            </w:r>
          </w:p>
        </w:tc>
        <w:tc>
          <w:tcPr/>
          <w:p>
            <w:pPr>
              <w:pStyle w:val="Compact"/>
              <w:jc w:val="left"/>
            </w:pPr>
            <w:r>
              <w:t xml:space="preserve">Principle</w:t>
            </w:r>
          </w:p>
        </w:tc>
        <w:tc>
          <w:tcPr/>
          <w:p>
            <w:pPr>
              <w:pStyle w:val="Compact"/>
              <w:jc w:val="left"/>
            </w:pPr>
            <w:r>
              <w:t xml:space="preserve">Use</w:t>
            </w:r>
          </w:p>
        </w:tc>
      </w:tr>
      <w:tr>
        <w:tc>
          <w:tcPr/>
          <w:p>
            <w:pPr>
              <w:pStyle w:val="Compact"/>
              <w:jc w:val="left"/>
            </w:pPr>
            <w:r>
              <w:t xml:space="preserve">Liquid-in-glass thermometer (mercury/alcohol)</w:t>
            </w:r>
          </w:p>
        </w:tc>
        <w:tc>
          <w:tcPr/>
          <w:p>
            <w:pPr>
              <w:pStyle w:val="Compact"/>
              <w:jc w:val="left"/>
            </w:pPr>
            <w:r>
              <w:t xml:space="preserve">Thermal expansion</w:t>
            </w:r>
          </w:p>
        </w:tc>
        <w:tc>
          <w:tcPr/>
          <w:p>
            <w:pPr>
              <w:pStyle w:val="Compact"/>
              <w:jc w:val="left"/>
            </w:pPr>
            <w:r>
              <w:t xml:space="preserve">Dry bulb, wet bulb (psychrometer), max (mercury, constriction) and min (alcohol, index) thermometers in a</w:t>
            </w:r>
            <w:r>
              <w:t xml:space="preserve"> </w:t>
            </w:r>
            <w:r>
              <w:rPr>
                <w:bCs/>
                <w:b/>
              </w:rPr>
              <w:t xml:space="preserve">Stevenson screen</w:t>
            </w:r>
            <w:r>
              <w:t xml:space="preserve"> </w:t>
            </w:r>
            <w:r>
              <w:t xml:space="preserve">(1.25–2 m height, louvred, white, door facing north in NH)</w:t>
            </w:r>
          </w:p>
        </w:tc>
      </w:tr>
      <w:tr>
        <w:tc>
          <w:tcPr/>
          <w:p>
            <w:pPr>
              <w:pStyle w:val="Compact"/>
              <w:jc w:val="left"/>
            </w:pPr>
            <w:r>
              <w:rPr>
                <w:bCs/>
                <w:b/>
              </w:rPr>
              <w:t xml:space="preserve">Thermocouple</w:t>
            </w:r>
          </w:p>
        </w:tc>
        <w:tc>
          <w:tcPr/>
          <w:p>
            <w:pPr>
              <w:pStyle w:val="Compact"/>
              <w:jc w:val="left"/>
            </w:pPr>
            <w:r>
              <w:t xml:space="preserve">Seebeck effect — EMF at junction of dissimilar metals (copper–constantan type T; chromel–constantan type E)</w:t>
            </w:r>
          </w:p>
        </w:tc>
        <w:tc>
          <w:tcPr/>
          <w:p>
            <w:pPr>
              <w:pStyle w:val="Compact"/>
              <w:jc w:val="left"/>
            </w:pPr>
            <w:r>
              <w:t xml:space="preserve">Leaf, canopy, soil temperatures; fast fine-wire for eddy covariance</w:t>
            </w:r>
          </w:p>
        </w:tc>
      </w:tr>
      <w:tr>
        <w:tc>
          <w:tcPr/>
          <w:p>
            <w:pPr>
              <w:pStyle w:val="Compact"/>
              <w:jc w:val="left"/>
            </w:pPr>
            <w:r>
              <w:rPr>
                <w:bCs/>
                <w:b/>
              </w:rPr>
              <w:t xml:space="preserve">Thermistor</w:t>
            </w:r>
          </w:p>
        </w:tc>
        <w:tc>
          <w:tcPr/>
          <w:p>
            <w:pPr>
              <w:pStyle w:val="Compact"/>
              <w:jc w:val="left"/>
            </w:pPr>
            <w:r>
              <w:t xml:space="preserve">Semiconductor resistance falls with temperature</w:t>
            </w:r>
          </w:p>
        </w:tc>
        <w:tc>
          <w:tcPr/>
          <w:p>
            <w:pPr>
              <w:pStyle w:val="Compact"/>
              <w:jc w:val="left"/>
            </w:pPr>
            <w:r>
              <w:t xml:space="preserve">AWS sensors</w:t>
            </w:r>
          </w:p>
        </w:tc>
      </w:tr>
      <w:tr>
        <w:tc>
          <w:tcPr/>
          <w:p>
            <w:pPr>
              <w:pStyle w:val="Compact"/>
              <w:jc w:val="left"/>
            </w:pPr>
            <w:r>
              <w:rPr>
                <w:bCs/>
                <w:b/>
              </w:rPr>
              <w:t xml:space="preserve">Platinum resistance thermometer (PRT, Pt100)</w:t>
            </w:r>
          </w:p>
        </w:tc>
        <w:tc>
          <w:tcPr/>
          <w:p>
            <w:pPr>
              <w:pStyle w:val="Compact"/>
              <w:jc w:val="left"/>
            </w:pPr>
            <w:r>
              <w:t xml:space="preserve">Resistance rises linearly with T</w:t>
            </w:r>
          </w:p>
        </w:tc>
        <w:tc>
          <w:tcPr/>
          <w:p>
            <w:pPr>
              <w:pStyle w:val="Compact"/>
              <w:jc w:val="left"/>
            </w:pPr>
            <w:r>
              <w:t xml:space="preserve">High-accuracy AWS air temperature</w:t>
            </w:r>
          </w:p>
        </w:tc>
      </w:tr>
      <w:tr>
        <w:tc>
          <w:tcPr/>
          <w:p>
            <w:pPr>
              <w:pStyle w:val="Compact"/>
              <w:jc w:val="left"/>
            </w:pPr>
            <w:r>
              <w:t xml:space="preserve">Bimetallic thermograph</w:t>
            </w:r>
          </w:p>
        </w:tc>
        <w:tc>
          <w:tcPr/>
          <w:p>
            <w:pPr>
              <w:pStyle w:val="Compact"/>
              <w:jc w:val="left"/>
            </w:pPr>
            <w:r>
              <w:t xml:space="preserve">Differential expansion</w:t>
            </w:r>
          </w:p>
        </w:tc>
        <w:tc>
          <w:tcPr/>
          <w:p>
            <w:pPr>
              <w:pStyle w:val="Compact"/>
              <w:jc w:val="left"/>
            </w:pPr>
            <w:r>
              <w:t xml:space="preserve">Continuous record</w:t>
            </w:r>
          </w:p>
        </w:tc>
      </w:tr>
      <w:tr>
        <w:tc>
          <w:tcPr/>
          <w:p>
            <w:pPr>
              <w:pStyle w:val="Compact"/>
              <w:jc w:val="left"/>
            </w:pPr>
            <w:r>
              <w:t xml:space="preserve">Soil thermometers</w:t>
            </w:r>
          </w:p>
        </w:tc>
        <w:tc>
          <w:tcPr/>
          <w:p>
            <w:pPr>
              <w:pStyle w:val="Compact"/>
              <w:jc w:val="left"/>
            </w:pPr>
            <w:r>
              <w:t xml:space="preserve">Bent-stem at 5, 10, 15, 20, 30 cm</w:t>
            </w:r>
          </w:p>
        </w:tc>
        <w:tc>
          <w:tcPr/>
          <w:p>
            <w:pPr>
              <w:pStyle w:val="Compact"/>
              <w:jc w:val="left"/>
            </w:pPr>
            <w:r>
              <w:t xml:space="preserve">Soil temperature profile</w:t>
            </w:r>
          </w:p>
        </w:tc>
      </w:tr>
      <w:tr>
        <w:tc>
          <w:tcPr/>
          <w:p>
            <w:pPr>
              <w:pStyle w:val="Compact"/>
              <w:jc w:val="left"/>
            </w:pPr>
            <w:r>
              <w:rPr>
                <w:bCs/>
                <w:b/>
              </w:rPr>
              <w:t xml:space="preserve">Infrared thermometer / thermal camera</w:t>
            </w:r>
          </w:p>
        </w:tc>
        <w:tc>
          <w:tcPr/>
          <w:p>
            <w:pPr>
              <w:pStyle w:val="Compact"/>
              <w:jc w:val="left"/>
            </w:pPr>
            <w:r>
              <w:t xml:space="preserve">Planck emission (8–14 µm)</w:t>
            </w:r>
          </w:p>
        </w:tc>
        <w:tc>
          <w:tcPr/>
          <w:p>
            <w:pPr>
              <w:pStyle w:val="Compact"/>
              <w:jc w:val="left"/>
            </w:pPr>
            <w:r>
              <w:t xml:space="preserve">Canopy temperature, CWSI, LST validation</w:t>
            </w:r>
          </w:p>
        </w:tc>
      </w:tr>
      <w:tr>
        <w:tc>
          <w:tcPr/>
          <w:p>
            <w:pPr>
              <w:pStyle w:val="Compact"/>
              <w:jc w:val="left"/>
            </w:pPr>
            <w:r>
              <w:t xml:space="preserve">Calorimeter</w:t>
            </w:r>
          </w:p>
        </w:tc>
        <w:tc>
          <w:tcPr/>
          <w:p>
            <w:pPr>
              <w:pStyle w:val="Compact"/>
              <w:jc w:val="left"/>
            </w:pPr>
            <w:r>
              <w:t xml:space="preserve">Heat exchange</w:t>
            </w:r>
            <w:r>
              <w:t xml:space="preserve"> </w:t>
            </w:r>
            <m:oMath>
              <m:r>
                <m:t>Q</m:t>
              </m:r>
              <m:r>
                <m:rPr>
                  <m:sty m:val="p"/>
                </m:rPr>
                <m:t>=</m:t>
              </m:r>
              <m:r>
                <m:t>m</m:t>
              </m:r>
              <m:r>
                <m:t>c</m:t>
              </m:r>
              <m:r>
                <m:t>Δ</m:t>
              </m:r>
              <m:r>
                <m:t>T</m:t>
              </m:r>
            </m:oMath>
          </w:p>
        </w:tc>
        <w:tc>
          <w:tcPr/>
          <w:p>
            <w:pPr>
              <w:pStyle w:val="Compact"/>
              <w:jc w:val="left"/>
            </w:pPr>
            <w:r>
              <w:t xml:space="preserve">Laboratory heat measurement</w:t>
            </w:r>
          </w:p>
        </w:tc>
      </w:tr>
      <w:tr>
        <w:tc>
          <w:tcPr/>
          <w:p>
            <w:pPr>
              <w:pStyle w:val="Compact"/>
              <w:jc w:val="left"/>
            </w:pPr>
            <w:r>
              <w:t xml:space="preserve">Heat flux plate</w:t>
            </w:r>
          </w:p>
        </w:tc>
        <w:tc>
          <w:tcPr/>
          <w:p>
            <w:pPr>
              <w:pStyle w:val="Compact"/>
              <w:jc w:val="left"/>
            </w:pPr>
            <w:r>
              <w:t xml:space="preserve">Thermopile across a plate of known conductivity</w:t>
            </w:r>
          </w:p>
        </w:tc>
        <w:tc>
          <w:tcPr/>
          <w:p>
            <w:pPr>
              <w:pStyle w:val="Compact"/>
              <w:jc w:val="left"/>
            </w:pPr>
            <w:r>
              <w:t xml:space="preserve">Soil heat flux G</w:t>
            </w:r>
          </w:p>
        </w:tc>
      </w:tr>
      <w:tr>
        <w:tc>
          <w:tcPr/>
          <w:p>
            <w:pPr>
              <w:pStyle w:val="Compact"/>
              <w:jc w:val="left"/>
            </w:pPr>
            <w:r>
              <w:t xml:space="preserve">Sonic anemometer</w:t>
            </w:r>
          </w:p>
        </w:tc>
        <w:tc>
          <w:tcPr/>
          <w:p>
            <w:pPr>
              <w:pStyle w:val="Compact"/>
              <w:jc w:val="left"/>
            </w:pPr>
            <w:r>
              <w:t xml:space="preserve">Speed of sound ∝ √T</w:t>
            </w:r>
          </w:p>
        </w:tc>
        <w:tc>
          <w:tcPr/>
          <w:p>
            <w:pPr>
              <w:pStyle w:val="Compact"/>
              <w:jc w:val="left"/>
            </w:pPr>
            <w:r>
              <w:t xml:space="preserve">Fast temperature for flux</w:t>
            </w:r>
          </w:p>
        </w:tc>
      </w:tr>
    </w:tbl>
    <w:p>
      <w:pPr>
        <w:pStyle w:val="Heading2"/>
      </w:pPr>
      <w:r>
        <w:t xml:space="preserve">22.7 Transfer of Heat</w:t>
      </w:r>
    </w:p>
    <w:p>
      <w:pPr>
        <w:pStyle w:val="FirstParagraph"/>
      </w:pPr>
      <w:r>
        <w:t xml:space="preserve">Heat moves by three mechanisms (plus a fourth, latent, in the atmosphere):</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w:t>
            </w:r>
          </w:p>
        </w:tc>
        <w:tc>
          <w:tcPr/>
          <w:p>
            <w:pPr>
              <w:pStyle w:val="Compact"/>
              <w:jc w:val="left"/>
            </w:pPr>
            <w:r>
              <w:t xml:space="preserve">Mechanism</w:t>
            </w:r>
          </w:p>
        </w:tc>
        <w:tc>
          <w:tcPr/>
          <w:p>
            <w:pPr>
              <w:pStyle w:val="Compact"/>
              <w:jc w:val="left"/>
            </w:pPr>
            <w:r>
              <w:t xml:space="preserve">Law</w:t>
            </w:r>
          </w:p>
        </w:tc>
        <w:tc>
          <w:tcPr/>
          <w:p>
            <w:pPr>
              <w:pStyle w:val="Compact"/>
              <w:jc w:val="left"/>
            </w:pPr>
            <w:r>
              <w:t xml:space="preserve">Agricultural example</w:t>
            </w:r>
          </w:p>
        </w:tc>
      </w:tr>
      <w:tr>
        <w:tc>
          <w:tcPr/>
          <w:p>
            <w:pPr>
              <w:pStyle w:val="Compact"/>
              <w:jc w:val="left"/>
            </w:pPr>
            <w:r>
              <w:rPr>
                <w:bCs/>
                <w:b/>
              </w:rPr>
              <w:t xml:space="preserve">Conduction</w:t>
            </w:r>
          </w:p>
        </w:tc>
        <w:tc>
          <w:tcPr/>
          <w:p>
            <w:pPr>
              <w:pStyle w:val="Compact"/>
              <w:jc w:val="left"/>
            </w:pPr>
            <w:r>
              <w:t xml:space="preserve">Molecular collisions within a substance or between bodies in contact; no bulk motion</w:t>
            </w:r>
          </w:p>
        </w:tc>
        <w:tc>
          <w:tcPr/>
          <w:p>
            <w:pPr>
              <w:pStyle w:val="Compact"/>
              <w:jc w:val="left"/>
            </w:pPr>
            <w:r>
              <w:rPr>
                <w:bCs/>
                <w:b/>
              </w:rPr>
              <w:t xml:space="preserve">Fourier</w:t>
            </w:r>
            <w:r>
              <w:t xml:space="preserve">:</w:t>
            </w:r>
            <w:r>
              <w:t xml:space="preserve"> </w:t>
            </w:r>
            <m:oMath>
              <m:r>
                <m:t>q</m:t>
              </m:r>
              <m:r>
                <m:rPr>
                  <m:sty m:val="p"/>
                </m:rPr>
                <m:t>=</m:t>
              </m:r>
              <m:r>
                <m:rPr>
                  <m:sty m:val="p"/>
                </m:rPr>
                <m:t>−</m:t>
              </m:r>
              <m:r>
                <m:t>k</m:t>
              </m:r>
              <m:f>
                <m:fPr>
                  <m:type m:val="bar"/>
                </m:fPr>
                <m:num>
                  <m:r>
                    <m:t>d</m:t>
                  </m:r>
                  <m:r>
                    <m:t>T</m:t>
                  </m:r>
                </m:num>
                <m:den>
                  <m:r>
                    <m:t>d</m:t>
                  </m:r>
                  <m:r>
                    <m:t>z</m:t>
                  </m:r>
                </m:den>
              </m:f>
            </m:oMath>
          </w:p>
        </w:tc>
        <w:tc>
          <w:tcPr/>
          <w:p>
            <w:pPr>
              <w:pStyle w:val="Compact"/>
              <w:jc w:val="left"/>
            </w:pPr>
            <w:r>
              <w:t xml:space="preserve">Heat flow into soil (G); conduction in leaf tissues</w:t>
            </w:r>
          </w:p>
        </w:tc>
      </w:tr>
      <w:tr>
        <w:tc>
          <w:tcPr/>
          <w:p>
            <w:pPr>
              <w:pStyle w:val="Compact"/>
              <w:jc w:val="left"/>
            </w:pPr>
            <w:r>
              <w:rPr>
                <w:bCs/>
                <w:b/>
              </w:rPr>
              <w:t xml:space="preserve">Convection</w:t>
            </w:r>
          </w:p>
        </w:tc>
        <w:tc>
          <w:tcPr/>
          <w:p>
            <w:pPr>
              <w:pStyle w:val="Compact"/>
              <w:jc w:val="left"/>
            </w:pPr>
            <w:r>
              <w:t xml:space="preserve">Bulk movement of fluid carrying heat —</w:t>
            </w:r>
            <w:r>
              <w:t xml:space="preserve"> </w:t>
            </w:r>
            <w:r>
              <w:rPr>
                <w:bCs/>
                <w:b/>
              </w:rPr>
              <w:t xml:space="preserve">free (natural)</w:t>
            </w:r>
            <w:r>
              <w:t xml:space="preserve"> </w:t>
            </w:r>
            <w:r>
              <w:t xml:space="preserve">convection from buoyancy,</w:t>
            </w:r>
            <w:r>
              <w:t xml:space="preserve"> </w:t>
            </w:r>
            <w:r>
              <w:rPr>
                <w:bCs/>
                <w:b/>
              </w:rPr>
              <w:t xml:space="preserve">forced</w:t>
            </w:r>
            <w:r>
              <w:t xml:space="preserve"> </w:t>
            </w:r>
            <w:r>
              <w:t xml:space="preserve">convection by wind</w:t>
            </w:r>
          </w:p>
        </w:tc>
        <w:tc>
          <w:tcPr/>
          <w:p>
            <w:pPr>
              <w:pStyle w:val="Compact"/>
              <w:jc w:val="left"/>
            </w:pPr>
            <w:r>
              <w:t xml:space="preserve">Newton’s law of cooling:</w:t>
            </w:r>
            <w:r>
              <w:t xml:space="preserve"> </w:t>
            </w:r>
            <m:oMath>
              <m:r>
                <m:t>q</m:t>
              </m:r>
              <m:r>
                <m:rPr>
                  <m:sty m:val="p"/>
                </m:rPr>
                <m:t>=</m:t>
              </m:r>
              <m:r>
                <m:t>h</m:t>
              </m:r>
              <m:d>
                <m:dPr>
                  <m:begChr m:val="("/>
                  <m:endChr m:val=")"/>
                  <m:sepChr m:val=""/>
                  <m:grow/>
                </m:dPr>
                <m:e>
                  <m:sSub>
                    <m:e>
                      <m:r>
                        <m:t>T</m:t>
                      </m:r>
                    </m:e>
                    <m:sub>
                      <m:r>
                        <m:t>s</m:t>
                      </m:r>
                    </m:sub>
                  </m:sSub>
                  <m:r>
                    <m:rPr>
                      <m:sty m:val="p"/>
                    </m:rPr>
                    <m:t>−</m:t>
                  </m:r>
                  <m:sSub>
                    <m:e>
                      <m:r>
                        <m:t>T</m:t>
                      </m:r>
                    </m:e>
                    <m:sub>
                      <m:r>
                        <m:t>a</m:t>
                      </m:r>
                    </m:sub>
                  </m:sSub>
                </m:e>
              </m:d>
            </m:oMath>
            <w:r>
              <w:t xml:space="preserve">; in micrometeorology</w:t>
            </w:r>
            <w:r>
              <w:t xml:space="preserve"> </w:t>
            </w:r>
            <m:oMath>
              <m:r>
                <m:t>H</m:t>
              </m:r>
              <m:r>
                <m:rPr>
                  <m:sty m:val="p"/>
                </m:rPr>
                <m:t>=</m:t>
              </m:r>
              <m:r>
                <m:t>ρ</m:t>
              </m:r>
              <m:sSub>
                <m:e>
                  <m:r>
                    <m:t>c</m:t>
                  </m:r>
                </m:e>
                <m:sub>
                  <m:r>
                    <m:t>p</m:t>
                  </m:r>
                </m:sub>
              </m:sSub>
              <m:d>
                <m:dPr>
                  <m:begChr m:val="("/>
                  <m:endChr m:val=")"/>
                  <m:sepChr m:val=""/>
                  <m:grow/>
                </m:dPr>
                <m:e>
                  <m:sSub>
                    <m:e>
                      <m:r>
                        <m:t>T</m:t>
                      </m:r>
                    </m:e>
                    <m:sub>
                      <m:r>
                        <m:t>s</m:t>
                      </m:r>
                    </m:sub>
                  </m:sSub>
                  <m:r>
                    <m:rPr>
                      <m:sty m:val="p"/>
                    </m:rPr>
                    <m:t>−</m:t>
                  </m:r>
                  <m:sSub>
                    <m:e>
                      <m:r>
                        <m:t>T</m:t>
                      </m:r>
                    </m:e>
                    <m:sub>
                      <m:r>
                        <m:t>a</m:t>
                      </m:r>
                    </m:sub>
                  </m:sSub>
                </m:e>
              </m:d>
              <m:r>
                <m:rPr>
                  <m:sty m:val="p"/>
                </m:rPr>
                <m:t>/</m:t>
              </m:r>
              <m:sSub>
                <m:e>
                  <m:r>
                    <m:t>r</m:t>
                  </m:r>
                </m:e>
                <m:sub>
                  <m:r>
                    <m:t>a</m:t>
                  </m:r>
                </m:sub>
              </m:sSub>
            </m:oMath>
          </w:p>
        </w:tc>
        <w:tc>
          <w:tcPr/>
          <w:p>
            <w:pPr>
              <w:pStyle w:val="Compact"/>
              <w:jc w:val="left"/>
            </w:pPr>
            <w:r>
              <w:t xml:space="preserve">Sensible heat flux from crops and soil; thermals; sea breeze</w:t>
            </w:r>
          </w:p>
        </w:tc>
      </w:tr>
      <w:tr>
        <w:tc>
          <w:tcPr/>
          <w:p>
            <w:pPr>
              <w:pStyle w:val="Compact"/>
              <w:jc w:val="left"/>
            </w:pPr>
            <w:r>
              <w:rPr>
                <w:bCs/>
                <w:b/>
              </w:rPr>
              <w:t xml:space="preserve">Radiation</w:t>
            </w:r>
          </w:p>
        </w:tc>
        <w:tc>
          <w:tcPr/>
          <w:p>
            <w:pPr>
              <w:pStyle w:val="Compact"/>
              <w:jc w:val="left"/>
            </w:pPr>
            <w:r>
              <w:t xml:space="preserve">Electromagnetic waves; no medium needed</w:t>
            </w:r>
          </w:p>
        </w:tc>
        <w:tc>
          <w:tcPr/>
          <w:p>
            <w:pPr>
              <w:pStyle w:val="Compact"/>
              <w:jc w:val="left"/>
            </w:pPr>
            <w:r>
              <w:t xml:space="preserve">Stefan–Boltzmann:</w:t>
            </w:r>
            <w:r>
              <w:t xml:space="preserve"> </w:t>
            </w:r>
            <m:oMath>
              <m:r>
                <m:t>q</m:t>
              </m:r>
              <m:r>
                <m:rPr>
                  <m:sty m:val="p"/>
                </m:rPr>
                <m:t>=</m:t>
              </m:r>
              <m:r>
                <m:t>ε</m:t>
              </m:r>
              <m:r>
                <m:t>σ</m:t>
              </m:r>
              <m:sSup>
                <m:e>
                  <m:r>
                    <m:t>T</m:t>
                  </m:r>
                </m:e>
                <m:sup>
                  <m:r>
                    <m:t>4</m:t>
                  </m:r>
                </m:sup>
              </m:sSup>
            </m:oMath>
          </w:p>
        </w:tc>
        <w:tc>
          <w:tcPr/>
          <w:p>
            <w:pPr>
              <w:pStyle w:val="Compact"/>
              <w:jc w:val="left"/>
            </w:pPr>
            <w:r>
              <w:t xml:space="preserve">Solar heating, longwave cooling, radiation frost on clear calm nights</w:t>
            </w:r>
          </w:p>
        </w:tc>
      </w:tr>
      <w:tr>
        <w:tc>
          <w:tcPr/>
          <w:p>
            <w:pPr>
              <w:pStyle w:val="Compact"/>
              <w:jc w:val="left"/>
            </w:pPr>
            <w:r>
              <w:rPr>
                <w:bCs/>
                <w:b/>
              </w:rPr>
              <w:t xml:space="preserve">Latent heat transfer</w:t>
            </w:r>
          </w:p>
        </w:tc>
        <w:tc>
          <w:tcPr/>
          <w:p>
            <w:pPr>
              <w:pStyle w:val="Compact"/>
              <w:jc w:val="left"/>
            </w:pPr>
            <w:r>
              <w:t xml:space="preserve">Energy carried by water vapour, released on condensation</w:t>
            </w:r>
          </w:p>
        </w:tc>
        <w:tc>
          <w:tcPr/>
          <w:p>
            <w:pPr>
              <w:pStyle w:val="Compact"/>
              <w:jc w:val="left"/>
            </w:pPr>
            <m:oMath>
              <m:r>
                <m:t>L</m:t>
              </m:r>
              <m:r>
                <m:t>E</m:t>
              </m:r>
              <m:r>
                <m:rPr>
                  <m:sty m:val="p"/>
                </m:rPr>
                <m:t>=</m:t>
              </m:r>
              <m:r>
                <m:t>λ</m:t>
              </m:r>
              <m:r>
                <m:t>E</m:t>
              </m:r>
            </m:oMath>
          </w:p>
        </w:tc>
        <w:tc>
          <w:tcPr/>
          <w:p>
            <w:pPr>
              <w:pStyle w:val="Compact"/>
              <w:jc w:val="left"/>
            </w:pPr>
            <w:r>
              <w:t xml:space="preserve">Evapotranspirational cooling of crops; heat transport to the upper troposphere</w:t>
            </w:r>
          </w:p>
        </w:tc>
      </w:tr>
      <w:tr>
        <w:tc>
          <w:tcPr/>
          <w:p>
            <w:pPr>
              <w:pStyle w:val="Compact"/>
              <w:jc w:val="left"/>
            </w:pPr>
            <w:r>
              <w:rPr>
                <w:bCs/>
                <w:b/>
              </w:rPr>
              <w:t xml:space="preserve">Advection</w:t>
            </w:r>
          </w:p>
        </w:tc>
        <w:tc>
          <w:tcPr/>
          <w:p>
            <w:pPr>
              <w:pStyle w:val="Compact"/>
              <w:jc w:val="left"/>
            </w:pPr>
            <w:r>
              <w:t xml:space="preserve">Horizontal transport by wind</w:t>
            </w:r>
          </w:p>
        </w:tc>
        <w:tc>
          <w:tcPr/>
          <w:p>
            <w:pPr>
              <w:pStyle w:val="Compact"/>
              <w:jc w:val="left"/>
            </w:pPr>
            <w:r>
              <w:t xml:space="preserve">—</w:t>
            </w:r>
          </w:p>
        </w:tc>
        <w:tc>
          <w:tcPr/>
          <w:p>
            <w:pPr>
              <w:pStyle w:val="Compact"/>
              <w:jc w:val="left"/>
            </w:pPr>
            <w:r>
              <w:rPr>
                <w:bCs/>
                <w:b/>
              </w:rPr>
              <w:t xml:space="preserve">Oasis effect</w:t>
            </w:r>
            <w:r>
              <w:t xml:space="preserve"> </w:t>
            </w:r>
            <w:r>
              <w:t xml:space="preserve">— hot dry air from fallow fields raising ET of irrigated crops; cold waves; sea breeze</w:t>
            </w:r>
          </w:p>
        </w:tc>
      </w:tr>
    </w:tbl>
    <w:p>
      <w:pPr>
        <w:pStyle w:val="BodyText"/>
      </w:pPr>
      <w:r>
        <w:rPr>
          <w:bCs/>
          <w:b/>
        </w:rPr>
        <w:t xml:space="preserve">Thermal conductivity</w:t>
      </w:r>
      <w:r>
        <w:t xml:space="preserve"> </w:t>
      </w:r>
      <w:r>
        <w:t xml:space="preserve">(W m⁻¹ K⁻¹): still air 0.025 (excellent insulator — hence mulches and snow protect), water 0.57, wet soil 1–2, quartz 8.8, ice 2.2.</w:t>
      </w:r>
    </w:p>
    <w:p>
      <w:pPr>
        <w:pStyle w:val="BodyText"/>
      </w:pPr>
      <w:r>
        <w:rPr>
          <w:bCs/>
          <w:b/>
        </w:rPr>
        <w:t xml:space="preserve">Newton’s law of cooling</w:t>
      </w:r>
      <w:r>
        <w:t xml:space="preserve"> </w:t>
      </w:r>
      <w:r>
        <w:t xml:space="preserve">— a body cools at a rate proportional to its temperature excess over surroundings:</w:t>
      </w:r>
      <w:r>
        <w:t xml:space="preserve"> </w:t>
      </w:r>
      <m:oMath>
        <m:f>
          <m:fPr>
            <m:type m:val="bar"/>
          </m:fPr>
          <m:num>
            <m:r>
              <m:t>d</m:t>
            </m:r>
            <m:r>
              <m:t>T</m:t>
            </m:r>
          </m:num>
          <m:den>
            <m:r>
              <m:t>d</m:t>
            </m:r>
            <m:r>
              <m:t>t</m:t>
            </m:r>
          </m:den>
        </m:f>
        <m:r>
          <m:rPr>
            <m:sty m:val="p"/>
          </m:rPr>
          <m:t>=</m:t>
        </m:r>
        <m:r>
          <m:rPr>
            <m:sty m:val="p"/>
          </m:rPr>
          <m:t>−</m:t>
        </m:r>
        <m:r>
          <m:t>k</m:t>
        </m:r>
        <m:d>
          <m:dPr>
            <m:begChr m:val="("/>
            <m:endChr m:val=")"/>
            <m:sepChr m:val=""/>
            <m:grow/>
          </m:dPr>
          <m:e>
            <m:r>
              <m:t>T</m:t>
            </m:r>
            <m:r>
              <m:rPr>
                <m:sty m:val="p"/>
              </m:rPr>
              <m:t>−</m:t>
            </m:r>
            <m:sSub>
              <m:e>
                <m:r>
                  <m:t>T</m:t>
                </m:r>
              </m:e>
              <m:sub>
                <m:r>
                  <m:t>e</m:t>
                </m:r>
                <m:r>
                  <m:t>n</m:t>
                </m:r>
                <m:r>
                  <m:t>v</m:t>
                </m:r>
              </m:sub>
            </m:sSub>
          </m:e>
        </m:d>
      </m:oMath>
      <w:r>
        <w:t xml:space="preserve">, giving exponential cooling — used for leaf cooling, frost forecasting and grain drying.</w:t>
      </w:r>
    </w:p>
    <w:p>
      <w:pPr>
        <w:pStyle w:val="CaptionedFigure"/>
      </w:pPr>
      <w:r>
        <w:drawing>
          <wp:inline>
            <wp:extent cx="5334000" cy="2266949"/>
            <wp:effectExtent b="0" l="0" r="0" t="0"/>
            <wp:docPr descr="Heat exchanges of a crop canopy on a sunny afternoon" title="" id="78" name="Picture"/>
            <a:graphic>
              <a:graphicData uri="http://schemas.openxmlformats.org/drawingml/2006/picture">
                <pic:pic>
                  <pic:nvPicPr>
                    <pic:cNvPr descr="/tmp/claude-0/-home-user-sonu/ab07c29a-21cd-5a4a-9d2d-68ad72d07153/scratchpad/build/../flows/flow_016.png" id="79" name="Picture"/>
                    <pic:cNvPicPr>
                      <a:picLocks noChangeArrowheads="1" noChangeAspect="1"/>
                    </pic:cNvPicPr>
                  </pic:nvPicPr>
                  <pic:blipFill>
                    <a:blip r:embed="rId77"/>
                    <a:stretch>
                      <a:fillRect/>
                    </a:stretch>
                  </pic:blipFill>
                  <pic:spPr bwMode="auto">
                    <a:xfrm>
                      <a:off x="0" y="0"/>
                      <a:ext cx="5334000" cy="2266949"/>
                    </a:xfrm>
                    <a:prstGeom prst="rect">
                      <a:avLst/>
                    </a:prstGeom>
                    <a:noFill/>
                    <a:ln w="9525">
                      <a:noFill/>
                      <a:headEnd/>
                      <a:tailEnd/>
                    </a:ln>
                  </pic:spPr>
                </pic:pic>
              </a:graphicData>
            </a:graphic>
          </wp:inline>
        </w:drawing>
      </w:r>
    </w:p>
    <w:p>
      <w:pPr>
        <w:pStyle w:val="ImageCaption"/>
      </w:pPr>
      <w:r>
        <w:t xml:space="preserve">Heat exchanges of a crop canopy on a sunny afternoon</w:t>
      </w:r>
    </w:p>
    <w:p>
      <w:pPr>
        <w:pStyle w:val="Heading3"/>
      </w:pPr>
      <w:r>
        <w:t xml:space="preserve">22.7.1 Likely interview questions</w:t>
      </w:r>
    </w:p>
    <w:p>
      <w:pPr>
        <w:pStyle w:val="FirstParagraph"/>
      </w:pPr>
      <w:r>
        <w:rPr>
          <w:bCs/>
          <w:b/>
        </w:rPr>
        <w:t xml:space="preserve">Q. Write the three conservation laws used in NWP.</w:t>
      </w:r>
      <w:r>
        <w:t xml:space="preserve"> </w:t>
      </w:r>
      <w:r>
        <w:t xml:space="preserve">Continuity (mass), thermodynamic energy equation (first law), and momentum (equations of motion: PGF + Coriolis + gravity + friction).</w:t>
      </w:r>
    </w:p>
    <w:p>
      <w:pPr>
        <w:pStyle w:val="BodyText"/>
      </w:pPr>
      <w:r>
        <w:rPr>
          <w:bCs/>
          <w:b/>
        </w:rPr>
        <w:t xml:space="preserve">Q. What is the geostrophic wind and why does surface wind cross isobars?</w:t>
      </w:r>
      <w:r>
        <w:t xml:space="preserve"> </w:t>
      </w:r>
      <w:r>
        <w:t xml:space="preserve">Balance of PGF and Coriolis giving flow parallel to isobars; friction near the surface reduces speed, weakening Coriolis so PGF turns wind toward low pressure.</w:t>
      </w:r>
    </w:p>
    <w:p>
      <w:pPr>
        <w:pStyle w:val="BodyText"/>
      </w:pPr>
      <w:r>
        <w:rPr>
          <w:bCs/>
          <w:b/>
        </w:rPr>
        <w:t xml:space="preserve">Q. Why is 1 mm day⁻¹ of ET equivalent to about 28 W m⁻²?</w:t>
      </w:r>
      <w:r>
        <w:t xml:space="preserve"> </w:t>
      </w:r>
      <m:oMath>
        <m:r>
          <m:t>2.45</m:t>
        </m:r>
        <m:r>
          <m:rPr>
            <m:sty m:val="p"/>
          </m:rPr>
          <m:t>×</m:t>
        </m:r>
        <m:sSup>
          <m:e>
            <m:r>
              <m:t>10</m:t>
            </m:r>
          </m:e>
          <m:sup>
            <m:r>
              <m:t>6</m:t>
            </m:r>
          </m:sup>
        </m:sSup>
      </m:oMath>
      <w:r>
        <w:t xml:space="preserve"> </w:t>
      </w:r>
      <w:r>
        <w:t xml:space="preserve">J kg⁻¹ × 1 kg m⁻² / 86,400 s ≈ 28.4 W m⁻².</w:t>
      </w:r>
    </w:p>
    <w:p>
      <w:pPr>
        <w:pStyle w:val="BodyText"/>
      </w:pPr>
      <w:r>
        <w:rPr>
          <w:bCs/>
          <w:b/>
        </w:rPr>
        <w:t xml:space="preserve">Q. What is the dry adiabatic lapse rate?</w:t>
      </w:r>
      <w:r>
        <w:t xml:space="preserve"> </w:t>
      </w:r>
      <m:oMath>
        <m:r>
          <m:t>g</m:t>
        </m:r>
        <m:r>
          <m:rPr>
            <m:sty m:val="p"/>
          </m:rPr>
          <m:t>/</m:t>
        </m:r>
        <m:sSub>
          <m:e>
            <m:r>
              <m:t>c</m:t>
            </m:r>
          </m:e>
          <m:sub>
            <m:r>
              <m:t>p</m:t>
            </m:r>
          </m:sub>
        </m:sSub>
      </m:oMath>
      <w:r>
        <w:t xml:space="preserve"> </w:t>
      </w:r>
      <w:r>
        <w:t xml:space="preserve">≈ 9.8 °C per km.</w:t>
      </w:r>
    </w:p>
    <w:p>
      <w:pPr>
        <w:pStyle w:val="BodyText"/>
      </w:pPr>
      <w:r>
        <w:rPr>
          <w:bCs/>
          <w:b/>
        </w:rPr>
        <w:t xml:space="preserve">Q. Explain the oasis effect.</w:t>
      </w:r>
      <w:r>
        <w:t xml:space="preserve"> </w:t>
      </w:r>
      <w:r>
        <w:t xml:space="preserve">Advection of hot dry air from surrounding dry areas supplies extra sensible heat to an irrigated field, so its LE can exceed net radiation.</w:t>
      </w:r>
    </w:p>
    <w:p>
      <w:pPr>
        <w:pStyle w:val="Heading1"/>
      </w:pPr>
      <w:r>
        <w:t xml:space="preserve">Chapter 23. Weather Elements, Atmospheric Structure and Climate Controls</w:t>
      </w:r>
    </w:p>
    <w:p>
      <w:pPr>
        <w:pStyle w:val="Heading2"/>
      </w:pPr>
      <w:r>
        <w:t xml:space="preserve">23.1 Weather and Climate</w:t>
      </w:r>
    </w:p>
    <w:p>
      <w:pPr>
        <w:pStyle w:val="Compact"/>
        <w:numPr>
          <w:ilvl w:val="0"/>
          <w:numId w:val="1180"/>
        </w:numPr>
      </w:pPr>
      <w:r>
        <w:rPr>
          <w:bCs/>
          <w:b/>
        </w:rPr>
        <w:t xml:space="preserve">Weather</w:t>
      </w:r>
      <w:r>
        <w:t xml:space="preserve"> </w:t>
      </w:r>
      <w:r>
        <w:t xml:space="preserve">is the state of the atmosphere at a given place and time (hours to days), described by its elements — temperature, humidity, pressure, wind, cloud, precipitation, radiation, visibility.</w:t>
      </w:r>
    </w:p>
    <w:p>
      <w:pPr>
        <w:pStyle w:val="Compact"/>
        <w:numPr>
          <w:ilvl w:val="0"/>
          <w:numId w:val="1180"/>
        </w:numPr>
      </w:pPr>
      <w:r>
        <w:rPr>
          <w:bCs/>
          <w:b/>
        </w:rPr>
        <w:t xml:space="preserve">Climate</w:t>
      </w:r>
      <w:r>
        <w:t xml:space="preserve"> </w:t>
      </w:r>
      <w:r>
        <w:t xml:space="preserve">is the long-term statistical description (mean, variability, extremes, frequencies) of weather over a region, conventionally over a</w:t>
      </w:r>
      <w:r>
        <w:t xml:space="preserve"> </w:t>
      </w:r>
      <w:r>
        <w:rPr>
          <w:bCs/>
          <w:b/>
        </w:rPr>
        <w:t xml:space="preserve">30-year normal period</w:t>
      </w:r>
      <w:r>
        <w:t xml:space="preserve"> </w:t>
      </w:r>
      <w:r>
        <w:t xml:space="preserve">(WMO; current normals 1991–2020).</w:t>
      </w:r>
    </w:p>
    <w:p>
      <w:pPr>
        <w:pStyle w:val="Compact"/>
        <w:numPr>
          <w:ilvl w:val="0"/>
          <w:numId w:val="1180"/>
        </w:numPr>
      </w:pPr>
      <w:r>
        <w:t xml:space="preserve">Agriculture is affected by weather in the short term (operations, pests, extremes) and shaped by climate in the long term (crop choice, cropping systems, zoning).</w:t>
      </w:r>
    </w:p>
    <w:p>
      <w:pPr>
        <w:pStyle w:val="Heading2"/>
      </w:pPr>
      <w:r>
        <w:t xml:space="preserve">23.2 Weather Elements and Their Measurement</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Definition / units</w:t>
            </w:r>
          </w:p>
        </w:tc>
        <w:tc>
          <w:tcPr/>
          <w:p>
            <w:pPr>
              <w:pStyle w:val="Compact"/>
              <w:jc w:val="left"/>
            </w:pPr>
            <w:r>
              <w:t xml:space="preserve">Instruments</w:t>
            </w:r>
          </w:p>
        </w:tc>
        <w:tc>
          <w:tcPr/>
          <w:p>
            <w:pPr>
              <w:pStyle w:val="Compact"/>
              <w:jc w:val="left"/>
            </w:pPr>
            <w:r>
              <w:t xml:space="preserve">Agricultural significance</w:t>
            </w:r>
          </w:p>
        </w:tc>
      </w:tr>
      <w:tr>
        <w:tc>
          <w:tcPr/>
          <w:p>
            <w:pPr>
              <w:pStyle w:val="Compact"/>
              <w:jc w:val="left"/>
            </w:pPr>
            <w:r>
              <w:rPr>
                <w:bCs/>
                <w:b/>
              </w:rPr>
              <w:t xml:space="preserve">Solar radiation</w:t>
            </w:r>
          </w:p>
        </w:tc>
        <w:tc>
          <w:tcPr/>
          <w:p>
            <w:pPr>
              <w:pStyle w:val="Compact"/>
              <w:jc w:val="left"/>
            </w:pPr>
            <w:r>
              <w:t xml:space="preserve">Shortwave flux (W m⁻², MJ m⁻² day⁻¹); sunshine duration (h)</w:t>
            </w:r>
          </w:p>
        </w:tc>
        <w:tc>
          <w:tcPr/>
          <w:p>
            <w:pPr>
              <w:pStyle w:val="Compact"/>
              <w:jc w:val="left"/>
            </w:pPr>
            <w:r>
              <w:t xml:space="preserve">Pyranometer, pyrheliometer, Campbell–Stokes sunshine recorder, quantum sensor (PAR)</w:t>
            </w:r>
          </w:p>
        </w:tc>
        <w:tc>
          <w:tcPr/>
          <w:p>
            <w:pPr>
              <w:pStyle w:val="Compact"/>
              <w:jc w:val="left"/>
            </w:pPr>
            <w:r>
              <w:t xml:space="preserve">Photosynthesis, ET, crop yield (RUE models)</w:t>
            </w:r>
          </w:p>
        </w:tc>
      </w:tr>
      <w:tr>
        <w:tc>
          <w:tcPr/>
          <w:p>
            <w:pPr>
              <w:pStyle w:val="Compact"/>
              <w:jc w:val="left"/>
            </w:pPr>
            <w:r>
              <w:rPr>
                <w:bCs/>
                <w:b/>
              </w:rPr>
              <w:t xml:space="preserve">Air temperature</w:t>
            </w:r>
          </w:p>
        </w:tc>
        <w:tc>
          <w:tcPr/>
          <w:p>
            <w:pPr>
              <w:pStyle w:val="Compact"/>
              <w:jc w:val="left"/>
            </w:pPr>
            <w:r>
              <w:t xml:space="preserve">°C; max, min, mean</w:t>
            </w:r>
          </w:p>
        </w:tc>
        <w:tc>
          <w:tcPr/>
          <w:p>
            <w:pPr>
              <w:pStyle w:val="Compact"/>
              <w:jc w:val="left"/>
            </w:pPr>
            <w:r>
              <w:t xml:space="preserve">Thermometers in Stevenson screen, thermistors/PRT on AWS</w:t>
            </w:r>
          </w:p>
        </w:tc>
        <w:tc>
          <w:tcPr/>
          <w:p>
            <w:pPr>
              <w:pStyle w:val="Compact"/>
              <w:jc w:val="left"/>
            </w:pPr>
            <w:r>
              <w:t xml:space="preserve">Phenology (GDD), heat/cold stress, ET</w:t>
            </w:r>
          </w:p>
        </w:tc>
      </w:tr>
      <w:tr>
        <w:tc>
          <w:tcPr/>
          <w:p>
            <w:pPr>
              <w:pStyle w:val="Compact"/>
              <w:jc w:val="left"/>
            </w:pPr>
            <w:r>
              <w:rPr>
                <w:bCs/>
                <w:b/>
              </w:rPr>
              <w:t xml:space="preserve">Humidity</w:t>
            </w:r>
          </w:p>
        </w:tc>
        <w:tc>
          <w:tcPr/>
          <w:p>
            <w:pPr>
              <w:pStyle w:val="Compact"/>
              <w:jc w:val="left"/>
            </w:pPr>
            <w:r>
              <w:t xml:space="preserve">Vapour pressure (hPa), relative humidity (%), dew point, specific humidity</w:t>
            </w:r>
          </w:p>
        </w:tc>
        <w:tc>
          <w:tcPr/>
          <w:p>
            <w:pPr>
              <w:pStyle w:val="Compact"/>
              <w:jc w:val="left"/>
            </w:pPr>
            <w:r>
              <w:t xml:space="preserve">Psychrometer (wet/dry bulb), hygrometer, capacitive RH sensors</w:t>
            </w:r>
          </w:p>
        </w:tc>
        <w:tc>
          <w:tcPr/>
          <w:p>
            <w:pPr>
              <w:pStyle w:val="Compact"/>
              <w:jc w:val="left"/>
            </w:pPr>
            <w:r>
              <w:t xml:space="preserve">ET, disease (leaf wetness), pest outbreaks</w:t>
            </w:r>
          </w:p>
        </w:tc>
      </w:tr>
      <w:tr>
        <w:tc>
          <w:tcPr/>
          <w:p>
            <w:pPr>
              <w:pStyle w:val="Compact"/>
              <w:jc w:val="left"/>
            </w:pPr>
            <w:r>
              <w:rPr>
                <w:bCs/>
                <w:b/>
              </w:rPr>
              <w:t xml:space="preserve">Pressure</w:t>
            </w:r>
          </w:p>
        </w:tc>
        <w:tc>
          <w:tcPr/>
          <w:p>
            <w:pPr>
              <w:pStyle w:val="Compact"/>
              <w:jc w:val="left"/>
            </w:pPr>
            <w:r>
              <w:t xml:space="preserve">hPa</w:t>
            </w:r>
          </w:p>
        </w:tc>
        <w:tc>
          <w:tcPr/>
          <w:p>
            <w:pPr>
              <w:pStyle w:val="Compact"/>
              <w:jc w:val="left"/>
            </w:pPr>
            <w:r>
              <w:t xml:space="preserve">Barometer (Fortin, aneroid), barograph</w:t>
            </w:r>
          </w:p>
        </w:tc>
        <w:tc>
          <w:tcPr/>
          <w:p>
            <w:pPr>
              <w:pStyle w:val="Compact"/>
              <w:jc w:val="left"/>
            </w:pPr>
            <w:r>
              <w:t xml:space="preserve">Weather systems, forecasting</w:t>
            </w:r>
          </w:p>
        </w:tc>
      </w:tr>
      <w:tr>
        <w:tc>
          <w:tcPr/>
          <w:p>
            <w:pPr>
              <w:pStyle w:val="Compact"/>
              <w:jc w:val="left"/>
            </w:pPr>
            <w:r>
              <w:rPr>
                <w:bCs/>
                <w:b/>
              </w:rPr>
              <w:t xml:space="preserve">Wind</w:t>
            </w:r>
          </w:p>
        </w:tc>
        <w:tc>
          <w:tcPr/>
          <w:p>
            <w:pPr>
              <w:pStyle w:val="Compact"/>
              <w:jc w:val="left"/>
            </w:pPr>
            <w:r>
              <w:t xml:space="preserve">Speed (m s⁻¹, km h⁻¹, knots), direction (degrees from which it blows)</w:t>
            </w:r>
          </w:p>
        </w:tc>
        <w:tc>
          <w:tcPr/>
          <w:p>
            <w:pPr>
              <w:pStyle w:val="Compact"/>
              <w:jc w:val="left"/>
            </w:pPr>
            <w:r>
              <w:t xml:space="preserve">Cup anemometer, wind vane, sonic anemometer</w:t>
            </w:r>
          </w:p>
        </w:tc>
        <w:tc>
          <w:tcPr/>
          <w:p>
            <w:pPr>
              <w:pStyle w:val="Compact"/>
              <w:jc w:val="left"/>
            </w:pPr>
            <w:r>
              <w:t xml:space="preserve">ET, lodging, spray drift, pollination, pest migration, wind erosion</w:t>
            </w:r>
          </w:p>
        </w:tc>
      </w:tr>
      <w:tr>
        <w:tc>
          <w:tcPr/>
          <w:p>
            <w:pPr>
              <w:pStyle w:val="Compact"/>
              <w:jc w:val="left"/>
            </w:pPr>
            <w:r>
              <w:rPr>
                <w:bCs/>
                <w:b/>
              </w:rPr>
              <w:t xml:space="preserve">Precipitation</w:t>
            </w:r>
          </w:p>
        </w:tc>
        <w:tc>
          <w:tcPr/>
          <w:p>
            <w:pPr>
              <w:pStyle w:val="Compact"/>
              <w:jc w:val="left"/>
            </w:pPr>
            <w:r>
              <w:t xml:space="preserve">mm; intensity mm h⁻¹</w:t>
            </w:r>
          </w:p>
        </w:tc>
        <w:tc>
          <w:tcPr/>
          <w:p>
            <w:pPr>
              <w:pStyle w:val="Compact"/>
              <w:jc w:val="left"/>
            </w:pPr>
            <w:r>
              <w:t xml:space="preserve">Ordinary rain gauge (IMD standard 200 cm²), self-recording (syphon) rain gauge, tipping bucket, weighing gauge; radar, satellites</w:t>
            </w:r>
          </w:p>
        </w:tc>
        <w:tc>
          <w:tcPr/>
          <w:p>
            <w:pPr>
              <w:pStyle w:val="Compact"/>
              <w:jc w:val="left"/>
            </w:pPr>
            <w:r>
              <w:t xml:space="preserve">Water supply, sowing, floods, erosion</w:t>
            </w:r>
          </w:p>
        </w:tc>
      </w:tr>
      <w:tr>
        <w:tc>
          <w:tcPr/>
          <w:p>
            <w:pPr>
              <w:pStyle w:val="Compact"/>
              <w:jc w:val="left"/>
            </w:pPr>
            <w:r>
              <w:rPr>
                <w:bCs/>
                <w:b/>
              </w:rPr>
              <w:t xml:space="preserve">Evaporation</w:t>
            </w:r>
          </w:p>
        </w:tc>
        <w:tc>
          <w:tcPr/>
          <w:p>
            <w:pPr>
              <w:pStyle w:val="Compact"/>
              <w:jc w:val="left"/>
            </w:pPr>
            <w:r>
              <w:t xml:space="preserve">mm day⁻¹</w:t>
            </w:r>
          </w:p>
        </w:tc>
        <w:tc>
          <w:tcPr/>
          <w:p>
            <w:pPr>
              <w:pStyle w:val="Compact"/>
              <w:jc w:val="left"/>
            </w:pPr>
            <w:r>
              <w:rPr>
                <w:bCs/>
                <w:b/>
              </w:rPr>
              <w:t xml:space="preserve">USWB Class A pan</w:t>
            </w:r>
            <w:r>
              <w:t xml:space="preserve"> </w:t>
            </w:r>
            <w:r>
              <w:t xml:space="preserve">(121 cm dia, 25.4 cm deep, mesh-covered in India)</w:t>
            </w:r>
          </w:p>
        </w:tc>
        <w:tc>
          <w:tcPr/>
          <w:p>
            <w:pPr>
              <w:pStyle w:val="Compact"/>
              <w:jc w:val="left"/>
            </w:pPr>
            <w:r>
              <w:t xml:space="preserve">ET estimation, irrigation scheduling (IW/CPE)</w:t>
            </w:r>
          </w:p>
        </w:tc>
      </w:tr>
      <w:tr>
        <w:tc>
          <w:tcPr/>
          <w:p>
            <w:pPr>
              <w:pStyle w:val="Compact"/>
              <w:jc w:val="left"/>
            </w:pPr>
            <w:r>
              <w:rPr>
                <w:bCs/>
                <w:b/>
              </w:rPr>
              <w:t xml:space="preserve">Clouds</w:t>
            </w:r>
          </w:p>
        </w:tc>
        <w:tc>
          <w:tcPr/>
          <w:p>
            <w:pPr>
              <w:pStyle w:val="Compact"/>
              <w:jc w:val="left"/>
            </w:pPr>
            <w:r>
              <w:t xml:space="preserve">Oktas (0–8), type, height</w:t>
            </w:r>
          </w:p>
        </w:tc>
        <w:tc>
          <w:tcPr/>
          <w:p>
            <w:pPr>
              <w:pStyle w:val="Compact"/>
              <w:jc w:val="left"/>
            </w:pPr>
            <w:r>
              <w:t xml:space="preserve">Visual, ceilometer, satellites</w:t>
            </w:r>
          </w:p>
        </w:tc>
        <w:tc>
          <w:tcPr/>
          <w:p>
            <w:pPr>
              <w:pStyle w:val="Compact"/>
              <w:jc w:val="left"/>
            </w:pPr>
            <w:r>
              <w:t xml:space="preserve">Radiation, rainfall</w:t>
            </w:r>
          </w:p>
        </w:tc>
      </w:tr>
      <w:tr>
        <w:tc>
          <w:tcPr/>
          <w:p>
            <w:pPr>
              <w:pStyle w:val="Compact"/>
              <w:jc w:val="left"/>
            </w:pPr>
            <w:r>
              <w:rPr>
                <w:bCs/>
                <w:b/>
              </w:rPr>
              <w:t xml:space="preserve">Soil temperature/moisture</w:t>
            </w:r>
          </w:p>
        </w:tc>
        <w:tc>
          <w:tcPr/>
          <w:p>
            <w:pPr>
              <w:pStyle w:val="Compact"/>
              <w:jc w:val="left"/>
            </w:pPr>
            <w:r>
              <w:t xml:space="preserve">°C, %</w:t>
            </w:r>
          </w:p>
        </w:tc>
        <w:tc>
          <w:tcPr/>
          <w:p>
            <w:pPr>
              <w:pStyle w:val="Compact"/>
              <w:jc w:val="left"/>
            </w:pPr>
            <w:r>
              <w:t xml:space="preserve">Soil thermometers, TDR</w:t>
            </w:r>
          </w:p>
        </w:tc>
        <w:tc>
          <w:tcPr/>
          <w:p>
            <w:pPr>
              <w:pStyle w:val="Compact"/>
              <w:jc w:val="left"/>
            </w:pPr>
            <w:r>
              <w:t xml:space="preserve">Germination, sowing</w:t>
            </w:r>
          </w:p>
        </w:tc>
      </w:tr>
      <w:tr>
        <w:tc>
          <w:tcPr/>
          <w:p>
            <w:pPr>
              <w:pStyle w:val="Compact"/>
              <w:jc w:val="left"/>
            </w:pPr>
            <w:r>
              <w:rPr>
                <w:bCs/>
                <w:b/>
              </w:rPr>
              <w:t xml:space="preserve">Leaf wetness</w:t>
            </w:r>
          </w:p>
        </w:tc>
        <w:tc>
          <w:tcPr/>
          <w:p>
            <w:pPr>
              <w:pStyle w:val="Compact"/>
              <w:jc w:val="left"/>
            </w:pPr>
            <w:r>
              <w:t xml:space="preserve">Duration (h)</w:t>
            </w:r>
          </w:p>
        </w:tc>
        <w:tc>
          <w:tcPr/>
          <w:p>
            <w:pPr>
              <w:pStyle w:val="Compact"/>
              <w:jc w:val="left"/>
            </w:pPr>
            <w:r>
              <w:t xml:space="preserve">Leaf-wetness sensor</w:t>
            </w:r>
          </w:p>
        </w:tc>
        <w:tc>
          <w:tcPr/>
          <w:p>
            <w:pPr>
              <w:pStyle w:val="Compact"/>
              <w:jc w:val="left"/>
            </w:pPr>
            <w:r>
              <w:t xml:space="preserve">Disease forecasting</w:t>
            </w:r>
          </w:p>
        </w:tc>
      </w:tr>
      <w:tr>
        <w:tc>
          <w:tcPr/>
          <w:p>
            <w:pPr>
              <w:pStyle w:val="Compact"/>
              <w:jc w:val="left"/>
            </w:pPr>
            <w:r>
              <w:rPr>
                <w:bCs/>
                <w:b/>
              </w:rPr>
              <w:t xml:space="preserve">Visibility, fog</w:t>
            </w:r>
          </w:p>
        </w:tc>
        <w:tc>
          <w:tcPr/>
          <w:p>
            <w:pPr>
              <w:pStyle w:val="Compact"/>
              <w:jc w:val="left"/>
            </w:pPr>
            <w:r>
              <w:t xml:space="preserve">km</w:t>
            </w:r>
          </w:p>
        </w:tc>
        <w:tc>
          <w:tcPr/>
          <w:p>
            <w:pPr>
              <w:pStyle w:val="Compact"/>
              <w:jc w:val="left"/>
            </w:pPr>
            <w:r>
              <w:t xml:space="preserve">Visual, transmissometer</w:t>
            </w:r>
          </w:p>
        </w:tc>
        <w:tc>
          <w:tcPr/>
          <w:p>
            <w:pPr>
              <w:pStyle w:val="Compact"/>
              <w:jc w:val="left"/>
            </w:pPr>
            <w:r>
              <w:t xml:space="preserve">Transport, cold-wave crop damage</w:t>
            </w:r>
          </w:p>
        </w:tc>
      </w:tr>
    </w:tbl>
    <w:p>
      <w:pPr>
        <w:pStyle w:val="BodyText"/>
      </w:pPr>
      <w:r>
        <w:rPr>
          <w:bCs/>
          <w:b/>
        </w:rPr>
        <w:t xml:space="preserve">Humidity relations:</w:t>
      </w:r>
    </w:p>
    <w:p>
      <w:pPr>
        <w:pStyle w:val="BodyText"/>
      </w:pPr>
      <m:oMathPara>
        <m:oMathParaPr>
          <m:jc m:val="center"/>
        </m:oMathParaPr>
        <m:oMath>
          <m:sSub>
            <m:e>
              <m:r>
                <m:t>e</m:t>
              </m:r>
            </m:e>
            <m:sub>
              <m:r>
                <m:t>s</m:t>
              </m:r>
            </m:sub>
          </m:sSub>
          <m:d>
            <m:dPr>
              <m:begChr m:val="("/>
              <m:endChr m:val=")"/>
              <m:sepChr m:val=""/>
              <m:grow/>
            </m:dPr>
            <m:e>
              <m:r>
                <m:t>T</m:t>
              </m:r>
            </m:e>
          </m:d>
          <m:r>
            <m:rPr>
              <m:sty m:val="p"/>
            </m:rPr>
            <m:t>=</m:t>
          </m:r>
          <m:r>
            <m:t>0.6108</m:t>
          </m:r>
          <m:r>
            <m:rPr>
              <m:sty m:val="p"/>
            </m:rPr>
            <m:t>exp</m:t>
          </m:r>
          <m:r>
            <m:t>​</m:t>
          </m:r>
          <m:d>
            <m:dPr>
              <m:begChr m:val="("/>
              <m:endChr m:val=")"/>
              <m:sepChr m:val=""/>
              <m:grow/>
            </m:dPr>
            <m:e>
              <m:f>
                <m:fPr>
                  <m:type m:val="bar"/>
                </m:fPr>
                <m:num>
                  <m:r>
                    <m:t>17.27</m:t>
                  </m:r>
                  <m:r>
                    <m:t> </m:t>
                  </m:r>
                  <m:r>
                    <m:t>T</m:t>
                  </m:r>
                </m:num>
                <m:den>
                  <m:r>
                    <m:t>T</m:t>
                  </m:r>
                  <m:r>
                    <m:rPr>
                      <m:sty m:val="p"/>
                    </m:rPr>
                    <m:t>+</m:t>
                  </m:r>
                  <m:r>
                    <m:t>237.3</m:t>
                  </m:r>
                </m:den>
              </m:f>
            </m:e>
          </m:d>
          <m:r>
            <m:t> </m:t>
          </m:r>
          <m:r>
            <m:rPr>
              <m:nor/>
              <m:sty m:val="p"/>
            </m:rPr>
            <m:t>kPa</m:t>
          </m:r>
          <m:r>
            <m:rPr>
              <m:sty m:val="p"/>
            </m:rPr>
            <m:t>,</m:t>
          </m:r>
          <m:r>
            <m:t>  </m:t>
          </m:r>
          <m:r>
            <m:t>R</m:t>
          </m:r>
          <m:r>
            <m:t>H</m:t>
          </m:r>
          <m:r>
            <m:rPr>
              <m:sty m:val="p"/>
            </m:rPr>
            <m:t>=</m:t>
          </m:r>
          <m:f>
            <m:fPr>
              <m:type m:val="bar"/>
            </m:fPr>
            <m:num>
              <m:sSub>
                <m:e>
                  <m:r>
                    <m:t>e</m:t>
                  </m:r>
                </m:e>
                <m:sub>
                  <m:r>
                    <m:t>a</m:t>
                  </m:r>
                </m:sub>
              </m:sSub>
            </m:num>
            <m:den>
              <m:sSub>
                <m:e>
                  <m:r>
                    <m:t>e</m:t>
                  </m:r>
                </m:e>
                <m:sub>
                  <m:r>
                    <m:t>s</m:t>
                  </m:r>
                </m:sub>
              </m:sSub>
            </m:den>
          </m:f>
          <m:r>
            <m:rPr>
              <m:sty m:val="p"/>
            </m:rPr>
            <m:t>×</m:t>
          </m:r>
          <m:r>
            <m:t>100</m:t>
          </m:r>
          <m:r>
            <m:rPr>
              <m:sty m:val="p"/>
            </m:rPr>
            <m:t>,</m:t>
          </m:r>
          <m:r>
            <m:t>  </m:t>
          </m:r>
          <m:r>
            <m:t>V</m:t>
          </m:r>
          <m:r>
            <m:t>P</m:t>
          </m:r>
          <m:r>
            <m:t>D</m:t>
          </m:r>
          <m:r>
            <m:rPr>
              <m:sty m:val="p"/>
            </m:rPr>
            <m:t>=</m:t>
          </m:r>
          <m:sSub>
            <m:e>
              <m:r>
                <m:t>e</m:t>
              </m:r>
            </m:e>
            <m:sub>
              <m:r>
                <m:t>s</m:t>
              </m:r>
            </m:sub>
          </m:sSub>
          <m:r>
            <m:rPr>
              <m:sty m:val="p"/>
            </m:rPr>
            <m:t>−</m:t>
          </m:r>
          <m:sSub>
            <m:e>
              <m:r>
                <m:t>e</m:t>
              </m:r>
            </m:e>
            <m:sub>
              <m:r>
                <m:t>a</m:t>
              </m:r>
            </m:sub>
          </m:sSub>
        </m:oMath>
      </m:oMathPara>
    </w:p>
    <w:p>
      <w:pPr>
        <w:pStyle w:val="FirstParagraph"/>
      </w:pPr>
      <w:r>
        <w:rPr>
          <w:bCs/>
          <w:b/>
        </w:rPr>
        <w:t xml:space="preserve">Dew point</w:t>
      </w:r>
      <w:r>
        <w:t xml:space="preserve"> </w:t>
      </w:r>
      <w:r>
        <w:t xml:space="preserve">is the temperature at which air becomes saturated on cooling at constant pressure;</w:t>
      </w:r>
      <w:r>
        <w:t xml:space="preserve"> </w:t>
      </w:r>
      <w:r>
        <w:rPr>
          <w:bCs/>
          <w:b/>
        </w:rPr>
        <w:t xml:space="preserve">wet-bulb temperature</w:t>
      </w:r>
      <w:r>
        <w:t xml:space="preserve"> </w:t>
      </w:r>
      <w:r>
        <w:t xml:space="preserve">reflects evaporative cooling;</w:t>
      </w:r>
      <w:r>
        <w:t xml:space="preserve"> </w:t>
      </w:r>
      <w:r>
        <w:rPr>
          <w:bCs/>
          <w:b/>
        </w:rPr>
        <w:t xml:space="preserve">vapour pressure deficit (VPD)</w:t>
      </w:r>
      <w:r>
        <w:t xml:space="preserve"> </w:t>
      </w:r>
      <w:r>
        <w:t xml:space="preserve">drives transpiration and stomatal closure.</w:t>
      </w:r>
    </w:p>
    <w:p>
      <w:pPr>
        <w:pStyle w:val="BodyText"/>
      </w:pPr>
      <w:r>
        <w:rPr>
          <w:bCs/>
          <w:b/>
        </w:rPr>
        <w:t xml:space="preserve">Observatories:</w:t>
      </w:r>
      <w:r>
        <w:t xml:space="preserve"> </w:t>
      </w:r>
      <w:r>
        <w:t xml:space="preserve">IMD surface observatories take synoptic observations at 0300 and 1200 UTC (0830 and 1730 IST) — agromet observatories record additional parameters (pan evaporation, soil temperature, sunshine).</w:t>
      </w:r>
      <w:r>
        <w:t xml:space="preserve"> </w:t>
      </w:r>
      <w:r>
        <w:rPr>
          <w:bCs/>
          <w:b/>
        </w:rPr>
        <w:t xml:space="preserve">Automatic weather stations (AWS)</w:t>
      </w:r>
      <w:r>
        <w:t xml:space="preserve"> </w:t>
      </w:r>
      <w:r>
        <w:t xml:space="preserve">and agro-AWS record every 15–60 min.</w:t>
      </w:r>
    </w:p>
    <w:p>
      <w:pPr>
        <w:pStyle w:val="Heading2"/>
      </w:pPr>
      <w:r>
        <w:t xml:space="preserve">23.3 Atmospheric Composition and Structure (brief)</w:t>
      </w:r>
    </w:p>
    <w:p>
      <w:pPr>
        <w:pStyle w:val="FirstParagraph"/>
      </w:pPr>
      <w:r>
        <w:t xml:space="preserve">Dry air: N₂ 78.08%, O₂ 20.95%, Ar 0.93%, CO₂ ~0.042% (≈ 420+ ppm and rising), plus traces (Ne, He, CH₄ ≈ 1.9 ppm, N₂O ≈ 0.33 ppm, O₃). Water vapour 0–4% (variable, the most important greenhouse gas). Aerosols (dust, smoke, sea salt, sulphates).</w:t>
      </w:r>
    </w:p>
    <w:p>
      <w:pPr>
        <w:pStyle w:val="BodyText"/>
      </w:pPr>
      <w:r>
        <w:t xml:space="preserve">Vertical layers by temperature:</w:t>
      </w:r>
      <w:r>
        <w:t xml:space="preserve"> </w:t>
      </w:r>
      <w:r>
        <w:rPr>
          <w:bCs/>
          <w:b/>
        </w:rPr>
        <w:t xml:space="preserve">troposphere</w:t>
      </w:r>
      <w:r>
        <w:t xml:space="preserve"> </w:t>
      </w:r>
      <w:r>
        <w:t xml:space="preserve">(0 to 8–18 km; weather; temperature falls ~6.5 °C km⁻¹),</w:t>
      </w:r>
      <w:r>
        <w:t xml:space="preserve"> </w:t>
      </w:r>
      <w:r>
        <w:rPr>
          <w:bCs/>
          <w:b/>
        </w:rPr>
        <w:t xml:space="preserve">stratosphere</w:t>
      </w:r>
      <w:r>
        <w:t xml:space="preserve"> </w:t>
      </w:r>
      <w:r>
        <w:t xml:space="preserve">(to ~50 km; ozone layer; temperature rises),</w:t>
      </w:r>
      <w:r>
        <w:t xml:space="preserve"> </w:t>
      </w:r>
      <w:r>
        <w:rPr>
          <w:bCs/>
          <w:b/>
        </w:rPr>
        <w:t xml:space="preserve">mesosphere</w:t>
      </w:r>
      <w:r>
        <w:t xml:space="preserve"> </w:t>
      </w:r>
      <w:r>
        <w:t xml:space="preserve">(to ~85 km; coldest),</w:t>
      </w:r>
      <w:r>
        <w:t xml:space="preserve"> </w:t>
      </w:r>
      <w:r>
        <w:rPr>
          <w:bCs/>
          <w:b/>
        </w:rPr>
        <w:t xml:space="preserve">thermosphere</w:t>
      </w:r>
      <w:r>
        <w:t xml:space="preserve"> </w:t>
      </w:r>
      <w:r>
        <w:t xml:space="preserve">(ionosphere). The detailed structure, pressure systems, winds, air masses, stability and monsoon depressions follow later in this chapter.</w:t>
      </w:r>
    </w:p>
    <w:p>
      <w:pPr>
        <w:pStyle w:val="Heading2"/>
      </w:pPr>
      <w:r>
        <w:t xml:space="preserve">23.4 Climatic Controls — Why Climates Differ</w:t>
      </w:r>
    </w:p>
    <w:p>
      <w:pPr>
        <w:pStyle w:val="FirstParagraph"/>
      </w:pPr>
      <w:r>
        <w:t xml:space="preserve">The climate of a place is governed by a set of</w:t>
      </w:r>
      <w:r>
        <w:t xml:space="preserve"> </w:t>
      </w:r>
      <w:r>
        <w:rPr>
          <w:bCs/>
          <w:b/>
        </w:rPr>
        <w:t xml:space="preserve">climatic controls</w:t>
      </w:r>
      <w:r>
        <w:t xml:space="preserve"> </w:t>
      </w:r>
      <w:r>
        <w:t xml:space="preserve">(factors), which shape the</w:t>
      </w:r>
      <w:r>
        <w:t xml:space="preserve"> </w:t>
      </w:r>
      <w:r>
        <w:rPr>
          <w:bCs/>
          <w:b/>
        </w:rPr>
        <w:t xml:space="preserve">climatic elements</w:t>
      </w:r>
      <w:r>
        <w:t xml:space="preserv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Control</w:t>
            </w:r>
          </w:p>
        </w:tc>
        <w:tc>
          <w:tcPr/>
          <w:p>
            <w:pPr>
              <w:pStyle w:val="Compact"/>
              <w:jc w:val="left"/>
            </w:pPr>
            <w:r>
              <w:t xml:space="preserve">How it acts</w:t>
            </w:r>
          </w:p>
        </w:tc>
        <w:tc>
          <w:tcPr/>
          <w:p>
            <w:pPr>
              <w:pStyle w:val="Compact"/>
              <w:jc w:val="left"/>
            </w:pPr>
            <w:r>
              <w:t xml:space="preserve">Indian example</w:t>
            </w:r>
          </w:p>
        </w:tc>
      </w:tr>
      <w:tr>
        <w:tc>
          <w:tcPr/>
          <w:p>
            <w:pPr>
              <w:pStyle w:val="Compact"/>
              <w:jc w:val="left"/>
            </w:pPr>
            <w:r>
              <w:rPr>
                <w:bCs/>
                <w:b/>
              </w:rPr>
              <w:t xml:space="preserve">Latitude</w:t>
            </w:r>
          </w:p>
        </w:tc>
        <w:tc>
          <w:tcPr/>
          <w:p>
            <w:pPr>
              <w:pStyle w:val="Compact"/>
              <w:jc w:val="left"/>
            </w:pPr>
            <w:r>
              <w:t xml:space="preserve">Sun angle and day length set incoming radiation; temperature generally decreases poleward</w:t>
            </w:r>
          </w:p>
        </w:tc>
        <w:tc>
          <w:tcPr/>
          <w:p>
            <w:pPr>
              <w:pStyle w:val="Compact"/>
              <w:jc w:val="left"/>
            </w:pPr>
            <w:r>
              <w:t xml:space="preserve">Tropical south vs. subtropical north; Tropic of Cancer crosses the middle of India</w:t>
            </w:r>
          </w:p>
        </w:tc>
      </w:tr>
      <w:tr>
        <w:tc>
          <w:tcPr/>
          <w:p>
            <w:pPr>
              <w:pStyle w:val="Compact"/>
              <w:jc w:val="left"/>
            </w:pPr>
            <w:r>
              <w:rPr>
                <w:bCs/>
                <w:b/>
              </w:rPr>
              <w:t xml:space="preserve">Altitude (elevation)</w:t>
            </w:r>
          </w:p>
        </w:tc>
        <w:tc>
          <w:tcPr/>
          <w:p>
            <w:pPr>
              <w:pStyle w:val="Compact"/>
              <w:jc w:val="left"/>
            </w:pPr>
            <w:r>
              <w:t xml:space="preserve">Temperature decreases ~6.5 °C km⁻¹ (environmental lapse rate); pressure falls; radiation and UV increase</w:t>
            </w:r>
          </w:p>
        </w:tc>
        <w:tc>
          <w:tcPr/>
          <w:p>
            <w:pPr>
              <w:pStyle w:val="Compact"/>
              <w:jc w:val="left"/>
            </w:pPr>
            <w:r>
              <w:t xml:space="preserve">Shimla, Ooty, Darjeeling cool; temperate crops in hills</w:t>
            </w:r>
          </w:p>
        </w:tc>
      </w:tr>
      <w:tr>
        <w:tc>
          <w:tcPr/>
          <w:p>
            <w:pPr>
              <w:pStyle w:val="Compact"/>
              <w:jc w:val="left"/>
            </w:pPr>
            <w:r>
              <w:rPr>
                <w:bCs/>
                <w:b/>
              </w:rPr>
              <w:t xml:space="preserve">Distribution of land and water (continentality)</w:t>
            </w:r>
          </w:p>
        </w:tc>
        <w:tc>
          <w:tcPr/>
          <w:p>
            <w:pPr>
              <w:pStyle w:val="Compact"/>
              <w:jc w:val="left"/>
            </w:pPr>
            <w:r>
              <w:t xml:space="preserve">Water heats and cools slowly (high specific heat, mixing, transparency, evaporation) — maritime climates are equable; continental interiors have large annual and diurnal ranges</w:t>
            </w:r>
          </w:p>
        </w:tc>
        <w:tc>
          <w:tcPr/>
          <w:p>
            <w:pPr>
              <w:pStyle w:val="Compact"/>
              <w:jc w:val="left"/>
            </w:pPr>
            <w:r>
              <w:t xml:space="preserve">Mumbai/Chennai (small range) vs. Delhi/Jodhpur (large range)</w:t>
            </w:r>
          </w:p>
        </w:tc>
      </w:tr>
      <w:tr>
        <w:tc>
          <w:tcPr/>
          <w:p>
            <w:pPr>
              <w:pStyle w:val="Compact"/>
              <w:jc w:val="left"/>
            </w:pPr>
            <w:r>
              <w:rPr>
                <w:bCs/>
                <w:b/>
              </w:rPr>
              <w:t xml:space="preserve">Ocean currents</w:t>
            </w:r>
          </w:p>
        </w:tc>
        <w:tc>
          <w:tcPr/>
          <w:p>
            <w:pPr>
              <w:pStyle w:val="Compact"/>
              <w:jc w:val="left"/>
            </w:pPr>
            <w:r>
              <w:t xml:space="preserve">Warm currents warm and moisten, cold currents cool and dry coasts</w:t>
            </w:r>
          </w:p>
        </w:tc>
        <w:tc>
          <w:tcPr/>
          <w:p>
            <w:pPr>
              <w:pStyle w:val="Compact"/>
              <w:jc w:val="left"/>
            </w:pPr>
            <w:r>
              <w:t xml:space="preserve">Somali current upwelling affects Arabian Sea SST and monsoon</w:t>
            </w:r>
          </w:p>
        </w:tc>
      </w:tr>
      <w:tr>
        <w:tc>
          <w:tcPr/>
          <w:p>
            <w:pPr>
              <w:pStyle w:val="Compact"/>
              <w:jc w:val="left"/>
            </w:pPr>
            <w:r>
              <w:rPr>
                <w:bCs/>
                <w:b/>
              </w:rPr>
              <w:t xml:space="preserve">Prevailing winds and pressure belts</w:t>
            </w:r>
          </w:p>
        </w:tc>
        <w:tc>
          <w:tcPr/>
          <w:p>
            <w:pPr>
              <w:pStyle w:val="Compact"/>
              <w:jc w:val="left"/>
            </w:pPr>
            <w:r>
              <w:t xml:space="preserve">Global circulation (Hadley, Ferrel, polar cells), ITCZ, subtropical highs, trade winds, westerlies; seasonal shift of ITCZ</w:t>
            </w:r>
          </w:p>
        </w:tc>
        <w:tc>
          <w:tcPr/>
          <w:p>
            <w:pPr>
              <w:pStyle w:val="Compact"/>
              <w:jc w:val="left"/>
            </w:pPr>
            <w:r>
              <w:rPr>
                <w:bCs/>
                <w:b/>
              </w:rPr>
              <w:t xml:space="preserve">Monsoon</w:t>
            </w:r>
            <w:r>
              <w:t xml:space="preserve"> </w:t>
            </w:r>
            <w:r>
              <w:t xml:space="preserve">reversal; western disturbances in winter</w:t>
            </w:r>
          </w:p>
        </w:tc>
      </w:tr>
      <w:tr>
        <w:tc>
          <w:tcPr/>
          <w:p>
            <w:pPr>
              <w:pStyle w:val="Compact"/>
              <w:jc w:val="left"/>
            </w:pPr>
            <w:r>
              <w:rPr>
                <w:bCs/>
                <w:b/>
              </w:rPr>
              <w:t xml:space="preserve">Mountain barriers (orography)</w:t>
            </w:r>
          </w:p>
        </w:tc>
        <w:tc>
          <w:tcPr/>
          <w:p>
            <w:pPr>
              <w:pStyle w:val="Compact"/>
              <w:jc w:val="left"/>
            </w:pPr>
            <w:r>
              <w:t xml:space="preserve">Block air masses; force uplift → windward rain, leeward rain shadow</w:t>
            </w:r>
          </w:p>
        </w:tc>
        <w:tc>
          <w:tcPr/>
          <w:p>
            <w:pPr>
              <w:pStyle w:val="Compact"/>
              <w:jc w:val="left"/>
            </w:pPr>
            <w:r>
              <w:t xml:space="preserve">Himalaya shields India from Siberian cold and traps monsoon;</w:t>
            </w:r>
            <w:r>
              <w:t xml:space="preserve"> </w:t>
            </w:r>
            <w:r>
              <w:rPr>
                <w:bCs/>
                <w:b/>
              </w:rPr>
              <w:t xml:space="preserve">Western Ghats</w:t>
            </w:r>
            <w:r>
              <w:t xml:space="preserve"> </w:t>
            </w:r>
            <w:r>
              <w:t xml:space="preserve">— heavy rain on windward side (Mahabaleshwar &gt;6000 mm), rain shadow in Deccan (Pune ~700 mm)</w:t>
            </w:r>
          </w:p>
        </w:tc>
      </w:tr>
      <w:tr>
        <w:tc>
          <w:tcPr/>
          <w:p>
            <w:pPr>
              <w:pStyle w:val="Compact"/>
              <w:jc w:val="left"/>
            </w:pPr>
            <w:r>
              <w:rPr>
                <w:bCs/>
                <w:b/>
              </w:rPr>
              <w:t xml:space="preserve">Topography and aspect</w:t>
            </w:r>
          </w:p>
        </w:tc>
        <w:tc>
          <w:tcPr/>
          <w:p>
            <w:pPr>
              <w:pStyle w:val="Compact"/>
              <w:jc w:val="left"/>
            </w:pPr>
            <w:r>
              <w:t xml:space="preserve">Slope orientation alters radiation; cold air drainage forms frost pockets in valleys</w:t>
            </w:r>
          </w:p>
        </w:tc>
        <w:tc>
          <w:tcPr/>
          <w:p>
            <w:pPr>
              <w:pStyle w:val="Compact"/>
              <w:jc w:val="left"/>
            </w:pPr>
            <w:r>
              <w:t xml:space="preserve">South-facing slopes warmer; valley frost in Kashmir</w:t>
            </w:r>
          </w:p>
        </w:tc>
      </w:tr>
      <w:tr>
        <w:tc>
          <w:tcPr/>
          <w:p>
            <w:pPr>
              <w:pStyle w:val="Compact"/>
              <w:jc w:val="left"/>
            </w:pPr>
            <w:r>
              <w:rPr>
                <w:bCs/>
                <w:b/>
              </w:rPr>
              <w:t xml:space="preserve">Semi-permanent pressure cells and storms</w:t>
            </w:r>
          </w:p>
        </w:tc>
        <w:tc>
          <w:tcPr/>
          <w:p>
            <w:pPr>
              <w:pStyle w:val="Compact"/>
              <w:jc w:val="left"/>
            </w:pPr>
            <w:r>
              <w:t xml:space="preserve">Location of highs, lows, cyclone tracks</w:t>
            </w:r>
          </w:p>
        </w:tc>
        <w:tc>
          <w:tcPr/>
          <w:p>
            <w:pPr>
              <w:pStyle w:val="Compact"/>
              <w:jc w:val="left"/>
            </w:pPr>
            <w:r>
              <w:t xml:space="preserve">Monsoon trough, Bay of Bengal depressions, Arabian Sea/Bay cyclones</w:t>
            </w:r>
          </w:p>
        </w:tc>
      </w:tr>
      <w:tr>
        <w:tc>
          <w:tcPr/>
          <w:p>
            <w:pPr>
              <w:pStyle w:val="Compact"/>
              <w:jc w:val="left"/>
            </w:pPr>
            <w:r>
              <w:rPr>
                <w:bCs/>
                <w:b/>
              </w:rPr>
              <w:t xml:space="preserve">Vegetation, soil and urbanisation</w:t>
            </w:r>
          </w:p>
        </w:tc>
        <w:tc>
          <w:tcPr/>
          <w:p>
            <w:pPr>
              <w:pStyle w:val="Compact"/>
              <w:jc w:val="left"/>
            </w:pPr>
            <w:r>
              <w:t xml:space="preserve">Albedo, roughness, ET alter local climate</w:t>
            </w:r>
          </w:p>
        </w:tc>
        <w:tc>
          <w:tcPr/>
          <w:p>
            <w:pPr>
              <w:pStyle w:val="Compact"/>
              <w:jc w:val="left"/>
            </w:pPr>
            <w:r>
              <w:t xml:space="preserve">Urban heat islands; irrigated plains cooler in summer</w:t>
            </w:r>
          </w:p>
        </w:tc>
      </w:tr>
      <w:tr>
        <w:tc>
          <w:tcPr/>
          <w:p>
            <w:pPr>
              <w:pStyle w:val="Compact"/>
              <w:jc w:val="left"/>
            </w:pPr>
            <w:r>
              <w:rPr>
                <w:bCs/>
                <w:b/>
              </w:rPr>
              <w:t xml:space="preserve">Teleconnections / ocean–atmosphere modes</w:t>
            </w:r>
          </w:p>
        </w:tc>
        <w:tc>
          <w:tcPr/>
          <w:p>
            <w:pPr>
              <w:pStyle w:val="Compact"/>
              <w:jc w:val="left"/>
            </w:pPr>
            <w:r>
              <w:t xml:space="preserve">ENSO, IOD, MJO modulate interannual and intraseasonal variability</w:t>
            </w:r>
          </w:p>
        </w:tc>
        <w:tc>
          <w:tcPr/>
          <w:p>
            <w:pPr>
              <w:pStyle w:val="Compact"/>
              <w:jc w:val="left"/>
            </w:pPr>
            <w:r>
              <w:t xml:space="preserve">El Niño years tend to bring weak monsoon/drought (2002, 2009, 2015)</w:t>
            </w:r>
          </w:p>
        </w:tc>
      </w:tr>
    </w:tbl>
    <w:p>
      <w:pPr>
        <w:pStyle w:val="CaptionedFigure"/>
      </w:pPr>
      <w:r>
        <w:drawing>
          <wp:inline>
            <wp:extent cx="5334000" cy="2987039"/>
            <wp:effectExtent b="0" l="0" r="0" t="0"/>
            <wp:docPr descr="From climatic controls to agricultural climate" title="" id="81" name="Picture"/>
            <a:graphic>
              <a:graphicData uri="http://schemas.openxmlformats.org/drawingml/2006/picture">
                <pic:pic>
                  <pic:nvPicPr>
                    <pic:cNvPr descr="/tmp/claude-0/-home-user-sonu/ab07c29a-21cd-5a4a-9d2d-68ad72d07153/scratchpad/build/../flows/flow_017.png" id="82" name="Picture"/>
                    <pic:cNvPicPr>
                      <a:picLocks noChangeArrowheads="1" noChangeAspect="1"/>
                    </pic:cNvPicPr>
                  </pic:nvPicPr>
                  <pic:blipFill>
                    <a:blip r:embed="rId80"/>
                    <a:stretch>
                      <a:fillRect/>
                    </a:stretch>
                  </pic:blipFill>
                  <pic:spPr bwMode="auto">
                    <a:xfrm>
                      <a:off x="0" y="0"/>
                      <a:ext cx="5334000" cy="2987039"/>
                    </a:xfrm>
                    <a:prstGeom prst="rect">
                      <a:avLst/>
                    </a:prstGeom>
                    <a:noFill/>
                    <a:ln w="9525">
                      <a:noFill/>
                      <a:headEnd/>
                      <a:tailEnd/>
                    </a:ln>
                  </pic:spPr>
                </pic:pic>
              </a:graphicData>
            </a:graphic>
          </wp:inline>
        </w:drawing>
      </w:r>
    </w:p>
    <w:p>
      <w:pPr>
        <w:pStyle w:val="ImageCaption"/>
      </w:pPr>
      <w:r>
        <w:t xml:space="preserve">From climatic controls to agricultural climate</w:t>
      </w:r>
    </w:p>
    <w:p>
      <w:pPr>
        <w:pStyle w:val="Heading2"/>
      </w:pPr>
      <w:r>
        <w:t xml:space="preserve">23.5 Indian Seasons (IMD)</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Season</w:t>
            </w:r>
          </w:p>
        </w:tc>
        <w:tc>
          <w:tcPr/>
          <w:p>
            <w:pPr>
              <w:pStyle w:val="Compact"/>
              <w:jc w:val="left"/>
            </w:pPr>
            <w:r>
              <w:t xml:space="preserve">Months</w:t>
            </w:r>
          </w:p>
        </w:tc>
        <w:tc>
          <w:tcPr/>
          <w:p>
            <w:pPr>
              <w:pStyle w:val="Compact"/>
              <w:jc w:val="left"/>
            </w:pPr>
            <w:r>
              <w:t xml:space="preserve">Key features</w:t>
            </w:r>
          </w:p>
        </w:tc>
        <w:tc>
          <w:tcPr/>
          <w:p>
            <w:pPr>
              <w:pStyle w:val="Compact"/>
              <w:jc w:val="left"/>
            </w:pPr>
            <w:r>
              <w:t xml:space="preserve">Agriculture</w:t>
            </w:r>
          </w:p>
        </w:tc>
      </w:tr>
      <w:tr>
        <w:tc>
          <w:tcPr/>
          <w:p>
            <w:pPr>
              <w:pStyle w:val="Compact"/>
              <w:jc w:val="left"/>
            </w:pPr>
            <w:r>
              <w:t xml:space="preserve">Winter</w:t>
            </w:r>
          </w:p>
        </w:tc>
        <w:tc>
          <w:tcPr/>
          <w:p>
            <w:pPr>
              <w:pStyle w:val="Compact"/>
              <w:jc w:val="left"/>
            </w:pPr>
            <w:r>
              <w:t xml:space="preserve">Jan–Feb</w:t>
            </w:r>
          </w:p>
        </w:tc>
        <w:tc>
          <w:tcPr/>
          <w:p>
            <w:pPr>
              <w:pStyle w:val="Compact"/>
              <w:jc w:val="left"/>
            </w:pPr>
            <w:r>
              <w:t xml:space="preserve">Clear skies, cold waves, fog,</w:t>
            </w:r>
            <w:r>
              <w:t xml:space="preserve"> </w:t>
            </w:r>
            <w:r>
              <w:rPr>
                <w:bCs/>
                <w:b/>
              </w:rPr>
              <w:t xml:space="preserve">western disturbances</w:t>
            </w:r>
            <w:r>
              <w:t xml:space="preserve"> </w:t>
            </w:r>
            <w:r>
              <w:t xml:space="preserve">bring rain/snow to NW India</w:t>
            </w:r>
          </w:p>
        </w:tc>
        <w:tc>
          <w:tcPr/>
          <w:p>
            <w:pPr>
              <w:pStyle w:val="Compact"/>
              <w:jc w:val="left"/>
            </w:pPr>
            <w:r>
              <w:t xml:space="preserve">Rabi crops (wheat, mustard, gram) benefit from WD rain; frost risk</w:t>
            </w:r>
          </w:p>
        </w:tc>
      </w:tr>
      <w:tr>
        <w:tc>
          <w:tcPr/>
          <w:p>
            <w:pPr>
              <w:pStyle w:val="Compact"/>
              <w:jc w:val="left"/>
            </w:pPr>
            <w:r>
              <w:t xml:space="preserve">Pre-monsoon (hot weather)</w:t>
            </w:r>
          </w:p>
        </w:tc>
        <w:tc>
          <w:tcPr/>
          <w:p>
            <w:pPr>
              <w:pStyle w:val="Compact"/>
              <w:jc w:val="left"/>
            </w:pPr>
            <w:r>
              <w:t xml:space="preserve">Mar–May</w:t>
            </w:r>
          </w:p>
        </w:tc>
        <w:tc>
          <w:tcPr/>
          <w:p>
            <w:pPr>
              <w:pStyle w:val="Compact"/>
              <w:jc w:val="left"/>
            </w:pPr>
            <w:r>
              <w:t xml:space="preserve">Heat waves, thunderstorms,</w:t>
            </w:r>
            <w:r>
              <w:t xml:space="preserve"> </w:t>
            </w:r>
            <w:r>
              <w:rPr>
                <w:bCs/>
                <w:b/>
              </w:rPr>
              <w:t xml:space="preserve">norwesters (Kalbaisakhi)</w:t>
            </w:r>
            <w:r>
              <w:t xml:space="preserve"> </w:t>
            </w:r>
            <w:r>
              <w:t xml:space="preserve">in east, dust storms in NW, mango showers in south</w:t>
            </w:r>
          </w:p>
        </w:tc>
        <w:tc>
          <w:tcPr/>
          <w:p>
            <w:pPr>
              <w:pStyle w:val="Compact"/>
              <w:jc w:val="left"/>
            </w:pPr>
            <w:r>
              <w:t xml:space="preserve">Rabi harvest, zaid crops; hailstorm damage</w:t>
            </w:r>
          </w:p>
        </w:tc>
      </w:tr>
      <w:tr>
        <w:tc>
          <w:tcPr/>
          <w:p>
            <w:pPr>
              <w:pStyle w:val="Compact"/>
              <w:jc w:val="left"/>
            </w:pPr>
            <w:r>
              <w:rPr>
                <w:bCs/>
                <w:b/>
              </w:rPr>
              <w:t xml:space="preserve">Southwest monsoon</w:t>
            </w:r>
          </w:p>
        </w:tc>
        <w:tc>
          <w:tcPr/>
          <w:p>
            <w:pPr>
              <w:pStyle w:val="Compact"/>
              <w:jc w:val="left"/>
            </w:pPr>
            <w:r>
              <w:rPr>
                <w:bCs/>
                <w:b/>
              </w:rPr>
              <w:t xml:space="preserve">Jun–Sep</w:t>
            </w:r>
          </w:p>
        </w:tc>
        <w:tc>
          <w:tcPr/>
          <w:p>
            <w:pPr>
              <w:pStyle w:val="Compact"/>
              <w:jc w:val="left"/>
            </w:pPr>
            <w:r>
              <w:t xml:space="preserve">~75–80% of annual rainfall (all-India LPA</w:t>
            </w:r>
            <w:r>
              <w:t xml:space="preserve"> </w:t>
            </w:r>
            <w:r>
              <w:rPr>
                <w:bCs/>
                <w:b/>
              </w:rPr>
              <w:t xml:space="preserve">87 cm</w:t>
            </w:r>
            <w:r>
              <w:t xml:space="preserve">, 1971–2020); onset Kerala ~1 June, covers India ~8 July, withdrawal from NW from ~17 Sep</w:t>
            </w:r>
          </w:p>
        </w:tc>
        <w:tc>
          <w:tcPr/>
          <w:p>
            <w:pPr>
              <w:pStyle w:val="Compact"/>
              <w:jc w:val="left"/>
            </w:pPr>
            <w:r>
              <w:t xml:space="preserve">Kharif crops (rice, cotton, soybean, pulses, millets); floods, dry spells</w:t>
            </w:r>
          </w:p>
        </w:tc>
      </w:tr>
      <w:tr>
        <w:tc>
          <w:tcPr/>
          <w:p>
            <w:pPr>
              <w:pStyle w:val="Compact"/>
              <w:jc w:val="left"/>
            </w:pPr>
            <w:r>
              <w:t xml:space="preserve">Post-monsoon / NE monsoon</w:t>
            </w:r>
          </w:p>
        </w:tc>
        <w:tc>
          <w:tcPr/>
          <w:p>
            <w:pPr>
              <w:pStyle w:val="Compact"/>
              <w:jc w:val="left"/>
            </w:pPr>
            <w:r>
              <w:t xml:space="preserve">Oct–Dec</w:t>
            </w:r>
          </w:p>
        </w:tc>
        <w:tc>
          <w:tcPr/>
          <w:p>
            <w:pPr>
              <w:pStyle w:val="Compact"/>
              <w:jc w:val="left"/>
            </w:pPr>
            <w:r>
              <w:rPr>
                <w:bCs/>
                <w:b/>
              </w:rPr>
              <w:t xml:space="preserve">NE monsoon</w:t>
            </w:r>
            <w:r>
              <w:t xml:space="preserve"> </w:t>
            </w:r>
            <w:r>
              <w:t xml:space="preserve">rain in Tamil Nadu, coastal AP, south interior Karnataka, Kerala; cyclone season in Bay of Bengal</w:t>
            </w:r>
          </w:p>
        </w:tc>
        <w:tc>
          <w:tcPr/>
          <w:p>
            <w:pPr>
              <w:pStyle w:val="Compact"/>
              <w:jc w:val="left"/>
            </w:pPr>
            <w:r>
              <w:t xml:space="preserve">Rabi sowing on residual moisture; TN samba rice</w:t>
            </w:r>
          </w:p>
        </w:tc>
      </w:tr>
    </w:tbl>
    <w:p>
      <w:pPr>
        <w:pStyle w:val="BodyText"/>
      </w:pPr>
      <w:r>
        <w:rPr>
          <w:bCs/>
          <w:b/>
        </w:rPr>
        <w:t xml:space="preserve">Rainfall variability:</w:t>
      </w:r>
      <w:r>
        <w:t xml:space="preserve"> </w:t>
      </w:r>
      <w:r>
        <w:t xml:space="preserve">coefficient of variation of all-India monsoon rainfall ~10%; local CV 20–30%, higher (&gt;40%) in arid western Rajasthan. Within-season</w:t>
      </w:r>
      <w:r>
        <w:t xml:space="preserve"> </w:t>
      </w:r>
      <w:r>
        <w:rPr>
          <w:bCs/>
          <w:b/>
        </w:rPr>
        <w:t xml:space="preserve">active and break spells</w:t>
      </w:r>
      <w:r>
        <w:t xml:space="preserve">, delayed onset and early withdrawal matter more for crops than the seasonal total.</w:t>
      </w:r>
    </w:p>
    <w:p>
      <w:pPr>
        <w:pStyle w:val="Heading3"/>
      </w:pPr>
      <w:r>
        <w:t xml:space="preserve">23.5.1 Likely interview questions</w:t>
      </w:r>
    </w:p>
    <w:p>
      <w:pPr>
        <w:pStyle w:val="FirstParagraph"/>
      </w:pPr>
      <w:r>
        <w:rPr>
          <w:bCs/>
          <w:b/>
        </w:rPr>
        <w:t xml:space="preserve">Q. Distinguish weather and climate.</w:t>
      </w:r>
      <w:r>
        <w:t xml:space="preserve"> </w:t>
      </w:r>
      <w:r>
        <w:t xml:space="preserve">Weather is the short-term state; climate is the long-term (≥30-year) statistics including variability and extremes.</w:t>
      </w:r>
    </w:p>
    <w:p>
      <w:pPr>
        <w:pStyle w:val="BodyText"/>
      </w:pPr>
      <w:r>
        <w:rPr>
          <w:bCs/>
          <w:b/>
        </w:rPr>
        <w:t xml:space="preserve">Q. List the climatic controls with an Indian example of each.</w:t>
      </w:r>
      <w:r>
        <w:t xml:space="preserve"> </w:t>
      </w:r>
      <w:r>
        <w:t xml:space="preserve">See the table — e.g., orography: Western Ghats rain shadow; continentality: Delhi vs. Mumbai temperature range; teleconnection: El Niño and monsoon drought.</w:t>
      </w:r>
    </w:p>
    <w:p>
      <w:pPr>
        <w:pStyle w:val="BodyText"/>
      </w:pPr>
      <w:r>
        <w:rPr>
          <w:bCs/>
          <w:b/>
        </w:rPr>
        <w:t xml:space="preserve">Q. What is the long-period average of Indian summer monsoon rainfall?</w:t>
      </w:r>
      <w:r>
        <w:t xml:space="preserve"> </w:t>
      </w:r>
      <w:r>
        <w:t xml:space="preserve">About 87 cm (1971–2020 LPA);</w:t>
      </w:r>
      <w:r>
        <w:t xml:space="preserve"> </w:t>
      </w:r>
      <w:r>
        <w:t xml:space="preserve">“</w:t>
      </w:r>
      <w:r>
        <w:t xml:space="preserve">normal</w:t>
      </w:r>
      <w:r>
        <w:t xml:space="preserve">”</w:t>
      </w:r>
      <w:r>
        <w:t xml:space="preserve"> </w:t>
      </w:r>
      <w:r>
        <w:t xml:space="preserve">is 96–104% of LPA.</w:t>
      </w:r>
    </w:p>
    <w:p>
      <w:pPr>
        <w:pStyle w:val="BodyText"/>
      </w:pPr>
      <w:r>
        <w:rPr>
          <w:bCs/>
          <w:b/>
        </w:rPr>
        <w:t xml:space="preserve">Q. Why do coastal places have equable climates?</w:t>
      </w:r>
      <w:r>
        <w:t xml:space="preserve"> </w:t>
      </w:r>
      <w:r>
        <w:t xml:space="preserve">Water’s high specific heat, transparency, mixing and evaporation make sea temperatures change slowly, moderating adjacent land temperatures.</w:t>
      </w:r>
    </w:p>
    <w:p>
      <w:pPr>
        <w:pStyle w:val="Heading2"/>
      </w:pPr>
      <w:r>
        <w:t xml:space="preserve">23.6 Vertical Structure of the Atmosphere</w:t>
      </w:r>
    </w:p>
    <w:tbl>
      <w:tblPr>
        <w:tblStyle w:val="Table"/>
        <w:tblW w:type="pct" w:w="4962"/>
        <w:jc w:val="left"/>
        <w:tblLook w:firstRow="1" w:lastRow="0" w:firstColumn="0" w:lastColumn="0" w:noHBand="0" w:noVBand="0" w:val="0020"/>
      </w:tblPr>
      <w:tblGrid>
        <w:gridCol w:w="997"/>
        <w:gridCol w:w="1602"/>
        <w:gridCol w:w="5259"/>
      </w:tblGrid>
      <w:tr>
        <w:trPr>
          <w:tblHeader w:val="true"/>
        </w:trPr>
        <w:tc>
          <w:tcPr/>
          <w:p>
            <w:pPr>
              <w:pStyle w:val="Compact"/>
              <w:jc w:val="left"/>
            </w:pPr>
            <w:r>
              <w:rPr>
                <w:bCs/>
                <w:b/>
              </w:rPr>
              <w:t xml:space="preserve">Layer</w:t>
            </w:r>
          </w:p>
        </w:tc>
        <w:tc>
          <w:tcPr/>
          <w:p>
            <w:pPr>
              <w:pStyle w:val="Compact"/>
              <w:jc w:val="left"/>
            </w:pPr>
            <w:r>
              <w:rPr>
                <w:bCs/>
                <w:b/>
              </w:rPr>
              <w:t xml:space="preserve">Approximate Extent</w:t>
            </w:r>
          </w:p>
        </w:tc>
        <w:tc>
          <w:tcPr/>
          <w:p>
            <w:pPr>
              <w:pStyle w:val="Compact"/>
              <w:jc w:val="left"/>
            </w:pPr>
            <w:r>
              <w:rPr>
                <w:bCs/>
                <w:b/>
              </w:rPr>
              <w:t xml:space="preserve">Key Characteristics</w:t>
            </w:r>
          </w:p>
        </w:tc>
      </w:tr>
      <w:tr>
        <w:tc>
          <w:tcPr/>
          <w:p>
            <w:pPr>
              <w:pStyle w:val="Compact"/>
              <w:jc w:val="left"/>
            </w:pPr>
            <w:r>
              <w:t xml:space="preserve">Troposphere</w:t>
            </w:r>
          </w:p>
        </w:tc>
        <w:tc>
          <w:tcPr/>
          <w:p>
            <w:pPr>
              <w:pStyle w:val="Compact"/>
              <w:jc w:val="left"/>
            </w:pPr>
            <w:r>
              <w:t xml:space="preserve">Surface to ~8 km (poles) / ~16–18 km (tropics)</w:t>
            </w:r>
          </w:p>
        </w:tc>
        <w:tc>
          <w:tcPr/>
          <w:p>
            <w:pPr>
              <w:pStyle w:val="Compact"/>
              <w:jc w:val="left"/>
            </w:pPr>
            <w:r>
              <w:t xml:space="preserve">Contains ~80% of atmospheric mass; temperature generally decreases with height (average lapse rate ~6.5°C/km); site of almost all weather (clouds, precipitation, storms)</w:t>
            </w:r>
          </w:p>
        </w:tc>
      </w:tr>
      <w:tr>
        <w:tc>
          <w:tcPr/>
          <w:p>
            <w:pPr>
              <w:pStyle w:val="Compact"/>
              <w:jc w:val="left"/>
            </w:pPr>
            <w:r>
              <w:t xml:space="preserve">Tropopause</w:t>
            </w:r>
          </w:p>
        </w:tc>
        <w:tc>
          <w:tcPr/>
          <w:p>
            <w:pPr>
              <w:pStyle w:val="Compact"/>
              <w:jc w:val="left"/>
            </w:pPr>
            <w:r>
              <w:t xml:space="preserve">Boundary layer atop troposphere</w:t>
            </w:r>
          </w:p>
        </w:tc>
        <w:tc>
          <w:tcPr/>
          <w:p>
            <w:pPr>
              <w:pStyle w:val="Compact"/>
              <w:jc w:val="left"/>
            </w:pPr>
            <w:r>
              <w:t xml:space="preserve">Temperature inversion/isothermal layer; acts as a 'lid' influencing storm-top height and jet-stream location</w:t>
            </w:r>
          </w:p>
        </w:tc>
      </w:tr>
      <w:tr>
        <w:tc>
          <w:tcPr/>
          <w:p>
            <w:pPr>
              <w:pStyle w:val="Compact"/>
              <w:jc w:val="left"/>
            </w:pPr>
            <w:r>
              <w:t xml:space="preserve">Stratosphere</w:t>
            </w:r>
          </w:p>
        </w:tc>
        <w:tc>
          <w:tcPr/>
          <w:p>
            <w:pPr>
              <w:pStyle w:val="Compact"/>
              <w:jc w:val="left"/>
            </w:pPr>
            <w:r>
              <w:t xml:space="preserve">~8/16 km to ~50 km</w:t>
            </w:r>
          </w:p>
        </w:tc>
        <w:tc>
          <w:tcPr/>
          <w:p>
            <w:pPr>
              <w:pStyle w:val="Compact"/>
              <w:jc w:val="left"/>
            </w:pPr>
            <w:r>
              <w:t xml:space="preserve">Temperature increases with height (ozone absorption of UV); generally stable, limited vertical mixing; occasional stratospheric intrusions affect surface weather</w:t>
            </w:r>
          </w:p>
        </w:tc>
      </w:tr>
      <w:tr>
        <w:tc>
          <w:tcPr/>
          <w:p>
            <w:pPr>
              <w:pStyle w:val="Compact"/>
              <w:jc w:val="left"/>
            </w:pPr>
            <w:r>
              <w:t xml:space="preserve">Mesosphere &amp; Thermosphere</w:t>
            </w:r>
          </w:p>
        </w:tc>
        <w:tc>
          <w:tcPr/>
          <w:p>
            <w:pPr>
              <w:pStyle w:val="Compact"/>
              <w:jc w:val="left"/>
            </w:pPr>
            <w:r>
              <w:t xml:space="preserve">Above ~50 km</w:t>
            </w:r>
          </w:p>
        </w:tc>
        <w:tc>
          <w:tcPr/>
          <w:p>
            <w:pPr>
              <w:pStyle w:val="Compact"/>
              <w:jc w:val="left"/>
            </w:pPr>
            <w:r>
              <w:t xml:space="preserve">Minimal direct relevance to surface weather/agriculture; relevant to satellite orbit and remote-sensing platform considerations</w:t>
            </w:r>
          </w:p>
        </w:tc>
      </w:tr>
      <w:tr>
        <w:tc>
          <w:tcPr/>
          <w:p>
            <w:pPr>
              <w:pStyle w:val="Compact"/>
              <w:jc w:val="left"/>
            </w:pPr>
            <w:r>
              <w:t xml:space="preserve">Planetary Boundary Layer (PBL)</w:t>
            </w:r>
          </w:p>
        </w:tc>
        <w:tc>
          <w:tcPr/>
          <w:p>
            <w:pPr>
              <w:pStyle w:val="Compact"/>
              <w:jc w:val="left"/>
            </w:pPr>
            <w:r>
              <w:t xml:space="preserve">Lowest ~1–2 km of troposphere (varies diurnally)</w:t>
            </w:r>
          </w:p>
        </w:tc>
        <w:tc>
          <w:tcPr/>
          <w:p>
            <w:pPr>
              <w:pStyle w:val="Compact"/>
              <w:jc w:val="left"/>
            </w:pPr>
            <w:r>
              <w:t xml:space="preserve">Directly influenced by surface friction and heating; governs near-surface temperature, humidity, wind, and pollutant/aerosol dispersion critical to agromet observations</w:t>
            </w:r>
          </w:p>
        </w:tc>
      </w:tr>
    </w:tbl>
    <w:p>
      <w:pPr>
        <w:pStyle w:val="Heading2"/>
      </w:pPr>
      <w:r>
        <w:t xml:space="preserve">23.7 Pressure Systems and Circulation</w:t>
      </w:r>
    </w:p>
    <w:p>
      <w:pPr>
        <w:pStyle w:val="FirstParagraph"/>
      </w:pPr>
      <w:r>
        <w:t xml:space="preserve">Atmospheric motion is fundamentally driven by differential heating between the equator and poles, and between land and ocean, which creates pressure gradients that the atmosphere continually acts to equalise, modified by the Earth's rotation (Coriolis effect).</w:t>
      </w:r>
    </w:p>
    <w:p>
      <w:pPr>
        <w:numPr>
          <w:ilvl w:val="0"/>
          <w:numId w:val="1181"/>
        </w:numPr>
      </w:pPr>
      <w:r>
        <w:t xml:space="preserve">Low-pressure systems (cyclones/lows/depressions): air converges and rises, cooling adiabatically, favouring cloud formation and precipitation — the systems primarily responsible for Indian monsoon and cyclonic rainfall.</w:t>
      </w:r>
    </w:p>
    <w:p>
      <w:pPr>
        <w:numPr>
          <w:ilvl w:val="0"/>
          <w:numId w:val="1181"/>
        </w:numPr>
      </w:pPr>
      <w:r>
        <w:t xml:space="preserve">High-pressure systems (anticyclones): air subsides and diverges, warming adiabatically and suppressing cloud formation, associated with clear skies, calm conditions, and — in winter — radiative cooling favourable for frost and fog formation.</w:t>
      </w:r>
    </w:p>
    <w:p>
      <w:pPr>
        <w:numPr>
          <w:ilvl w:val="0"/>
          <w:numId w:val="1181"/>
        </w:numPr>
      </w:pPr>
      <w:r>
        <w:t xml:space="preserve">Trough: an elongated area of relatively low pressure, often associated with wind-shift and rainfall (e.g., the 'monsoon trough' running across the Indo-Gangetic plains, whose position and orientation is the single most important indicator of active/break monsoon conditions).</w:t>
      </w:r>
    </w:p>
    <w:p>
      <w:pPr>
        <w:numPr>
          <w:ilvl w:val="0"/>
          <w:numId w:val="1181"/>
        </w:numPr>
      </w:pPr>
      <w:r>
        <w:t xml:space="preserve">Ridge: an elongated area of relatively high pressure, associated with subsidence and fair weather.</w:t>
      </w:r>
    </w:p>
    <w:p>
      <w:pPr>
        <w:numPr>
          <w:ilvl w:val="0"/>
          <w:numId w:val="1181"/>
        </w:numPr>
      </w:pPr>
      <w:r>
        <w:t xml:space="preserve">Global circulation cells: the Hadley cell (tropical, rising air near the equator, sinking near ~30°N/S, giving rise to the subtropical high-pressure belts and trade winds), Ferrel cell (mid-latitudes), and Polar cell together organise the broad global wind belts within which Indian weather systems are embedded.</w:t>
      </w:r>
    </w:p>
    <w:p>
      <w:pPr>
        <w:pStyle w:val="Heading2"/>
      </w:pPr>
      <w:r>
        <w:t xml:space="preserve">23.8 Wind Systems Relevant to Indian Weather</w:t>
      </w:r>
    </w:p>
    <w:p>
      <w:pPr>
        <w:numPr>
          <w:ilvl w:val="0"/>
          <w:numId w:val="1182"/>
        </w:numPr>
      </w:pPr>
      <w:r>
        <w:t xml:space="preserve">Trade winds and the Somali (cross-equatorial) Jet: a strong low-level jet that develops over the western Indian Ocean/East Africa during the summer monsoon season, transporting moisture from the southern Indian Ocean/Southern Hemisphere across the equator into the Arabian Sea and onward to the Indian subcontinent — a key monsoon-strength indicator monitored via scatterometer winds.</w:t>
      </w:r>
    </w:p>
    <w:p>
      <w:pPr>
        <w:numPr>
          <w:ilvl w:val="0"/>
          <w:numId w:val="1182"/>
        </w:numPr>
      </w:pPr>
      <w:r>
        <w:t xml:space="preserve">Sub-tropical Westerly Jet Stream: a fast-flowing upper-tropospheric (~200–300 hPa) wind band whose seasonal southward/northward shift steers mid-latitude weather systems (western disturbances) affecting northwest India in winter; its withdrawal northward each year is one of the dynamical preconditions for monsoon onset.</w:t>
      </w:r>
    </w:p>
    <w:p>
      <w:pPr>
        <w:numPr>
          <w:ilvl w:val="0"/>
          <w:numId w:val="1182"/>
        </w:numPr>
      </w:pPr>
      <w:r>
        <w:t xml:space="preserve">Tropical Easterly Jet (TEJ): a summer-season upper-level (~150 hPa) easterly jet over the Indian subcontinent/Africa, a distinctive feature of the Asian summer monsoon circulation.</w:t>
      </w:r>
    </w:p>
    <w:p>
      <w:pPr>
        <w:numPr>
          <w:ilvl w:val="0"/>
          <w:numId w:val="1182"/>
        </w:numPr>
      </w:pPr>
      <w:r>
        <w:t xml:space="preserve">Western Disturbances: extratropical, eastward-moving low-pressure systems originating over the Mediterranean/Caspian region, steered into northwest India by the subtropical westerly jet, primarily in winter — the main cause of winter rainfall/snowfall over the Himalaya and north Indian plains, critical for rabi crop (especially wheat) moisture supply, but also a cause of untimely rain/hailstorm damage to standing rabi crops when they interact with moist low-level air.</w:t>
      </w:r>
    </w:p>
    <w:p>
      <w:pPr>
        <w:numPr>
          <w:ilvl w:val="0"/>
          <w:numId w:val="1182"/>
        </w:numPr>
      </w:pPr>
      <w:r>
        <w:t xml:space="preserve">Land and sea breezes, and mountain-valley winds: local-scale (mesoscale) circulations driven by differential heating, important for coastal agriculture microclimates and hill-station horticulture.</w:t>
      </w:r>
    </w:p>
    <w:p>
      <w:pPr>
        <w:pStyle w:val="Heading2"/>
      </w:pPr>
      <w:r>
        <w:t xml:space="preserve">23.9 Air Masses and Fronts</w:t>
      </w:r>
    </w:p>
    <w:p>
      <w:pPr>
        <w:pStyle w:val="FirstParagraph"/>
      </w:pPr>
      <w:r>
        <w:t xml:space="preserve">An air mass is a large body of air with broadly uniform temperature and humidity characteristics, acquired from prolonged residence over a source region (e.g., a continental polar air mass forming over cold, dry high-latitude land). A front is the boundary zone between two air masses of contrasting properties. The classical Norwegian cyclone model describes frontal cyclone development: a cold front (advancing cold air undercutting warm air, often producing narrow, intense precipitation bands) and a warm front (advancing warm air overriding cold air, producing broader, more prolonged precipitation) rotate around a developing low-pressure centre, eventually merging into an occluded front as the system matures. While classical mid-latitude frontal theory applies more directly to the western disturbances affecting north India than to the tropical monsoon systems further south (which are dominated by different dynamics — easterly waves, monsoon depressions, and mesoscale convective systems rather than sharp fronts), understanding frontal concepts remains part of core meteorological training and is directly relevant to winter-season northwest India forecasting.</w:t>
      </w:r>
    </w:p>
    <w:p>
      <w:pPr>
        <w:pStyle w:val="Heading2"/>
      </w:pPr>
      <w:r>
        <w:t xml:space="preserve">23.10 Atmospheric Stability and Severe Convective Weather</w:t>
      </w:r>
    </w:p>
    <w:p>
      <w:pPr>
        <w:pStyle w:val="FirstParagraph"/>
      </w:pPr>
      <w:r>
        <w:t xml:space="preserve">Atmospheric stability — whether a displaced parcel of air tends to return to its original position (stable) or continue rising/accelerating (unstable) — determines whether the atmosphere favours or suppresses convective storm development, directly relevant to hailstorm and thunderstorm forecasting for crop-hazard early warning.</w:t>
      </w:r>
    </w:p>
    <w:p>
      <w:pPr>
        <w:numPr>
          <w:ilvl w:val="0"/>
          <w:numId w:val="1183"/>
        </w:numPr>
      </w:pPr>
      <w:r>
        <w:t xml:space="preserve">Environmental Lapse Rate (ELR): the observed rate of temperature decrease with height in the actual atmosphere at a given time, compared against the Dry Adiabatic Lapse Rate (DALR, ~9.8°C/km, the rate an unsaturated rising parcel cools) and the Saturated/Moist Adiabatic Lapse Rate (SALR/MALR, ~5–6°C/km, slower due to latent heat release upon condensation).</w:t>
      </w:r>
    </w:p>
    <w:p>
      <w:pPr>
        <w:numPr>
          <w:ilvl w:val="0"/>
          <w:numId w:val="1183"/>
        </w:numPr>
      </w:pPr>
      <w:r>
        <w:t xml:space="preserve">Convective Available Potential Energy (CAPE): the vertically integrated positive buoyancy energy available to a rising parcel, computed as CAPE = g∫(Tparcel − Tenvironment)/Tenvironment dz between the level of free convection and the equilibrium level; higher CAPE indicates greater potential updraft strength and severe-storm (hail, damaging wind) potential.</w:t>
      </w:r>
    </w:p>
    <w:p>
      <w:pPr>
        <w:numPr>
          <w:ilvl w:val="0"/>
          <w:numId w:val="1183"/>
        </w:numPr>
      </w:pPr>
      <w:r>
        <w:t xml:space="preserve">Convective Inhibition (CIN): the energy barrier (a stable layer) that must be overcome before free convection can begin — high CIN can suppress storm initiation despite high CAPE, until a strong enough lifting trigger (e.g., surface heating, a frontal boundary, orographic lift) breaks the cap.</w:t>
      </w:r>
    </w:p>
    <w:p>
      <w:pPr>
        <w:numPr>
          <w:ilvl w:val="0"/>
          <w:numId w:val="1183"/>
        </w:numPr>
      </w:pPr>
      <w:r>
        <w:t xml:space="preserve">Lifted Index (LI) and other stability indices (K-Index, Total Totals Index, Showalter Index): simpler single-number diagnostics computed from a sounding's temperature/humidity profile at standard levels, historically used operationally (before routine CAPE computation) to flag thunderstorm/severe-weather potential and still widely used as quick-reference guidance.</w:t>
      </w:r>
    </w:p>
    <w:p>
      <w:pPr>
        <w:numPr>
          <w:ilvl w:val="0"/>
          <w:numId w:val="1183"/>
        </w:numPr>
      </w:pPr>
      <w:r>
        <w:t xml:space="preserve">Vertical wind shear: the change of wind speed/direction with height; strong shear organises storms into longer-lived, more severe structures (multicell/supercell), while weak shear favours short-lived, disorganised (pulse) storms — a key discriminator for hail-producing storm potential relevant to standing-crop damage forecasting.</w:t>
      </w:r>
    </w:p>
    <w:p>
      <w:pPr>
        <w:pStyle w:val="Heading2"/>
      </w:pPr>
      <w:r>
        <w:t xml:space="preserve">23.11 Monsoon Depressions and Low-Pressure Systems</w:t>
      </w:r>
    </w:p>
    <w:p>
      <w:pPr>
        <w:pStyle w:val="FirstParagraph"/>
      </w:pPr>
      <w:r>
        <w:t xml:space="preserve">Beyond named tropical cyclones, the Bay of Bengal regularly spawns weaker, monsoon-season low-pressure systems and monsoon depressions — the principal rain-bearing synoptic systems of the summer monsoon over central and eastern India, distinct from (and typically weaker than) tropical cyclones but responsible for the bulk of the monsoon season's heaviest rainfall spells as they track northwestward across the subcontinent, interacting with the monsoon trough. IMD classifies these low-pressure systems by intensity (low-pressure area, depression, deep depression) based on associated maximum sustained wind speed, tracked using the same satellite (Dvorak-derived) and radar tools used for cyclone monitoring, described further in the relevant chapter.</w:t>
      </w:r>
    </w:p>
    <w:p>
      <w:pPr>
        <w:pStyle w:val="Heading2"/>
      </w:pPr>
      <w:r>
        <w:t xml:space="preserve">23.12 Atmospheric Thermodynamics</w:t>
      </w:r>
    </w:p>
    <w:p>
      <w:pPr>
        <w:pStyle w:val="FirstParagraph"/>
      </w:pPr>
      <w:r>
        <w:rPr>
          <w:bCs/>
          <w:b/>
        </w:rPr>
        <w:t xml:space="preserve">Ideal gas law (for moist air):</w:t>
      </w:r>
      <w:r>
        <w:t xml:space="preserve"> </w:t>
      </w:r>
      <w:r>
        <w:t xml:space="preserve">P = ρRT — pressure, density, specific gas constant, temperature; underlies air-density corrections in eddy-covariance flux computation and pressure-sensor-based AWS altitude corrections.</w:t>
      </w:r>
    </w:p>
    <w:p>
      <w:pPr>
        <w:pStyle w:val="BodyText"/>
      </w:pPr>
      <w:r>
        <w:rPr>
          <w:bCs/>
          <w:b/>
        </w:rPr>
        <w:t xml:space="preserve">Hydrostatic equation:</w:t>
      </w:r>
      <w:r>
        <w:t xml:space="preserve"> </w:t>
      </w:r>
      <w:r>
        <w:t xml:space="preserve">dP/dz = −ρg — pressure decreases with height at a rate proportional to local air density; integrated (with the ideal gas law and an assumed/observed temperature profile) to compute geopotential height from a Sounder-retrieved temperature profile.</w:t>
      </w:r>
    </w:p>
    <w:p>
      <w:pPr>
        <w:pStyle w:val="BodyText"/>
      </w:pPr>
      <w:r>
        <w:rPr>
          <w:bCs/>
          <w:b/>
        </w:rPr>
        <w:t xml:space="preserve">Dry adiabatic lapse rate:</w:t>
      </w:r>
      <w:r>
        <w:t xml:space="preserve"> </w:t>
      </w:r>
      <w:r>
        <w:t xml:space="preserve">Γd = g/cp ≈ 9.8 °C km⁻¹ — the rate at which a rising, unsaturated air parcel cools due to adiabatic expansion; the reference rate against which the environmental lapse rate is compared to assess atmospheric stability (steeper than Γd = unstable/superadiabatic; shallower = stable).</w:t>
      </w:r>
    </w:p>
    <w:p>
      <w:pPr>
        <w:pStyle w:val="BodyText"/>
      </w:pPr>
      <w:r>
        <w:rPr>
          <w:bCs/>
          <w:b/>
        </w:rPr>
        <w:t xml:space="preserve">Moist (saturated) adiabatic lapse rate:</w:t>
      </w:r>
      <w:r>
        <w:t xml:space="preserve"> </w:t>
      </w:r>
      <w:r>
        <w:t xml:space="preserve">Γs ≈ 4–7 °C km⁻¹ (variable, lower than Γd, because condensation of water vapour releases latent heat that partially offsets adiabatic cooling) — relevant to Lifted Index computation and convective-instability assessment.</w:t>
      </w:r>
    </w:p>
    <w:p>
      <w:pPr>
        <w:pStyle w:val="BodyText"/>
      </w:pPr>
      <w:r>
        <w:rPr>
          <w:bCs/>
          <w:b/>
        </w:rPr>
        <w:t xml:space="preserve">Equivalent potential temperature:</w:t>
      </w:r>
      <w:r>
        <w:t xml:space="preserve"> </w:t>
      </w:r>
      <w:r>
        <w:t xml:space="preserve">θe = θ exp(Lq/cpT) — potential temperature a parcel would have if all its water vapour (mixing ratio q) were condensed and the latent heat released used to warm the parcel; used in the Maximum Vertical Theta-e Differential downburst index.</w:t>
      </w:r>
    </w:p>
    <w:p>
      <w:pPr>
        <w:pStyle w:val="BodyText"/>
      </w:pPr>
      <w:r>
        <w:rPr>
          <w:bCs/>
          <w:b/>
        </w:rPr>
        <w:t xml:space="preserve">Geopotential height:</w:t>
      </w:r>
      <w:r>
        <w:t xml:space="preserve"> </w:t>
      </w:r>
      <w:r>
        <w:t xml:space="preserve">Z = ∫(RTv/g) d(ln P) — hydrostatically integrated from a temperature profile (virtual temperature Tv, accounting for humidity’s effect on air density); a Sounder-derived product.</w:t>
      </w:r>
    </w:p>
    <w:p>
      <w:pPr>
        <w:pStyle w:val="Heading2"/>
      </w:pPr>
      <w:r>
        <w:t xml:space="preserve">23.13 Meteorological Equations of Common Reference (Quick-Recall Box)</w:t>
      </w:r>
    </w:p>
    <w:p>
      <w:pPr>
        <w:numPr>
          <w:ilvl w:val="0"/>
          <w:numId w:val="1184"/>
        </w:numPr>
      </w:pPr>
      <w:r>
        <w:rPr>
          <w:bCs/>
          <w:b/>
        </w:rPr>
        <w:t xml:space="preserve">FAO-56 Penman–Monteith reference evapotranspiration (ET0):</w:t>
      </w:r>
    </w:p>
    <w:p>
      <w:pPr>
        <w:numPr>
          <w:ilvl w:val="0"/>
          <w:numId w:val="1184"/>
        </w:numPr>
      </w:pPr>
      <w:r>
        <w:t xml:space="preserve">ET0 = [0.408 Δ (Rn−G) + γ (900/(T+273)) u2 (es−ea)] / [Δ + γ(1+0.34 u2)]</w:t>
      </w:r>
    </w:p>
    <w:p>
      <w:pPr>
        <w:numPr>
          <w:ilvl w:val="0"/>
          <w:numId w:val="1000"/>
        </w:numPr>
      </w:pPr>
      <w:r>
        <w:t xml:space="preserve">Δ = slope of saturation vapour pressure curve (kPa °C⁻¹); γ = psychrometric constant (kPa °C⁻¹); T = mean daily air temperature at 2 m (°C); u2 = wind speed at 2 m (m s⁻¹); es−ea = vapour pressure deficit (kPa).</w:t>
      </w:r>
    </w:p>
    <w:p>
      <w:pPr>
        <w:numPr>
          <w:ilvl w:val="0"/>
          <w:numId w:val="1184"/>
        </w:numPr>
      </w:pPr>
      <w:r>
        <w:rPr>
          <w:bCs/>
          <w:b/>
        </w:rPr>
        <w:t xml:space="preserve">Saturation vapour pressure (Tetens/Magnus formula):</w:t>
      </w:r>
      <w:r>
        <w:t xml:space="preserve"> </w:t>
      </w:r>
      <w:r>
        <w:t xml:space="preserve">es(T) = 0.6108 exp[17.27 T / (T+237.3)] (kPa, T in °C)</w:t>
      </w:r>
    </w:p>
    <w:p>
      <w:pPr>
        <w:numPr>
          <w:ilvl w:val="0"/>
          <w:numId w:val="1184"/>
        </w:numPr>
      </w:pPr>
      <w:r>
        <w:rPr>
          <w:bCs/>
          <w:b/>
        </w:rPr>
        <w:t xml:space="preserve">Psychrometric constant:</w:t>
      </w:r>
      <w:r>
        <w:t xml:space="preserve"> </w:t>
      </w:r>
      <w:r>
        <w:t xml:space="preserve">γ = (cp P)/(ε λ), ε = 0.622 (ratio of molecular weights of water vapour to dry air)</w:t>
      </w:r>
    </w:p>
    <w:p>
      <w:pPr>
        <w:numPr>
          <w:ilvl w:val="0"/>
          <w:numId w:val="1184"/>
        </w:numPr>
      </w:pPr>
      <w:r>
        <w:rPr>
          <w:bCs/>
          <w:b/>
        </w:rPr>
        <w:t xml:space="preserve">Potential temperature:</w:t>
      </w:r>
      <w:r>
        <w:t xml:space="preserve"> </w:t>
      </w:r>
      <w:r>
        <w:t xml:space="preserve">θ = T (P0/P)^(R/cp), P0 = reference pressure (1000 hPa), R/cp ≈ 0.286 for dry air — used to remove the adiabatic compression effect so that temperatures at different heights/pressures can be meaningfully compared (essential for computing Ri and MOST quantities).</w:t>
      </w:r>
    </w:p>
    <w:p>
      <w:pPr>
        <w:numPr>
          <w:ilvl w:val="0"/>
          <w:numId w:val="1184"/>
        </w:numPr>
      </w:pPr>
      <w:r>
        <w:rPr>
          <w:bCs/>
          <w:b/>
        </w:rPr>
        <w:t xml:space="preserve">Bowen ratio:</w:t>
      </w:r>
      <w:r>
        <w:t xml:space="preserve"> </w:t>
      </w:r>
      <w:r>
        <w:t xml:space="preserve">β = H/LE = γ (ΔT/Δe) — ratio of sensible to latent heat flux, used both diagnostically (dry versus wet surface behaviour) and for the Bowen-ratio energy-balance-closure correction and for the classical Bowen-ratio energy-balance (BREB) method of estimating LE from gradient measurements of T and e at two heights without needing eddy-covariance instruments: LE = (Rn−G)/(1+β).</w:t>
      </w:r>
    </w:p>
    <w:p>
      <w:pPr>
        <w:numPr>
          <w:ilvl w:val="0"/>
          <w:numId w:val="1184"/>
        </w:numPr>
      </w:pPr>
      <w:r>
        <w:rPr>
          <w:bCs/>
          <w:b/>
        </w:rPr>
        <w:t xml:space="preserve">Clausius–Clapeyron relation</w:t>
      </w:r>
      <w:r>
        <w:t xml:space="preserve"> </w:t>
      </w:r>
      <w:r>
        <w:t xml:space="preserve">(underlies the exponential form of es(T) above): d(es)/dT = λ es /(Rv T²), Rv = specific gas constant for water vapour.</w:t>
      </w:r>
    </w:p>
    <w:p>
      <w:pPr>
        <w:pStyle w:val="Heading1"/>
      </w:pPr>
      <w:r>
        <w:t xml:space="preserve">Chapter 24. Climatic Classification and Agro-Climatic / Agro-Ecological Zoning</w:t>
      </w:r>
    </w:p>
    <w:p>
      <w:pPr>
        <w:pStyle w:val="Heading2"/>
      </w:pPr>
      <w:r>
        <w:t xml:space="preserve">24.1 Climatic Classification Systems</w:t>
      </w:r>
    </w:p>
    <w:p>
      <w:pPr>
        <w:pStyle w:val="FirstParagraph"/>
      </w:pPr>
      <w:r>
        <w:t xml:space="preserve">A</w:t>
      </w:r>
      <w:r>
        <w:t xml:space="preserve"> </w:t>
      </w:r>
      <w:r>
        <w:rPr>
          <w:bCs/>
          <w:b/>
        </w:rPr>
        <w:t xml:space="preserve">climatic classification</w:t>
      </w:r>
      <w:r>
        <w:t xml:space="preserve"> </w:t>
      </w:r>
      <w:r>
        <w:t xml:space="preserve">groups regions with similar climate using quantitative criteria (temperature, precipitation, moisture balance, vegetation). It helps transfer technology between similar environments, plan land use and interpret vegetation and crop distribution.</w:t>
      </w:r>
    </w:p>
    <w:p>
      <w:pPr>
        <w:pStyle w:val="Heading3"/>
      </w:pPr>
      <w:r>
        <w:t xml:space="preserve">24.1.1 Köppen classification (1900, revised 1918–1936; Köppen–Geiger)</w:t>
      </w:r>
    </w:p>
    <w:p>
      <w:pPr>
        <w:pStyle w:val="FirstParagraph"/>
      </w:pPr>
      <w:r>
        <w:t xml:space="preserve">Based on</w:t>
      </w:r>
      <w:r>
        <w:t xml:space="preserve"> </w:t>
      </w:r>
      <w:r>
        <w:rPr>
          <w:bCs/>
          <w:b/>
        </w:rPr>
        <w:t xml:space="preserve">monthly mean temperature and precipitation</w:t>
      </w:r>
      <w:r>
        <w:t xml:space="preserve"> </w:t>
      </w:r>
      <w:r>
        <w:t xml:space="preserve">and their seasonality, tied to natural vegetation. Five main groups (plus highland H in some versions):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Criterion</w:t>
            </w:r>
          </w:p>
        </w:tc>
        <w:tc>
          <w:tcPr/>
          <w:p>
            <w:pPr>
              <w:pStyle w:val="Compact"/>
              <w:jc w:val="left"/>
            </w:pPr>
            <w:r>
              <w:t xml:space="preserve">Sub-types (examples)</w:t>
            </w:r>
          </w:p>
        </w:tc>
      </w:tr>
      <w:tr>
        <w:tc>
          <w:tcPr/>
          <w:p>
            <w:pPr>
              <w:pStyle w:val="Compact"/>
              <w:jc w:val="left"/>
            </w:pPr>
            <w:r>
              <w:rPr>
                <w:bCs/>
                <w:b/>
              </w:rPr>
              <w:t xml:space="preserve">A — Tropical humid</w:t>
            </w:r>
          </w:p>
        </w:tc>
        <w:tc>
          <w:tcPr/>
          <w:p>
            <w:pPr>
              <w:pStyle w:val="Compact"/>
              <w:jc w:val="left"/>
            </w:pPr>
            <w:r>
              <w:t xml:space="preserve">Coolest month &gt; 18 °C</w:t>
            </w:r>
          </w:p>
        </w:tc>
        <w:tc>
          <w:tcPr/>
          <w:p>
            <w:pPr>
              <w:pStyle w:val="Compact"/>
              <w:jc w:val="left"/>
            </w:pPr>
            <w:r>
              <w:rPr>
                <w:bCs/>
                <w:b/>
              </w:rPr>
              <w:t xml:space="preserve">Af</w:t>
            </w:r>
            <w:r>
              <w:t xml:space="preserve"> </w:t>
            </w:r>
            <w:r>
              <w:t xml:space="preserve">(rainforest, no dry season),</w:t>
            </w:r>
            <w:r>
              <w:t xml:space="preserve"> </w:t>
            </w:r>
            <w:r>
              <w:rPr>
                <w:bCs/>
                <w:b/>
              </w:rPr>
              <w:t xml:space="preserve">Am</w:t>
            </w:r>
            <w:r>
              <w:t xml:space="preserve"> </w:t>
            </w:r>
            <w:r>
              <w:t xml:space="preserve">(monsoon — short dry season, e.g. Konkan, Malabar coast),</w:t>
            </w:r>
            <w:r>
              <w:t xml:space="preserve"> </w:t>
            </w:r>
            <w:r>
              <w:rPr>
                <w:bCs/>
                <w:b/>
              </w:rPr>
              <w:t xml:space="preserve">Aw</w:t>
            </w:r>
            <w:r>
              <w:t xml:space="preserve"> </w:t>
            </w:r>
            <w:r>
              <w:t xml:space="preserve">(tropical savanna, dry winter — most of peninsular India)</w:t>
            </w:r>
          </w:p>
        </w:tc>
      </w:tr>
      <w:tr>
        <w:tc>
          <w:tcPr/>
          <w:p>
            <w:pPr>
              <w:pStyle w:val="Compact"/>
              <w:jc w:val="left"/>
            </w:pPr>
            <w:r>
              <w:rPr>
                <w:bCs/>
                <w:b/>
              </w:rPr>
              <w:t xml:space="preserve">B — Dry</w:t>
            </w:r>
          </w:p>
        </w:tc>
        <w:tc>
          <w:tcPr/>
          <w:p>
            <w:pPr>
              <w:pStyle w:val="Compact"/>
              <w:jc w:val="left"/>
            </w:pPr>
            <w:r>
              <w:t xml:space="preserve">Evaporation &gt; precipitation (threshold depends on temperature and rain seasonality)</w:t>
            </w:r>
          </w:p>
        </w:tc>
        <w:tc>
          <w:tcPr/>
          <w:p>
            <w:pPr>
              <w:pStyle w:val="Compact"/>
              <w:jc w:val="left"/>
            </w:pPr>
            <w:r>
              <w:rPr>
                <w:bCs/>
                <w:b/>
              </w:rPr>
              <w:t xml:space="preserve">BWh</w:t>
            </w:r>
            <w:r>
              <w:t xml:space="preserve"> </w:t>
            </w:r>
            <w:r>
              <w:t xml:space="preserve">(hot desert — western Rajasthan),</w:t>
            </w:r>
            <w:r>
              <w:t xml:space="preserve"> </w:t>
            </w:r>
            <w:r>
              <w:rPr>
                <w:bCs/>
                <w:b/>
              </w:rPr>
              <w:t xml:space="preserve">BSh</w:t>
            </w:r>
            <w:r>
              <w:t xml:space="preserve"> </w:t>
            </w:r>
            <w:r>
              <w:t xml:space="preserve">(hot steppe/semi-arid — Gujarat, Rajasthan, rain-shadow Deccan)</w:t>
            </w:r>
          </w:p>
        </w:tc>
      </w:tr>
      <w:tr>
        <w:tc>
          <w:tcPr/>
          <w:p>
            <w:pPr>
              <w:pStyle w:val="Compact"/>
              <w:jc w:val="left"/>
            </w:pPr>
            <w:r>
              <w:rPr>
                <w:bCs/>
                <w:b/>
              </w:rPr>
              <w:t xml:space="preserve">C — Warm temperate (mesothermal)</w:t>
            </w:r>
          </w:p>
        </w:tc>
        <w:tc>
          <w:tcPr/>
          <w:p>
            <w:pPr>
              <w:pStyle w:val="Compact"/>
              <w:jc w:val="left"/>
            </w:pPr>
            <w:r>
              <w:t xml:space="preserve">Coldest month between 0 (or −3) and 18 °C</w:t>
            </w:r>
          </w:p>
        </w:tc>
        <w:tc>
          <w:tcPr/>
          <w:p>
            <w:pPr>
              <w:pStyle w:val="Compact"/>
              <w:jc w:val="left"/>
            </w:pPr>
            <w:r>
              <w:rPr>
                <w:bCs/>
                <w:b/>
              </w:rPr>
              <w:t xml:space="preserve">Cwa</w:t>
            </w:r>
            <w:r>
              <w:t xml:space="preserve"> </w:t>
            </w:r>
            <w:r>
              <w:t xml:space="preserve">(humid subtropical, dry winter — Gangetic plain, much of north India), Cfa, Cs (Mediterranean)</w:t>
            </w:r>
          </w:p>
        </w:tc>
      </w:tr>
      <w:tr>
        <w:tc>
          <w:tcPr/>
          <w:p>
            <w:pPr>
              <w:pStyle w:val="Compact"/>
              <w:jc w:val="left"/>
            </w:pPr>
            <w:r>
              <w:rPr>
                <w:bCs/>
                <w:b/>
              </w:rPr>
              <w:t xml:space="preserve">D — Cold (microthermal)</w:t>
            </w:r>
          </w:p>
        </w:tc>
        <w:tc>
          <w:tcPr/>
          <w:p>
            <w:pPr>
              <w:pStyle w:val="Compact"/>
              <w:jc w:val="left"/>
            </w:pPr>
            <w:r>
              <w:t xml:space="preserve">Coldest month &lt; 0 (−3) °C, warmest &gt; 10 °C</w:t>
            </w:r>
          </w:p>
        </w:tc>
        <w:tc>
          <w:tcPr/>
          <w:p>
            <w:pPr>
              <w:pStyle w:val="Compact"/>
              <w:jc w:val="left"/>
            </w:pPr>
            <w:r>
              <w:t xml:space="preserve">Dfc, Dwb (high Himalaya, Kashmir valleys)</w:t>
            </w:r>
          </w:p>
        </w:tc>
      </w:tr>
      <w:tr>
        <w:tc>
          <w:tcPr/>
          <w:p>
            <w:pPr>
              <w:pStyle w:val="Compact"/>
              <w:jc w:val="left"/>
            </w:pPr>
            <w:r>
              <w:rPr>
                <w:bCs/>
                <w:b/>
              </w:rPr>
              <w:t xml:space="preserve">E — Polar</w:t>
            </w:r>
          </w:p>
        </w:tc>
        <w:tc>
          <w:tcPr/>
          <w:p>
            <w:pPr>
              <w:pStyle w:val="Compact"/>
              <w:jc w:val="left"/>
            </w:pPr>
            <w:r>
              <w:t xml:space="preserve">Warmest month &lt; 10 °C</w:t>
            </w:r>
          </w:p>
        </w:tc>
        <w:tc>
          <w:tcPr/>
          <w:p>
            <w:pPr>
              <w:pStyle w:val="Compact"/>
              <w:jc w:val="left"/>
            </w:pPr>
            <w:r>
              <w:t xml:space="preserve">ET (tundra — high Himalaya), EF (ice cap)</w:t>
            </w:r>
          </w:p>
        </w:tc>
      </w:tr>
    </w:tbl>
    <w:p>
      <w:pPr>
        <w:pStyle w:val="BodyText"/>
      </w:pPr>
      <w:r>
        <w:t xml:space="preserve">Second letters: f (no dry season), s (dry summer), w (dry winter), m (monsoon). Third letters: a (hot summer &gt;22 °C), b (warm), c (cool), h (hot arid), k (cold arid).</w:t>
      </w:r>
    </w:p>
    <w:p>
      <w:pPr>
        <w:pStyle w:val="BodyText"/>
      </w:pPr>
      <w:r>
        <w:rPr>
          <w:bCs/>
          <w:b/>
        </w:rPr>
        <w:t xml:space="preserve">Strengths:</w:t>
      </w:r>
      <w:r>
        <w:t xml:space="preserve"> </w:t>
      </w:r>
      <w:r>
        <w:t xml:space="preserve">simple, uses commonly available data, correlates with vegetation.</w:t>
      </w:r>
      <w:r>
        <w:t xml:space="preserve"> </w:t>
      </w:r>
      <w:r>
        <w:rPr>
          <w:bCs/>
          <w:b/>
        </w:rPr>
        <w:t xml:space="preserve">Weaknesses:</w:t>
      </w:r>
      <w:r>
        <w:t xml:space="preserve"> </w:t>
      </w:r>
      <w:r>
        <w:t xml:space="preserve">empirical, monthly means ignore ET and water balance, boundaries arbitrary.</w:t>
      </w:r>
    </w:p>
    <w:p>
      <w:pPr>
        <w:pStyle w:val="Heading3"/>
      </w:pPr>
      <w:r>
        <w:t xml:space="preserve">24.1.2 Thornthwaite classification (1931, 1948)</w:t>
      </w:r>
    </w:p>
    <w:p>
      <w:pPr>
        <w:pStyle w:val="FirstParagraph"/>
      </w:pPr>
      <w:r>
        <w:t xml:space="preserve">Thornthwaite’s 1948 system is based on the</w:t>
      </w:r>
      <w:r>
        <w:t xml:space="preserve"> </w:t>
      </w:r>
      <w:r>
        <w:rPr>
          <w:bCs/>
          <w:b/>
        </w:rPr>
        <w:t xml:space="preserve">water balance</w:t>
      </w:r>
      <w:r>
        <w:t xml:space="preserve"> </w:t>
      </w:r>
      <w:r>
        <w:t xml:space="preserve">— comparing precipitation with</w:t>
      </w:r>
      <w:r>
        <w:t xml:space="preserve"> </w:t>
      </w:r>
      <w:r>
        <w:rPr>
          <w:bCs/>
          <w:b/>
        </w:rPr>
        <w:t xml:space="preserve">potential evapotranspiration (PET)</w:t>
      </w:r>
      <w:r>
        <w:t xml:space="preserve"> </w:t>
      </w:r>
      <w:r>
        <w:t xml:space="preserve">estimated from temperature and day length.</w:t>
      </w:r>
    </w:p>
    <w:p>
      <w:pPr>
        <w:pStyle w:val="BodyText"/>
      </w:pPr>
      <w:r>
        <w:rPr>
          <w:bCs/>
          <w:b/>
        </w:rPr>
        <w:t xml:space="preserve">Thornthwaite PET (monthly, cm):</w:t>
      </w:r>
    </w:p>
    <w:p>
      <w:pPr>
        <w:pStyle w:val="BodyText"/>
      </w:pPr>
      <m:oMathPara>
        <m:oMathParaPr>
          <m:jc m:val="center"/>
        </m:oMathParaPr>
        <m:oMath>
          <m:r>
            <m:t>P</m:t>
          </m:r>
          <m:r>
            <m:t>E</m:t>
          </m:r>
          <m:r>
            <m:t>T</m:t>
          </m:r>
          <m:r>
            <m:rPr>
              <m:sty m:val="p"/>
            </m:rPr>
            <m:t>=</m:t>
          </m:r>
          <m:r>
            <m:t>1.6</m:t>
          </m:r>
          <m:sSup>
            <m:e>
              <m:d>
                <m:dPr>
                  <m:begChr m:val="("/>
                  <m:endChr m:val=")"/>
                  <m:sepChr m:val=""/>
                  <m:grow/>
                </m:dPr>
                <m:e>
                  <m:f>
                    <m:fPr>
                      <m:type m:val="bar"/>
                    </m:fPr>
                    <m:num>
                      <m:r>
                        <m:t>10</m:t>
                      </m:r>
                      <m:r>
                        <m:t> </m:t>
                      </m:r>
                      <m:r>
                        <m:t>T</m:t>
                      </m:r>
                    </m:num>
                    <m:den>
                      <m:r>
                        <m:t>I</m:t>
                      </m:r>
                    </m:den>
                  </m:f>
                </m:e>
              </m:d>
            </m:e>
            <m:sup>
              <m:r>
                <m:t>a</m:t>
              </m:r>
            </m:sup>
          </m:sSup>
          <m:r>
            <m:t> </m:t>
          </m:r>
          <m:r>
            <m:rPr>
              <m:nor/>
              <m:sty m:val="p"/>
            </m:rPr>
            <m:t>(adjusted for day length and month length)</m:t>
          </m:r>
        </m:oMath>
      </m:oMathPara>
    </w:p>
    <w:p>
      <w:pPr>
        <w:pStyle w:val="FirstParagraph"/>
      </w:pPr>
      <m:oMathPara>
        <m:oMathParaPr>
          <m:jc m:val="center"/>
        </m:oMathParaPr>
        <m:oMath>
          <m:r>
            <m:t>I</m:t>
          </m:r>
          <m:r>
            <m:rPr>
              <m:sty m:val="p"/>
            </m:rPr>
            <m:t>=</m:t>
          </m:r>
          <m:nary>
            <m:naryPr>
              <m:chr m:val="∑"/>
              <m:limLoc m:val="undOvr"/>
              <m:subHide m:val="off"/>
              <m:supHide m:val="on"/>
            </m:naryPr>
            <m:sub>
              <m:r>
                <m:t>12</m:t>
              </m:r>
              <m:r>
                <m:t> </m:t>
              </m:r>
              <m:r>
                <m:t>m</m:t>
              </m:r>
              <m:r>
                <m:t>o</m:t>
              </m:r>
              <m:r>
                <m:t>n</m:t>
              </m:r>
              <m:r>
                <m:t>t</m:t>
              </m:r>
              <m:r>
                <m:t>h</m:t>
              </m:r>
              <m:r>
                <m:t>s</m:t>
              </m:r>
            </m:sub>
            <m:sup>
              <m:r>
                <m:t>​</m:t>
              </m:r>
            </m:sup>
            <m:e>
              <m:sSup>
                <m:e>
                  <m:d>
                    <m:dPr>
                      <m:begChr m:val="("/>
                      <m:endChr m:val=")"/>
                      <m:sepChr m:val=""/>
                      <m:grow/>
                    </m:dPr>
                    <m:e>
                      <m:f>
                        <m:fPr>
                          <m:type m:val="bar"/>
                        </m:fPr>
                        <m:num>
                          <m:r>
                            <m:t>T</m:t>
                          </m:r>
                        </m:num>
                        <m:den>
                          <m:r>
                            <m:t>5</m:t>
                          </m:r>
                        </m:den>
                      </m:f>
                    </m:e>
                  </m:d>
                </m:e>
                <m:sup>
                  <m:r>
                    <m:t>1.514</m:t>
                  </m:r>
                </m:sup>
              </m:sSup>
            </m:e>
          </m:nary>
          <m:r>
            <m:rPr>
              <m:sty m:val="p"/>
            </m:rPr>
            <m:t>,</m:t>
          </m:r>
          <m:r>
            <m:t>  </m:t>
          </m:r>
          <m:r>
            <m:t>a</m:t>
          </m:r>
          <m:r>
            <m:rPr>
              <m:sty m:val="p"/>
            </m:rPr>
            <m:t>=</m:t>
          </m:r>
          <m:r>
            <m:t>6.75</m:t>
          </m:r>
          <m:r>
            <m:rPr>
              <m:sty m:val="p"/>
            </m:rPr>
            <m:t>×</m:t>
          </m:r>
          <m:sSup>
            <m:e>
              <m:r>
                <m:t>10</m:t>
              </m:r>
            </m:e>
            <m:sup>
              <m:r>
                <m:rPr>
                  <m:sty m:val="p"/>
                </m:rPr>
                <m:t>−</m:t>
              </m:r>
              <m:r>
                <m:t>7</m:t>
              </m:r>
            </m:sup>
          </m:sSup>
          <m:sSup>
            <m:e>
              <m:r>
                <m:t>I</m:t>
              </m:r>
            </m:e>
            <m:sup>
              <m:r>
                <m:t>3</m:t>
              </m:r>
            </m:sup>
          </m:sSup>
          <m:r>
            <m:rPr>
              <m:sty m:val="p"/>
            </m:rPr>
            <m:t>−</m:t>
          </m:r>
          <m:r>
            <m:t>7.71</m:t>
          </m:r>
          <m:r>
            <m:rPr>
              <m:sty m:val="p"/>
            </m:rPr>
            <m:t>×</m:t>
          </m:r>
          <m:sSup>
            <m:e>
              <m:r>
                <m:t>10</m:t>
              </m:r>
            </m:e>
            <m:sup>
              <m:r>
                <m:rPr>
                  <m:sty m:val="p"/>
                </m:rPr>
                <m:t>−</m:t>
              </m:r>
              <m:r>
                <m:t>5</m:t>
              </m:r>
            </m:sup>
          </m:sSup>
          <m:sSup>
            <m:e>
              <m:r>
                <m:t>I</m:t>
              </m:r>
            </m:e>
            <m:sup>
              <m:r>
                <m:t>2</m:t>
              </m:r>
            </m:sup>
          </m:sSup>
          <m:r>
            <m:rPr>
              <m:sty m:val="p"/>
            </m:rPr>
            <m:t>+</m:t>
          </m:r>
          <m:r>
            <m:t>0.01792</m:t>
          </m:r>
          <m:r>
            <m:t> </m:t>
          </m:r>
          <m:r>
            <m:t>I</m:t>
          </m:r>
          <m:r>
            <m:rPr>
              <m:sty m:val="p"/>
            </m:rPr>
            <m:t>+</m:t>
          </m:r>
          <m:r>
            <m:t>0.49239</m:t>
          </m:r>
        </m:oMath>
      </m:oMathPara>
    </w:p>
    <w:p>
      <w:pPr>
        <w:pStyle w:val="FirstParagraph"/>
      </w:pPr>
      <w:r>
        <w:rPr>
          <w:bCs/>
          <w:b/>
        </w:rPr>
        <w:t xml:space="preserve">Moisture index (Thornthwaite–Mather 1955 revision):</w:t>
      </w:r>
    </w:p>
    <w:p>
      <w:pPr>
        <w:pStyle w:val="BodyText"/>
      </w:pPr>
      <m:oMathPara>
        <m:oMathParaPr>
          <m:jc m:val="center"/>
        </m:oMathParaPr>
        <m:oMath>
          <m:sSub>
            <m:e>
              <m:r>
                <m:t>I</m:t>
              </m:r>
            </m:e>
            <m:sub>
              <m:r>
                <m:t>m</m:t>
              </m:r>
            </m:sub>
          </m:sSub>
          <m:r>
            <m:rPr>
              <m:sty m:val="p"/>
            </m:rPr>
            <m:t>=</m:t>
          </m:r>
          <m:f>
            <m:fPr>
              <m:type m:val="bar"/>
            </m:fPr>
            <m:num>
              <m:r>
                <m:t>P</m:t>
              </m:r>
              <m:r>
                <m:rPr>
                  <m:sty m:val="p"/>
                </m:rPr>
                <m:t>−</m:t>
              </m:r>
              <m:r>
                <m:t>P</m:t>
              </m:r>
              <m:r>
                <m:t>E</m:t>
              </m:r>
              <m:r>
                <m:t>T</m:t>
              </m:r>
            </m:num>
            <m:den>
              <m:r>
                <m:t>P</m:t>
              </m:r>
              <m:r>
                <m:t>E</m:t>
              </m:r>
              <m:r>
                <m:t>T</m:t>
              </m:r>
            </m:den>
          </m:f>
          <m:r>
            <m:rPr>
              <m:sty m:val="p"/>
            </m:rPr>
            <m:t>×</m:t>
          </m:r>
          <m:r>
            <m:t>100</m:t>
          </m:r>
          <m:r>
            <m:t> </m:t>
          </m:r>
          <m:d>
            <m:dPr>
              <m:begChr m:val="("/>
              <m:endChr m:val=")"/>
              <m:sepChr m:val=""/>
              <m:grow/>
            </m:dPr>
            <m:e>
              <m:r>
                <m:rPr>
                  <m:nor/>
                  <m:sty m:val="p"/>
                </m:rPr>
                <m:t>equivalently </m:t>
              </m:r>
              <m:sSub>
                <m:e>
                  <m:r>
                    <m:t>I</m:t>
                  </m:r>
                </m:e>
                <m:sub>
                  <m:r>
                    <m:t>m</m:t>
                  </m:r>
                </m:sub>
              </m:sSub>
              <m:r>
                <m:rPr>
                  <m:sty m:val="p"/>
                </m:rPr>
                <m:t>=</m:t>
              </m:r>
              <m:sSub>
                <m:e>
                  <m:r>
                    <m:t>I</m:t>
                  </m:r>
                </m:e>
                <m:sub>
                  <m:r>
                    <m:t>h</m:t>
                  </m:r>
                </m:sub>
              </m:sSub>
              <m:r>
                <m:rPr>
                  <m:sty m:val="p"/>
                </m:rPr>
                <m:t>−</m:t>
              </m:r>
              <m:sSub>
                <m:e>
                  <m:r>
                    <m:t>I</m:t>
                  </m:r>
                </m:e>
                <m:sub>
                  <m:r>
                    <m:t>a</m:t>
                  </m:r>
                </m:sub>
              </m:sSub>
            </m:e>
          </m:d>
        </m:oMath>
      </m:oMathPara>
    </w:p>
    <w:p>
      <w:pPr>
        <w:pStyle w:val="FirstParagraph"/>
      </w:pPr>
      <w:r>
        <w:t xml:space="preserve">where humidity index</w:t>
      </w:r>
      <w:r>
        <w:t xml:space="preserve"> </w:t>
      </w:r>
      <m:oMath>
        <m:sSub>
          <m:e>
            <m:r>
              <m:t>I</m:t>
            </m:r>
          </m:e>
          <m:sub>
            <m:r>
              <m:t>h</m:t>
            </m:r>
          </m:sub>
        </m:sSub>
        <m:r>
          <m:rPr>
            <m:sty m:val="p"/>
          </m:rPr>
          <m:t>=</m:t>
        </m:r>
        <m:r>
          <m:t>100</m:t>
        </m:r>
        <m:r>
          <m:t> </m:t>
        </m:r>
        <m:r>
          <m:t>S</m:t>
        </m:r>
        <m:r>
          <m:rPr>
            <m:sty m:val="p"/>
          </m:rPr>
          <m:t>/</m:t>
        </m:r>
        <m:r>
          <m:t>P</m:t>
        </m:r>
        <m:r>
          <m:t>E</m:t>
        </m:r>
      </m:oMath>
      <w:r>
        <w:t xml:space="preserve"> </w:t>
      </w:r>
      <w:r>
        <w:t xml:space="preserve">(surplus) and aridity index</w:t>
      </w:r>
      <w:r>
        <w:t xml:space="preserve"> </w:t>
      </w:r>
      <m:oMath>
        <m:sSub>
          <m:e>
            <m:r>
              <m:t>I</m:t>
            </m:r>
          </m:e>
          <m:sub>
            <m:r>
              <m:t>a</m:t>
            </m:r>
          </m:sub>
        </m:sSub>
        <m:r>
          <m:rPr>
            <m:sty m:val="p"/>
          </m:rPr>
          <m:t>=</m:t>
        </m:r>
        <m:r>
          <m:t>100</m:t>
        </m:r>
        <m:r>
          <m:t> </m:t>
        </m:r>
        <m:r>
          <m:t>D</m:t>
        </m:r>
        <m:r>
          <m:rPr>
            <m:sty m:val="p"/>
          </m:rPr>
          <m:t>/</m:t>
        </m:r>
        <m:r>
          <m:t>P</m:t>
        </m:r>
        <m:r>
          <m:t>E</m:t>
        </m:r>
      </m:oMath>
      <w:r>
        <w:t xml:space="preserve"> </w:t>
      </w:r>
      <w:r>
        <w:t xml:space="preserve">(deficit) (1948 version used</w:t>
      </w:r>
      <w:r>
        <w:t xml:space="preserve"> </w:t>
      </w:r>
      <m:oMath>
        <m:sSub>
          <m:e>
            <m:r>
              <m:t>I</m:t>
            </m:r>
          </m:e>
          <m:sub>
            <m:r>
              <m:t>m</m:t>
            </m:r>
          </m:sub>
        </m:sSub>
        <m:r>
          <m:rPr>
            <m:sty m:val="p"/>
          </m:rPr>
          <m:t>=</m:t>
        </m:r>
        <m:sSub>
          <m:e>
            <m:r>
              <m:t>I</m:t>
            </m:r>
          </m:e>
          <m:sub>
            <m:r>
              <m:t>h</m:t>
            </m:r>
          </m:sub>
        </m:sSub>
        <m:r>
          <m:rPr>
            <m:sty m:val="p"/>
          </m:rPr>
          <m:t>−</m:t>
        </m:r>
        <m:r>
          <m:t>0.6</m:t>
        </m:r>
        <m:r>
          <m:t> </m:t>
        </m:r>
        <m:sSub>
          <m:e>
            <m:r>
              <m:t>I</m:t>
            </m:r>
          </m:e>
          <m:sub>
            <m:r>
              <m:t>a</m:t>
            </m:r>
          </m:sub>
        </m:sSub>
      </m:oMath>
      <w:r>
        <w:t xml:space="preserve">).</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Climate type</w:t>
            </w:r>
          </w:p>
        </w:tc>
        <w:tc>
          <w:tcPr/>
          <w:p>
            <w:pPr>
              <w:pStyle w:val="Compact"/>
              <w:jc w:val="left"/>
            </w:pPr>
            <w:r>
              <w:t xml:space="preserve">Moisture index</w:t>
            </w:r>
          </w:p>
        </w:tc>
      </w:tr>
      <w:tr>
        <w:tc>
          <w:tcPr/>
          <w:p>
            <w:pPr>
              <w:pStyle w:val="Compact"/>
              <w:jc w:val="left"/>
            </w:pPr>
            <w:r>
              <w:t xml:space="preserve">A — Per-humid</w:t>
            </w:r>
          </w:p>
        </w:tc>
        <w:tc>
          <w:tcPr/>
          <w:p>
            <w:pPr>
              <w:pStyle w:val="Compact"/>
              <w:jc w:val="left"/>
            </w:pPr>
            <w:r>
              <w:t xml:space="preserve">&gt; 100</w:t>
            </w:r>
          </w:p>
        </w:tc>
      </w:tr>
      <w:tr>
        <w:tc>
          <w:tcPr/>
          <w:p>
            <w:pPr>
              <w:pStyle w:val="Compact"/>
              <w:jc w:val="left"/>
            </w:pPr>
            <w:r>
              <w:t xml:space="preserve">B₄–B₁ — Humid</w:t>
            </w:r>
          </w:p>
        </w:tc>
        <w:tc>
          <w:tcPr/>
          <w:p>
            <w:pPr>
              <w:pStyle w:val="Compact"/>
              <w:jc w:val="left"/>
            </w:pPr>
            <w:r>
              <w:t xml:space="preserve">20 to 100</w:t>
            </w:r>
          </w:p>
        </w:tc>
      </w:tr>
      <w:tr>
        <w:tc>
          <w:tcPr/>
          <w:p>
            <w:pPr>
              <w:pStyle w:val="Compact"/>
              <w:jc w:val="left"/>
            </w:pPr>
            <w:r>
              <w:t xml:space="preserve">C₂ — Moist sub-humid</w:t>
            </w:r>
          </w:p>
        </w:tc>
        <w:tc>
          <w:tcPr/>
          <w:p>
            <w:pPr>
              <w:pStyle w:val="Compact"/>
              <w:jc w:val="left"/>
            </w:pPr>
            <w:r>
              <w:t xml:space="preserve">0 to 20</w:t>
            </w:r>
          </w:p>
        </w:tc>
      </w:tr>
      <w:tr>
        <w:tc>
          <w:tcPr/>
          <w:p>
            <w:pPr>
              <w:pStyle w:val="Compact"/>
              <w:jc w:val="left"/>
            </w:pPr>
            <w:r>
              <w:t xml:space="preserve">C₁ — Dry sub-humid</w:t>
            </w:r>
          </w:p>
        </w:tc>
        <w:tc>
          <w:tcPr/>
          <w:p>
            <w:pPr>
              <w:pStyle w:val="Compact"/>
              <w:jc w:val="left"/>
            </w:pPr>
            <w:r>
              <w:t xml:space="preserve">−33.3 to 0</w:t>
            </w:r>
          </w:p>
        </w:tc>
      </w:tr>
      <w:tr>
        <w:tc>
          <w:tcPr/>
          <w:p>
            <w:pPr>
              <w:pStyle w:val="Compact"/>
              <w:jc w:val="left"/>
            </w:pPr>
            <w:r>
              <w:t xml:space="preserve">D — Semi-arid</w:t>
            </w:r>
          </w:p>
        </w:tc>
        <w:tc>
          <w:tcPr/>
          <w:p>
            <w:pPr>
              <w:pStyle w:val="Compact"/>
              <w:jc w:val="left"/>
            </w:pPr>
            <w:r>
              <w:t xml:space="preserve">−66.7 to −33.3</w:t>
            </w:r>
          </w:p>
        </w:tc>
      </w:tr>
      <w:tr>
        <w:tc>
          <w:tcPr/>
          <w:p>
            <w:pPr>
              <w:pStyle w:val="Compact"/>
              <w:jc w:val="left"/>
            </w:pPr>
            <w:r>
              <w:t xml:space="preserve">E — Arid</w:t>
            </w:r>
          </w:p>
        </w:tc>
        <w:tc>
          <w:tcPr/>
          <w:p>
            <w:pPr>
              <w:pStyle w:val="Compact"/>
              <w:jc w:val="left"/>
            </w:pPr>
            <w:r>
              <w:t xml:space="preserve">−100 to −66.7</w:t>
            </w:r>
          </w:p>
        </w:tc>
      </w:tr>
    </w:tbl>
    <w:p>
      <w:pPr>
        <w:pStyle w:val="BodyText"/>
      </w:pPr>
      <w:r>
        <w:t xml:space="preserve">Thermal efficiency is classified from annual PET (megathermal &gt; 114 cm, mesothermal, microthermal, tundra, frost).</w:t>
      </w:r>
      <w:r>
        <w:t xml:space="preserve"> </w:t>
      </w:r>
      <w:r>
        <w:rPr>
          <w:bCs/>
          <w:b/>
        </w:rPr>
        <w:t xml:space="preserve">Advantages:</w:t>
      </w:r>
      <w:r>
        <w:t xml:space="preserve"> </w:t>
      </w:r>
      <w:r>
        <w:t xml:space="preserve">physically rational, reflects crop water availability.</w:t>
      </w:r>
      <w:r>
        <w:t xml:space="preserve"> </w:t>
      </w:r>
      <w:r>
        <w:rPr>
          <w:bCs/>
          <w:b/>
        </w:rPr>
        <w:t xml:space="preserve">Limitations:</w:t>
      </w:r>
      <w:r>
        <w:t xml:space="preserve"> </w:t>
      </w:r>
      <w:r>
        <w:t xml:space="preserve">temperature-based PET underestimates in arid, windy conditions; data-intensive.</w:t>
      </w:r>
    </w:p>
    <w:p>
      <w:pPr>
        <w:pStyle w:val="Heading3"/>
      </w:pPr>
      <w:r>
        <w:t xml:space="preserve">24.1.3 Other systems</w:t>
      </w:r>
    </w:p>
    <w:p>
      <w:pPr>
        <w:pStyle w:val="Compact"/>
        <w:numPr>
          <w:ilvl w:val="0"/>
          <w:numId w:val="1185"/>
        </w:numPr>
      </w:pPr>
      <w:r>
        <w:rPr>
          <w:bCs/>
          <w:b/>
        </w:rPr>
        <w:t xml:space="preserve">Troll (1965):</w:t>
      </w:r>
      <w:r>
        <w:t xml:space="preserve"> </w:t>
      </w:r>
      <w:r>
        <w:t xml:space="preserve">seasonal climates of the earth — uses the number of humid months and thermal seasons; suited to tropics and mountains.</w:t>
      </w:r>
    </w:p>
    <w:p>
      <w:pPr>
        <w:pStyle w:val="Compact"/>
        <w:numPr>
          <w:ilvl w:val="0"/>
          <w:numId w:val="1185"/>
        </w:numPr>
      </w:pPr>
      <w:r>
        <w:rPr>
          <w:bCs/>
          <w:b/>
        </w:rPr>
        <w:t xml:space="preserve">Holdridge life zones:</w:t>
      </w:r>
      <w:r>
        <w:t xml:space="preserve"> </w:t>
      </w:r>
      <w:r>
        <w:t xml:space="preserve">biotemperature, precipitation, PET ratio — ecosystem-based.</w:t>
      </w:r>
    </w:p>
    <w:p>
      <w:pPr>
        <w:pStyle w:val="Compact"/>
        <w:numPr>
          <w:ilvl w:val="0"/>
          <w:numId w:val="1185"/>
        </w:numPr>
      </w:pPr>
      <w:r>
        <w:rPr>
          <w:bCs/>
          <w:b/>
        </w:rPr>
        <w:t xml:space="preserve">Hargreaves moisture availability index (MAI):</w:t>
      </w:r>
      <w:r>
        <w:t xml:space="preserve"> </w:t>
      </w:r>
      <m:oMath>
        <m:r>
          <m:t>M</m:t>
        </m:r>
        <m:r>
          <m:t>A</m:t>
        </m:r>
        <m:r>
          <m:t>I</m:t>
        </m:r>
        <m:r>
          <m:rPr>
            <m:sty m:val="p"/>
          </m:rPr>
          <m:t>=</m:t>
        </m:r>
        <m:f>
          <m:fPr>
            <m:type m:val="bar"/>
          </m:fPr>
          <m:num>
            <m:r>
              <m:rPr>
                <m:nor/>
                <m:sty m:val="p"/>
              </m:rPr>
              <m:t>dependable precipitation (75%probability)</m:t>
            </m:r>
          </m:num>
          <m:den>
            <m:r>
              <m:t>P</m:t>
            </m:r>
            <m:r>
              <m:t>E</m:t>
            </m:r>
            <m:r>
              <m:t>T</m:t>
            </m:r>
          </m:den>
        </m:f>
      </m:oMath>
      <w:r>
        <w:t xml:space="preserve"> </w:t>
      </w:r>
      <w:r>
        <w:t xml:space="preserve">— MAI &lt; 0.33 deficient; 0.34–0.66 moderately deficient; 0.67–1.33 adequate; &gt; 1.33 excess. Widely used to delineate crop-growing periods.</w:t>
      </w:r>
    </w:p>
    <w:p>
      <w:pPr>
        <w:pStyle w:val="Compact"/>
        <w:numPr>
          <w:ilvl w:val="0"/>
          <w:numId w:val="1185"/>
        </w:numPr>
      </w:pPr>
      <w:r>
        <w:rPr>
          <w:bCs/>
          <w:b/>
        </w:rPr>
        <w:t xml:space="preserve">Papadakis:</w:t>
      </w:r>
      <w:r>
        <w:t xml:space="preserve"> </w:t>
      </w:r>
      <w:r>
        <w:t xml:space="preserve">crop-ecological, based on winter and summer types matching crop tolerances.</w:t>
      </w:r>
    </w:p>
    <w:p>
      <w:pPr>
        <w:pStyle w:val="Compact"/>
        <w:numPr>
          <w:ilvl w:val="0"/>
          <w:numId w:val="1185"/>
        </w:numPr>
      </w:pPr>
      <w:r>
        <w:rPr>
          <w:bCs/>
          <w:b/>
        </w:rPr>
        <w:t xml:space="preserve">De Martonne aridity index</w:t>
      </w:r>
      <w:r>
        <w:t xml:space="preserve"> </w:t>
      </w:r>
      <m:oMath>
        <m:r>
          <m:t>I</m:t>
        </m:r>
        <m:r>
          <m:rPr>
            <m:sty m:val="p"/>
          </m:rPr>
          <m:t>=</m:t>
        </m:r>
        <m:r>
          <m:t>P</m:t>
        </m:r>
        <m:r>
          <m:rPr>
            <m:sty m:val="p"/>
          </m:rPr>
          <m:t>/</m:t>
        </m:r>
        <m:d>
          <m:dPr>
            <m:begChr m:val="("/>
            <m:endChr m:val=")"/>
            <m:sepChr m:val=""/>
            <m:grow/>
          </m:dPr>
          <m:e>
            <m:r>
              <m:t>T</m:t>
            </m:r>
            <m:r>
              <m:rPr>
                <m:sty m:val="p"/>
              </m:rPr>
              <m:t>+</m:t>
            </m:r>
            <m:r>
              <m:t>10</m:t>
            </m:r>
          </m:e>
        </m:d>
      </m:oMath>
      <w:r>
        <w:t xml:space="preserve">;</w:t>
      </w:r>
      <w:r>
        <w:t xml:space="preserve"> </w:t>
      </w:r>
      <w:r>
        <w:rPr>
          <w:bCs/>
          <w:b/>
        </w:rPr>
        <w:t xml:space="preserve">UNEP aridity index</w:t>
      </w:r>
      <w:r>
        <w:t xml:space="preserve"> </w:t>
      </w:r>
      <m:oMath>
        <m:r>
          <m:t>A</m:t>
        </m:r>
        <m:r>
          <m:t>I</m:t>
        </m:r>
        <m:r>
          <m:rPr>
            <m:sty m:val="p"/>
          </m:rPr>
          <m:t>=</m:t>
        </m:r>
        <m:r>
          <m:t>P</m:t>
        </m:r>
        <m:r>
          <m:rPr>
            <m:sty m:val="p"/>
          </m:rPr>
          <m:t>/</m:t>
        </m:r>
        <m:r>
          <m:t>P</m:t>
        </m:r>
        <m:r>
          <m:t>E</m:t>
        </m:r>
        <m:r>
          <m:t>T</m:t>
        </m:r>
      </m:oMath>
      <w:r>
        <w:t xml:space="preserve"> </w:t>
      </w:r>
      <w:r>
        <w:t xml:space="preserve">(hyper-arid &lt; 0.05, arid 0.05–0.20, semi-arid 0.20–0.50, dry sub-humid 0.50–0.65).</w:t>
      </w:r>
    </w:p>
    <w:p>
      <w:pPr>
        <w:pStyle w:val="Heading2"/>
      </w:pPr>
      <w:r>
        <w:t xml:space="preserve">24.2 Agro-Climatic and Agro-Ecological Zoning</w:t>
      </w:r>
    </w:p>
    <w:p>
      <w:pPr>
        <w:pStyle w:val="FirstParagraph"/>
      </w:pPr>
      <w:r>
        <w:rPr>
          <w:bCs/>
          <w:b/>
        </w:rPr>
        <w:t xml:space="preserve">Agro-climatic zoning</w:t>
      </w:r>
      <w:r>
        <w:t xml:space="preserve"> </w:t>
      </w:r>
      <w:r>
        <w:t xml:space="preserve">divides an area into units with broadly homogeneous climate relevant to crops (rainfall, temperature, moisture availability, growing period).</w:t>
      </w:r>
      <w:r>
        <w:t xml:space="preserve"> </w:t>
      </w:r>
      <w:r>
        <w:rPr>
          <w:bCs/>
          <w:b/>
        </w:rPr>
        <w:t xml:space="preserve">Agro-ecological zoning (AEZ)</w:t>
      </w:r>
      <w:r>
        <w:t xml:space="preserve"> </w:t>
      </w:r>
      <w:r>
        <w:t xml:space="preserve">adds</w:t>
      </w:r>
      <w:r>
        <w:t xml:space="preserve"> </w:t>
      </w:r>
      <w:r>
        <w:rPr>
          <w:bCs/>
          <w:b/>
        </w:rPr>
        <w:t xml:space="preserve">soils, landform and land cover</w:t>
      </w:r>
      <w:r>
        <w:t xml:space="preserve">: an</w:t>
      </w:r>
      <w:r>
        <w:t xml:space="preserve"> </w:t>
      </w:r>
      <w:r>
        <w:rPr>
          <w:bCs/>
          <w:b/>
        </w:rPr>
        <w:t xml:space="preserve">agro-ecological zone</w:t>
      </w:r>
      <w:r>
        <w:t xml:space="preserve"> </w:t>
      </w:r>
      <w:r>
        <w:t xml:space="preserve">is</w:t>
      </w:r>
      <w:r>
        <w:t xml:space="preserve"> </w:t>
      </w:r>
      <w:r>
        <w:t xml:space="preserve">“</w:t>
      </w:r>
      <w:r>
        <w:t xml:space="preserve">a land resource mapping unit defined in terms of climate, landform and soils, and/or land cover, having a specific range of potentials and constraints for land use</w:t>
      </w:r>
      <w:r>
        <w:t xml:space="preserve">”</w:t>
      </w:r>
      <w:r>
        <w:t xml:space="preserve"> </w:t>
      </w:r>
      <w:r>
        <w:t xml:space="preserve">(FAO, 1996). The smallest unit with a unique combination of landform, soil and climate is an</w:t>
      </w:r>
      <w:r>
        <w:t xml:space="preserve"> </w:t>
      </w:r>
      <w:r>
        <w:rPr>
          <w:bCs/>
          <w:b/>
        </w:rPr>
        <w:t xml:space="preserve">agro-ecological cell (AEC)</w:t>
      </w:r>
      <w:r>
        <w:t xml:space="preserve">.</w:t>
      </w:r>
    </w:p>
    <w:p>
      <w:pPr>
        <w:pStyle w:val="BodyText"/>
      </w:pPr>
      <w:r>
        <w:rPr>
          <w:bCs/>
          <w:b/>
        </w:rPr>
        <w:t xml:space="preserve">Why AEZ matters:</w:t>
      </w:r>
      <w:r>
        <w:t xml:space="preserve"> </w:t>
      </w:r>
      <w:r>
        <w:t xml:space="preserve">sustainable agricultural development planning; matching crops to environments; crop diversification; targeting research and extension; transferring technology between similar zones; estimating potential yield and population-supporting capacity; land-degradation and livestock assessments.</w:t>
      </w:r>
    </w:p>
    <w:p>
      <w:pPr>
        <w:pStyle w:val="Heading3"/>
      </w:pPr>
      <w:r>
        <w:t xml:space="preserve">24.2.1 FAO AEZ methodology (FAO, 1976 land-evaluation framework; 1978–81 AEZ project)</w:t>
      </w:r>
    </w:p>
    <w:p>
      <w:pPr>
        <w:pStyle w:val="FirstParagraph"/>
      </w:pPr>
      <w:r>
        <w:t xml:space="preserve">Core elements:</w:t>
      </w:r>
    </w:p>
    <w:p>
      <w:pPr>
        <w:pStyle w:val="Compact"/>
        <w:numPr>
          <w:ilvl w:val="0"/>
          <w:numId w:val="1186"/>
        </w:numPr>
      </w:pPr>
      <w:r>
        <w:rPr>
          <w:bCs/>
          <w:b/>
        </w:rPr>
        <w:t xml:space="preserve">Land resources inventory:</w:t>
      </w:r>
      <w:r>
        <w:t xml:space="preserve"> </w:t>
      </w:r>
      <w:r>
        <w:t xml:space="preserve">climate (thermal zones;</w:t>
      </w:r>
      <w:r>
        <w:t xml:space="preserve"> </w:t>
      </w:r>
      <w:r>
        <w:rPr>
          <w:bCs/>
          <w:b/>
        </w:rPr>
        <w:t xml:space="preserve">length of growing period, LGP</w:t>
      </w:r>
      <w:r>
        <w:t xml:space="preserve">), soils, landform, present land use → agro-ecological cells.</w:t>
      </w:r>
    </w:p>
    <w:p>
      <w:pPr>
        <w:pStyle w:val="Compact"/>
        <w:numPr>
          <w:ilvl w:val="0"/>
          <w:numId w:val="1186"/>
        </w:numPr>
      </w:pPr>
      <w:r>
        <w:rPr>
          <w:bCs/>
          <w:b/>
        </w:rPr>
        <w:t xml:space="preserve">Inventory of land utilisation types (LUTs) and crop requirements</w:t>
      </w:r>
      <w:r>
        <w:t xml:space="preserve"> </w:t>
      </w:r>
      <w:r>
        <w:t xml:space="preserve">(climatic and edaphic).</w:t>
      </w:r>
    </w:p>
    <w:p>
      <w:pPr>
        <w:pStyle w:val="Compact"/>
        <w:numPr>
          <w:ilvl w:val="0"/>
          <w:numId w:val="1186"/>
        </w:numPr>
      </w:pPr>
      <w:r>
        <w:rPr>
          <w:bCs/>
          <w:b/>
        </w:rPr>
        <w:t xml:space="preserve">Land suitability evaluation</w:t>
      </w:r>
      <w:r>
        <w:t xml:space="preserve"> </w:t>
      </w:r>
      <w:r>
        <w:t xml:space="preserve">— matching requirements with land qualities; computing potential (radiation–thermal) and attainable (water/soil-limited) yields.</w:t>
      </w:r>
    </w:p>
    <w:p>
      <w:pPr>
        <w:pStyle w:val="Compact"/>
        <w:numPr>
          <w:ilvl w:val="0"/>
          <w:numId w:val="1186"/>
        </w:numPr>
      </w:pPr>
      <w:r>
        <w:rPr>
          <w:bCs/>
          <w:b/>
        </w:rPr>
        <w:t xml:space="preserve">Applications</w:t>
      </w:r>
      <w:r>
        <w:t xml:space="preserve"> </w:t>
      </w:r>
      <w:r>
        <w:t xml:space="preserve">— land-use optimisation, population-supporting capacity, degradation, livestock.</w:t>
      </w:r>
    </w:p>
    <w:p>
      <w:pPr>
        <w:pStyle w:val="FirstParagraph"/>
      </w:pPr>
      <w:r>
        <w:rPr>
          <w:bCs/>
          <w:b/>
        </w:rPr>
        <w:t xml:space="preserve">Length of growing period (LGP)</w:t>
      </w:r>
      <w:r>
        <w:t xml:space="preserve"> </w:t>
      </w:r>
      <w:r>
        <w:t xml:space="preserve">— the number of days in a year when precipitation exceeds half of PET plus the days needed to use stored soil moisture (~100 mm), with temperature permitting growth. LGP &lt; 60 days arid; 60–90 dry semi-arid; 90–150 semi-arid; 150–210 sub-humid; &gt; 210 humid.</w:t>
      </w:r>
    </w:p>
    <w:p>
      <w:pPr>
        <w:pStyle w:val="Heading3"/>
      </w:pPr>
      <w:r>
        <w:t xml:space="preserve">24.2.2 Indian zoning schemes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Scheme</w:t>
            </w:r>
          </w:p>
        </w:tc>
        <w:tc>
          <w:tcPr/>
          <w:p>
            <w:pPr>
              <w:pStyle w:val="Compact"/>
              <w:jc w:val="left"/>
            </w:pPr>
            <w:r>
              <w:t xml:space="preserve">Agency / year</w:t>
            </w:r>
          </w:p>
        </w:tc>
        <w:tc>
          <w:tcPr/>
          <w:p>
            <w:pPr>
              <w:pStyle w:val="Compact"/>
              <w:jc w:val="left"/>
            </w:pPr>
            <w:r>
              <w:t xml:space="preserve">Units</w:t>
            </w:r>
          </w:p>
        </w:tc>
        <w:tc>
          <w:tcPr/>
          <w:p>
            <w:pPr>
              <w:pStyle w:val="Compact"/>
              <w:jc w:val="left"/>
            </w:pPr>
            <w:r>
              <w:t xml:space="preserve">Basis</w:t>
            </w:r>
          </w:p>
        </w:tc>
      </w:tr>
      <w:tr>
        <w:tc>
          <w:tcPr/>
          <w:p>
            <w:pPr>
              <w:pStyle w:val="Compact"/>
              <w:jc w:val="left"/>
            </w:pPr>
            <w:r>
              <w:rPr>
                <w:bCs/>
                <w:b/>
              </w:rPr>
              <w:t xml:space="preserve">Agro-climatic regions</w:t>
            </w:r>
          </w:p>
        </w:tc>
        <w:tc>
          <w:tcPr/>
          <w:p>
            <w:pPr>
              <w:pStyle w:val="Compact"/>
              <w:jc w:val="left"/>
            </w:pPr>
            <w:r>
              <w:rPr>
                <w:bCs/>
                <w:b/>
              </w:rPr>
              <w:t xml:space="preserve">Planning Commission (1985–89)</w:t>
            </w:r>
          </w:p>
        </w:tc>
        <w:tc>
          <w:tcPr/>
          <w:p>
            <w:pPr>
              <w:pStyle w:val="Compact"/>
              <w:jc w:val="left"/>
            </w:pPr>
            <w:r>
              <w:rPr>
                <w:bCs/>
                <w:b/>
              </w:rPr>
              <w:t xml:space="preserve">15 regions</w:t>
            </w:r>
            <w:r>
              <w:t xml:space="preserve"> </w:t>
            </w:r>
            <w:r>
              <w:t xml:space="preserve">(e.g., Western Himalayan, Eastern Himalayan, Lower/Middle/Upper/Trans-Gangetic plains, Eastern Plateau &amp; Hills, Central Plateau &amp; Hills, Western Plateau &amp; Hills, Southern Plateau &amp; Hills, East Coast Plains &amp; Hills, West Coast Plains &amp; Ghats, Gujarat Plains &amp; Hills, Western Dry Region, Island Region)</w:t>
            </w:r>
          </w:p>
        </w:tc>
        <w:tc>
          <w:tcPr/>
          <w:p>
            <w:pPr>
              <w:pStyle w:val="Compact"/>
              <w:jc w:val="left"/>
            </w:pPr>
            <w:r>
              <w:t xml:space="preserve">Physiography, soils, rainfall, cropping; for regional planning</w:t>
            </w:r>
          </w:p>
        </w:tc>
      </w:tr>
      <w:tr>
        <w:tc>
          <w:tcPr/>
          <w:p>
            <w:pPr>
              <w:pStyle w:val="Compact"/>
              <w:jc w:val="left"/>
            </w:pPr>
            <w:r>
              <w:rPr>
                <w:bCs/>
                <w:b/>
              </w:rPr>
              <w:t xml:space="preserve">Agro-ecological regions</w:t>
            </w:r>
          </w:p>
        </w:tc>
        <w:tc>
          <w:tcPr/>
          <w:p>
            <w:pPr>
              <w:pStyle w:val="Compact"/>
              <w:jc w:val="left"/>
            </w:pPr>
            <w:r>
              <w:rPr>
                <w:bCs/>
                <w:b/>
              </w:rPr>
              <w:t xml:space="preserve">NBSS&amp;LUP (Sehgal et al., 1990–92)</w:t>
            </w:r>
          </w:p>
        </w:tc>
        <w:tc>
          <w:tcPr/>
          <w:p>
            <w:pPr>
              <w:pStyle w:val="Compact"/>
              <w:jc w:val="left"/>
            </w:pPr>
            <w:r>
              <w:rPr>
                <w:bCs/>
                <w:b/>
              </w:rPr>
              <w:t xml:space="preserve">20 AERs</w:t>
            </w:r>
            <w:r>
              <w:t xml:space="preserve">, refined into</w:t>
            </w:r>
            <w:r>
              <w:t xml:space="preserve"> </w:t>
            </w:r>
            <w:r>
              <w:rPr>
                <w:bCs/>
                <w:b/>
              </w:rPr>
              <w:t xml:space="preserve">60 agro-ecological sub-regions (AESRs)</w:t>
            </w:r>
          </w:p>
        </w:tc>
        <w:tc>
          <w:tcPr/>
          <w:p>
            <w:pPr>
              <w:pStyle w:val="Compact"/>
              <w:jc w:val="left"/>
            </w:pPr>
            <w:r>
              <w:t xml:space="preserve">Physiography, soils, bioclimate,</w:t>
            </w:r>
            <w:r>
              <w:t xml:space="preserve"> </w:t>
            </w:r>
            <w:r>
              <w:rPr>
                <w:bCs/>
                <w:b/>
              </w:rPr>
              <w:t xml:space="preserve">LGP</w:t>
            </w:r>
            <w:r>
              <w:t xml:space="preserve"> </w:t>
            </w:r>
            <w:r>
              <w:t xml:space="preserve">(FAO approach)</w:t>
            </w:r>
          </w:p>
        </w:tc>
      </w:tr>
      <w:tr>
        <w:tc>
          <w:tcPr/>
          <w:p>
            <w:pPr>
              <w:pStyle w:val="Compact"/>
              <w:jc w:val="left"/>
            </w:pPr>
            <w:r>
              <w:rPr>
                <w:bCs/>
                <w:b/>
              </w:rPr>
              <w:t xml:space="preserve">Agro-climatic zones (NARP)</w:t>
            </w:r>
          </w:p>
        </w:tc>
        <w:tc>
          <w:tcPr/>
          <w:p>
            <w:pPr>
              <w:pStyle w:val="Compact"/>
              <w:jc w:val="left"/>
            </w:pPr>
            <w:r>
              <w:rPr>
                <w:bCs/>
                <w:b/>
              </w:rPr>
              <w:t xml:space="preserve">ICAR National Agricultural Research Project (1979)</w:t>
            </w:r>
          </w:p>
        </w:tc>
        <w:tc>
          <w:tcPr/>
          <w:p>
            <w:pPr>
              <w:pStyle w:val="Compact"/>
              <w:jc w:val="left"/>
            </w:pPr>
            <w:r>
              <w:rPr>
                <w:bCs/>
                <w:b/>
              </w:rPr>
              <w:t xml:space="preserve">127 zones</w:t>
            </w:r>
            <w:r>
              <w:t xml:space="preserve"> </w:t>
            </w:r>
            <w:r>
              <w:t xml:space="preserve">(each with a Zonal Research Station)</w:t>
            </w:r>
          </w:p>
        </w:tc>
        <w:tc>
          <w:tcPr/>
          <w:p>
            <w:pPr>
              <w:pStyle w:val="Compact"/>
              <w:jc w:val="left"/>
            </w:pPr>
            <w:r>
              <w:t xml:space="preserve">Rainfall, temperature, soils, topography, cropping, irrigation — basis for research and GKMS district advisories</w:t>
            </w:r>
          </w:p>
        </w:tc>
      </w:tr>
      <w:tr>
        <w:tc>
          <w:tcPr/>
          <w:p>
            <w:pPr>
              <w:pStyle w:val="Compact"/>
              <w:jc w:val="left"/>
            </w:pPr>
            <w:r>
              <w:t xml:space="preserve">Murthy &amp; Pandey (1978)</w:t>
            </w:r>
          </w:p>
        </w:tc>
        <w:tc>
          <w:tcPr/>
          <w:p>
            <w:pPr>
              <w:pStyle w:val="Compact"/>
              <w:jc w:val="left"/>
            </w:pPr>
            <w:r>
              <w:t xml:space="preserve">NBSS</w:t>
            </w:r>
          </w:p>
        </w:tc>
        <w:tc>
          <w:tcPr/>
          <w:p>
            <w:pPr>
              <w:pStyle w:val="Compact"/>
              <w:jc w:val="left"/>
            </w:pPr>
            <w:r>
              <w:t xml:space="preserve">8 agro-ecological regions</w:t>
            </w:r>
          </w:p>
        </w:tc>
        <w:tc>
          <w:tcPr/>
          <w:p>
            <w:pPr>
              <w:pStyle w:val="Compact"/>
              <w:jc w:val="left"/>
            </w:pPr>
            <w:r>
              <w:t xml:space="preserve">Physiography, climate, soils</w:t>
            </w:r>
          </w:p>
        </w:tc>
      </w:tr>
      <w:tr>
        <w:tc>
          <w:tcPr/>
          <w:p>
            <w:pPr>
              <w:pStyle w:val="Compact"/>
              <w:jc w:val="left"/>
            </w:pPr>
            <w:r>
              <w:t xml:space="preserve">Krishnan (1988)</w:t>
            </w:r>
          </w:p>
        </w:tc>
        <w:tc>
          <w:tcPr/>
          <w:p>
            <w:pPr>
              <w:pStyle w:val="Compact"/>
              <w:jc w:val="left"/>
            </w:pPr>
            <w:r>
              <w:t xml:space="preserve">—</w:t>
            </w:r>
          </w:p>
        </w:tc>
        <w:tc>
          <w:tcPr/>
          <w:p>
            <w:pPr>
              <w:pStyle w:val="Compact"/>
              <w:jc w:val="left"/>
            </w:pPr>
            <w:r>
              <w:t xml:space="preserve">40 soil-climatic zones</w:t>
            </w:r>
          </w:p>
        </w:tc>
        <w:tc>
          <w:tcPr/>
          <w:p>
            <w:pPr>
              <w:pStyle w:val="Compact"/>
              <w:jc w:val="left"/>
            </w:pPr>
            <w:r>
              <w:t xml:space="preserve">Soil type + moisture index</w:t>
            </w:r>
          </w:p>
        </w:tc>
      </w:tr>
      <w:tr>
        <w:tc>
          <w:tcPr/>
          <w:p>
            <w:pPr>
              <w:pStyle w:val="Compact"/>
              <w:jc w:val="left"/>
            </w:pPr>
            <w:r>
              <w:t xml:space="preserve">Subramanian (1983)</w:t>
            </w:r>
          </w:p>
        </w:tc>
        <w:tc>
          <w:tcPr/>
          <w:p>
            <w:pPr>
              <w:pStyle w:val="Compact"/>
              <w:jc w:val="left"/>
            </w:pPr>
            <w:r>
              <w:t xml:space="preserve">—</w:t>
            </w:r>
          </w:p>
        </w:tc>
        <w:tc>
          <w:tcPr/>
          <w:p>
            <w:pPr>
              <w:pStyle w:val="Compact"/>
              <w:jc w:val="left"/>
            </w:pPr>
            <w:r>
              <w:t xml:space="preserve">29 zones</w:t>
            </w:r>
          </w:p>
        </w:tc>
        <w:tc>
          <w:tcPr/>
          <w:p>
            <w:pPr>
              <w:pStyle w:val="Compact"/>
              <w:jc w:val="left"/>
            </w:pPr>
            <w:r>
              <w:t xml:space="preserve">Moisture adequacy index + FAO soil groups</w:t>
            </w:r>
          </w:p>
        </w:tc>
      </w:tr>
      <w:tr>
        <w:tc>
          <w:tcPr/>
          <w:p>
            <w:pPr>
              <w:pStyle w:val="Compact"/>
              <w:jc w:val="left"/>
            </w:pPr>
            <w:r>
              <w:t xml:space="preserve">Carter (1954)</w:t>
            </w:r>
          </w:p>
        </w:tc>
        <w:tc>
          <w:tcPr/>
          <w:p>
            <w:pPr>
              <w:pStyle w:val="Compact"/>
              <w:jc w:val="left"/>
            </w:pPr>
            <w:r>
              <w:t xml:space="preserve">—</w:t>
            </w:r>
          </w:p>
        </w:tc>
        <w:tc>
          <w:tcPr/>
          <w:p>
            <w:pPr>
              <w:pStyle w:val="Compact"/>
              <w:jc w:val="left"/>
            </w:pPr>
            <w:r>
              <w:t xml:space="preserve">6 climatic regions (arid to per-humid)</w:t>
            </w:r>
          </w:p>
        </w:tc>
        <w:tc>
          <w:tcPr/>
          <w:p>
            <w:pPr>
              <w:pStyle w:val="Compact"/>
              <w:jc w:val="left"/>
            </w:pPr>
            <w:r>
              <w:t xml:space="preserve">Thornthwaite</w:t>
            </w:r>
          </w:p>
        </w:tc>
      </w:tr>
    </w:tbl>
    <w:p>
      <w:pPr>
        <w:pStyle w:val="Heading3"/>
      </w:pPr>
      <w:r>
        <w:t xml:space="preserve">24.2.3 Remote sensing and GIS in AEZ</w:t>
      </w:r>
    </w:p>
    <w:p>
      <w:pPr>
        <w:pStyle w:val="FirstParagraph"/>
      </w:pPr>
      <w:r>
        <w:t xml:space="preserve">Conventional zoning used manual overlay of isolines (PET, temperature) on soil maps — slow, coarse and generalising (loss of spatial variability, especially in mountains).</w:t>
      </w:r>
      <w:r>
        <w:t xml:space="preserve"> </w:t>
      </w:r>
      <w:r>
        <w:rPr>
          <w:bCs/>
          <w:b/>
        </w:rPr>
        <w:t xml:space="preserve">GIS automates the logical integration</w:t>
      </w:r>
      <w:r>
        <w:t xml:space="preserve"> </w:t>
      </w:r>
      <w:r>
        <w:t xml:space="preserve">of climate, terrain, soil and land-use layers;</w:t>
      </w:r>
      <w:r>
        <w:t xml:space="preserve"> </w:t>
      </w:r>
      <w:r>
        <w:rPr>
          <w:bCs/>
          <w:b/>
        </w:rPr>
        <w:t xml:space="preserve">remote sensing</w:t>
      </w:r>
      <w:r>
        <w:t xml:space="preserve"> </w:t>
      </w:r>
      <w:r>
        <w:t xml:space="preserve">supplies land cover, cropping systems, vegetation biomass (NDVI), DEMs and surface temperature.</w:t>
      </w:r>
    </w:p>
    <w:p>
      <w:pPr>
        <w:pStyle w:val="BodyText"/>
      </w:pPr>
      <w:r>
        <w:rPr>
          <w:bCs/>
          <w:b/>
        </w:rPr>
        <w:t xml:space="preserve">Case study — AEZ of the Kumaon Himalaya (IIRS):</w:t>
      </w:r>
    </w:p>
    <w:p>
      <w:pPr>
        <w:pStyle w:val="Compact"/>
        <w:numPr>
          <w:ilvl w:val="0"/>
          <w:numId w:val="1187"/>
        </w:numPr>
      </w:pPr>
      <w:r>
        <w:rPr>
          <w:bCs/>
          <w:b/>
        </w:rPr>
        <w:t xml:space="preserve">Climate:</w:t>
      </w:r>
      <w:r>
        <w:t xml:space="preserve"> </w:t>
      </w:r>
      <w:r>
        <w:t xml:space="preserve">station data (6 met + 11 rain-gauge stations) regressed on elevation from a 1-km DEM: annual mean temperature</w:t>
      </w:r>
      <w:r>
        <w:t xml:space="preserve"> </w:t>
      </w:r>
      <m:oMath>
        <m:r>
          <m:t>T</m:t>
        </m:r>
        <m:r>
          <m:rPr>
            <m:sty m:val="p"/>
          </m:rPr>
          <m:t>=</m:t>
        </m:r>
        <m:r>
          <m:t>24.443</m:t>
        </m:r>
        <m:r>
          <m:rPr>
            <m:sty m:val="p"/>
          </m:rPr>
          <m:t>−</m:t>
        </m:r>
        <m:r>
          <m:t>0.0045</m:t>
        </m:r>
        <m:r>
          <m:t> </m:t>
        </m:r>
        <m:r>
          <m:rPr>
            <m:sty m:val="p"/>
          </m:rPr>
          <m:t>×</m:t>
        </m:r>
      </m:oMath>
      <w:r>
        <w:t xml:space="preserve"> </w:t>
      </w:r>
      <w:r>
        <w:t xml:space="preserve">elevation (</w:t>
      </w:r>
      <m:oMath>
        <m:sSup>
          <m:e>
            <m:r>
              <m:t>R</m:t>
            </m:r>
          </m:e>
          <m:sup>
            <m:r>
              <m:t>2</m:t>
            </m:r>
          </m:sup>
        </m:sSup>
        <m:r>
          <m:rPr>
            <m:sty m:val="p"/>
          </m:rPr>
          <m:t>=</m:t>
        </m:r>
        <m:r>
          <m:t>0.97</m:t>
        </m:r>
      </m:oMath>
      <w:r>
        <w:t xml:space="preserve">, i.e., lapse rate 4.5 °C km⁻¹); annual rainfall</w:t>
      </w:r>
      <w:r>
        <w:t xml:space="preserve"> </w:t>
      </w:r>
      <m:oMath>
        <m:r>
          <m:rPr>
            <m:sty m:val="p"/>
          </m:rPr>
          <m:t>=</m:t>
        </m:r>
        <m:r>
          <m:t>515.1</m:t>
        </m:r>
        <m:r>
          <m:rPr>
            <m:sty m:val="p"/>
          </m:rPr>
          <m:t>+</m:t>
        </m:r>
        <m:r>
          <m:t>0.3843</m:t>
        </m:r>
        <m:r>
          <m:t> </m:t>
        </m:r>
        <m:r>
          <m:rPr>
            <m:sty m:val="p"/>
          </m:rPr>
          <m:t>×</m:t>
        </m:r>
      </m:oMath>
      <w:r>
        <w:t xml:space="preserve"> </w:t>
      </w:r>
      <w:r>
        <w:t xml:space="preserve">elevation (</w:t>
      </w:r>
      <m:oMath>
        <m:sSup>
          <m:e>
            <m:r>
              <m:t>R</m:t>
            </m:r>
          </m:e>
          <m:sup>
            <m:r>
              <m:t>2</m:t>
            </m:r>
          </m:sup>
        </m:sSup>
        <m:r>
          <m:rPr>
            <m:sty m:val="p"/>
          </m:rPr>
          <m:t>=</m:t>
        </m:r>
        <m:r>
          <m:t>0.75</m:t>
        </m:r>
      </m:oMath>
      <w:r>
        <w:t xml:space="preserve">). Monthly temperature maps →</w:t>
      </w:r>
      <w:r>
        <w:t xml:space="preserve"> </w:t>
      </w:r>
      <w:r>
        <w:rPr>
          <w:bCs/>
          <w:b/>
        </w:rPr>
        <w:t xml:space="preserve">Thornthwaite PET</w:t>
      </w:r>
      <w:r>
        <w:t xml:space="preserve"> </w:t>
      </w:r>
      <w:r>
        <w:t xml:space="preserve">grid →</w:t>
      </w:r>
      <w:r>
        <w:t xml:space="preserve"> </w:t>
      </w:r>
      <w:r>
        <w:rPr>
          <w:bCs/>
          <w:b/>
        </w:rPr>
        <w:t xml:space="preserve">moisture index</w:t>
      </w:r>
      <w:r>
        <w:t xml:space="preserve"> </w:t>
      </w:r>
      <w:r>
        <w:t xml:space="preserve">grid → climatic types (semi-arid D, dry sub-humid C₁, moist sub-humid C₂, humid B₁–B₄, per-humid A).</w:t>
      </w:r>
    </w:p>
    <w:p>
      <w:pPr>
        <w:pStyle w:val="Compact"/>
        <w:numPr>
          <w:ilvl w:val="0"/>
          <w:numId w:val="1187"/>
        </w:numPr>
      </w:pPr>
      <w:r>
        <w:rPr>
          <w:bCs/>
          <w:b/>
        </w:rPr>
        <w:t xml:space="preserve">Biomass:</w:t>
      </w:r>
      <w:r>
        <w:t xml:space="preserve"> </w:t>
      </w:r>
      <w:r>
        <w:t xml:space="preserve">maximum NDVI from monthly NOAA-AVHRR composites → dry matter</w:t>
      </w:r>
      <w:r>
        <w:t xml:space="preserve"> </w:t>
      </w:r>
      <m:oMath>
        <m:r>
          <m:t>D</m:t>
        </m:r>
        <m:r>
          <m:t>M</m:t>
        </m:r>
        <m:r>
          <m:rPr>
            <m:sty m:val="p"/>
          </m:rPr>
          <m:t>=</m:t>
        </m:r>
        <m:sSup>
          <m:e>
            <m:d>
              <m:dPr>
                <m:begChr m:val="("/>
                <m:endChr m:val=")"/>
                <m:sepChr m:val=""/>
                <m:grow/>
              </m:dPr>
              <m:e>
                <m:r>
                  <m:t>1.615</m:t>
                </m:r>
                <m:r>
                  <m:t> </m:t>
                </m:r>
                <m:r>
                  <m:t>N</m:t>
                </m:r>
                <m:r>
                  <m:t>D</m:t>
                </m:r>
                <m:r>
                  <m:t>V</m:t>
                </m:r>
                <m:sSub>
                  <m:e>
                    <m:r>
                      <m:t>I</m:t>
                    </m:r>
                  </m:e>
                  <m:sub>
                    <m:r>
                      <m:t>m</m:t>
                    </m:r>
                    <m:r>
                      <m:t>a</m:t>
                    </m:r>
                    <m:r>
                      <m:t>x</m:t>
                    </m:r>
                  </m:sub>
                </m:sSub>
              </m:e>
            </m:d>
          </m:e>
          <m:sup>
            <m:r>
              <m:t>1.318</m:t>
            </m:r>
          </m:sup>
        </m:sSup>
      </m:oMath>
      <w:r>
        <w:t xml:space="preserve"> </w:t>
      </w:r>
      <w:r>
        <w:t xml:space="preserve">(</w:t>
      </w:r>
      <m:oMath>
        <m:sSup>
          <m:e>
            <m:r>
              <m:t>R</m:t>
            </m:r>
          </m:e>
          <m:sup>
            <m:r>
              <m:t>2</m:t>
            </m:r>
          </m:sup>
        </m:sSup>
        <m:r>
          <m:rPr>
            <m:sty m:val="p"/>
          </m:rPr>
          <m:t>=</m:t>
        </m:r>
        <m:r>
          <m:t>0.90</m:t>
        </m:r>
      </m:oMath>
      <w:r>
        <w:t xml:space="preserve">).</w:t>
      </w:r>
    </w:p>
    <w:p>
      <w:pPr>
        <w:pStyle w:val="Compact"/>
        <w:numPr>
          <w:ilvl w:val="0"/>
          <w:numId w:val="1187"/>
        </w:numPr>
      </w:pPr>
      <w:r>
        <w:rPr>
          <w:bCs/>
          <w:b/>
        </w:rPr>
        <w:t xml:space="preserve">Land use:</w:t>
      </w:r>
      <w:r>
        <w:t xml:space="preserve"> </w:t>
      </w:r>
      <w:r>
        <w:t xml:space="preserve">kharif and rabi IRS-WiFS classifications (MXL) combined into cropping systems (paddy–wheat, sugarcane–wheat, fallow–wheat, forest classes).</w:t>
      </w:r>
    </w:p>
    <w:p>
      <w:pPr>
        <w:pStyle w:val="Compact"/>
        <w:numPr>
          <w:ilvl w:val="0"/>
          <w:numId w:val="1187"/>
        </w:numPr>
      </w:pPr>
      <w:r>
        <w:rPr>
          <w:bCs/>
          <w:b/>
        </w:rPr>
        <w:t xml:space="preserve">Soils:</w:t>
      </w:r>
      <w:r>
        <w:t xml:space="preserve"> </w:t>
      </w:r>
      <w:r>
        <w:t xml:space="preserve">46 NBSS&amp;LUP mapping units (1:250,000) — depth, texture, slope, erosion, drainage.</w:t>
      </w:r>
    </w:p>
    <w:p>
      <w:pPr>
        <w:pStyle w:val="Compact"/>
        <w:numPr>
          <w:ilvl w:val="0"/>
          <w:numId w:val="1187"/>
        </w:numPr>
      </w:pPr>
      <w:r>
        <w:rPr>
          <w:bCs/>
          <w:b/>
        </w:rPr>
        <w:t xml:space="preserve">Integration:</w:t>
      </w:r>
      <w:r>
        <w:t xml:space="preserve"> </w:t>
      </w:r>
      <w:r>
        <w:t xml:space="preserve">thermal regimes + moisture regimes + biomass → 9 agro-climatic zones; + 8 agro-edaphic zones →</w:t>
      </w:r>
      <w:r>
        <w:t xml:space="preserve"> </w:t>
      </w:r>
      <w:r>
        <w:rPr>
          <w:bCs/>
          <w:b/>
        </w:rPr>
        <w:t xml:space="preserve">30 agro-ecological sub-zones → 12 AEZs</w:t>
      </w:r>
      <w:r>
        <w:t xml:space="preserve">; suitable land use suggested (double cropping, agro-horticulture, social forestry, afforestation).</w:t>
      </w:r>
    </w:p>
    <w:p>
      <w:pPr>
        <w:pStyle w:val="Compact"/>
        <w:numPr>
          <w:ilvl w:val="0"/>
          <w:numId w:val="1187"/>
        </w:numPr>
      </w:pPr>
      <w:r>
        <w:rPr>
          <w:bCs/>
          <w:b/>
        </w:rPr>
        <w:t xml:space="preserve">Lessons:</w:t>
      </w:r>
      <w:r>
        <w:t xml:space="preserve"> </w:t>
      </w:r>
      <w:r>
        <w:t xml:space="preserve">strong temperature–elevation relationships let DEMs spatialise climate in mountains; PET and moisture-index grids define micro-environments; integrating biomass gives a dynamic, productivity-linked zoning.</w:t>
      </w:r>
    </w:p>
    <w:p>
      <w:pPr>
        <w:pStyle w:val="CaptionedFigure"/>
      </w:pPr>
      <w:r>
        <w:drawing>
          <wp:inline>
            <wp:extent cx="5334000" cy="3347085"/>
            <wp:effectExtent b="0" l="0" r="0" t="0"/>
            <wp:docPr descr="RS–GIS agro-ecological zoning workflow" title="" id="84" name="Picture"/>
            <a:graphic>
              <a:graphicData uri="http://schemas.openxmlformats.org/drawingml/2006/picture">
                <pic:pic>
                  <pic:nvPicPr>
                    <pic:cNvPr descr="/tmp/claude-0/-home-user-sonu/ab07c29a-21cd-5a4a-9d2d-68ad72d07153/scratchpad/build/../flows/flow_018.png" id="85" name="Picture"/>
                    <pic:cNvPicPr>
                      <a:picLocks noChangeArrowheads="1" noChangeAspect="1"/>
                    </pic:cNvPicPr>
                  </pic:nvPicPr>
                  <pic:blipFill>
                    <a:blip r:embed="rId83"/>
                    <a:stretch>
                      <a:fillRect/>
                    </a:stretch>
                  </pic:blipFill>
                  <pic:spPr bwMode="auto">
                    <a:xfrm>
                      <a:off x="0" y="0"/>
                      <a:ext cx="5334000" cy="3347085"/>
                    </a:xfrm>
                    <a:prstGeom prst="rect">
                      <a:avLst/>
                    </a:prstGeom>
                    <a:noFill/>
                    <a:ln w="9525">
                      <a:noFill/>
                      <a:headEnd/>
                      <a:tailEnd/>
                    </a:ln>
                  </pic:spPr>
                </pic:pic>
              </a:graphicData>
            </a:graphic>
          </wp:inline>
        </w:drawing>
      </w:r>
    </w:p>
    <w:p>
      <w:pPr>
        <w:pStyle w:val="ImageCaption"/>
      </w:pPr>
      <w:r>
        <w:t xml:space="preserve">RS–GIS agro-ecological zoning workflow</w:t>
      </w:r>
    </w:p>
    <w:p>
      <w:pPr>
        <w:pStyle w:val="Heading3"/>
      </w:pPr>
      <w:r>
        <w:t xml:space="preserve">24.2.4 Likely interview questions</w:t>
      </w:r>
    </w:p>
    <w:p>
      <w:pPr>
        <w:pStyle w:val="FirstParagraph"/>
      </w:pPr>
      <w:r>
        <w:rPr>
          <w:bCs/>
          <w:b/>
        </w:rPr>
        <w:t xml:space="preserve">Q. What is the basis of Thornthwaite’s 1948 classification?</w:t>
      </w:r>
      <w:r>
        <w:t xml:space="preserve"> </w:t>
      </w:r>
      <w:r>
        <w:t xml:space="preserve">Water balance — moisture index</w:t>
      </w:r>
      <w:r>
        <w:t xml:space="preserve"> </w:t>
      </w:r>
      <m:oMath>
        <m:d>
          <m:dPr>
            <m:begChr m:val="("/>
            <m:endChr m:val=")"/>
            <m:sepChr m:val=""/>
            <m:grow/>
          </m:dPr>
          <m:e>
            <m:r>
              <m:t>P</m:t>
            </m:r>
            <m:r>
              <m:rPr>
                <m:sty m:val="p"/>
              </m:rPr>
              <m:t>−</m:t>
            </m:r>
            <m:r>
              <m:t>P</m:t>
            </m:r>
            <m:r>
              <m:t>E</m:t>
            </m:r>
            <m:r>
              <m:t>T</m:t>
            </m:r>
          </m:e>
        </m:d>
        <m:r>
          <m:rPr>
            <m:sty m:val="p"/>
          </m:rPr>
          <m:t>/</m:t>
        </m:r>
        <m:r>
          <m:t>P</m:t>
        </m:r>
        <m:r>
          <m:t>E</m:t>
        </m:r>
        <m:r>
          <m:t>T</m:t>
        </m:r>
        <m:r>
          <m:rPr>
            <m:sty m:val="p"/>
          </m:rPr>
          <m:t>×</m:t>
        </m:r>
        <m:r>
          <m:t>100</m:t>
        </m:r>
      </m:oMath>
      <w:r>
        <w:t xml:space="preserve"> </w:t>
      </w:r>
      <w:r>
        <w:t xml:space="preserve">with temperature-based PET, plus thermal efficiency from PET.</w:t>
      </w:r>
    </w:p>
    <w:p>
      <w:pPr>
        <w:pStyle w:val="BodyText"/>
      </w:pPr>
      <w:r>
        <w:rPr>
          <w:bCs/>
          <w:b/>
        </w:rPr>
        <w:t xml:space="preserve">Q. How many agro-climatic regions (Planning Commission), agro-ecological regions (NBSS&amp;LUP) and NARP zones does India have?</w:t>
      </w:r>
      <w:r>
        <w:t xml:space="preserve"> </w:t>
      </w:r>
      <w:r>
        <w:t xml:space="preserve">15, 20 (60 sub-regions) and 127 respectively.</w:t>
      </w:r>
    </w:p>
    <w:p>
      <w:pPr>
        <w:pStyle w:val="BodyText"/>
      </w:pPr>
      <w:r>
        <w:rPr>
          <w:bCs/>
          <w:b/>
        </w:rPr>
        <w:t xml:space="preserve">Q. Define length of growing period.</w:t>
      </w:r>
      <w:r>
        <w:t xml:space="preserve"> </w:t>
      </w:r>
      <w:r>
        <w:t xml:space="preserve">Days when precipitation exceeds half of PET plus days to exhaust ~100 mm stored soil moisture, with suitable temperatures.</w:t>
      </w:r>
    </w:p>
    <w:p>
      <w:pPr>
        <w:pStyle w:val="BodyText"/>
      </w:pPr>
      <w:r>
        <w:rPr>
          <w:bCs/>
          <w:b/>
        </w:rPr>
        <w:t xml:space="preserve">Q. How do RS and GIS improve agro-ecological zoning?</w:t>
      </w:r>
      <w:r>
        <w:t xml:space="preserve"> </w:t>
      </w:r>
      <w:r>
        <w:t xml:space="preserve">RS provides land cover, biomass/NDVI and DEMs; GIS spatialises climate (lapse-rate regressions), computes PET and moisture indices and overlays all layers objectively at fine resolution.</w:t>
      </w:r>
    </w:p>
    <w:p>
      <w:pPr>
        <w:pStyle w:val="BodyText"/>
      </w:pPr>
      <w:r>
        <w:rPr>
          <w:bCs/>
          <w:b/>
        </w:rPr>
        <w:t xml:space="preserve">Q. What does Köppen’s</w:t>
      </w:r>
      <w:r>
        <w:rPr>
          <w:bCs/>
          <w:b/>
        </w:rPr>
        <w:t xml:space="preserve"> </w:t>
      </w:r>
      <w:r>
        <w:rPr>
          <w:bCs/>
          <w:b/>
        </w:rPr>
        <w:t xml:space="preserve">“</w:t>
      </w:r>
      <w:r>
        <w:rPr>
          <w:bCs/>
          <w:b/>
        </w:rPr>
        <w:t xml:space="preserve">Aw</w:t>
      </w:r>
      <w:r>
        <w:rPr>
          <w:bCs/>
          <w:b/>
        </w:rPr>
        <w:t xml:space="preserve">”</w:t>
      </w:r>
      <w:r>
        <w:rPr>
          <w:bCs/>
          <w:b/>
        </w:rPr>
        <w:t xml:space="preserve"> </w:t>
      </w:r>
      <w:r>
        <w:rPr>
          <w:bCs/>
          <w:b/>
        </w:rPr>
        <w:t xml:space="preserve">mean and where is it in India?</w:t>
      </w:r>
      <w:r>
        <w:t xml:space="preserve"> </w:t>
      </w:r>
      <w:r>
        <w:t xml:space="preserve">Tropical savanna with a dry winter — most of peninsular India.</w:t>
      </w:r>
    </w:p>
    <w:p>
      <w:pPr>
        <w:pStyle w:val="Heading2"/>
      </w:pPr>
      <w:r>
        <w:t xml:space="preserve">24.3 Aridity Index and Moisture Availability</w:t>
      </w:r>
    </w:p>
    <w:p>
      <w:pPr>
        <w:pStyle w:val="FirstParagraph"/>
      </w:pPr>
      <w:r>
        <w:t xml:space="preserve">The Aridity Index (AI) characterises the long-term climatic water-balance regime of a region and underlies India's agro-climatic zonation:</w:t>
      </w:r>
    </w:p>
    <w:p>
      <w:pPr>
        <w:pStyle w:val="BodyText"/>
      </w:pPr>
      <w:r>
        <w:rPr>
          <w:iCs/>
          <w:i/>
        </w:rPr>
        <w:t xml:space="preserve">AI (Thornthwaite) = 100 × (Water Deficit / Potential Evapotranspiration, PE) [used to classify arid, semi-arid, sub-humid, humid zones]</w:t>
      </w:r>
    </w:p>
    <w:p>
      <w:pPr>
        <w:pStyle w:val="BodyText"/>
      </w:pPr>
      <w:r>
        <w:rPr>
          <w:iCs/>
          <w:i/>
        </w:rPr>
        <w:t xml:space="preserve">AI (UNEP) = P / PET (Precipitation ÷ Potential Evapotranspiration)</w:t>
      </w:r>
    </w:p>
    <w:p>
      <w:pPr>
        <w:pStyle w:val="BodyText"/>
      </w:pPr>
      <w:r>
        <w:t xml:space="preserve">UNEP classifies AI &lt; 0.05 as hyper-arid, 0.05–0.20 arid, 0.20–0.50 semi-arid, 0.50–0.65 dry sub-humid, and &gt;0.65 humid. Within a growing season, the Moisture Adequacy Index (MAI), developed for Indian agro-climatic assessment, expresses how much of a crop period's water requirement is met by rainfall plus stored soil moisture:</w:t>
      </w:r>
    </w:p>
    <w:p>
      <w:pPr>
        <w:pStyle w:val="BodyText"/>
      </w:pPr>
      <w:r>
        <w:rPr>
          <w:iCs/>
          <w:i/>
        </w:rPr>
        <w:t xml:space="preserve">MAI = (Precipitation, P) / (Potential Evapotranspiration, PET) evaluated on a weekly/dekadal (10-day) basis</w:t>
      </w:r>
    </w:p>
    <w:p>
      <w:pPr>
        <w:pStyle w:val="BodyText"/>
      </w:pPr>
      <w:r>
        <w:t xml:space="preserve">MAI ≥ 0.75 for a given standard week is generally taken as adequate for normal crop growth; values between 0.50–0.75 indicate moderate moisture stress, and MAI &lt; 0.50 indicates severe stress warranting supplemental irrigation or contingency measures. MAI computed week-by-week across the crop season is the basis for identifying the length of the growing period (LGP) and for delineating agro-climatic zones/sub-zones used in cropping-system planning.</w:t>
      </w:r>
    </w:p>
    <w:p>
      <w:pPr>
        <w:pStyle w:val="Heading2"/>
      </w:pPr>
      <w:r>
        <w:t xml:space="preserve">24.4 Climate Services and Agro-Climatic Zonation</w:t>
      </w:r>
    </w:p>
    <w:p>
      <w:pPr>
        <w:pStyle w:val="FirstParagraph"/>
      </w:pPr>
      <w:r>
        <w:t xml:space="preserve">Beyond day-to-day/season-to-season forecasting, agrometeorology also encompasses climate services — the provision of historical climate normals, trend analysis, and future climate-change projections tailored to agricultural decision-making. India is divided into 15 broad agro-climatic zones (and further into agro-climatic sub-zones/regions) by the Planning Commission (later NITI Aayog)/ICAR classification, based on physiography, soil type, climate (rainfall, temperature, length of growing period), and cropping pattern — a framework used for region-specific research and extension planning, contingency crop planning, and resource-allocation decisions. Climate-change assessment for agriculture uses downscaled Global/Regional Climate Model (GCM/RCM) projections under different emission scenarios to project future shifts in growing-season length, heat-stress frequency, rainfall variability, and consequent yield/agro-climatic zone boundary shifts — an increasingly important area given observed trends of rising extreme-heat frequency and shifting monsoon onset/withdrawal dates.</w:t>
      </w:r>
    </w:p>
    <w:p>
      <w:pPr>
        <w:pStyle w:val="Heading1"/>
      </w:pPr>
      <w:r>
        <w:t xml:space="preserve">Chapter 25. Radiation and Heat Balance of the Soil–Crop System</w:t>
      </w:r>
    </w:p>
    <w:p>
      <w:pPr>
        <w:pStyle w:val="Heading2"/>
      </w:pPr>
      <w:r>
        <w:t xml:space="preserve">25.1 Solar Radiation Reaching the Crop</w:t>
      </w:r>
    </w:p>
    <w:p>
      <w:pPr>
        <w:pStyle w:val="FirstParagraph"/>
      </w:pPr>
      <w:r>
        <w:rPr>
          <w:bCs/>
          <w:b/>
        </w:rPr>
        <w:t xml:space="preserve">Solar constant</w:t>
      </w:r>
      <w:r>
        <w:t xml:space="preserve"> </w:t>
      </w:r>
      <m:oMath>
        <m:sSub>
          <m:e>
            <m:r>
              <m:t>S</m:t>
            </m:r>
          </m:e>
          <m:sub>
            <m:r>
              <m:t>0</m:t>
            </m:r>
          </m:sub>
        </m:sSub>
      </m:oMath>
      <w:r>
        <w:t xml:space="preserve"> </w:t>
      </w:r>
      <w:r>
        <w:t xml:space="preserve">≈</w:t>
      </w:r>
      <w:r>
        <w:t xml:space="preserve"> </w:t>
      </w:r>
      <w:r>
        <w:rPr>
          <w:bCs/>
          <w:b/>
        </w:rPr>
        <w:t xml:space="preserve">1361 W m⁻²</w:t>
      </w:r>
      <w:r>
        <w:t xml:space="preserve"> </w:t>
      </w:r>
      <w:r>
        <w:t xml:space="preserve">(mean flux at the top of the atmosphere perpendicular to the beam at mean Earth–Sun distance). Daily extraterrestrial radiation on a horizontal surface:</w:t>
      </w:r>
    </w:p>
    <w:p>
      <w:pPr>
        <w:pStyle w:val="BodyText"/>
      </w:pPr>
      <m:oMathPara>
        <m:oMathParaPr>
          <m:jc m:val="center"/>
        </m:oMathParaPr>
        <m:oMath>
          <m:sSub>
            <m:e>
              <m:r>
                <m:t>R</m:t>
              </m:r>
            </m:e>
            <m:sub>
              <m:r>
                <m:t>a</m:t>
              </m:r>
            </m:sub>
          </m:sSub>
          <m:r>
            <m:rPr>
              <m:sty m:val="p"/>
            </m:rPr>
            <m:t>=</m:t>
          </m:r>
          <m:f>
            <m:fPr>
              <m:type m:val="bar"/>
            </m:fPr>
            <m:num>
              <m:r>
                <m:t>24</m:t>
              </m:r>
              <m:r>
                <m:rPr>
                  <m:sty m:val="p"/>
                </m:rPr>
                <m:t>×</m:t>
              </m:r>
              <m:r>
                <m:t>60</m:t>
              </m:r>
            </m:num>
            <m:den>
              <m:r>
                <m:t>π</m:t>
              </m:r>
            </m:den>
          </m:f>
          <m:sSub>
            <m:e>
              <m:r>
                <m:t>G</m:t>
              </m:r>
            </m:e>
            <m:sub>
              <m:r>
                <m:t>s</m:t>
              </m:r>
              <m:r>
                <m:t>c</m:t>
              </m:r>
            </m:sub>
          </m:sSub>
          <m:r>
            <m:t> </m:t>
          </m:r>
          <m:sSub>
            <m:e>
              <m:r>
                <m:t>d</m:t>
              </m:r>
            </m:e>
            <m:sub>
              <m:r>
                <m:t>r</m:t>
              </m:r>
            </m:sub>
          </m:sSub>
          <m:d>
            <m:dPr>
              <m:begChr m:val="["/>
              <m:endChr m:val="]"/>
              <m:sepChr m:val=""/>
              <m:grow/>
            </m:dPr>
            <m:e>
              <m:sSub>
                <m:e>
                  <m:r>
                    <m:t>ω</m:t>
                  </m:r>
                </m:e>
                <m:sub>
                  <m:r>
                    <m:t>s</m:t>
                  </m:r>
                </m:sub>
              </m:sSub>
              <m:r>
                <m:rPr>
                  <m:sty m:val="p"/>
                </m:rPr>
                <m:t>sin</m:t>
              </m:r>
              <m:r>
                <m:t>ϕ</m:t>
              </m:r>
              <m:r>
                <m:rPr>
                  <m:sty m:val="p"/>
                </m:rPr>
                <m:t>sin</m:t>
              </m:r>
              <m:r>
                <m:t>δ</m:t>
              </m:r>
              <m:r>
                <m:rPr>
                  <m:sty m:val="p"/>
                </m:rPr>
                <m:t>+</m:t>
              </m:r>
              <m:r>
                <m:rPr>
                  <m:sty m:val="p"/>
                </m:rPr>
                <m:t>cos</m:t>
              </m:r>
              <m:r>
                <m:t>ϕ</m:t>
              </m:r>
              <m:r>
                <m:rPr>
                  <m:sty m:val="p"/>
                </m:rPr>
                <m:t>cos</m:t>
              </m:r>
              <m:r>
                <m:t>δ</m:t>
              </m:r>
              <m:r>
                <m:rPr>
                  <m:sty m:val="p"/>
                </m:rPr>
                <m:t>sin</m:t>
              </m:r>
              <m:sSub>
                <m:e>
                  <m:r>
                    <m:t>ω</m:t>
                  </m:r>
                </m:e>
                <m:sub>
                  <m:r>
                    <m:t>s</m:t>
                  </m:r>
                </m:sub>
              </m:sSub>
            </m:e>
          </m:d>
        </m:oMath>
      </m:oMathPara>
    </w:p>
    <w:p>
      <w:pPr>
        <w:pStyle w:val="FirstParagraph"/>
      </w:pPr>
      <w:r>
        <w:t xml:space="preserve">(</w:t>
      </w:r>
      <m:oMath>
        <m:sSub>
          <m:e>
            <m:r>
              <m:t>G</m:t>
            </m:r>
          </m:e>
          <m:sub>
            <m:r>
              <m:t>s</m:t>
            </m:r>
            <m:r>
              <m:t>c</m:t>
            </m:r>
          </m:sub>
        </m:sSub>
      </m:oMath>
      <w:r>
        <w:t xml:space="preserve"> </w:t>
      </w:r>
      <w:r>
        <w:t xml:space="preserve">= 0.0820 MJ m⁻² min⁻¹;</w:t>
      </w:r>
      <w:r>
        <w:t xml:space="preserve"> </w:t>
      </w:r>
      <m:oMath>
        <m:sSub>
          <m:e>
            <m:r>
              <m:t>d</m:t>
            </m:r>
          </m:e>
          <m:sub>
            <m:r>
              <m:t>r</m:t>
            </m:r>
          </m:sub>
        </m:sSub>
      </m:oMath>
      <w:r>
        <w:t xml:space="preserve"> </w:t>
      </w:r>
      <w:r>
        <w:t xml:space="preserve">inverse relative Earth–Sun distance;</w:t>
      </w:r>
      <w:r>
        <w:t xml:space="preserve"> </w:t>
      </w:r>
      <m:oMath>
        <m:r>
          <m:t>ϕ</m:t>
        </m:r>
      </m:oMath>
      <w:r>
        <w:t xml:space="preserve"> </w:t>
      </w:r>
      <w:r>
        <w:t xml:space="preserve">latitude;</w:t>
      </w:r>
      <w:r>
        <w:t xml:space="preserve"> </w:t>
      </w:r>
      <m:oMath>
        <m:r>
          <m:t>δ</m:t>
        </m:r>
      </m:oMath>
      <w:r>
        <w:t xml:space="preserve"> </w:t>
      </w:r>
      <w:r>
        <w:t xml:space="preserve">solar declination;</w:t>
      </w:r>
      <w:r>
        <w:t xml:space="preserve"> </w:t>
      </w:r>
      <m:oMath>
        <m:sSub>
          <m:e>
            <m:r>
              <m:t>ω</m:t>
            </m:r>
          </m:e>
          <m:sub>
            <m:r>
              <m:t>s</m:t>
            </m:r>
          </m:sub>
        </m:sSub>
      </m:oMath>
      <w:r>
        <w:t xml:space="preserve"> </w:t>
      </w:r>
      <w:r>
        <w:t xml:space="preserve">sunset hour angle) — FAO-56.</w:t>
      </w:r>
    </w:p>
    <w:p>
      <w:pPr>
        <w:pStyle w:val="BodyText"/>
      </w:pPr>
      <w:r>
        <w:t xml:space="preserve">About 30% of incoming solar energy is reflected to space (planetary albedo ≈ 0.30), ~20% absorbed by the atmosphere, ~50% absorbed at the surface. Radiation at the surface is</w:t>
      </w:r>
      <w:r>
        <w:t xml:space="preserve"> </w:t>
      </w:r>
      <w:r>
        <w:rPr>
          <w:bCs/>
          <w:b/>
        </w:rPr>
        <w:t xml:space="preserve">direct (beam)</w:t>
      </w:r>
      <w:r>
        <w:t xml:space="preserve"> </w:t>
      </w:r>
      <w:r>
        <w:t xml:space="preserve">+</w:t>
      </w:r>
      <w:r>
        <w:t xml:space="preserve"> </w:t>
      </w:r>
      <w:r>
        <w:rPr>
          <w:bCs/>
          <w:b/>
        </w:rPr>
        <w:t xml:space="preserve">diffuse</w:t>
      </w:r>
      <w:r>
        <w:t xml:space="preserve"> </w:t>
      </w:r>
      <w:r>
        <w:t xml:space="preserve">(scattered by sky and clouds). Diffuse light penetrates canopies more uniformly and gives higher light use efficiency.</w:t>
      </w:r>
    </w:p>
    <w:p>
      <w:pPr>
        <w:pStyle w:val="BodyText"/>
      </w:pPr>
      <w:r>
        <w:rPr>
          <w:bCs/>
          <w:b/>
        </w:rPr>
        <w:t xml:space="preserve">Ångström–Prescott equation</w:t>
      </w:r>
      <w:r>
        <w:t xml:space="preserve"> </w:t>
      </w:r>
      <w:r>
        <w:t xml:space="preserve">— estimating global radiation from sunshine hours:</w:t>
      </w:r>
    </w:p>
    <w:p>
      <w:pPr>
        <w:pStyle w:val="BodyText"/>
      </w:pPr>
      <m:oMathPara>
        <m:oMathParaPr>
          <m:jc m:val="center"/>
        </m:oMathParaPr>
        <m:oMath>
          <m:sSub>
            <m:e>
              <m:r>
                <m:t>R</m:t>
              </m:r>
            </m:e>
            <m:sub>
              <m:r>
                <m:t>s</m:t>
              </m:r>
            </m:sub>
          </m:sSub>
          <m:r>
            <m:rPr>
              <m:sty m:val="p"/>
            </m:rPr>
            <m:t>=</m:t>
          </m:r>
          <m:d>
            <m:dPr>
              <m:begChr m:val="("/>
              <m:endChr m:val=")"/>
              <m:sepChr m:val=""/>
              <m:grow/>
            </m:dPr>
            <m:e>
              <m:sSub>
                <m:e>
                  <m:r>
                    <m:t>a</m:t>
                  </m:r>
                </m:e>
                <m:sub>
                  <m:r>
                    <m:t>s</m:t>
                  </m:r>
                </m:sub>
              </m:sSub>
              <m:r>
                <m:rPr>
                  <m:sty m:val="p"/>
                </m:rPr>
                <m:t>+</m:t>
              </m:r>
              <m:sSub>
                <m:e>
                  <m:r>
                    <m:t>b</m:t>
                  </m:r>
                </m:e>
                <m:sub>
                  <m:r>
                    <m:t>s</m:t>
                  </m:r>
                </m:sub>
              </m:sSub>
              <m:r>
                <m:t> </m:t>
              </m:r>
              <m:f>
                <m:fPr>
                  <m:type m:val="bar"/>
                </m:fPr>
                <m:num>
                  <m:r>
                    <m:t>n</m:t>
                  </m:r>
                </m:num>
                <m:den>
                  <m:r>
                    <m:t>N</m:t>
                  </m:r>
                </m:den>
              </m:f>
            </m:e>
          </m:d>
          <m:sSub>
            <m:e>
              <m:r>
                <m:t>R</m:t>
              </m:r>
            </m:e>
            <m:sub>
              <m:r>
                <m:t>a</m:t>
              </m:r>
            </m:sub>
          </m:sSub>
        </m:oMath>
      </m:oMathPara>
    </w:p>
    <w:p>
      <w:pPr>
        <w:pStyle w:val="FirstParagraph"/>
      </w:pPr>
      <w:r>
        <w:t xml:space="preserve">(</w:t>
      </w:r>
      <m:oMath>
        <m:r>
          <m:t>n</m:t>
        </m:r>
      </m:oMath>
      <w:r>
        <w:t xml:space="preserve"> </w:t>
      </w:r>
      <w:r>
        <w:t xml:space="preserve">actual and</w:t>
      </w:r>
      <w:r>
        <w:t xml:space="preserve"> </w:t>
      </w:r>
      <m:oMath>
        <m:r>
          <m:t>N</m:t>
        </m:r>
      </m:oMath>
      <w:r>
        <w:t xml:space="preserve"> </w:t>
      </w:r>
      <w:r>
        <w:t xml:space="preserve">maximum possible sunshine hours;</w:t>
      </w:r>
      <w:r>
        <w:t xml:space="preserve"> </w:t>
      </w:r>
      <m:oMath>
        <m:sSub>
          <m:e>
            <m:r>
              <m:t>a</m:t>
            </m:r>
          </m:e>
          <m:sub>
            <m:r>
              <m:t>s</m:t>
            </m:r>
          </m:sub>
        </m:sSub>
      </m:oMath>
      <w:r>
        <w:t xml:space="preserve"> </w:t>
      </w:r>
      <w:r>
        <w:t xml:space="preserve">≈ 0.25,</w:t>
      </w:r>
      <w:r>
        <w:t xml:space="preserve"> </w:t>
      </w:r>
      <m:oMath>
        <m:sSub>
          <m:e>
            <m:r>
              <m:t>b</m:t>
            </m:r>
          </m:e>
          <m:sub>
            <m:r>
              <m:t>s</m:t>
            </m:r>
          </m:sub>
        </m:sSub>
      </m:oMath>
      <w:r>
        <w:t xml:space="preserve"> </w:t>
      </w:r>
      <w:r>
        <w:t xml:space="preserve">≈ 0.50 by default; regional values for India ~0.24–0.32 and 0.45–0.52.)</w:t>
      </w:r>
    </w:p>
    <w:p>
      <w:pPr>
        <w:pStyle w:val="BodyText"/>
      </w:pPr>
      <w:r>
        <w:rPr>
          <w:bCs/>
          <w:b/>
        </w:rPr>
        <w:t xml:space="preserve">Photosynthetically active radiation (PAR)</w:t>
      </w:r>
      <w:r>
        <w:t xml:space="preserve"> </w:t>
      </w:r>
      <w:r>
        <w:t xml:space="preserve">(0.4–0.7 µm) ≈</w:t>
      </w:r>
      <w:r>
        <w:t xml:space="preserve"> </w:t>
      </w:r>
      <w:r>
        <w:rPr>
          <w:bCs/>
          <w:b/>
        </w:rPr>
        <w:t xml:space="preserve">45–50% of global radiation</w:t>
      </w:r>
      <w:r>
        <w:t xml:space="preserve">; expressed as energy (W m⁻²) or photon flux (µmol m⁻² s⁻¹; 1 W m⁻² PAR ≈ 4.57 µmol m⁻² s⁻¹).</w:t>
      </w:r>
    </w:p>
    <w:p>
      <w:pPr>
        <w:pStyle w:val="Heading2"/>
      </w:pPr>
      <w:r>
        <w:t xml:space="preserve">25.2 Radiation Balance of a Crop Surface</w:t>
      </w:r>
    </w:p>
    <w:p>
      <w:pPr>
        <w:pStyle w:val="FirstParagraph"/>
      </w:pPr>
      <w:r>
        <w:rPr>
          <w:bCs/>
          <w:b/>
        </w:rPr>
        <w:t xml:space="preserve">Net radiation</w:t>
      </w:r>
      <w:r>
        <w:t xml:space="preserve"> </w:t>
      </w:r>
      <w:r>
        <w:t xml:space="preserve">— the energy available at the surface — is the balance of incoming and outgoing shortwave (S) and longwave (L) radiation:</w:t>
      </w:r>
    </w:p>
    <w:p>
      <w:pPr>
        <w:pStyle w:val="BodyText"/>
      </w:pPr>
      <m:oMathPara>
        <m:oMathParaPr>
          <m:jc m:val="center"/>
        </m:oMathParaPr>
        <m:oMath>
          <m:sSub>
            <m:e>
              <m:r>
                <m:t>R</m:t>
              </m:r>
            </m:e>
            <m:sub>
              <m:r>
                <m:t>n</m:t>
              </m:r>
            </m:sub>
          </m:sSub>
          <m:r>
            <m:rPr>
              <m:sty m:val="p"/>
            </m:rPr>
            <m:t>=</m:t>
          </m:r>
          <m:d>
            <m:dPr>
              <m:begChr m:val="("/>
              <m:endChr m:val=")"/>
              <m:sepChr m:val=""/>
              <m:grow/>
            </m:dPr>
            <m:e>
              <m:r>
                <m:t>1</m:t>
              </m:r>
              <m:r>
                <m:rPr>
                  <m:sty m:val="p"/>
                </m:rPr>
                <m:t>−</m:t>
              </m:r>
              <m:r>
                <m:t>α</m:t>
              </m:r>
            </m:e>
          </m:d>
          <m:sSub>
            <m:e>
              <m:r>
                <m:t>R</m:t>
              </m:r>
            </m:e>
            <m:sub>
              <m:r>
                <m:t>s</m:t>
              </m:r>
            </m:sub>
          </m:sSub>
          <m:r>
            <m:rPr>
              <m:sty m:val="p"/>
            </m:rPr>
            <m:t>+</m:t>
          </m:r>
          <m:sSub>
            <m:e>
              <m:r>
                <m:t>L</m:t>
              </m:r>
            </m:e>
            <m:sub>
              <m:r>
                <m:rPr>
                  <m:sty m:val="p"/>
                </m:rPr>
                <m:t>↓</m:t>
              </m:r>
            </m:sub>
          </m:sSub>
          <m:r>
            <m:rPr>
              <m:sty m:val="p"/>
            </m:rPr>
            <m:t>−</m:t>
          </m:r>
          <m:sSub>
            <m:e>
              <m:r>
                <m:t>L</m:t>
              </m:r>
            </m:e>
            <m:sub>
              <m:r>
                <m:rPr>
                  <m:sty m:val="p"/>
                </m:rPr>
                <m:t>↑</m:t>
              </m:r>
            </m:sub>
          </m:sSub>
          <m:r>
            <m:rPr>
              <m:sty m:val="p"/>
            </m:rPr>
            <m:t>=</m:t>
          </m:r>
          <m:sSub>
            <m:e>
              <m:r>
                <m:t>R</m:t>
              </m:r>
            </m:e>
            <m:sub>
              <m:r>
                <m:t>n</m:t>
              </m:r>
              <m:r>
                <m:t>s</m:t>
              </m:r>
            </m:sub>
          </m:sSub>
          <m:r>
            <m:rPr>
              <m:sty m:val="p"/>
            </m:rPr>
            <m:t>−</m:t>
          </m:r>
          <m:sSub>
            <m:e>
              <m:r>
                <m:t>R</m:t>
              </m:r>
            </m:e>
            <m:sub>
              <m:r>
                <m:t>n</m:t>
              </m:r>
              <m:r>
                <m:t>l</m:t>
              </m:r>
            </m:sub>
          </m:sSub>
        </m:oMath>
      </m:oMathPara>
    </w:p>
    <w:p>
      <w:pPr>
        <w:pStyle w:val="FirstParagraph"/>
      </w:pPr>
      <w:r>
        <w:t xml:space="preserve">with</w:t>
      </w:r>
      <w:r>
        <w:t xml:space="preserve"> </w:t>
      </w:r>
      <m:oMath>
        <m:sSub>
          <m:e>
            <m:r>
              <m:t>L</m:t>
            </m:r>
          </m:e>
          <m:sub>
            <m:r>
              <m:rPr>
                <m:sty m:val="p"/>
              </m:rPr>
              <m:t>↓</m:t>
            </m:r>
          </m:sub>
        </m:sSub>
        <m:r>
          <m:rPr>
            <m:sty m:val="p"/>
          </m:rPr>
          <m:t>=</m:t>
        </m:r>
        <m:sSub>
          <m:e>
            <m:r>
              <m:t>ε</m:t>
            </m:r>
          </m:e>
          <m:sub>
            <m:r>
              <m:t>a</m:t>
            </m:r>
          </m:sub>
        </m:sSub>
        <m:r>
          <m:t>σ</m:t>
        </m:r>
        <m:sSubSup>
          <m:e>
            <m:r>
              <m:t>T</m:t>
            </m:r>
          </m:e>
          <m:sub>
            <m:r>
              <m:t>a</m:t>
            </m:r>
          </m:sub>
          <m:sup>
            <m:r>
              <m:t>4</m:t>
            </m:r>
          </m:sup>
        </m:sSubSup>
      </m:oMath>
      <w:r>
        <w:t xml:space="preserve"> </w:t>
      </w:r>
      <w:r>
        <w:t xml:space="preserve">(atmospheric counter-radiation) and</w:t>
      </w:r>
      <w:r>
        <w:t xml:space="preserve"> </w:t>
      </w:r>
      <m:oMath>
        <m:sSub>
          <m:e>
            <m:r>
              <m:t>L</m:t>
            </m:r>
          </m:e>
          <m:sub>
            <m:r>
              <m:rPr>
                <m:sty m:val="p"/>
              </m:rPr>
              <m:t>↑</m:t>
            </m:r>
          </m:sub>
        </m:sSub>
        <m:r>
          <m:rPr>
            <m:sty m:val="p"/>
          </m:rPr>
          <m:t>=</m:t>
        </m:r>
        <m:sSub>
          <m:e>
            <m:r>
              <m:t>ε</m:t>
            </m:r>
          </m:e>
          <m:sub>
            <m:r>
              <m:t>s</m:t>
            </m:r>
          </m:sub>
        </m:sSub>
        <m:r>
          <m:t>σ</m:t>
        </m:r>
        <m:sSubSup>
          <m:e>
            <m:r>
              <m:t>T</m:t>
            </m:r>
          </m:e>
          <m:sub>
            <m:r>
              <m:t>s</m:t>
            </m:r>
          </m:sub>
          <m:sup>
            <m:r>
              <m:t>4</m:t>
            </m:r>
          </m:sup>
        </m:sSubSup>
        <m:r>
          <m:rPr>
            <m:sty m:val="p"/>
          </m:rPr>
          <m:t>+</m:t>
        </m:r>
        <m:d>
          <m:dPr>
            <m:begChr m:val="("/>
            <m:endChr m:val=")"/>
            <m:sepChr m:val=""/>
            <m:grow/>
          </m:dPr>
          <m:e>
            <m:r>
              <m:t>1</m:t>
            </m:r>
            <m:r>
              <m:rPr>
                <m:sty m:val="p"/>
              </m:rPr>
              <m:t>−</m:t>
            </m:r>
            <m:sSub>
              <m:e>
                <m:r>
                  <m:t>ε</m:t>
                </m:r>
              </m:e>
              <m:sub>
                <m:r>
                  <m:t>s</m:t>
                </m:r>
              </m:sub>
            </m:sSub>
          </m:e>
        </m:d>
        <m:sSub>
          <m:e>
            <m:r>
              <m:t>L</m:t>
            </m:r>
          </m:e>
          <m:sub>
            <m:r>
              <m:rPr>
                <m:sty m:val="p"/>
              </m:rPr>
              <m:t>↓</m:t>
            </m:r>
          </m:sub>
        </m:sSub>
      </m:oMath>
      <w:r>
        <w:t xml:space="preserve">.</w:t>
      </w:r>
    </w:p>
    <w:p>
      <w:pPr>
        <w:pStyle w:val="BodyText"/>
      </w:pPr>
      <w:r>
        <w:rPr>
          <w:bCs/>
          <w:b/>
        </w:rPr>
        <w:t xml:space="preserve">FAO-56 net longwave radiation</w:t>
      </w:r>
      <w:r>
        <w:t xml:space="preserve"> </w:t>
      </w:r>
      <w:r>
        <w:t xml:space="preserve">(daily):</w:t>
      </w:r>
    </w:p>
    <w:p>
      <w:pPr>
        <w:pStyle w:val="BodyText"/>
      </w:pPr>
      <m:oMathPara>
        <m:oMathParaPr>
          <m:jc m:val="center"/>
        </m:oMathParaPr>
        <m:oMath>
          <m:sSub>
            <m:e>
              <m:r>
                <m:t>R</m:t>
              </m:r>
            </m:e>
            <m:sub>
              <m:r>
                <m:t>n</m:t>
              </m:r>
              <m:r>
                <m:t>l</m:t>
              </m:r>
            </m:sub>
          </m:sSub>
          <m:r>
            <m:rPr>
              <m:sty m:val="p"/>
            </m:rPr>
            <m:t>=</m:t>
          </m:r>
          <m:r>
            <m:t>σ</m:t>
          </m:r>
          <m:d>
            <m:dPr>
              <m:begChr m:val="["/>
              <m:endChr m:val="]"/>
              <m:sepChr m:val=""/>
              <m:grow/>
            </m:dPr>
            <m:e>
              <m:f>
                <m:fPr>
                  <m:type m:val="bar"/>
                </m:fPr>
                <m:num>
                  <m:sSubSup>
                    <m:e>
                      <m:r>
                        <m:t>T</m:t>
                      </m:r>
                    </m:e>
                    <m:sub>
                      <m:r>
                        <m:t>m</m:t>
                      </m:r>
                      <m:r>
                        <m:t>a</m:t>
                      </m:r>
                      <m:r>
                        <m:t>x</m:t>
                      </m:r>
                      <m:r>
                        <m:rPr>
                          <m:sty m:val="p"/>
                        </m:rPr>
                        <m:t>,</m:t>
                      </m:r>
                      <m:r>
                        <m:t>K</m:t>
                      </m:r>
                    </m:sub>
                    <m:sup>
                      <m:r>
                        <m:t>4</m:t>
                      </m:r>
                    </m:sup>
                  </m:sSubSup>
                  <m:r>
                    <m:rPr>
                      <m:sty m:val="p"/>
                    </m:rPr>
                    <m:t>+</m:t>
                  </m:r>
                  <m:sSubSup>
                    <m:e>
                      <m:r>
                        <m:t>T</m:t>
                      </m:r>
                    </m:e>
                    <m:sub>
                      <m:r>
                        <m:t>m</m:t>
                      </m:r>
                      <m:r>
                        <m:t>i</m:t>
                      </m:r>
                      <m:r>
                        <m:t>n</m:t>
                      </m:r>
                      <m:r>
                        <m:rPr>
                          <m:sty m:val="p"/>
                        </m:rPr>
                        <m:t>,</m:t>
                      </m:r>
                      <m:r>
                        <m:t>K</m:t>
                      </m:r>
                    </m:sub>
                    <m:sup>
                      <m:r>
                        <m:t>4</m:t>
                      </m:r>
                    </m:sup>
                  </m:sSubSup>
                </m:num>
                <m:den>
                  <m:r>
                    <m:t>2</m:t>
                  </m:r>
                </m:den>
              </m:f>
            </m:e>
          </m:d>
          <m:d>
            <m:dPr>
              <m:begChr m:val="("/>
              <m:endChr m:val=")"/>
              <m:sepChr m:val=""/>
              <m:grow/>
            </m:dPr>
            <m:e>
              <m:r>
                <m:t>0.34</m:t>
              </m:r>
              <m:r>
                <m:rPr>
                  <m:sty m:val="p"/>
                </m:rPr>
                <m:t>−</m:t>
              </m:r>
              <m:r>
                <m:t>0.14</m:t>
              </m:r>
              <m:rad>
                <m:radPr>
                  <m:degHide m:val="on"/>
                </m:radPr>
                <m:deg/>
                <m:e>
                  <m:sSub>
                    <m:e>
                      <m:r>
                        <m:t>e</m:t>
                      </m:r>
                    </m:e>
                    <m:sub>
                      <m:r>
                        <m:t>a</m:t>
                      </m:r>
                    </m:sub>
                  </m:sSub>
                </m:e>
              </m:rad>
            </m:e>
          </m:d>
          <m:d>
            <m:dPr>
              <m:begChr m:val="("/>
              <m:endChr m:val=")"/>
              <m:sepChr m:val=""/>
              <m:grow/>
            </m:dPr>
            <m:e>
              <m:r>
                <m:t>1.35</m:t>
              </m:r>
              <m:f>
                <m:fPr>
                  <m:type m:val="bar"/>
                </m:fPr>
                <m:num>
                  <m:sSub>
                    <m:e>
                      <m:r>
                        <m:t>R</m:t>
                      </m:r>
                    </m:e>
                    <m:sub>
                      <m:r>
                        <m:t>s</m:t>
                      </m:r>
                    </m:sub>
                  </m:sSub>
                </m:num>
                <m:den>
                  <m:sSub>
                    <m:e>
                      <m:r>
                        <m:t>R</m:t>
                      </m:r>
                    </m:e>
                    <m:sub>
                      <m:r>
                        <m:t>s</m:t>
                      </m:r>
                      <m:r>
                        <m:t>o</m:t>
                      </m:r>
                    </m:sub>
                  </m:sSub>
                </m:den>
              </m:f>
              <m:r>
                <m:rPr>
                  <m:sty m:val="p"/>
                </m:rPr>
                <m:t>−</m:t>
              </m:r>
              <m:r>
                <m:t>0.35</m:t>
              </m:r>
            </m:e>
          </m:d>
        </m:oMath>
      </m:oMathPara>
    </w:p>
    <w:p>
      <w:pPr>
        <w:pStyle w:val="FirstParagraph"/>
      </w:pPr>
      <w:r>
        <w:t xml:space="preserve">the humidity and cloudiness terms reduce net loss under humid, cloudy skies (hence warmer nights).</w:t>
      </w:r>
    </w:p>
    <w:p>
      <w:pPr>
        <w:pStyle w:val="BodyText"/>
      </w:pPr>
      <w:r>
        <w:rPr>
          <w:bCs/>
          <w:b/>
        </w:rPr>
        <w:t xml:space="preserve">Atmospheric emissivity</w:t>
      </w:r>
      <w:r>
        <w:t xml:space="preserve"> </w:t>
      </w:r>
      <w:r>
        <w:t xml:space="preserve">(Brutsaert, 1975):</w:t>
      </w:r>
      <w:r>
        <w:t xml:space="preserve"> </w:t>
      </w:r>
      <m:oMath>
        <m:sSub>
          <m:e>
            <m:r>
              <m:t>ε</m:t>
            </m:r>
          </m:e>
          <m:sub>
            <m:r>
              <m:t>a</m:t>
            </m:r>
          </m:sub>
        </m:sSub>
        <m:r>
          <m:rPr>
            <m:sty m:val="p"/>
          </m:rPr>
          <m:t>=</m:t>
        </m:r>
        <m:r>
          <m:t>1.24</m:t>
        </m:r>
        <m:r>
          <m:t> </m:t>
        </m:r>
        <m:sSup>
          <m:e>
            <m:d>
              <m:dPr>
                <m:begChr m:val="("/>
                <m:endChr m:val=")"/>
                <m:sepChr m:val=""/>
                <m:grow/>
              </m:dPr>
              <m:e>
                <m:sSub>
                  <m:e>
                    <m:r>
                      <m:t>e</m:t>
                    </m:r>
                  </m:e>
                  <m:sub>
                    <m:r>
                      <m:t>a</m:t>
                    </m:r>
                  </m:sub>
                </m:sSub>
                <m:r>
                  <m:rPr>
                    <m:sty m:val="p"/>
                  </m:rPr>
                  <m:t>/</m:t>
                </m:r>
                <m:sSub>
                  <m:e>
                    <m:r>
                      <m:t>T</m:t>
                    </m:r>
                  </m:e>
                  <m:sub>
                    <m:r>
                      <m:t>a</m:t>
                    </m:r>
                  </m:sub>
                </m:sSub>
              </m:e>
            </m:d>
          </m:e>
          <m:sup>
            <m:r>
              <m:t>1</m:t>
            </m:r>
            <m:r>
              <m:rPr>
                <m:sty m:val="p"/>
              </m:rPr>
              <m:t>/</m:t>
            </m:r>
            <m:r>
              <m:t>7</m:t>
            </m:r>
          </m:sup>
        </m:sSup>
      </m:oMath>
      <w:r>
        <w:t xml:space="preserve"> </w:t>
      </w:r>
      <w:r>
        <w:t xml:space="preserve">(</w:t>
      </w:r>
      <m:oMath>
        <m:sSub>
          <m:e>
            <m:r>
              <m:t>e</m:t>
            </m:r>
          </m:e>
          <m:sub>
            <m:r>
              <m:t>a</m:t>
            </m:r>
          </m:sub>
        </m:sSub>
      </m:oMath>
      <w:r>
        <w:t xml:space="preserve"> </w:t>
      </w:r>
      <w:r>
        <w:t xml:space="preserve">in hPa,</w:t>
      </w:r>
      <w:r>
        <w:t xml:space="preserve"> </w:t>
      </w:r>
      <m:oMath>
        <m:sSub>
          <m:e>
            <m:r>
              <m:t>T</m:t>
            </m:r>
          </m:e>
          <m:sub>
            <m:r>
              <m:t>a</m:t>
            </m:r>
          </m:sub>
        </m:sSub>
      </m:oMath>
      <w:r>
        <w:t xml:space="preserve"> </w:t>
      </w:r>
      <w:r>
        <w:t xml:space="preserve">in K) — used in satellite ET models.</w:t>
      </w:r>
    </w:p>
    <w:p>
      <w:pPr>
        <w:pStyle w:val="BodyText"/>
      </w:pPr>
      <w:r>
        <w:rPr>
          <w:bCs/>
          <w:b/>
        </w:rPr>
        <w:t xml:space="preserve">Diurnal pattern:</w:t>
      </w:r>
      <w:r>
        <w:t xml:space="preserve"> </w:t>
      </w:r>
      <m:oMath>
        <m:sSub>
          <m:e>
            <m:r>
              <m:t>R</m:t>
            </m:r>
          </m:e>
          <m:sub>
            <m:r>
              <m:t>n</m:t>
            </m:r>
          </m:sub>
        </m:sSub>
      </m:oMath>
      <w:r>
        <w:t xml:space="preserve"> </w:t>
      </w:r>
      <w:r>
        <w:t xml:space="preserve">positive by day (peaking ~ 500–700 W m⁻² over crops at noon), negative at night (−50 to −100 W m⁻² under clear skies). Over a well-watered crop, daily</w:t>
      </w:r>
      <w:r>
        <w:t xml:space="preserve"> </w:t>
      </w:r>
      <m:oMath>
        <m:sSub>
          <m:e>
            <m:r>
              <m:t>R</m:t>
            </m:r>
          </m:e>
          <m:sub>
            <m:r>
              <m:t>n</m:t>
            </m:r>
          </m:sub>
        </m:sSub>
      </m:oMath>
      <w:r>
        <w:t xml:space="preserve"> </w:t>
      </w:r>
      <w:r>
        <w:t xml:space="preserve">≈ 0.6–0.7 ×</w:t>
      </w:r>
      <w:r>
        <w:t xml:space="preserve"> </w:t>
      </w:r>
      <m:oMath>
        <m:sSub>
          <m:e>
            <m:r>
              <m:t>R</m:t>
            </m:r>
          </m:e>
          <m:sub>
            <m:r>
              <m:t>s</m:t>
            </m:r>
          </m:sub>
        </m:sSub>
      </m:oMath>
      <w:r>
        <w:t xml:space="preserve">.</w:t>
      </w:r>
    </w:p>
    <w:p>
      <w:pPr>
        <w:pStyle w:val="Heading3"/>
      </w:pPr>
      <w:r>
        <w:t xml:space="preserve">25.2.1 Albedo</w:t>
      </w:r>
    </w:p>
    <w:p>
      <w:pPr>
        <w:pStyle w:val="FirstParagraph"/>
      </w:pPr>
      <w:r>
        <w:rPr>
          <w:bCs/>
          <w:b/>
        </w:rPr>
        <w:t xml:space="preserve">Albedo</w:t>
      </w:r>
      <w:r>
        <w:t xml:space="preserve"> </w:t>
      </w:r>
      <w:r>
        <w:t xml:space="preserve">= reflected / incident shortwave (0–1). Typical: fresh snow 0.8–0.9; desert sand 0.3–0.4; dry light soil 0.25–0.45; wet dark soil 0.08–0.15; green crops 0.18–0.25; forest 0.10–0.18; water 0.05–0.10 (high at low sun angles); FAO reference grass 0.23.</w:t>
      </w:r>
    </w:p>
    <w:p>
      <w:pPr>
        <w:pStyle w:val="BodyText"/>
      </w:pPr>
      <w:r>
        <w:rPr>
          <w:bCs/>
          <w:b/>
        </w:rPr>
        <w:t xml:space="preserve">Satellite albedo</w:t>
      </w:r>
      <w:r>
        <w:t xml:space="preserve"> </w:t>
      </w:r>
      <w:r>
        <w:t xml:space="preserve">— broadband albedo is approximated from narrowband reflectances weighted by band solar irradiance:</w:t>
      </w:r>
    </w:p>
    <w:p>
      <w:pPr>
        <w:pStyle w:val="BodyText"/>
      </w:pPr>
      <m:oMathPara>
        <m:oMathParaPr>
          <m:jc m:val="center"/>
        </m:oMathParaPr>
        <m:oMath>
          <m:r>
            <m:t>A</m:t>
          </m:r>
          <m:r>
            <m:rPr>
              <m:sty m:val="p"/>
            </m:rPr>
            <m:t>=</m:t>
          </m:r>
          <m:f>
            <m:fPr>
              <m:type m:val="bar"/>
            </m:fPr>
            <m:num>
              <m:nary>
                <m:naryPr>
                  <m:chr m:val="∑"/>
                  <m:limLoc m:val="undOvr"/>
                  <m:subHide m:val="off"/>
                  <m:supHide m:val="on"/>
                </m:naryPr>
                <m:sub>
                  <m:r>
                    <m:t>i</m:t>
                  </m:r>
                </m:sub>
                <m:sup>
                  <m:r>
                    <m:t>​</m:t>
                  </m:r>
                </m:sup>
                <m:e>
                  <m:sSub>
                    <m:e>
                      <m:r>
                        <m:t>ρ</m:t>
                      </m:r>
                    </m:e>
                    <m:sub>
                      <m:r>
                        <m:t>i</m:t>
                      </m:r>
                    </m:sub>
                  </m:sSub>
                </m:e>
              </m:nary>
              <m:r>
                <m:t> </m:t>
              </m:r>
              <m:sSub>
                <m:e>
                  <m:r>
                    <m:t>E</m:t>
                  </m:r>
                </m:e>
                <m:sub>
                  <m:r>
                    <m:t>i</m:t>
                  </m:r>
                </m:sub>
              </m:sSub>
            </m:num>
            <m:den>
              <m:nary>
                <m:naryPr>
                  <m:chr m:val="∑"/>
                  <m:limLoc m:val="undOvr"/>
                  <m:subHide m:val="off"/>
                  <m:supHide m:val="on"/>
                </m:naryPr>
                <m:sub>
                  <m:r>
                    <m:t>i</m:t>
                  </m:r>
                </m:sub>
                <m:sup>
                  <m:r>
                    <m:t>​</m:t>
                  </m:r>
                </m:sup>
                <m:e>
                  <m:sSub>
                    <m:e>
                      <m:r>
                        <m:t>E</m:t>
                      </m:r>
                    </m:e>
                    <m:sub>
                      <m:r>
                        <m:t>i</m:t>
                      </m:r>
                    </m:sub>
                  </m:sSub>
                </m:e>
              </m:nary>
            </m:den>
          </m:f>
          <m:r>
            <m:rPr>
              <m:sty m:val="p"/>
            </m:rPr>
            <m:t>,</m:t>
          </m:r>
          <m:r>
            <m:t>  </m:t>
          </m:r>
          <m:sSub>
            <m:e>
              <m:r>
                <m:t>ρ</m:t>
              </m:r>
            </m:e>
            <m:sub>
              <m:r>
                <m:t>i</m:t>
              </m:r>
            </m:sub>
          </m:sSub>
          <m:r>
            <m:rPr>
              <m:sty m:val="p"/>
            </m:rPr>
            <m:t>=</m:t>
          </m:r>
          <m:f>
            <m:fPr>
              <m:type m:val="bar"/>
            </m:fPr>
            <m:num>
              <m:r>
                <m:t>π</m:t>
              </m:r>
              <m:sSub>
                <m:e>
                  <m:r>
                    <m:t>L</m:t>
                  </m:r>
                </m:e>
                <m:sub>
                  <m:r>
                    <m:t>i</m:t>
                  </m:r>
                </m:sub>
              </m:sSub>
              <m:sSup>
                <m:e>
                  <m:r>
                    <m:t>d</m:t>
                  </m:r>
                </m:e>
                <m:sup>
                  <m:r>
                    <m:t>2</m:t>
                  </m:r>
                </m:sup>
              </m:sSup>
            </m:num>
            <m:den>
              <m:sSub>
                <m:e>
                  <m:r>
                    <m:t>E</m:t>
                  </m:r>
                </m:e>
                <m:sub>
                  <m:r>
                    <m:t>i</m:t>
                  </m:r>
                </m:sub>
              </m:sSub>
              <m:r>
                <m:rPr>
                  <m:sty m:val="p"/>
                </m:rPr>
                <m:t>cos</m:t>
              </m:r>
              <m:sSub>
                <m:e>
                  <m:r>
                    <m:t>θ</m:t>
                  </m:r>
                </m:e>
                <m:sub>
                  <m:r>
                    <m:t>s</m:t>
                  </m:r>
                </m:sub>
              </m:sSub>
            </m:den>
          </m:f>
        </m:oMath>
      </m:oMathPara>
    </w:p>
    <w:p>
      <w:pPr>
        <w:pStyle w:val="FirstParagraph"/>
      </w:pPr>
      <w:r>
        <w:t xml:space="preserve">(e.g., from Landsat TM, IRS LISS, AVHRR channels 1–2:</w:t>
      </w:r>
      <w:r>
        <w:t xml:space="preserve"> </w:t>
      </w:r>
      <m:oMath>
        <m:r>
          <m:t>A</m:t>
        </m:r>
        <m:r>
          <m:rPr>
            <m:sty m:val="p"/>
          </m:rPr>
          <m:t>=</m:t>
        </m:r>
        <m:sSub>
          <m:e>
            <m:r>
              <m:t>W</m:t>
            </m:r>
          </m:e>
          <m:sub>
            <m:r>
              <m:t>1</m:t>
            </m:r>
          </m:sub>
        </m:sSub>
        <m:sSub>
          <m:e>
            <m:r>
              <m:t>ρ</m:t>
            </m:r>
          </m:e>
          <m:sub>
            <m:r>
              <m:t>1</m:t>
            </m:r>
          </m:sub>
        </m:sSub>
        <m:r>
          <m:rPr>
            <m:sty m:val="p"/>
          </m:rPr>
          <m:t>+</m:t>
        </m:r>
        <m:sSub>
          <m:e>
            <m:r>
              <m:t>W</m:t>
            </m:r>
          </m:e>
          <m:sub>
            <m:r>
              <m:t>2</m:t>
            </m:r>
          </m:sub>
        </m:sSub>
        <m:sSub>
          <m:e>
            <m:r>
              <m:t>ρ</m:t>
            </m:r>
          </m:e>
          <m:sub>
            <m:r>
              <m:t>2</m:t>
            </m:r>
          </m:sub>
        </m:sSub>
      </m:oMath>
      <w:r>
        <w:t xml:space="preserve">). Complications: atmosphere, surface anisotropy (BRDF), rugged terrain, narrow-to-broad conversion. Albedo is used in climate models, crop growth and desertification monitoring (rising albedo = degradation).</w:t>
      </w:r>
    </w:p>
    <w:p>
      <w:pPr>
        <w:pStyle w:val="Heading2"/>
      </w:pPr>
      <w:r>
        <w:t xml:space="preserve">25.3 Energy Balance of the Soil–Crop System</w:t>
      </w:r>
    </w:p>
    <w:p>
      <w:pPr>
        <w:pStyle w:val="FirstParagraph"/>
      </w:pPr>
      <m:oMathPara>
        <m:oMathParaPr>
          <m:jc m:val="center"/>
        </m:oMathParaPr>
        <m:oMath>
          <m:sSub>
            <m:e>
              <m:r>
                <m:t>R</m:t>
              </m:r>
            </m:e>
            <m:sub>
              <m:r>
                <m:t>n</m:t>
              </m:r>
            </m:sub>
          </m:sSub>
          <m:r>
            <m:rPr>
              <m:sty m:val="p"/>
            </m:rPr>
            <m:t>=</m:t>
          </m:r>
          <m:r>
            <m:t>L</m:t>
          </m:r>
          <m:r>
            <m:t>E</m:t>
          </m:r>
          <m:r>
            <m:rPr>
              <m:sty m:val="p"/>
            </m:rPr>
            <m:t>+</m:t>
          </m:r>
          <m:r>
            <m:t>H</m:t>
          </m:r>
          <m:r>
            <m:rPr>
              <m:sty m:val="p"/>
            </m:rPr>
            <m:t>+</m:t>
          </m:r>
          <m:r>
            <m:t>G</m:t>
          </m:r>
          <m:r>
            <m:rPr>
              <m:sty m:val="p"/>
            </m:rPr>
            <m:t>+</m:t>
          </m:r>
          <m:r>
            <m:t>Δ</m:t>
          </m:r>
          <m:r>
            <m:t>S</m:t>
          </m:r>
          <m:r>
            <m:rPr>
              <m:sty m:val="p"/>
            </m:rPr>
            <m:t>+</m:t>
          </m:r>
          <m:r>
            <m:t>P</m:t>
          </m:r>
        </m:oMath>
      </m:oMathPara>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Typical share over a well-watered crop (daytime)</w:t>
            </w:r>
          </w:p>
        </w:tc>
        <w:tc>
          <w:tcPr/>
          <w:p>
            <w:pPr>
              <w:pStyle w:val="Compact"/>
              <w:jc w:val="left"/>
            </w:pPr>
            <w:r>
              <w:t xml:space="preserve">Controls</w:t>
            </w:r>
          </w:p>
        </w:tc>
      </w:tr>
      <w:tr>
        <w:tc>
          <w:tcPr/>
          <w:p>
            <w:pPr>
              <w:pStyle w:val="Compact"/>
              <w:jc w:val="left"/>
            </w:pPr>
            <w:r>
              <w:rPr>
                <w:bCs/>
                <w:b/>
              </w:rPr>
              <w:t xml:space="preserve">LE</w:t>
            </w:r>
            <w:r>
              <w:t xml:space="preserve"> </w:t>
            </w:r>
            <w:r>
              <w:t xml:space="preserve">(latent heat — ET)</w:t>
            </w:r>
          </w:p>
        </w:tc>
        <w:tc>
          <w:tcPr/>
          <w:p>
            <w:pPr>
              <w:pStyle w:val="Compact"/>
              <w:jc w:val="left"/>
            </w:pPr>
            <w:r>
              <w:t xml:space="preserve">60–80% of Rn</w:t>
            </w:r>
          </w:p>
        </w:tc>
        <w:tc>
          <w:tcPr/>
          <w:p>
            <w:pPr>
              <w:pStyle w:val="Compact"/>
              <w:jc w:val="left"/>
            </w:pPr>
            <w:r>
              <w:t xml:space="preserve">Water availability, stomatal conductance, VPD, LAI</w:t>
            </w:r>
          </w:p>
        </w:tc>
      </w:tr>
      <w:tr>
        <w:tc>
          <w:tcPr/>
          <w:p>
            <w:pPr>
              <w:pStyle w:val="Compact"/>
              <w:jc w:val="left"/>
            </w:pPr>
            <w:r>
              <w:rPr>
                <w:bCs/>
                <w:b/>
              </w:rPr>
              <w:t xml:space="preserve">H</w:t>
            </w:r>
            <w:r>
              <w:t xml:space="preserve"> </w:t>
            </w:r>
            <w:r>
              <w:t xml:space="preserve">(sensible heat)</w:t>
            </w:r>
          </w:p>
        </w:tc>
        <w:tc>
          <w:tcPr/>
          <w:p>
            <w:pPr>
              <w:pStyle w:val="Compact"/>
              <w:jc w:val="left"/>
            </w:pPr>
            <w:r>
              <w:t xml:space="preserve">10–30%</w:t>
            </w:r>
          </w:p>
        </w:tc>
        <w:tc>
          <w:tcPr/>
          <w:p>
            <w:pPr>
              <w:pStyle w:val="Compact"/>
              <w:jc w:val="left"/>
            </w:pPr>
            <w:r>
              <w:t xml:space="preserve">Surface–air temperature difference, aerodynamic resistance</w:t>
            </w:r>
          </w:p>
        </w:tc>
      </w:tr>
      <w:tr>
        <w:tc>
          <w:tcPr/>
          <w:p>
            <w:pPr>
              <w:pStyle w:val="Compact"/>
              <w:jc w:val="left"/>
            </w:pPr>
            <w:r>
              <w:rPr>
                <w:bCs/>
                <w:b/>
              </w:rPr>
              <w:t xml:space="preserve">G</w:t>
            </w:r>
            <w:r>
              <w:t xml:space="preserve"> </w:t>
            </w:r>
            <w:r>
              <w:t xml:space="preserve">(soil heat flux)</w:t>
            </w:r>
          </w:p>
        </w:tc>
        <w:tc>
          <w:tcPr/>
          <w:p>
            <w:pPr>
              <w:pStyle w:val="Compact"/>
              <w:jc w:val="left"/>
            </w:pPr>
            <w:r>
              <w:t xml:space="preserve">5–15% (higher under sparse canopy, ~0.1 Rn under full cover, ~0.3 Rn bare soil)</w:t>
            </w:r>
          </w:p>
        </w:tc>
        <w:tc>
          <w:tcPr/>
          <w:p>
            <w:pPr>
              <w:pStyle w:val="Compact"/>
              <w:jc w:val="left"/>
            </w:pPr>
            <w:r>
              <w:t xml:space="preserve">Canopy cover, soil moisture, thermal properties</w:t>
            </w:r>
          </w:p>
        </w:tc>
      </w:tr>
      <w:tr>
        <w:tc>
          <w:tcPr/>
          <w:p>
            <w:pPr>
              <w:pStyle w:val="Compact"/>
              <w:jc w:val="left"/>
            </w:pPr>
            <w:r>
              <w:t xml:space="preserve">ΔS (canopy and air storage)</w:t>
            </w:r>
          </w:p>
        </w:tc>
        <w:tc>
          <w:tcPr/>
          <w:p>
            <w:pPr>
              <w:pStyle w:val="Compact"/>
              <w:jc w:val="left"/>
            </w:pPr>
            <w:r>
              <w:t xml:space="preserve">&lt; 5% (larger in forests)</w:t>
            </w:r>
          </w:p>
        </w:tc>
        <w:tc>
          <w:tcPr/>
          <w:p>
            <w:pPr>
              <w:pStyle w:val="Compact"/>
              <w:jc w:val="left"/>
            </w:pPr>
            <w:r>
              <w:t xml:space="preserve">Biomass, time of day</w:t>
            </w:r>
          </w:p>
        </w:tc>
      </w:tr>
      <w:tr>
        <w:tc>
          <w:tcPr/>
          <w:p>
            <w:pPr>
              <w:pStyle w:val="Compact"/>
              <w:jc w:val="left"/>
            </w:pPr>
            <w:r>
              <w:t xml:space="preserve">P (photosynthesis)</w:t>
            </w:r>
          </w:p>
        </w:tc>
        <w:tc>
          <w:tcPr/>
          <w:p>
            <w:pPr>
              <w:pStyle w:val="Compact"/>
              <w:jc w:val="left"/>
            </w:pPr>
            <w:r>
              <w:t xml:space="preserve">1–3%</w:t>
            </w:r>
          </w:p>
        </w:tc>
        <w:tc>
          <w:tcPr/>
          <w:p>
            <w:pPr>
              <w:pStyle w:val="Compact"/>
              <w:jc w:val="left"/>
            </w:pPr>
            <w:r>
              <w:t xml:space="preserve">—</w:t>
            </w:r>
          </w:p>
        </w:tc>
      </w:tr>
    </w:tbl>
    <w:p>
      <w:pPr>
        <w:pStyle w:val="BodyText"/>
      </w:pPr>
      <w:r>
        <w:rPr>
          <w:bCs/>
          <w:b/>
        </w:rPr>
        <w:t xml:space="preserve">Bowen ratio</w:t>
      </w:r>
      <w:r>
        <w:t xml:space="preserve"> </w:t>
      </w:r>
      <m:oMath>
        <m:r>
          <m:t>β</m:t>
        </m:r>
        <m:r>
          <m:rPr>
            <m:sty m:val="p"/>
          </m:rPr>
          <m:t>=</m:t>
        </m:r>
        <m:r>
          <m:t>H</m:t>
        </m:r>
        <m:r>
          <m:rPr>
            <m:sty m:val="p"/>
          </m:rPr>
          <m:t>/</m:t>
        </m:r>
        <m:r>
          <m:t>L</m:t>
        </m:r>
        <m:r>
          <m:t>E</m:t>
        </m:r>
      </m:oMath>
      <w:r>
        <w:t xml:space="preserve"> </w:t>
      </w:r>
      <w:r>
        <w:t xml:space="preserve">— &lt; 0.3 for irrigated crops and wet forests, ~1 for semi-arid vegetation, &gt;&gt; 1 for deserts and stressed crops. Rearranging:</w:t>
      </w:r>
      <w:r>
        <w:t xml:space="preserve"> </w:t>
      </w:r>
      <m:oMath>
        <m:r>
          <m:t>L</m:t>
        </m:r>
        <m:r>
          <m:t>E</m:t>
        </m:r>
        <m:r>
          <m:rPr>
            <m:sty m:val="p"/>
          </m:rPr>
          <m:t>=</m:t>
        </m:r>
        <m:f>
          <m:fPr>
            <m:type m:val="bar"/>
          </m:fPr>
          <m:num>
            <m:sSub>
              <m:e>
                <m:r>
                  <m:t>R</m:t>
                </m:r>
              </m:e>
              <m:sub>
                <m:r>
                  <m:t>n</m:t>
                </m:r>
              </m:sub>
            </m:sSub>
            <m:r>
              <m:rPr>
                <m:sty m:val="p"/>
              </m:rPr>
              <m:t>−</m:t>
            </m:r>
            <m:r>
              <m:t>G</m:t>
            </m:r>
          </m:num>
          <m:den>
            <m:r>
              <m:t>1</m:t>
            </m:r>
            <m:r>
              <m:rPr>
                <m:sty m:val="p"/>
              </m:rPr>
              <m:t>+</m:t>
            </m:r>
            <m:r>
              <m:t>β</m:t>
            </m:r>
          </m:den>
        </m:f>
      </m:oMath>
      <w:r>
        <w:t xml:space="preserve"> </w:t>
      </w:r>
      <w:r>
        <w:t xml:space="preserve">— the</w:t>
      </w:r>
      <w:r>
        <w:t xml:space="preserve"> </w:t>
      </w:r>
      <w:r>
        <w:rPr>
          <w:bCs/>
          <w:b/>
        </w:rPr>
        <w:t xml:space="preserve">Bowen ratio energy balance (BREB)</w:t>
      </w:r>
      <w:r>
        <w:t xml:space="preserve"> </w:t>
      </w:r>
      <w:r>
        <w:t xml:space="preserve">method, with</w:t>
      </w:r>
      <w:r>
        <w:t xml:space="preserve"> </w:t>
      </w:r>
      <m:oMath>
        <m:r>
          <m:t>β</m:t>
        </m:r>
        <m:r>
          <m:rPr>
            <m:sty m:val="p"/>
          </m:rPr>
          <m:t>=</m:t>
        </m:r>
        <m:r>
          <m:t>γ</m:t>
        </m:r>
        <m:r>
          <m:t> </m:t>
        </m:r>
        <m:f>
          <m:fPr>
            <m:type m:val="bar"/>
          </m:fPr>
          <m:num>
            <m:r>
              <m:t>Δ</m:t>
            </m:r>
            <m:r>
              <m:t>T</m:t>
            </m:r>
          </m:num>
          <m:den>
            <m:r>
              <m:t>Δ</m:t>
            </m:r>
            <m:r>
              <m:t>e</m:t>
            </m:r>
          </m:den>
        </m:f>
      </m:oMath>
      <w:r>
        <w:t xml:space="preserve"> </w:t>
      </w:r>
      <w:r>
        <w:t xml:space="preserve">from temperature and vapour-pressure gradients between two heights.</w:t>
      </w:r>
    </w:p>
    <w:p>
      <w:pPr>
        <w:pStyle w:val="BodyText"/>
      </w:pPr>
      <w:r>
        <w:rPr>
          <w:bCs/>
          <w:b/>
        </w:rPr>
        <w:t xml:space="preserve">Evaporative fraction</w:t>
      </w:r>
      <w:r>
        <w:t xml:space="preserve"> </w:t>
      </w:r>
      <m:oMath>
        <m:r>
          <m:t>E</m:t>
        </m:r>
        <m:r>
          <m:t>F</m:t>
        </m:r>
        <m:r>
          <m:rPr>
            <m:sty m:val="p"/>
          </m:rPr>
          <m:t>=</m:t>
        </m:r>
        <m:f>
          <m:fPr>
            <m:type m:val="bar"/>
          </m:fPr>
          <m:num>
            <m:r>
              <m:t>L</m:t>
            </m:r>
            <m:r>
              <m:t>E</m:t>
            </m:r>
          </m:num>
          <m:den>
            <m:sSub>
              <m:e>
                <m:r>
                  <m:t>R</m:t>
                </m:r>
              </m:e>
              <m:sub>
                <m:r>
                  <m:t>n</m:t>
                </m:r>
              </m:sub>
            </m:sSub>
            <m:r>
              <m:rPr>
                <m:sty m:val="p"/>
              </m:rPr>
              <m:t>−</m:t>
            </m:r>
            <m:r>
              <m:t>G</m:t>
            </m:r>
          </m:den>
        </m:f>
      </m:oMath>
      <w:r>
        <w:t xml:space="preserve"> </w:t>
      </w:r>
      <w:r>
        <w:t xml:space="preserve">— nearly constant through the day, letting instantaneous satellite estimates be upscaled to daily ET.</w:t>
      </w:r>
    </w:p>
    <w:p>
      <w:pPr>
        <w:pStyle w:val="BodyText"/>
      </w:pPr>
      <w:r>
        <w:rPr>
          <w:bCs/>
          <w:b/>
        </w:rPr>
        <w:t xml:space="preserve">Soil heat flux</w:t>
      </w:r>
      <w:r>
        <w:t xml:space="preserve"> </w:t>
      </w:r>
      <w:r>
        <w:t xml:space="preserve">is measured with heat flux plates (+ calorimetric storage correction above the plate); for satellites it is parameterised, e.g. </w:t>
      </w:r>
      <m:oMath>
        <m:r>
          <m:t>G</m:t>
        </m:r>
        <m:r>
          <m:rPr>
            <m:sty m:val="p"/>
          </m:rPr>
          <m:t>/</m:t>
        </m:r>
        <m:sSub>
          <m:e>
            <m:r>
              <m:t>R</m:t>
            </m:r>
          </m:e>
          <m:sub>
            <m:r>
              <m:t>n</m:t>
            </m:r>
          </m:sub>
        </m:sSub>
        <m:r>
          <m:rPr>
            <m:sty m:val="p"/>
          </m:rPr>
          <m:t>=</m:t>
        </m:r>
        <m:f>
          <m:fPr>
            <m:type m:val="bar"/>
          </m:fPr>
          <m:num>
            <m:sSub>
              <m:e>
                <m:r>
                  <m:t>T</m:t>
                </m:r>
              </m:e>
              <m:sub>
                <m:r>
                  <m:t>s</m:t>
                </m:r>
              </m:sub>
            </m:sSub>
          </m:num>
          <m:den>
            <m:r>
              <m:t>α</m:t>
            </m:r>
          </m:den>
        </m:f>
        <m:d>
          <m:dPr>
            <m:begChr m:val="("/>
            <m:endChr m:val=")"/>
            <m:sepChr m:val=""/>
            <m:grow/>
          </m:dPr>
          <m:e>
            <m:r>
              <m:t>0.0038</m:t>
            </m:r>
            <m:r>
              <m:t>α</m:t>
            </m:r>
            <m:r>
              <m:rPr>
                <m:sty m:val="p"/>
              </m:rPr>
              <m:t>+</m:t>
            </m:r>
            <m:r>
              <m:t>0.0074</m:t>
            </m:r>
            <m:sSup>
              <m:e>
                <m:r>
                  <m:t>α</m:t>
                </m:r>
              </m:e>
              <m:sup>
                <m:r>
                  <m:t>2</m:t>
                </m:r>
              </m:sup>
            </m:sSup>
          </m:e>
        </m:d>
        <m:d>
          <m:dPr>
            <m:begChr m:val="("/>
            <m:endChr m:val=")"/>
            <m:sepChr m:val=""/>
            <m:grow/>
          </m:dPr>
          <m:e>
            <m:r>
              <m:t>1</m:t>
            </m:r>
            <m:r>
              <m:rPr>
                <m:sty m:val="p"/>
              </m:rPr>
              <m:t>−</m:t>
            </m:r>
            <m:r>
              <m:t>0.98</m:t>
            </m:r>
            <m:r>
              <m:t> </m:t>
            </m:r>
            <m:r>
              <m:t>N</m:t>
            </m:r>
            <m:r>
              <m:t>D</m:t>
            </m:r>
            <m:r>
              <m:t>V</m:t>
            </m:r>
            <m:sSup>
              <m:e>
                <m:r>
                  <m:t>I</m:t>
                </m:r>
              </m:e>
              <m:sup>
                <m:r>
                  <m:t>4</m:t>
                </m:r>
              </m:sup>
            </m:sSup>
          </m:e>
        </m:d>
      </m:oMath>
      <w:r>
        <w:t xml:space="preserve"> </w:t>
      </w:r>
      <w:r>
        <w:t xml:space="preserve">(Bastiaanssen) for vegetated land, ≈ 0.2 for bare soil.</w:t>
      </w:r>
    </w:p>
    <w:p>
      <w:pPr>
        <w:pStyle w:val="Heading2"/>
      </w:pPr>
      <w:r>
        <w:t xml:space="preserve">25.4 Radiation Within Crop Canopies</w:t>
      </w:r>
    </w:p>
    <w:p>
      <w:pPr>
        <w:pStyle w:val="FirstParagraph"/>
      </w:pPr>
      <w:r>
        <w:rPr>
          <w:bCs/>
          <w:b/>
        </w:rPr>
        <w:t xml:space="preserve">Beer–Lambert extinction</w:t>
      </w:r>
      <w:r>
        <w:t xml:space="preserve"> </w:t>
      </w:r>
      <w:r>
        <w:t xml:space="preserve">(introduced earlier):</w:t>
      </w:r>
      <w:r>
        <w:t xml:space="preserve"> </w:t>
      </w:r>
      <m:oMath>
        <m:sSub>
          <m:e>
            <m:r>
              <m:t>I</m:t>
            </m:r>
          </m:e>
          <m:sub>
            <m:r>
              <m:t>z</m:t>
            </m:r>
          </m:sub>
        </m:sSub>
        <m:r>
          <m:rPr>
            <m:sty m:val="p"/>
          </m:rPr>
          <m:t>=</m:t>
        </m:r>
        <m:sSub>
          <m:e>
            <m:r>
              <m:t>I</m:t>
            </m:r>
          </m:e>
          <m:sub>
            <m:r>
              <m:t>0</m:t>
            </m:r>
          </m:sub>
        </m:sSub>
        <m:sSup>
          <m:e>
            <m:r>
              <m:t>e</m:t>
            </m:r>
          </m:e>
          <m:sup>
            <m:r>
              <m:rPr>
                <m:sty m:val="p"/>
              </m:rPr>
              <m:t>−</m:t>
            </m:r>
            <m:r>
              <m:t>k</m:t>
            </m:r>
            <m:r>
              <m:t> </m:t>
            </m:r>
            <m:r>
              <m:t>L</m:t>
            </m:r>
            <m:r>
              <m:t>A</m:t>
            </m:r>
            <m:sSub>
              <m:e>
                <m:r>
                  <m:t>I</m:t>
                </m:r>
              </m:e>
              <m:sub>
                <m:r>
                  <m:t>z</m:t>
                </m:r>
              </m:sub>
            </m:sSub>
          </m:sup>
        </m:sSup>
      </m:oMath>
      <w:r>
        <w:t xml:space="preserve">. Consequences:</w:t>
      </w:r>
    </w:p>
    <w:p>
      <w:pPr>
        <w:pStyle w:val="Compact"/>
        <w:numPr>
          <w:ilvl w:val="0"/>
          <w:numId w:val="1188"/>
        </w:numPr>
      </w:pPr>
      <w:r>
        <w:t xml:space="preserve">Upper leaves are light-saturated; lower leaves often below compensation point → crops with</w:t>
      </w:r>
      <w:r>
        <w:t xml:space="preserve"> </w:t>
      </w:r>
      <w:r>
        <w:rPr>
          <w:bCs/>
          <w:b/>
        </w:rPr>
        <w:t xml:space="preserve">erect leaves (low k)</w:t>
      </w:r>
      <w:r>
        <w:t xml:space="preserve"> </w:t>
      </w:r>
      <w:r>
        <w:t xml:space="preserve">distribute light more evenly and achieve higher canopy photosynthesis at high LAI (basis of</w:t>
      </w:r>
      <w:r>
        <w:t xml:space="preserve"> </w:t>
      </w:r>
      <w:r>
        <w:t xml:space="preserve">“</w:t>
      </w:r>
      <w:r>
        <w:t xml:space="preserve">ideotype</w:t>
      </w:r>
      <w:r>
        <w:t xml:space="preserve">”</w:t>
      </w:r>
      <w:r>
        <w:t xml:space="preserve"> </w:t>
      </w:r>
      <w:r>
        <w:t xml:space="preserve">breeding — erect-leaf rice and wheat).</w:t>
      </w:r>
    </w:p>
    <w:p>
      <w:pPr>
        <w:pStyle w:val="Compact"/>
        <w:numPr>
          <w:ilvl w:val="0"/>
          <w:numId w:val="1188"/>
        </w:numPr>
      </w:pPr>
      <w:r>
        <w:rPr>
          <w:bCs/>
          <w:b/>
        </w:rPr>
        <w:t xml:space="preserve">Critical LAI</w:t>
      </w:r>
      <w:r>
        <w:t xml:space="preserve"> </w:t>
      </w:r>
      <w:r>
        <w:t xml:space="preserve">— LAI intercepting ~95% of incoming radiation (k ≈ 0.5 ⇒ LAI ≈ 6; k ≈ 0.8 ⇒ LAI ≈ 3.7).</w:t>
      </w:r>
      <w:r>
        <w:t xml:space="preserve"> </w:t>
      </w:r>
      <w:r>
        <w:rPr>
          <w:bCs/>
          <w:b/>
        </w:rPr>
        <w:t xml:space="preserve">Optimum LAI</w:t>
      </w:r>
      <w:r>
        <w:t xml:space="preserve"> </w:t>
      </w:r>
      <w:r>
        <w:t xml:space="preserve">maximises net canopy photosynthesis.</w:t>
      </w:r>
    </w:p>
    <w:p>
      <w:pPr>
        <w:pStyle w:val="Compact"/>
        <w:numPr>
          <w:ilvl w:val="0"/>
          <w:numId w:val="1188"/>
        </w:numPr>
      </w:pPr>
      <w:r>
        <w:rPr>
          <w:bCs/>
          <w:b/>
        </w:rPr>
        <w:t xml:space="preserve">fAPAR</w:t>
      </w:r>
      <w:r>
        <w:t xml:space="preserve"> </w:t>
      </w:r>
      <w:r>
        <w:t xml:space="preserve">≈ 1 − e^{−k LAI}, closely related to NDVI (fAPAR ≈ 1.22 NDVI − 0.19 for some crops, or WDVI-based relations), linking satellites to crop growth.</w:t>
      </w:r>
    </w:p>
    <w:p>
      <w:pPr>
        <w:pStyle w:val="FirstParagraph"/>
      </w:pPr>
      <w:r>
        <w:rPr>
          <w:bCs/>
          <w:b/>
        </w:rPr>
        <w:t xml:space="preserve">Light interception and row orientation:</w:t>
      </w:r>
      <w:r>
        <w:t xml:space="preserve"> </w:t>
      </w:r>
      <w:r>
        <w:t xml:space="preserve">north–south rows give more even interception through the day; intercropping tall and short crops uses vertical light gradients.</w:t>
      </w:r>
    </w:p>
    <w:p>
      <w:pPr>
        <w:pStyle w:val="BodyText"/>
      </w:pPr>
      <w:r>
        <w:rPr>
          <w:bCs/>
          <w:b/>
        </w:rPr>
        <w:t xml:space="preserve">Spectral quality changes:</w:t>
      </w:r>
      <w:r>
        <w:t xml:space="preserve"> </w:t>
      </w:r>
      <w:r>
        <w:t xml:space="preserve">the canopy absorbs red and blue strongly and transmits/reflects far-red, so the</w:t>
      </w:r>
      <w:r>
        <w:t xml:space="preserve"> </w:t>
      </w:r>
      <w:r>
        <w:rPr>
          <w:bCs/>
          <w:b/>
        </w:rPr>
        <w:t xml:space="preserve">red:far-red ratio</w:t>
      </w:r>
      <w:r>
        <w:t xml:space="preserve"> </w:t>
      </w:r>
      <w:r>
        <w:t xml:space="preserve">decreases with depth — triggers shade-avoidance (stem elongation) via phytochrome.</w:t>
      </w:r>
    </w:p>
    <w:p>
      <w:pPr>
        <w:pStyle w:val="Heading2"/>
      </w:pPr>
      <w:r>
        <w:t xml:space="preserve">25.5 Temperature Regimes and Heat Balance Consequences</w:t>
      </w:r>
    </w:p>
    <w:p>
      <w:pPr>
        <w:pStyle w:val="Compact"/>
        <w:numPr>
          <w:ilvl w:val="0"/>
          <w:numId w:val="1189"/>
        </w:numPr>
      </w:pPr>
      <w:r>
        <w:rPr>
          <w:bCs/>
          <w:b/>
        </w:rPr>
        <w:t xml:space="preserve">Canopy temperature</w:t>
      </w:r>
      <w:r>
        <w:t xml:space="preserve"> </w:t>
      </w:r>
      <w:r>
        <w:t xml:space="preserve">is set by the energy balance: transpiring crops can be several °C cooler than air (LE &gt; Rn possible under advection), while stressed crops become warmer. The canopy–air temperature difference underlies the</w:t>
      </w:r>
      <w:r>
        <w:t xml:space="preserve"> </w:t>
      </w:r>
      <w:r>
        <w:rPr>
          <w:bCs/>
          <w:b/>
        </w:rPr>
        <w:t xml:space="preserve">Crop Water Stress Index</w:t>
      </w:r>
      <w:r>
        <w:t xml:space="preserve">:</w:t>
      </w:r>
    </w:p>
    <w:p>
      <w:pPr>
        <w:pStyle w:val="FirstParagraph"/>
      </w:pPr>
      <m:oMathPara>
        <m:oMathParaPr>
          <m:jc m:val="center"/>
        </m:oMathParaPr>
        <m:oMath>
          <m:r>
            <m:t>C</m:t>
          </m:r>
          <m:r>
            <m:t>W</m:t>
          </m:r>
          <m:r>
            <m:t>S</m:t>
          </m:r>
          <m:r>
            <m:t>I</m:t>
          </m:r>
          <m:r>
            <m:rPr>
              <m:sty m:val="p"/>
            </m:rPr>
            <m:t>=</m:t>
          </m:r>
          <m:f>
            <m:fPr>
              <m:type m:val="bar"/>
            </m:fPr>
            <m:num>
              <m:d>
                <m:dPr>
                  <m:begChr m:val="("/>
                  <m:endChr m:val=")"/>
                  <m:sepChr m:val=""/>
                  <m:grow/>
                </m:dPr>
                <m:e>
                  <m:sSub>
                    <m:e>
                      <m:r>
                        <m:t>T</m:t>
                      </m:r>
                    </m:e>
                    <m:sub>
                      <m:r>
                        <m:t>c</m:t>
                      </m:r>
                    </m:sub>
                  </m:sSub>
                  <m:r>
                    <m:rPr>
                      <m:sty m:val="p"/>
                    </m:rPr>
                    <m:t>−</m:t>
                  </m:r>
                  <m:sSub>
                    <m:e>
                      <m:r>
                        <m:t>T</m:t>
                      </m:r>
                    </m:e>
                    <m:sub>
                      <m:r>
                        <m:t>a</m:t>
                      </m:r>
                    </m:sub>
                  </m:sSub>
                </m:e>
              </m:d>
              <m:r>
                <m:rPr>
                  <m:sty m:val="p"/>
                </m:rPr>
                <m:t>−</m:t>
              </m:r>
              <m:sSub>
                <m:e>
                  <m:d>
                    <m:dPr>
                      <m:begChr m:val="("/>
                      <m:endChr m:val=")"/>
                      <m:sepChr m:val=""/>
                      <m:grow/>
                    </m:dPr>
                    <m:e>
                      <m:sSub>
                        <m:e>
                          <m:r>
                            <m:t>T</m:t>
                          </m:r>
                        </m:e>
                        <m:sub>
                          <m:r>
                            <m:t>c</m:t>
                          </m:r>
                        </m:sub>
                      </m:sSub>
                      <m:r>
                        <m:rPr>
                          <m:sty m:val="p"/>
                        </m:rPr>
                        <m:t>−</m:t>
                      </m:r>
                      <m:sSub>
                        <m:e>
                          <m:r>
                            <m:t>T</m:t>
                          </m:r>
                        </m:e>
                        <m:sub>
                          <m:r>
                            <m:t>a</m:t>
                          </m:r>
                        </m:sub>
                      </m:sSub>
                    </m:e>
                  </m:d>
                </m:e>
                <m:sub>
                  <m:r>
                    <m:t>L</m:t>
                  </m:r>
                  <m:r>
                    <m:t>L</m:t>
                  </m:r>
                </m:sub>
              </m:sSub>
            </m:num>
            <m:den>
              <m:sSub>
                <m:e>
                  <m:d>
                    <m:dPr>
                      <m:begChr m:val="("/>
                      <m:endChr m:val=")"/>
                      <m:sepChr m:val=""/>
                      <m:grow/>
                    </m:dPr>
                    <m:e>
                      <m:sSub>
                        <m:e>
                          <m:r>
                            <m:t>T</m:t>
                          </m:r>
                        </m:e>
                        <m:sub>
                          <m:r>
                            <m:t>c</m:t>
                          </m:r>
                        </m:sub>
                      </m:sSub>
                      <m:r>
                        <m:rPr>
                          <m:sty m:val="p"/>
                        </m:rPr>
                        <m:t>−</m:t>
                      </m:r>
                      <m:sSub>
                        <m:e>
                          <m:r>
                            <m:t>T</m:t>
                          </m:r>
                        </m:e>
                        <m:sub>
                          <m:r>
                            <m:t>a</m:t>
                          </m:r>
                        </m:sub>
                      </m:sSub>
                    </m:e>
                  </m:d>
                </m:e>
                <m:sub>
                  <m:r>
                    <m:t>U</m:t>
                  </m:r>
                  <m:r>
                    <m:t>L</m:t>
                  </m:r>
                </m:sub>
              </m:sSub>
              <m:r>
                <m:rPr>
                  <m:sty m:val="p"/>
                </m:rPr>
                <m:t>−</m:t>
              </m:r>
              <m:sSub>
                <m:e>
                  <m:d>
                    <m:dPr>
                      <m:begChr m:val="("/>
                      <m:endChr m:val=")"/>
                      <m:sepChr m:val=""/>
                      <m:grow/>
                    </m:dPr>
                    <m:e>
                      <m:sSub>
                        <m:e>
                          <m:r>
                            <m:t>T</m:t>
                          </m:r>
                        </m:e>
                        <m:sub>
                          <m:r>
                            <m:t>c</m:t>
                          </m:r>
                        </m:sub>
                      </m:sSub>
                      <m:r>
                        <m:rPr>
                          <m:sty m:val="p"/>
                        </m:rPr>
                        <m:t>−</m:t>
                      </m:r>
                      <m:sSub>
                        <m:e>
                          <m:r>
                            <m:t>T</m:t>
                          </m:r>
                        </m:e>
                        <m:sub>
                          <m:r>
                            <m:t>a</m:t>
                          </m:r>
                        </m:sub>
                      </m:sSub>
                    </m:e>
                  </m:d>
                </m:e>
                <m:sub>
                  <m:r>
                    <m:t>L</m:t>
                  </m:r>
                  <m:r>
                    <m:t>L</m:t>
                  </m:r>
                </m:sub>
              </m:sSub>
            </m:den>
          </m:f>
        </m:oMath>
      </m:oMathPara>
    </w:p>
    <w:p>
      <w:pPr>
        <w:pStyle w:val="FirstParagraph"/>
      </w:pPr>
      <w:r>
        <w:t xml:space="preserve">(lower limit = well-watered, non-water-stressed baseline vs. VPD; upper limit = non-transpiring). CWSI 0 = no stress, 1 = maximum stress.</w:t>
      </w:r>
    </w:p>
    <w:p>
      <w:pPr>
        <w:numPr>
          <w:ilvl w:val="0"/>
          <w:numId w:val="1190"/>
        </w:numPr>
      </w:pPr>
      <w:r>
        <w:rPr>
          <w:bCs/>
          <w:b/>
        </w:rPr>
        <w:t xml:space="preserve">Radiation frost:</w:t>
      </w:r>
      <w:r>
        <w:t xml:space="preserve"> </w:t>
      </w:r>
      <w:r>
        <w:t xml:space="preserve">on clear, calm nights strong longwave loss cools surfaces below air temperature; cold air drains into valleys (frost pockets). Protection: irrigation (water releases heat, increases soil conductivity and heat storage), smoke/fog screens (absorb and re-emit longwave), wind machines (mix warmer inversion air down), mulches removal (bare moist soil stores more heat), covers.</w:t>
      </w:r>
    </w:p>
    <w:p>
      <w:pPr>
        <w:numPr>
          <w:ilvl w:val="0"/>
          <w:numId w:val="1190"/>
        </w:numPr>
      </w:pPr>
      <w:r>
        <w:rPr>
          <w:bCs/>
          <w:b/>
        </w:rPr>
        <w:t xml:space="preserve">Heat stress:</w:t>
      </w:r>
      <w:r>
        <w:t xml:space="preserve"> </w:t>
      </w:r>
      <w:r>
        <w:t xml:space="preserve">canopy temperatures above ~35 °C at anthesis cause spikelet sterility in rice and grain-set failure in wheat; terminal heat in wheat shortens grain filling.</w:t>
      </w:r>
    </w:p>
    <w:p>
      <w:pPr>
        <w:numPr>
          <w:ilvl w:val="0"/>
          <w:numId w:val="1190"/>
        </w:numPr>
      </w:pPr>
      <w:r>
        <w:rPr>
          <w:bCs/>
          <w:b/>
        </w:rPr>
        <w:t xml:space="preserve">Microclimate modification:</w:t>
      </w:r>
      <w:r>
        <w:t xml:space="preserve"> </w:t>
      </w:r>
      <w:r>
        <w:t xml:space="preserve">windbreaks (reduce advection, ET), mulches (black plastic warms soil, straw cools), shading nets, greenhouses (trap longwave — the greenhouse effect), irrigation (evaporative cooling).</w:t>
      </w:r>
    </w:p>
    <w:p>
      <w:pPr>
        <w:pStyle w:val="CaptionedFigure"/>
      </w:pPr>
      <w:r>
        <w:drawing>
          <wp:inline>
            <wp:extent cx="5334000" cy="2987039"/>
            <wp:effectExtent b="0" l="0" r="0" t="0"/>
            <wp:docPr descr="Radiation and energy balance chain of a crop field" title="" id="87" name="Picture"/>
            <a:graphic>
              <a:graphicData uri="http://schemas.openxmlformats.org/drawingml/2006/picture">
                <pic:pic>
                  <pic:nvPicPr>
                    <pic:cNvPr descr="/tmp/claude-0/-home-user-sonu/ab07c29a-21cd-5a4a-9d2d-68ad72d07153/scratchpad/build/../flows/flow_019.png" id="88" name="Picture"/>
                    <pic:cNvPicPr>
                      <a:picLocks noChangeArrowheads="1" noChangeAspect="1"/>
                    </pic:cNvPicPr>
                  </pic:nvPicPr>
                  <pic:blipFill>
                    <a:blip r:embed="rId86"/>
                    <a:stretch>
                      <a:fillRect/>
                    </a:stretch>
                  </pic:blipFill>
                  <pic:spPr bwMode="auto">
                    <a:xfrm>
                      <a:off x="0" y="0"/>
                      <a:ext cx="5334000" cy="2987039"/>
                    </a:xfrm>
                    <a:prstGeom prst="rect">
                      <a:avLst/>
                    </a:prstGeom>
                    <a:noFill/>
                    <a:ln w="9525">
                      <a:noFill/>
                      <a:headEnd/>
                      <a:tailEnd/>
                    </a:ln>
                  </pic:spPr>
                </pic:pic>
              </a:graphicData>
            </a:graphic>
          </wp:inline>
        </w:drawing>
      </w:r>
    </w:p>
    <w:p>
      <w:pPr>
        <w:pStyle w:val="ImageCaption"/>
      </w:pPr>
      <w:r>
        <w:t xml:space="preserve">Radiation and energy balance chain of a crop field</w:t>
      </w:r>
    </w:p>
    <w:p>
      <w:pPr>
        <w:pStyle w:val="Heading3"/>
      </w:pPr>
      <w:r>
        <w:t xml:space="preserve">25.5.1 Likely interview questions</w:t>
      </w:r>
    </w:p>
    <w:p>
      <w:pPr>
        <w:pStyle w:val="FirstParagraph"/>
      </w:pPr>
      <w:r>
        <w:rPr>
          <w:bCs/>
          <w:b/>
        </w:rPr>
        <w:t xml:space="preserve">Q. Write the net radiation equation.</w:t>
      </w:r>
      <w:r>
        <w:t xml:space="preserve"> </w:t>
      </w:r>
      <m:oMath>
        <m:sSub>
          <m:e>
            <m:r>
              <m:t>R</m:t>
            </m:r>
          </m:e>
          <m:sub>
            <m:r>
              <m:t>n</m:t>
            </m:r>
          </m:sub>
        </m:sSub>
        <m:r>
          <m:rPr>
            <m:sty m:val="p"/>
          </m:rPr>
          <m:t>=</m:t>
        </m:r>
        <m:d>
          <m:dPr>
            <m:begChr m:val="("/>
            <m:endChr m:val=")"/>
            <m:sepChr m:val=""/>
            <m:grow/>
          </m:dPr>
          <m:e>
            <m:r>
              <m:t>1</m:t>
            </m:r>
            <m:r>
              <m:rPr>
                <m:sty m:val="p"/>
              </m:rPr>
              <m:t>−</m:t>
            </m:r>
            <m:r>
              <m:t>α</m:t>
            </m:r>
          </m:e>
        </m:d>
        <m:sSub>
          <m:e>
            <m:r>
              <m:t>R</m:t>
            </m:r>
          </m:e>
          <m:sub>
            <m:r>
              <m:t>s</m:t>
            </m:r>
          </m:sub>
        </m:sSub>
        <m:r>
          <m:rPr>
            <m:sty m:val="p"/>
          </m:rPr>
          <m:t>+</m:t>
        </m:r>
        <m:sSub>
          <m:e>
            <m:r>
              <m:t>L</m:t>
            </m:r>
          </m:e>
          <m:sub>
            <m:r>
              <m:rPr>
                <m:sty m:val="p"/>
              </m:rPr>
              <m:t>↓</m:t>
            </m:r>
          </m:sub>
        </m:sSub>
        <m:r>
          <m:rPr>
            <m:sty m:val="p"/>
          </m:rPr>
          <m:t>−</m:t>
        </m:r>
        <m:sSub>
          <m:e>
            <m:r>
              <m:t>L</m:t>
            </m:r>
          </m:e>
          <m:sub>
            <m:r>
              <m:rPr>
                <m:sty m:val="p"/>
              </m:rPr>
              <m:t>↑</m:t>
            </m:r>
          </m:sub>
        </m:sSub>
      </m:oMath>
      <w:r>
        <w:t xml:space="preserve">.</w:t>
      </w:r>
    </w:p>
    <w:p>
      <w:pPr>
        <w:pStyle w:val="BodyText"/>
      </w:pPr>
      <w:r>
        <w:rPr>
          <w:bCs/>
          <w:b/>
        </w:rPr>
        <w:t xml:space="preserve">Q. What is the Bowen ratio and how is it used to estimate ET?</w:t>
      </w:r>
      <w:r>
        <w:t xml:space="preserve"> </w:t>
      </w:r>
      <m:oMath>
        <m:r>
          <m:t>β</m:t>
        </m:r>
        <m:r>
          <m:rPr>
            <m:sty m:val="p"/>
          </m:rPr>
          <m:t>=</m:t>
        </m:r>
        <m:r>
          <m:t>H</m:t>
        </m:r>
        <m:r>
          <m:rPr>
            <m:sty m:val="p"/>
          </m:rPr>
          <m:t>/</m:t>
        </m:r>
        <m:r>
          <m:t>L</m:t>
        </m:r>
        <m:r>
          <m:t>E</m:t>
        </m:r>
        <m:r>
          <m:rPr>
            <m:sty m:val="p"/>
          </m:rPr>
          <m:t>=</m:t>
        </m:r>
        <m:r>
          <m:t>γ</m:t>
        </m:r>
        <m:r>
          <m:t>Δ</m:t>
        </m:r>
        <m:r>
          <m:t>T</m:t>
        </m:r>
        <m:r>
          <m:rPr>
            <m:sty m:val="p"/>
          </m:rPr>
          <m:t>/</m:t>
        </m:r>
        <m:r>
          <m:t>Δ</m:t>
        </m:r>
        <m:r>
          <m:t>e</m:t>
        </m:r>
      </m:oMath>
      <w:r>
        <w:t xml:space="preserve">;</w:t>
      </w:r>
      <w:r>
        <w:t xml:space="preserve"> </w:t>
      </w:r>
      <m:oMath>
        <m:r>
          <m:t>L</m:t>
        </m:r>
        <m:r>
          <m:t>E</m:t>
        </m:r>
        <m:r>
          <m:rPr>
            <m:sty m:val="p"/>
          </m:rPr>
          <m:t>=</m:t>
        </m:r>
        <m:d>
          <m:dPr>
            <m:begChr m:val="("/>
            <m:endChr m:val=")"/>
            <m:sepChr m:val=""/>
            <m:grow/>
          </m:dPr>
          <m:e>
            <m:sSub>
              <m:e>
                <m:r>
                  <m:t>R</m:t>
                </m:r>
              </m:e>
              <m:sub>
                <m:r>
                  <m:t>n</m:t>
                </m:r>
              </m:sub>
            </m:sSub>
            <m:r>
              <m:rPr>
                <m:sty m:val="p"/>
              </m:rPr>
              <m:t>−</m:t>
            </m:r>
            <m:r>
              <m:t>G</m:t>
            </m:r>
          </m:e>
        </m:d>
        <m:r>
          <m:rPr>
            <m:sty m:val="p"/>
          </m:rPr>
          <m:t>/</m:t>
        </m:r>
        <m:d>
          <m:dPr>
            <m:begChr m:val="("/>
            <m:endChr m:val=")"/>
            <m:sepChr m:val=""/>
            <m:grow/>
          </m:dPr>
          <m:e>
            <m:r>
              <m:t>1</m:t>
            </m:r>
            <m:r>
              <m:rPr>
                <m:sty m:val="p"/>
              </m:rPr>
              <m:t>+</m:t>
            </m:r>
            <m:r>
              <m:t>β</m:t>
            </m:r>
          </m:e>
        </m:d>
      </m:oMath>
      <w:r>
        <w:t xml:space="preserve">.</w:t>
      </w:r>
    </w:p>
    <w:p>
      <w:pPr>
        <w:pStyle w:val="BodyText"/>
      </w:pPr>
      <w:r>
        <w:rPr>
          <w:bCs/>
          <w:b/>
        </w:rPr>
        <w:t xml:space="preserve">Q. Why do erect-leaved crops tolerate higher LAI?</w:t>
      </w:r>
      <w:r>
        <w:t xml:space="preserve"> </w:t>
      </w:r>
      <w:r>
        <w:t xml:space="preserve">Low extinction coefficient spreads light deeper so more leaves stay above compensation point.</w:t>
      </w:r>
    </w:p>
    <w:p>
      <w:pPr>
        <w:pStyle w:val="BodyText"/>
      </w:pPr>
      <w:r>
        <w:rPr>
          <w:bCs/>
          <w:b/>
        </w:rPr>
        <w:t xml:space="preserve">Q. Define CWSI.</w:t>
      </w:r>
      <w:r>
        <w:t xml:space="preserve"> </w:t>
      </w:r>
      <w:r>
        <w:t xml:space="preserve">Normalised canopy–air temperature difference between non-stressed and non-transpiring baselines; 0 = no stress, 1 = full stress.</w:t>
      </w:r>
    </w:p>
    <w:p>
      <w:pPr>
        <w:pStyle w:val="BodyText"/>
      </w:pPr>
      <w:r>
        <w:rPr>
          <w:bCs/>
          <w:b/>
        </w:rPr>
        <w:t xml:space="preserve">Q. How does irrigation protect against frost?</w:t>
      </w:r>
      <w:r>
        <w:t xml:space="preserve"> </w:t>
      </w:r>
      <w:r>
        <w:t xml:space="preserve">Moist soil stores and conducts more heat; freezing water releases latent heat; humidity reduces radiative loss.</w:t>
      </w:r>
    </w:p>
    <w:p>
      <w:pPr>
        <w:pStyle w:val="Heading2"/>
      </w:pPr>
      <w:r>
        <w:t xml:space="preserve">25.6 Radiation and Energy-Balance Equations</w:t>
      </w:r>
    </w:p>
    <w:p>
      <w:pPr>
        <w:pStyle w:val="FirstParagraph"/>
      </w:pPr>
      <w:r>
        <w:rPr>
          <w:bCs/>
          <w:b/>
        </w:rPr>
        <w:t xml:space="preserve">Stefan–Boltzmann Law:</w:t>
      </w:r>
      <w:r>
        <w:t xml:space="preserve"> </w:t>
      </w:r>
      <w:r>
        <w:t xml:space="preserve">M = εσT⁴ — total radiant exitance (W m⁻²) of a surface with emissivity ε (0≤ε≤1, =1 for a perfect blackbody) at absolute temperature T (K); σ = 5.67×10⁻⁸ W m⁻²K⁻⁴ (Stefan–Boltzmann constant). Basis of all thermal-infrared remote sensing: a satellite measures radiance, inverts Planck’s Law/Stefan-Boltzmann to obtain brightness temperature, and (knowing or assuming ε) corrects to true kinetic surface temperature.</w:t>
      </w:r>
    </w:p>
    <w:p>
      <w:pPr>
        <w:pStyle w:val="BodyText"/>
      </w:pPr>
      <w:r>
        <w:rPr>
          <w:bCs/>
          <w:b/>
        </w:rPr>
        <w:t xml:space="preserve">Planck’s Law:</w:t>
      </w:r>
      <w:r>
        <w:t xml:space="preserve"> </w:t>
      </w:r>
      <w:r>
        <w:t xml:space="preserve">Bλ(T) = (2hc²/λ⁵) × 1/[exp(hc/λkT)−1] — spectral radiance emitted by a blackbody at temperature T and wavelength λ; h = Planck’s constant, c = speed of light, k = Boltzmann’s constant. The fundamental radiative-transfer relation underlying every brightness-temperature retrieval.</w:t>
      </w:r>
    </w:p>
    <w:p>
      <w:pPr>
        <w:pStyle w:val="BodyText"/>
      </w:pPr>
      <w:r>
        <w:rPr>
          <w:bCs/>
          <w:b/>
        </w:rPr>
        <w:t xml:space="preserve">Wien’s Displacement Law:</w:t>
      </w:r>
      <w:r>
        <w:t xml:space="preserve"> </w:t>
      </w:r>
      <w:r>
        <w:t xml:space="preserve">λmax = b/T, b = 2898 µm·K — the wavelength of peak blackbody emission is inversely proportional to temperature; explains why fires (600–1200 K) peak near 3–4 µm while the ambient land surface (~300 K) peaks near 10 µm.</w:t>
      </w:r>
    </w:p>
    <w:p>
      <w:pPr>
        <w:pStyle w:val="BodyText"/>
      </w:pPr>
      <w:r>
        <w:rPr>
          <w:bCs/>
          <w:b/>
        </w:rPr>
        <w:t xml:space="preserve">Kirchhoff’s Law:</w:t>
      </w:r>
      <w:r>
        <w:t xml:space="preserve"> </w:t>
      </w:r>
      <w:r>
        <w:t xml:space="preserve">ελ = αλ (at thermal equilibrium, spectral emissivity equals spectral absorptivity) — underlies the pyrgeometer dome-emission correction and general thermal-remote-sensing emissivity assumptions.</w:t>
      </w:r>
    </w:p>
    <w:p>
      <w:pPr>
        <w:pStyle w:val="BodyText"/>
      </w:pPr>
      <w:r>
        <w:rPr>
          <w:bCs/>
          <w:b/>
        </w:rPr>
        <w:t xml:space="preserve">Beer–Bouguer–Lambert Law:</w:t>
      </w:r>
      <w:r>
        <w:t xml:space="preserve"> </w:t>
      </w:r>
      <w:r>
        <w:t xml:space="preserve">I = I0 exp(−τ) or, with concentration/path-length form, I = I0 exp(−αcl) — exponential attenuation of radiation passing through an absorbing/scattering medium; τ is optical depth. Basis of AOD retrieval, IRGA gas-concentration measurement, and atmospheric transmittance modelling generally.</w:t>
      </w:r>
    </w:p>
    <w:p>
      <w:pPr>
        <w:pStyle w:val="BodyText"/>
      </w:pPr>
      <w:r>
        <w:rPr>
          <w:bCs/>
          <w:b/>
        </w:rPr>
        <w:t xml:space="preserve">Net radiation balance:</w:t>
      </w:r>
      <w:r>
        <w:t xml:space="preserve"> </w:t>
      </w:r>
      <w:r>
        <w:t xml:space="preserve">Rn = (1−α)Sin + εa σ Ta⁴ − εs σ Ts⁴ (expanded form) = SWnet + LWnet — where α is surface albedo, Sin is incoming shortwave, εa/εs are atmospheric/surface emissivity, Ta/Ts atmospheric/surface temperature. The full physical expansion of the Rn term used throughout Chapter 1.</w:t>
      </w:r>
    </w:p>
    <w:p>
      <w:pPr>
        <w:pStyle w:val="BodyText"/>
      </w:pPr>
      <w:r>
        <w:rPr>
          <w:bCs/>
          <w:b/>
        </w:rPr>
        <w:t xml:space="preserve">Albedo:</w:t>
      </w:r>
      <w:r>
        <w:t xml:space="preserve"> </w:t>
      </w:r>
      <w:r>
        <w:t xml:space="preserve">α = SWup / SWdown — ratio of reflected to incident shortwave radiation, integrated across the solar spectrum; a key surface-energy-balance and ATI parameter.</w:t>
      </w:r>
    </w:p>
    <w:p>
      <w:pPr>
        <w:pStyle w:val="Heading2"/>
      </w:pPr>
      <w:r>
        <w:t xml:space="preserve">25.7 Solar and Terrestrial Radiation Measurement Instruments</w:t>
      </w:r>
    </w:p>
    <w:p>
      <w:pPr>
        <w:pStyle w:val="FirstParagraph"/>
      </w:pPr>
      <w:r>
        <w:t xml:space="preserve">Accurate measurement of the surface radiation balance is essential both to close the surface energy balance and to validate satellite radiation products (INSAT-3D/3DR Outgoing Longwave Radiation, insolation).</w:t>
      </w:r>
    </w:p>
    <w:tbl>
      <w:tblPr>
        <w:tblStyle w:val="Table"/>
        <w:tblW w:type="pct" w:w="4982"/>
        <w:jc w:val="left"/>
        <w:tblLook w:firstRow="1" w:lastRow="0" w:firstColumn="0" w:lastColumn="0" w:noHBand="0" w:noVBand="0" w:val="0020"/>
      </w:tblPr>
      <w:tblGrid>
        <w:gridCol w:w="584"/>
        <w:gridCol w:w="1965"/>
        <w:gridCol w:w="5341"/>
      </w:tblGrid>
      <w:tr>
        <w:trPr>
          <w:tblHeader w:val="true"/>
        </w:trPr>
        <w:tc>
          <w:tcPr/>
          <w:p>
            <w:pPr>
              <w:pStyle w:val="Compact"/>
              <w:jc w:val="left"/>
            </w:pPr>
            <w:r>
              <w:t xml:space="preserve">Instrument</w:t>
            </w:r>
          </w:p>
        </w:tc>
        <w:tc>
          <w:tcPr/>
          <w:p>
            <w:pPr>
              <w:pStyle w:val="Compact"/>
              <w:jc w:val="left"/>
            </w:pPr>
            <w:r>
              <w:t xml:space="preserve">Measures</w:t>
            </w:r>
          </w:p>
        </w:tc>
        <w:tc>
          <w:tcPr/>
          <w:p>
            <w:pPr>
              <w:pStyle w:val="Compact"/>
              <w:jc w:val="left"/>
            </w:pPr>
            <w:r>
              <w:t xml:space="preserve">Working principle</w:t>
            </w:r>
          </w:p>
        </w:tc>
      </w:tr>
      <w:tr>
        <w:tc>
          <w:tcPr/>
          <w:p>
            <w:pPr>
              <w:pStyle w:val="Compact"/>
              <w:jc w:val="left"/>
            </w:pPr>
            <w:r>
              <w:rPr>
                <w:bCs/>
                <w:b/>
              </w:rPr>
              <w:t xml:space="preserve">Pyranometer</w:t>
            </w:r>
          </w:p>
        </w:tc>
        <w:tc>
          <w:tcPr/>
          <w:p>
            <w:pPr>
              <w:pStyle w:val="Compact"/>
              <w:jc w:val="left"/>
            </w:pPr>
            <w:r>
              <w:t xml:space="preserve">Global (direct + diffuse) shortwave solar radiation, 0.3–3 µm, on a horizontal surface</w:t>
            </w:r>
          </w:p>
        </w:tc>
        <w:tc>
          <w:tcPr/>
          <w:p>
            <w:pPr>
              <w:pStyle w:val="Compact"/>
              <w:jc w:val="left"/>
            </w:pPr>
            <w:r>
              <w:t xml:space="preserve">Thermopile (or, in cheaper models, a silicon photodiode) under a glass dome; absorbed radiation heats a black-coated sensing surface relative to a white/reference surface, generating a thermoelectric voltage proportional to irradiance (thermopile types cover the full solar spectrum uniformly; photodiode types are cheaper but spectrally selective).</w:t>
            </w:r>
          </w:p>
        </w:tc>
      </w:tr>
      <w:tr>
        <w:tc>
          <w:tcPr/>
          <w:p>
            <w:pPr>
              <w:pStyle w:val="Compact"/>
              <w:jc w:val="left"/>
            </w:pPr>
            <w:r>
              <w:rPr>
                <w:bCs/>
                <w:b/>
              </w:rPr>
              <w:t xml:space="preserve">Pyrheliometer</w:t>
            </w:r>
          </w:p>
        </w:tc>
        <w:tc>
          <w:tcPr/>
          <w:p>
            <w:pPr>
              <w:pStyle w:val="Compact"/>
              <w:jc w:val="left"/>
            </w:pPr>
            <w:r>
              <w:t xml:space="preserve">Direct-beam (normal-incidence) solar radiation</w:t>
            </w:r>
          </w:p>
        </w:tc>
        <w:tc>
          <w:tcPr/>
          <w:p>
            <w:pPr>
              <w:pStyle w:val="Compact"/>
              <w:jc w:val="left"/>
            </w:pPr>
            <w:r>
              <w:t xml:space="preserve">Thermopile at the base of a narrow collimating tube (5.7° full field of view) mounted on a sun-tracker, viewing only the solar disc and its aureole.</w:t>
            </w:r>
          </w:p>
        </w:tc>
      </w:tr>
      <w:tr>
        <w:tc>
          <w:tcPr/>
          <w:p>
            <w:pPr>
              <w:pStyle w:val="Compact"/>
              <w:jc w:val="left"/>
            </w:pPr>
            <w:r>
              <w:rPr>
                <w:bCs/>
                <w:b/>
              </w:rPr>
              <w:t xml:space="preserve">Pyranometer with shading disc/ring</w:t>
            </w:r>
          </w:p>
        </w:tc>
        <w:tc>
          <w:tcPr/>
          <w:p>
            <w:pPr>
              <w:pStyle w:val="Compact"/>
              <w:jc w:val="left"/>
            </w:pPr>
            <w:r>
              <w:t xml:space="preserve">Diffuse (sky) shortwave radiation</w:t>
            </w:r>
          </w:p>
        </w:tc>
        <w:tc>
          <w:tcPr/>
          <w:p>
            <w:pPr>
              <w:pStyle w:val="Compact"/>
              <w:jc w:val="left"/>
            </w:pPr>
            <w:r>
              <w:t xml:space="preserve">Same as pyranometer, but a shading ball/disc on a tracker (or a shadow-band, with a geometric correction) blocks the direct beam, leaving only diffuse sky radiation.</w:t>
            </w:r>
          </w:p>
        </w:tc>
      </w:tr>
      <w:tr>
        <w:tc>
          <w:tcPr/>
          <w:p>
            <w:pPr>
              <w:pStyle w:val="Compact"/>
              <w:jc w:val="left"/>
            </w:pPr>
            <w:r>
              <w:rPr>
                <w:bCs/>
                <w:b/>
              </w:rPr>
              <w:t xml:space="preserve">Net radiometer</w:t>
            </w:r>
          </w:p>
        </w:tc>
        <w:tc>
          <w:tcPr/>
          <w:p>
            <w:pPr>
              <w:pStyle w:val="Compact"/>
              <w:jc w:val="left"/>
            </w:pPr>
            <w:r>
              <w:t xml:space="preserve">Net all-wave radiation, Rn = (SW↓ − SW↑) + (LW↓ − LW↑)</w:t>
            </w:r>
          </w:p>
        </w:tc>
        <w:tc>
          <w:tcPr/>
          <w:p>
            <w:pPr>
              <w:pStyle w:val="Compact"/>
              <w:jc w:val="left"/>
            </w:pPr>
            <w:r>
              <w:t xml:space="preserve">Combines an upward- and downward-facing pair of thermopile sensors (either broadband, sensing both shortwave and longwave together with polyethylene domes transparent to both, or four-component types with separate matched pyranometer and pyrgeometer pairs facing up and down) to directly output net radiation, the primary energy-balance term.</w:t>
            </w:r>
          </w:p>
        </w:tc>
      </w:tr>
      <w:tr>
        <w:tc>
          <w:tcPr/>
          <w:p>
            <w:pPr>
              <w:pStyle w:val="Compact"/>
              <w:jc w:val="left"/>
            </w:pPr>
            <w:r>
              <w:rPr>
                <w:bCs/>
                <w:b/>
              </w:rPr>
              <w:t xml:space="preserve">Pyrgeometer</w:t>
            </w:r>
          </w:p>
        </w:tc>
        <w:tc>
          <w:tcPr/>
          <w:p>
            <w:pPr>
              <w:pStyle w:val="Compact"/>
              <w:jc w:val="left"/>
            </w:pPr>
            <w:r>
              <w:t xml:space="preserve">Longwave (terrestrial, 4.5–100 µm) radiation</w:t>
            </w:r>
          </w:p>
        </w:tc>
        <w:tc>
          <w:tcPr/>
          <w:p>
            <w:pPr>
              <w:pStyle w:val="Compact"/>
              <w:jc w:val="left"/>
            </w:pPr>
            <w:r>
              <w:t xml:space="preserve">Thermopile with a silicon dome coated with an interference filter blocking shortwave but passing longwave radiation; includes a thermistor to measure and correct for the dome’s own thermal emission (since the dome itself is not at 0 K and radiates).</w:t>
            </w:r>
          </w:p>
        </w:tc>
      </w:tr>
      <w:tr>
        <w:tc>
          <w:tcPr/>
          <w:p>
            <w:pPr>
              <w:pStyle w:val="Compact"/>
              <w:jc w:val="left"/>
            </w:pPr>
            <w:r>
              <w:rPr>
                <w:bCs/>
                <w:b/>
              </w:rPr>
              <w:t xml:space="preserve">Sunphotometer (e.g., CIMEL CE-318)</w:t>
            </w:r>
          </w:p>
        </w:tc>
        <w:tc>
          <w:tcPr/>
          <w:p>
            <w:pPr>
              <w:pStyle w:val="Compact"/>
              <w:jc w:val="left"/>
            </w:pPr>
            <w:r>
              <w:t xml:space="preserve">Spectral direct solar irradiance at discrete narrow bands (340–1640 nm) → Aerosol Optical Depth (AOD), water vapour, Ångström exponent</w:t>
            </w:r>
          </w:p>
        </w:tc>
        <w:tc>
          <w:tcPr/>
          <w:p>
            <w:pPr>
              <w:pStyle w:val="Compact"/>
              <w:jc w:val="left"/>
            </w:pPr>
            <w:r>
              <w:t xml:space="preserve">Sequential filtered measurements of direct-sun irradiance at multiple wavelengths; AOD is derived by subtracting the Rayleigh-scattering and gas-absorption optical depth from the total measured optical depth via the Beer–Bouguer–Lambert law. Part of the international AERONET network; operated by SAC at the Atmospheric Science Laboratory, Shadnagar.</w:t>
            </w:r>
          </w:p>
        </w:tc>
      </w:tr>
      <w:tr>
        <w:tc>
          <w:tcPr/>
          <w:p>
            <w:pPr>
              <w:pStyle w:val="Compact"/>
              <w:jc w:val="left"/>
            </w:pPr>
            <w:r>
              <w:rPr>
                <w:bCs/>
                <w:b/>
              </w:rPr>
              <w:t xml:space="preserve">Microtops II</w:t>
            </w:r>
          </w:p>
        </w:tc>
        <w:tc>
          <w:tcPr/>
          <w:p>
            <w:pPr>
              <w:pStyle w:val="Compact"/>
              <w:jc w:val="left"/>
            </w:pPr>
            <w:r>
              <w:t xml:space="preserve">Handheld sunphotometer</w:t>
            </w:r>
          </w:p>
        </w:tc>
        <w:tc>
          <w:tcPr/>
          <w:p>
            <w:pPr>
              <w:pStyle w:val="Compact"/>
              <w:jc w:val="left"/>
            </w:pPr>
            <w:r>
              <w:t xml:space="preserve">Portable version giving columnar ozone, AOD and precipitable water vapour at a few channels; used for campaign/field validation.</w:t>
            </w:r>
          </w:p>
        </w:tc>
      </w:tr>
    </w:tbl>
    <w:p>
      <w:pPr>
        <w:pStyle w:val="Heading3"/>
      </w:pPr>
      <w:r>
        <w:t xml:space="preserve">25.7.1 Beer–Bouguer–Lambert law for AOD retrieval</w:t>
      </w:r>
    </w:p>
    <w:p>
      <w:pPr>
        <w:pStyle w:val="FirstParagraph"/>
      </w:pPr>
      <w:r>
        <w:t xml:space="preserve">The sunphotometer AOD retrieval uses:</w:t>
      </w:r>
    </w:p>
    <w:p>
      <w:pPr>
        <w:pStyle w:val="BodyText"/>
      </w:pPr>
      <w:r>
        <w:t xml:space="preserve">V(λ) = V0(λ) exp[−m τ(λ)]</w:t>
      </w:r>
    </w:p>
    <w:p>
      <w:pPr>
        <w:pStyle w:val="BodyText"/>
      </w:pPr>
      <w:r>
        <w:t xml:space="preserve">where V(λ) is measured voltage (irradiance) at wavelength λ, V0(λ) is the extraterrestrial (top-of-atmosphere) calibration constant (obtained by the Langley-plot method), m is the optical air mass, and τ(λ) is total optical depth (Rayleigh + aerosol + gas absorption). Aerosol optical depth is obtained as τaerosol(λ) = τ(λ) − τRayleigh(λ) − τgas(λ).</w:t>
      </w:r>
    </w:p>
    <w:p>
      <w:pPr>
        <w:pStyle w:val="Heading1"/>
      </w:pPr>
      <w:r>
        <w:t xml:space="preserve">Chapter 26. Surface Energy–Mass Flux Measurement, Instrumentation and Modelling</w:t>
      </w:r>
    </w:p>
    <w:p>
      <w:pPr>
        <w:pStyle w:val="Heading2"/>
      </w:pPr>
      <w:r>
        <w:t xml:space="preserve">26.1 The Atmospheric Boundary Layer and Why Flux Measurement Matters</w:t>
      </w:r>
    </w:p>
    <w:p>
      <w:pPr>
        <w:pStyle w:val="FirstParagraph"/>
      </w:pPr>
      <w:r>
        <w:t xml:space="preserve">The atmospheric boundary layer (ABL) is the lowest 100 m–3 km of the atmosphere that is in direct turbulent contact with the Earth’s surface and responds to surface forcing (heating, friction, evapotranspiration) within an hour or less. The lowest 10 percent of the ABL — typically 50–100 m — is called the</w:t>
      </w:r>
      <w:r>
        <w:t xml:space="preserve"> </w:t>
      </w:r>
      <w:r>
        <w:rPr>
          <w:bCs/>
          <w:b/>
        </w:rPr>
        <w:t xml:space="preserve">surface layer</w:t>
      </w:r>
      <w:r>
        <w:t xml:space="preserve"> </w:t>
      </w:r>
      <w:r>
        <w:t xml:space="preserve">(or constant-flux layer), within which turbulent fluxes of momentum, heat and water vapour are assumed to vary by less than about 10 percent with height, i.e. they are treated as constant with height. Almost every</w:t>
      </w:r>
      <w:r>
        <w:t xml:space="preserve"> </w:t>
      </w:r>
      <w:r>
        <w:t xml:space="preserve">“</w:t>
      </w:r>
      <w:r>
        <w:t xml:space="preserve">surface-atmosphere exchange</w:t>
      </w:r>
      <w:r>
        <w:t xml:space="preserve">”</w:t>
      </w:r>
      <w:r>
        <w:t xml:space="preserve"> </w:t>
      </w:r>
      <w:r>
        <w:t xml:space="preserve">instrument used in agrometeorology, hydrology and remote-sensing validation (eddy covariance towers, scintillometers, IRGAs, Automatic Weather Stations) is deployed to characterise these near-constant fluxes, which are then used to close the</w:t>
      </w:r>
      <w:r>
        <w:t xml:space="preserve"> </w:t>
      </w:r>
      <w:r>
        <w:rPr>
          <w:bCs/>
          <w:b/>
        </w:rPr>
        <w:t xml:space="preserve">surface energy balance</w:t>
      </w:r>
      <w:r>
        <w:t xml:space="preserve">:</w:t>
      </w:r>
    </w:p>
    <w:p>
      <w:pPr>
        <w:pStyle w:val="BodyText"/>
      </w:pPr>
      <w:r>
        <w:rPr>
          <w:bCs/>
          <w:b/>
        </w:rPr>
        <w:t xml:space="preserve">Rn = H + LE + G</w:t>
      </w:r>
    </w:p>
    <w:p>
      <w:pPr>
        <w:pStyle w:val="BodyText"/>
      </w:pPr>
      <w:r>
        <w:t xml:space="preserve">where Rn is net radiation, H is sensible heat flux, LE is latent heat flux (evapotranspiration expressed as an energy flux), and G is soil heat flux (all in W m⁻²). A scientist working on crop water-use, drought monitoring, or the validation of satellite-derived evapotranspiration (SAC/VEDAS, MOD16, SSEBop-type) products must be able to explain how each of these four terms is measured independently and how their non-closure (typically 10–30 percent in field experiments) is interpreted.</w:t>
      </w:r>
    </w:p>
    <w:p>
      <w:pPr>
        <w:pStyle w:val="Heading2"/>
      </w:pPr>
      <w:r>
        <w:t xml:space="preserve">26.2 Monin–Obukhov Similarity Theory (MOST)</w:t>
      </w:r>
    </w:p>
    <w:p>
      <w:pPr>
        <w:pStyle w:val="Heading3"/>
      </w:pPr>
      <w:r>
        <w:t xml:space="preserve">26.2.1 Concept</w:t>
      </w:r>
    </w:p>
    <w:p>
      <w:pPr>
        <w:pStyle w:val="FirstParagraph"/>
      </w:pPr>
      <w:r>
        <w:t xml:space="preserve">Monin–Obukhov Similarity Theory (1954) is the central theoretical framework of surface-layer micrometeorology. It states that, in the surface layer, all mean flow and turbulence statistics — normalised by appropriate scaling parameters — are universal functions of a single non-dimensional stability parameter, ζ = z/L, where z is height above the surface (corrected for displacement height d in tall canopies, i.e. (z−d)/L) and L is the</w:t>
      </w:r>
      <w:r>
        <w:t xml:space="preserve"> </w:t>
      </w:r>
      <w:r>
        <w:rPr>
          <w:bCs/>
          <w:b/>
        </w:rPr>
        <w:t xml:space="preserve">Obukhov length</w:t>
      </w:r>
      <w:r>
        <w:t xml:space="preserve">.</w:t>
      </w:r>
    </w:p>
    <w:p>
      <w:pPr>
        <w:pStyle w:val="BodyText"/>
      </w:pPr>
      <w:r>
        <w:t xml:space="preserve">The theory reduces an otherwise intractable turbulence closure problem to an empirical, single-parameter family of similarity functions determined experimentally (principally from the 1968 Kansas experiment and later refined by numerous field campaigns).</w:t>
      </w:r>
    </w:p>
    <w:p>
      <w:pPr>
        <w:pStyle w:val="Heading3"/>
      </w:pPr>
      <w:r>
        <w:t xml:space="preserve">26.2.2 Scaling parameters</w:t>
      </w:r>
    </w:p>
    <w:p>
      <w:pPr>
        <w:pStyle w:val="FirstParagraph"/>
      </w:pPr>
      <w:r>
        <w:t xml:space="preserve">Three scaling parameters are defined from the surface fluxes:</w:t>
      </w:r>
    </w:p>
    <w:p>
      <w:pPr>
        <w:pStyle w:val="Compact"/>
        <w:numPr>
          <w:ilvl w:val="0"/>
          <w:numId w:val="1191"/>
        </w:numPr>
      </w:pPr>
      <w:r>
        <w:rPr>
          <w:bCs/>
          <w:b/>
        </w:rPr>
        <w:t xml:space="preserve">Friction velocity, u*</w:t>
      </w:r>
      <w:r>
        <w:t xml:space="preserve"> </w:t>
      </w:r>
      <w:r>
        <w:t xml:space="preserve">— the velocity scale, defined from the surface momentum flux τ: u* = (τ/ρ)^0.5 = (−u’w’-bar)^0.5, where u’w’-bar is the covariance of horizontal and vertical wind fluctuations (the Reynolds stress), and ρ is air density.</w:t>
      </w:r>
    </w:p>
    <w:p>
      <w:pPr>
        <w:pStyle w:val="Compact"/>
        <w:numPr>
          <w:ilvl w:val="0"/>
          <w:numId w:val="1191"/>
        </w:numPr>
      </w:pPr>
      <w:r>
        <w:rPr>
          <w:bCs/>
          <w:b/>
        </w:rPr>
        <w:t xml:space="preserve">Temperature scale, T*</w:t>
      </w:r>
      <w:r>
        <w:t xml:space="preserve"> </w:t>
      </w:r>
      <w:r>
        <w:t xml:space="preserve">— T* = −(w’θ’-bar)/u*, where w’θ’-bar is the kinematic sensible heat flux (covariance of vertical velocity and potential temperature fluctuations).</w:t>
      </w:r>
    </w:p>
    <w:p>
      <w:pPr>
        <w:pStyle w:val="Compact"/>
        <w:numPr>
          <w:ilvl w:val="0"/>
          <w:numId w:val="1191"/>
        </w:numPr>
      </w:pPr>
      <w:r>
        <w:rPr>
          <w:bCs/>
          <w:b/>
        </w:rPr>
        <w:t xml:space="preserve">Humidity scale, q*</w:t>
      </w:r>
      <w:r>
        <w:t xml:space="preserve"> </w:t>
      </w:r>
      <w:r>
        <w:t xml:space="preserve">— q* = −(w’q’-bar)/u*, analogous scale for specific humidity.</w:t>
      </w:r>
    </w:p>
    <w:p>
      <w:pPr>
        <w:pStyle w:val="Heading3"/>
      </w:pPr>
      <w:r>
        <w:t xml:space="preserve">26.2.3 The Obukhov length</w:t>
      </w:r>
    </w:p>
    <w:p>
      <w:pPr>
        <w:pStyle w:val="FirstParagraph"/>
      </w:pPr>
      <w:r>
        <w:t xml:space="preserve">The Obukhov length L is defined as:</w:t>
      </w:r>
    </w:p>
    <w:p>
      <w:pPr>
        <w:pStyle w:val="BodyText"/>
      </w:pPr>
      <w:r>
        <w:rPr>
          <w:bCs/>
          <w:b/>
        </w:rPr>
        <w:t xml:space="preserve">L = − u*³ / (k (g/T) w’θ’v-bar)</w:t>
      </w:r>
    </w:p>
    <w:p>
      <w:pPr>
        <w:pStyle w:val="BodyText"/>
      </w:pPr>
      <w:r>
        <w:t xml:space="preserve">where k is the von Kármán constant (≈0.40), g is gravitational acceleration (9.81 m s⁻²), T is mean absolute air temperature (K), and w’θ’v-bar is the kinematic virtual heat flux. Physically, L represents the height at which buoyant production/destruction of turbulence kinetic energy (TKE) becomes comparable in magnitude to shear production of TKE. Its sign carries the stability information:</w:t>
      </w:r>
    </w:p>
    <w:p>
      <w:pPr>
        <w:pStyle w:val="Compact"/>
        <w:numPr>
          <w:ilvl w:val="0"/>
          <w:numId w:val="1192"/>
        </w:numPr>
      </w:pPr>
      <w:r>
        <w:rPr>
          <w:bCs/>
          <w:b/>
        </w:rPr>
        <w:t xml:space="preserve">L &lt; 0 (unstable/convective conditions):</w:t>
      </w:r>
      <w:r>
        <w:t xml:space="preserve"> </w:t>
      </w:r>
      <w:r>
        <w:t xml:space="preserve">surface heating dominates; buoyancy generates turbulence; typical of clear daytime conditions over a warm, dry surface.</w:t>
      </w:r>
    </w:p>
    <w:p>
      <w:pPr>
        <w:pStyle w:val="Compact"/>
        <w:numPr>
          <w:ilvl w:val="0"/>
          <w:numId w:val="1192"/>
        </w:numPr>
      </w:pPr>
      <w:r>
        <w:rPr>
          <w:bCs/>
          <w:b/>
        </w:rPr>
        <w:t xml:space="preserve">L &gt; 0 (stable conditions):</w:t>
      </w:r>
      <w:r>
        <w:t xml:space="preserve"> </w:t>
      </w:r>
      <w:r>
        <w:t xml:space="preserve">surface cooling suppresses turbulence; buoyancy destroys TKE; typical of clear nights with radiative surface cooling.</w:t>
      </w:r>
    </w:p>
    <w:p>
      <w:pPr>
        <w:pStyle w:val="Compact"/>
        <w:numPr>
          <w:ilvl w:val="0"/>
          <w:numId w:val="1192"/>
        </w:numPr>
      </w:pPr>
      <w:r>
        <w:rPr>
          <w:bCs/>
          <w:b/>
        </w:rPr>
        <w:t xml:space="preserve">L → ∞ (neutral conditions):</w:t>
      </w:r>
      <w:r>
        <w:t xml:space="preserve"> </w:t>
      </w:r>
      <w:r>
        <w:t xml:space="preserve">buoyancy negligible compared to shear; turbulence generated purely mechanically (strong wind, overcast sky, sunrise/sunset transition).</w:t>
      </w:r>
    </w:p>
    <w:p>
      <w:pPr>
        <w:pStyle w:val="Heading3"/>
      </w:pPr>
      <w:r>
        <w:t xml:space="preserve">26.2.4 Similarity functions and profiles</w:t>
      </w:r>
    </w:p>
    <w:p>
      <w:pPr>
        <w:pStyle w:val="FirstParagraph"/>
      </w:pPr>
      <w:r>
        <w:t xml:space="preserve">MOST expresses the non-dimensional wind shear and temperature/humidity gradients as universal functions of ζ = z/L:</w:t>
      </w:r>
    </w:p>
    <w:p>
      <w:pPr>
        <w:pStyle w:val="BodyText"/>
      </w:pPr>
      <w:r>
        <w:t xml:space="preserve">φm(ζ) = (k z/u*) (∂u/∂z), φh(ζ) = (k z/T*) (∂θ/∂z)</w:t>
      </w:r>
    </w:p>
    <w:p>
      <w:pPr>
        <w:pStyle w:val="BodyText"/>
      </w:pPr>
      <w:r>
        <w:t xml:space="preserve">Commonly used empirical forms (Businger–Dyer relations):</w:t>
      </w:r>
    </w:p>
    <w:p>
      <w:pPr>
        <w:pStyle w:val="Compact"/>
        <w:numPr>
          <w:ilvl w:val="0"/>
          <w:numId w:val="1193"/>
        </w:numPr>
      </w:pPr>
      <w:r>
        <w:t xml:space="preserve">Unstable (ζ &lt; 0): φm = (1 − 16ζ)^(−1/4); φh = (1 − 16ζ)^(−1/2)</w:t>
      </w:r>
    </w:p>
    <w:p>
      <w:pPr>
        <w:pStyle w:val="Compact"/>
        <w:numPr>
          <w:ilvl w:val="0"/>
          <w:numId w:val="1193"/>
        </w:numPr>
      </w:pPr>
      <w:r>
        <w:t xml:space="preserve">Stable (ζ &gt; 0): φm = φh = 1 + 5ζ (linear, Businger-Dyer); more recent forms use 1+5ζ up to ζ~1, after which turbulence becomes intermittent and MOST loses validity (</w:t>
      </w:r>
      <w:r>
        <w:t xml:space="preserve">“</w:t>
      </w:r>
      <w:r>
        <w:t xml:space="preserve">z-less stratification</w:t>
      </w:r>
      <w:r>
        <w:t xml:space="preserve">”</w:t>
      </w:r>
      <w:r>
        <w:t xml:space="preserve">).</w:t>
      </w:r>
    </w:p>
    <w:p>
      <w:pPr>
        <w:pStyle w:val="Compact"/>
        <w:numPr>
          <w:ilvl w:val="0"/>
          <w:numId w:val="1193"/>
        </w:numPr>
      </w:pPr>
      <w:r>
        <w:t xml:space="preserve">Neutral (ζ = 0): φm = φh = 1</w:t>
      </w:r>
    </w:p>
    <w:p>
      <w:pPr>
        <w:pStyle w:val="FirstParagraph"/>
      </w:pPr>
      <w:r>
        <w:t xml:space="preserve">Integrating φm and φh with height gives the well-known</w:t>
      </w:r>
      <w:r>
        <w:t xml:space="preserve"> </w:t>
      </w:r>
      <w:r>
        <w:rPr>
          <w:bCs/>
          <w:b/>
        </w:rPr>
        <w:t xml:space="preserve">logarithmic wind and temperature profiles with a stability correction (Ψ function)</w:t>
      </w:r>
      <w:r>
        <w:t xml:space="preserve">:</w:t>
      </w:r>
    </w:p>
    <w:p>
      <w:pPr>
        <w:pStyle w:val="BodyText"/>
      </w:pPr>
      <w:r>
        <w:t xml:space="preserve">u(z) = (u*/k) [ln(z/z0) − Ψm(z/L)]</w:t>
      </w:r>
    </w:p>
    <w:p>
      <w:pPr>
        <w:pStyle w:val="BodyText"/>
      </w:pPr>
      <w:r>
        <w:t xml:space="preserve">θ(z) − θ0 = (T*/k) [ln(z/z0h) − Ψh(z/L)]</w:t>
      </w:r>
    </w:p>
    <w:p>
      <w:pPr>
        <w:pStyle w:val="BodyText"/>
      </w:pPr>
      <w:r>
        <w:t xml:space="preserve">where z0 is the aerodynamic roughness length for momentum, z0h the roughness length for heat, and Ψm, Ψh are the integrated stability correction functions (Ψ = 0 under neutral conditions; Ψ &gt; 0 under unstable conditions, meaning wind speed is reduced relative to the neutral log-profile for the same u*; Ψ &lt; 0 under stable conditions).</w:t>
      </w:r>
    </w:p>
    <w:p>
      <w:pPr>
        <w:pStyle w:val="BodyText"/>
      </w:pPr>
      <w:r>
        <w:rPr>
          <w:bCs/>
          <w:b/>
        </w:rPr>
        <w:t xml:space="preserve">Applications relevant to SAC/agrometeorology:</w:t>
      </w:r>
      <w:r>
        <w:t xml:space="preserve"> </w:t>
      </w:r>
      <w:r>
        <w:t xml:space="preserve">(i) MOST underlies the</w:t>
      </w:r>
      <w:r>
        <w:t xml:space="preserve"> </w:t>
      </w:r>
      <w:r>
        <w:t xml:space="preserve">“</w:t>
      </w:r>
      <w:r>
        <w:t xml:space="preserve">bulk transfer</w:t>
      </w:r>
      <w:r>
        <w:t xml:space="preserve">”</w:t>
      </w:r>
      <w:r>
        <w:t xml:space="preserve"> </w:t>
      </w:r>
      <w:r>
        <w:t xml:space="preserve">or</w:t>
      </w:r>
      <w:r>
        <w:t xml:space="preserve"> </w:t>
      </w:r>
      <w:r>
        <w:t xml:space="preserve">“</w:t>
      </w:r>
      <w:r>
        <w:t xml:space="preserve">aerodynamic</w:t>
      </w:r>
      <w:r>
        <w:t xml:space="preserve">”</w:t>
      </w:r>
      <w:r>
        <w:t xml:space="preserve"> </w:t>
      </w:r>
      <w:r>
        <w:t xml:space="preserve">method of estimating H and LE from routine AWS measurements of wind, temperature and humidity at one or two levels, without needing eddy-covariance instrumentation; (ii) it is the theoretical basis of the roughness sub-layer corrections applied in surface-energy-balance remote-sensing models such as SEBAL, SEBS, METRIC and the ISRO/VEDAS operational ET product; (iii) it explains why flux-tower footprints and required fetch depend on stability (unstable conditions have shorter, more compact footprints than stable conditions).</w:t>
      </w:r>
    </w:p>
    <w:p>
      <w:pPr>
        <w:pStyle w:val="Heading2"/>
      </w:pPr>
      <w:r>
        <w:t xml:space="preserve">26.3 The Richardson Number</w:t>
      </w:r>
    </w:p>
    <w:p>
      <w:pPr>
        <w:pStyle w:val="Heading3"/>
      </w:pPr>
      <w:r>
        <w:t xml:space="preserve">26.3.1 Definition and physical meaning</w:t>
      </w:r>
    </w:p>
    <w:p>
      <w:pPr>
        <w:pStyle w:val="FirstParagraph"/>
      </w:pPr>
      <w:r>
        <w:t xml:space="preserve">The Richardson number is a dimensionless ratio expressing the relative importance of buoyancy (thermal stratification) to mechanical shear in generating or suppressing turbulence. Two commonly used forms appear in agrometeorology and boundary-layer work:</w:t>
      </w:r>
    </w:p>
    <w:p>
      <w:pPr>
        <w:pStyle w:val="BodyText"/>
      </w:pPr>
      <w:r>
        <w:rPr>
          <w:bCs/>
          <w:b/>
        </w:rPr>
        <w:t xml:space="preserve">Gradient Richardson number:</w:t>
      </w:r>
    </w:p>
    <w:p>
      <w:pPr>
        <w:pStyle w:val="BodyText"/>
      </w:pPr>
      <w:r>
        <w:t xml:space="preserve">Ri = (g/θ̄) (∂θ/∂z) / (∂u/∂z)²</w:t>
      </w:r>
    </w:p>
    <w:p>
      <w:pPr>
        <w:pStyle w:val="BodyText"/>
      </w:pPr>
      <w:r>
        <w:rPr>
          <w:bCs/>
          <w:b/>
        </w:rPr>
        <w:t xml:space="preserve">Bulk Richardson number</w:t>
      </w:r>
      <w:r>
        <w:t xml:space="preserve"> </w:t>
      </w:r>
      <w:r>
        <w:t xml:space="preserve">(used when only two-level or surface-to-screen-height differences are available, as from an AWS):</w:t>
      </w:r>
    </w:p>
    <w:p>
      <w:pPr>
        <w:pStyle w:val="BodyText"/>
      </w:pPr>
      <w:r>
        <w:t xml:space="preserve">Rib = (g/θ̄) · [Δθ · Δz] / (Δu² + Δv²) = (g Δz/θ̄) (θ2−θ1) / (u2−u1)²</w:t>
      </w:r>
    </w:p>
    <w:p>
      <w:pPr>
        <w:pStyle w:val="BodyText"/>
      </w:pPr>
      <w:r>
        <w:t xml:space="preserve">where θ̄ is a reference (mean) potential temperature, Δθ the potential-temperature difference between two levels separated by Δz, and Δu the wind-speed difference between the same levels.</w:t>
      </w:r>
    </w:p>
    <w:p>
      <w:pPr>
        <w:pStyle w:val="Heading3"/>
      </w:pPr>
      <w:r>
        <w:t xml:space="preserve">26.3.2 Physical interpretation and critical values</w:t>
      </w:r>
    </w:p>
    <w:p>
      <w:pPr>
        <w:pStyle w:val="Compact"/>
        <w:numPr>
          <w:ilvl w:val="0"/>
          <w:numId w:val="1194"/>
        </w:numPr>
      </w:pPr>
      <w:r>
        <w:rPr>
          <w:bCs/>
          <w:b/>
        </w:rPr>
        <w:t xml:space="preserve">Ri &lt; 0:</w:t>
      </w:r>
      <w:r>
        <w:t xml:space="preserve"> </w:t>
      </w:r>
      <w:r>
        <w:t xml:space="preserve">unstable; buoyancy generates turbulence (convective conditions).</w:t>
      </w:r>
    </w:p>
    <w:p>
      <w:pPr>
        <w:pStyle w:val="Compact"/>
        <w:numPr>
          <w:ilvl w:val="0"/>
          <w:numId w:val="1194"/>
        </w:numPr>
      </w:pPr>
      <w:r>
        <w:rPr>
          <w:bCs/>
          <w:b/>
        </w:rPr>
        <w:t xml:space="preserve">Ri = 0:</w:t>
      </w:r>
      <w:r>
        <w:t xml:space="preserve"> </w:t>
      </w:r>
      <w:r>
        <w:t xml:space="preserve">neutral.</w:t>
      </w:r>
    </w:p>
    <w:p>
      <w:pPr>
        <w:pStyle w:val="Compact"/>
        <w:numPr>
          <w:ilvl w:val="0"/>
          <w:numId w:val="1194"/>
        </w:numPr>
      </w:pPr>
      <w:r>
        <w:rPr>
          <w:bCs/>
          <w:b/>
        </w:rPr>
        <w:t xml:space="preserve">0 &lt; Ri &lt; Ric (critical Richardson number, empirically ≈0.25, sometimes taken as 0.2–1 depending on formulation):</w:t>
      </w:r>
      <w:r>
        <w:t xml:space="preserve"> </w:t>
      </w:r>
      <w:r>
        <w:t xml:space="preserve">turbulence can still exist; mechanically generated turbulence is being progressively damped by stable stratification.</w:t>
      </w:r>
    </w:p>
    <w:p>
      <w:pPr>
        <w:pStyle w:val="Compact"/>
        <w:numPr>
          <w:ilvl w:val="0"/>
          <w:numId w:val="1194"/>
        </w:numPr>
      </w:pPr>
      <w:r>
        <w:rPr>
          <w:bCs/>
          <w:b/>
        </w:rPr>
        <w:t xml:space="preserve">Ri &gt; Ric:</w:t>
      </w:r>
      <w:r>
        <w:t xml:space="preserve"> </w:t>
      </w:r>
      <w:r>
        <w:t xml:space="preserve">turbulence is suppressed; flow becomes laminar/intermittent; vertical mixing collapses. This criterion is the classical Miles–Howard theorem result for the onset of shear-instability-driven turbulence collapse.</w:t>
      </w:r>
    </w:p>
    <w:p>
      <w:pPr>
        <w:pStyle w:val="Heading3"/>
      </w:pPr>
      <w:r>
        <w:t xml:space="preserve">26.3.3 Importance and applications</w:t>
      </w:r>
    </w:p>
    <w:p>
      <w:pPr>
        <w:pStyle w:val="Compact"/>
        <w:numPr>
          <w:ilvl w:val="0"/>
          <w:numId w:val="1195"/>
        </w:numPr>
      </w:pPr>
      <w:r>
        <w:rPr>
          <w:bCs/>
          <w:b/>
        </w:rPr>
        <w:t xml:space="preserve">Turbulence closure and PBL parameterisation:</w:t>
      </w:r>
      <w:r>
        <w:t xml:space="preserve"> </w:t>
      </w:r>
      <w:r>
        <w:t xml:space="preserve">Numerical weather prediction and land-surface models use Ri (or the related Richardson-number-dependent stability functions) to switch between different mixing-length/eddy-diffusivity formulations, and to diagnose PBL height.</w:t>
      </w:r>
    </w:p>
    <w:p>
      <w:pPr>
        <w:pStyle w:val="Compact"/>
        <w:numPr>
          <w:ilvl w:val="0"/>
          <w:numId w:val="1195"/>
        </w:numPr>
      </w:pPr>
      <w:r>
        <w:rPr>
          <w:bCs/>
          <w:b/>
        </w:rPr>
        <w:t xml:space="preserve">Relationship to Monin–Obukhov stability parameter:</w:t>
      </w:r>
      <w:r>
        <w:t xml:space="preserve"> </w:t>
      </w:r>
      <w:r>
        <w:t xml:space="preserve">for the surface layer, Ri and ζ = z/L are related through Ri ≈ ζ · (φh/φm²), so Ri can be used as a surrogate stability indicator when only mean-gradient (AWS) data, not turbulence (sonic anemometer) data, are available — critical for agromet networks like GKMS AWS stations that do not carry eddy-covariance sensors.</w:t>
      </w:r>
    </w:p>
    <w:p>
      <w:pPr>
        <w:pStyle w:val="Compact"/>
        <w:numPr>
          <w:ilvl w:val="0"/>
          <w:numId w:val="1195"/>
        </w:numPr>
      </w:pPr>
      <w:r>
        <w:rPr>
          <w:bCs/>
          <w:b/>
        </w:rPr>
        <w:t xml:space="preserve">Aviation and dispersion meteorology:</w:t>
      </w:r>
      <w:r>
        <w:t xml:space="preserve"> </w:t>
      </w:r>
      <w:r>
        <w:t xml:space="preserve">low Ri (strong shear, weak stability) signals clear-air turbulence risk; used in micrometeorological siting of towers and in pollutant-dispersion (e.g., stubble-burning smoke plume) modelling.</w:t>
      </w:r>
    </w:p>
    <w:p>
      <w:pPr>
        <w:pStyle w:val="Compact"/>
        <w:numPr>
          <w:ilvl w:val="0"/>
          <w:numId w:val="1195"/>
        </w:numPr>
      </w:pPr>
      <w:r>
        <w:rPr>
          <w:bCs/>
          <w:b/>
        </w:rPr>
        <w:t xml:space="preserve">Canopy and crop microclimate:</w:t>
      </w:r>
      <w:r>
        <w:t xml:space="preserve"> </w:t>
      </w:r>
      <w:r>
        <w:t xml:space="preserve">within and just above a crop canopy, Ri governs whether heat/moisture/CO2 exchange is turbulence-dominated or the canopy behaves as a</w:t>
      </w:r>
      <w:r>
        <w:t xml:space="preserve"> </w:t>
      </w:r>
      <w:r>
        <w:t xml:space="preserve">“</w:t>
      </w:r>
      <w:r>
        <w:t xml:space="preserve">roughness sub-layer</w:t>
      </w:r>
      <w:r>
        <w:t xml:space="preserve">”</w:t>
      </w:r>
      <w:r>
        <w:t xml:space="preserve"> </w:t>
      </w:r>
      <w:r>
        <w:t xml:space="preserve">where MOST itself may break down (requiring canopy-specific corrections), directly relevant to interpreting eddy-flux or scintillometer data over short crops versus tall sugarcane/forest canopies.</w:t>
      </w:r>
    </w:p>
    <w:p>
      <w:pPr>
        <w:pStyle w:val="Compact"/>
        <w:numPr>
          <w:ilvl w:val="0"/>
          <w:numId w:val="1195"/>
        </w:numPr>
      </w:pPr>
      <w:r>
        <w:rPr>
          <w:bCs/>
          <w:b/>
        </w:rPr>
        <w:t xml:space="preserve">Frost-risk forecasting:</w:t>
      </w:r>
      <w:r>
        <w:t xml:space="preserve"> </w:t>
      </w:r>
      <w:r>
        <w:t xml:space="preserve">very high stable Ri at night (strong inversion, weak wind) is a classic precursor of radiation-frost conditions important for horticulture and rabi-crop damage assessment.</w:t>
      </w:r>
    </w:p>
    <w:p>
      <w:pPr>
        <w:pStyle w:val="CaptionedFigure"/>
      </w:pPr>
      <w:r>
        <w:drawing>
          <wp:inline>
            <wp:extent cx="5334000" cy="3140949"/>
            <wp:effectExtent b="0" l="0" r="0" t="0"/>
            <wp:docPr descr="Figure: Regimes of atmospheric stability as a function of the Obukhov length L and Richardson number Ri, showing the unstable (convective), neutral and stable (nocturnal) boundary-layer structures and their associated turbulence intensity." title="" id="90" name="Picture"/>
            <a:graphic>
              <a:graphicData uri="http://schemas.openxmlformats.org/drawingml/2006/picture">
                <pic:pic>
                  <pic:nvPicPr>
                    <pic:cNvPr descr="up/media/media/image1.png" id="91" name="Picture"/>
                    <pic:cNvPicPr>
                      <a:picLocks noChangeArrowheads="1" noChangeAspect="1"/>
                    </pic:cNvPicPr>
                  </pic:nvPicPr>
                  <pic:blipFill>
                    <a:blip r:embed="rId89"/>
                    <a:stretch>
                      <a:fillRect/>
                    </a:stretch>
                  </pic:blipFill>
                  <pic:spPr bwMode="auto">
                    <a:xfrm>
                      <a:off x="0" y="0"/>
                      <a:ext cx="5334000" cy="3140949"/>
                    </a:xfrm>
                    <a:prstGeom prst="rect">
                      <a:avLst/>
                    </a:prstGeom>
                    <a:noFill/>
                    <a:ln w="9525">
                      <a:noFill/>
                      <a:headEnd/>
                      <a:tailEnd/>
                    </a:ln>
                  </pic:spPr>
                </pic:pic>
              </a:graphicData>
            </a:graphic>
          </wp:inline>
        </w:drawing>
      </w:r>
    </w:p>
    <w:p>
      <w:pPr>
        <w:pStyle w:val="ImageCaption"/>
      </w:pPr>
      <w:r>
        <w:t xml:space="preserve">Figure: Regimes of atmospheric stability as a function of the Obukhov length L and Richardson number Ri, showing the unstable (convective), neutral and stable (nocturnal) boundary-layer structures and their associated turbulence intensity.</w:t>
      </w:r>
    </w:p>
    <w:p>
      <w:pPr>
        <w:pStyle w:val="BodyText"/>
      </w:pPr>
      <w:r>
        <w:t xml:space="preserve">Figure: Regimes of atmospheric stability as a function of the Obukhov length L and Richardson number Ri, showing the unstable (convective), neutral and stable (nocturnal) boundary-layer structures and their associated turbulence intensity.</w:t>
      </w:r>
    </w:p>
    <w:p>
      <w:pPr>
        <w:pStyle w:val="Heading2"/>
      </w:pPr>
      <w:r>
        <w:t xml:space="preserve">26.4 Computing the Bulk Richardson Number and Diagnosing Stability</w:t>
      </w:r>
    </w:p>
    <w:p>
      <w:pPr>
        <w:pStyle w:val="FirstParagraph"/>
      </w:pPr>
      <w:r>
        <w:rPr>
          <w:bCs/>
          <w:b/>
        </w:rPr>
        <w:t xml:space="preserve">Problem:</w:t>
      </w:r>
      <w:r>
        <w:t xml:space="preserve"> </w:t>
      </w:r>
      <w:r>
        <w:t xml:space="preserve">At an agromet AWS, temperature and wind speed are recorded at two heights: 2 m (T1 = 28.4 °C, u1 = 1.2 m s⁻¹) and 10 m (T2 = 27.1 °C, u2 = 2.6 m s⁻¹). Take g = 9.81 m s⁻², and use the 2 m temperature (converted to Kelvin, 301.55 K) as the reference potential temperature θ̄ (ignoring the small pressure-level correction between 2 m and 10 m, negligible over this height range).</w:t>
      </w:r>
    </w:p>
    <w:p>
      <w:pPr>
        <w:pStyle w:val="BodyText"/>
      </w:pPr>
      <w:r>
        <w:rPr>
          <w:bCs/>
          <w:b/>
        </w:rPr>
        <w:t xml:space="preserve">Step 1 — Compute Δθ, Δz, Δu.</w:t>
      </w:r>
      <w:r>
        <w:t xml:space="preserve"> </w:t>
      </w:r>
      <w:r>
        <w:t xml:space="preserve">Δθ = T2 − T1 = 27.1 − 28.4 = −1.3 K Δz = 10 − 2 = 8 m Δu = u2 − u1 = 2.6 − 1.2 = 1.4 m s⁻¹</w:t>
      </w:r>
    </w:p>
    <w:p>
      <w:pPr>
        <w:pStyle w:val="BodyText"/>
      </w:pPr>
      <w:r>
        <w:rPr>
          <w:bCs/>
          <w:b/>
        </w:rPr>
        <w:t xml:space="preserve">Step 2 — Apply the bulk Richardson number formula.</w:t>
      </w:r>
      <w:r>
        <w:t xml:space="preserve"> </w:t>
      </w:r>
      <w:r>
        <w:t xml:space="preserve">Rib = (g Δz / θ̄) × (Δθ / Δu²) Rib = (9.81 × 8 / 301.55) × (−1.3 / 1.4²) Rib = (78.48 / 301.55) × (−1.3 / 1.96) Rib = 0.2603 × (−0.6633)</w:t>
      </w:r>
      <w:r>
        <w:t xml:space="preserve"> </w:t>
      </w:r>
      <w:r>
        <w:rPr>
          <w:bCs/>
          <w:b/>
        </w:rPr>
        <w:t xml:space="preserve">Rib ≈ −0.173</w:t>
      </w:r>
    </w:p>
    <w:p>
      <w:pPr>
        <w:pStyle w:val="BodyText"/>
      </w:pPr>
      <w:r>
        <w:rPr>
          <w:bCs/>
          <w:b/>
        </w:rPr>
        <w:t xml:space="preserve">Step 3 — Interpret.</w:t>
      </w:r>
      <w:r>
        <w:t xml:space="preserve"> </w:t>
      </w:r>
      <w:r>
        <w:t xml:space="preserve">Rib is negative, indicating</w:t>
      </w:r>
      <w:r>
        <w:t xml:space="preserve"> </w:t>
      </w:r>
      <w:r>
        <w:rPr>
          <w:bCs/>
          <w:b/>
        </w:rPr>
        <w:t xml:space="preserve">unstable (convective) conditions</w:t>
      </w:r>
      <w:r>
        <w:t xml:space="preserve"> </w:t>
      </w:r>
      <w:r>
        <w:t xml:space="preserve">— consistent with temperature decreasing with height (a superadiabatic-tending lapse rate) and buoyancy actively generating turbulence, typical of a sunny midday observation. Because |Rib| &lt; |Ric| in magnitude and negative, this is a clearly unstable regime, not merely a weakly stable one; had Δθ instead been positive (temperature increasing with height, an inversion) with the same wind shear, Rib would be positive, and a value exceeding ~0.25 would indicate suppressed turbulence.</w:t>
      </w:r>
    </w:p>
    <w:p>
      <w:pPr>
        <w:pStyle w:val="Heading2"/>
      </w:pPr>
      <w:r>
        <w:t xml:space="preserve">26.5 Eddy Covariance Flux Tower</w:t>
      </w:r>
    </w:p>
    <w:p>
      <w:pPr>
        <w:pStyle w:val="Heading3"/>
      </w:pPr>
      <w:r>
        <w:t xml:space="preserve">26.5.1 Principle</w:t>
      </w:r>
    </w:p>
    <w:p>
      <w:pPr>
        <w:pStyle w:val="FirstParagraph"/>
      </w:pPr>
      <w:r>
        <w:t xml:space="preserve">The eddy covariance (EC) technique is the direct, physically unambiguous method of measuring the vertical turbulent flux of any scalar (heat, water vapour, CO2, CH4) or of momentum, by measuring the covariance between the vertical wind-speed fluctuation (w′) and the fluctuation of the scalar of interest (c′), sampled at high frequency (typically 10–20 Hz) and averaged over a flux-averaging period (typically 30 minutes).</w:t>
      </w:r>
    </w:p>
    <w:p>
      <w:pPr>
        <w:pStyle w:val="BodyText"/>
      </w:pPr>
      <w:r>
        <w:t xml:space="preserve">For any scalar concentration c, the vertical turbulent flux Fc is:</w:t>
      </w:r>
    </w:p>
    <w:p>
      <w:pPr>
        <w:pStyle w:val="BodyText"/>
      </w:pPr>
      <w:r>
        <w:rPr>
          <w:bCs/>
          <w:b/>
        </w:rPr>
        <w:t xml:space="preserve">Fc = ρa · w’c’-bar</w:t>
      </w:r>
      <w:r>
        <w:t xml:space="preserve"> </w:t>
      </w:r>
      <w:r>
        <w:t xml:space="preserve">(mean of the instantaneous products of the fluctuating parts)</w:t>
      </w:r>
    </w:p>
    <w:p>
      <w:pPr>
        <w:pStyle w:val="BodyText"/>
      </w:pPr>
      <w:r>
        <w:t xml:space="preserve">where w′ = w − w̄ and c′ = c − c̄ are the instantaneous deviations of vertical wind speed and scalar concentration from their 30-minute block-averages, the overbar denotes time (Reynolds) averaging, and ρa is (dry) air density. The three canonical fluxes measured are:</w:t>
      </w:r>
    </w:p>
    <w:p>
      <w:pPr>
        <w:pStyle w:val="Compact"/>
        <w:numPr>
          <w:ilvl w:val="0"/>
          <w:numId w:val="1196"/>
        </w:numPr>
      </w:pPr>
      <w:r>
        <w:rPr>
          <w:bCs/>
          <w:b/>
        </w:rPr>
        <w:t xml:space="preserve">Sensible heat flux:</w:t>
      </w:r>
      <w:r>
        <w:t xml:space="preserve"> </w:t>
      </w:r>
      <w:r>
        <w:t xml:space="preserve">H = ρ cp w’T’-bar (cp = specific heat of air at constant pressure, T′ = sonic/virtual temperature fluctuation)</w:t>
      </w:r>
    </w:p>
    <w:p>
      <w:pPr>
        <w:pStyle w:val="Compact"/>
        <w:numPr>
          <w:ilvl w:val="0"/>
          <w:numId w:val="1196"/>
        </w:numPr>
      </w:pPr>
      <w:r>
        <w:rPr>
          <w:bCs/>
          <w:b/>
        </w:rPr>
        <w:t xml:space="preserve">Latent heat flux:</w:t>
      </w:r>
      <w:r>
        <w:t xml:space="preserve"> </w:t>
      </w:r>
      <w:r>
        <w:t xml:space="preserve">LE = λ w’q’-bar (λ = latent heat of vaporisation ≈ 2.45 MJ kg⁻¹ at 20 °C, q′ = specific/absolute humidity fluctuation from an open- or closed-path gas analyser)</w:t>
      </w:r>
    </w:p>
    <w:p>
      <w:pPr>
        <w:pStyle w:val="Compact"/>
        <w:numPr>
          <w:ilvl w:val="0"/>
          <w:numId w:val="1196"/>
        </w:numPr>
      </w:pPr>
      <w:r>
        <w:rPr>
          <w:bCs/>
          <w:b/>
        </w:rPr>
        <w:t xml:space="preserve">Momentum flux (Reynolds stress):</w:t>
      </w:r>
      <w:r>
        <w:t xml:space="preserve"> </w:t>
      </w:r>
      <w:r>
        <w:t xml:space="preserve">τ = −ρ u’w’-bar, from which u* = (−u’w’-bar)^0.5</w:t>
      </w:r>
    </w:p>
    <w:p>
      <w:pPr>
        <w:pStyle w:val="Compact"/>
        <w:numPr>
          <w:ilvl w:val="0"/>
          <w:numId w:val="1196"/>
        </w:numPr>
      </w:pPr>
      <w:r>
        <w:rPr>
          <w:bCs/>
          <w:b/>
        </w:rPr>
        <w:t xml:space="preserve">CO2/CH4 flux:</w:t>
      </w:r>
      <w:r>
        <w:t xml:space="preserve"> </w:t>
      </w:r>
      <w:r>
        <w:t xml:space="preserve">Fc = w’ρc’-bar (ρc = CO2 or CH4 molar/mass density fluctuation), central to net ecosystem exchange (NEE) and agricultural GHG-flux studies.</w:t>
      </w:r>
    </w:p>
    <w:p>
      <w:pPr>
        <w:pStyle w:val="Heading3"/>
      </w:pPr>
      <w:r>
        <w:t xml:space="preserve">26.5.2 Instrumentation</w:t>
      </w:r>
    </w:p>
    <w:p>
      <w:pPr>
        <w:pStyle w:val="FirstParagraph"/>
      </w:pPr>
      <w:r>
        <w:t xml:space="preserve">An EC flux tower comprises: (1) a</w:t>
      </w:r>
      <w:r>
        <w:t xml:space="preserve"> </w:t>
      </w:r>
      <w:r>
        <w:rPr>
          <w:bCs/>
          <w:b/>
        </w:rPr>
        <w:t xml:space="preserve">3-D sonic anemometer-thermometer</w:t>
      </w:r>
      <w:r>
        <w:t xml:space="preserve">, which measures the three orthogonal wind-velocity components (u, v, w) and sonic (virtual) temperature at 10–20 Hz from the time-of-flight of ultrasonic pulses between transducer pairs; (2) an</w:t>
      </w:r>
      <w:r>
        <w:t xml:space="preserve"> </w:t>
      </w:r>
      <w:r>
        <w:rPr>
          <w:bCs/>
          <w:b/>
        </w:rPr>
        <w:t xml:space="preserve">open-path or closed-path infrared gas analyser (IRGA)</w:t>
      </w:r>
      <w:r>
        <w:t xml:space="preserve"> </w:t>
      </w:r>
      <w:r>
        <w:t xml:space="preserve">for CO2/H2O (and increasingly CH4 by tunable diode laser), co-located within 10–30 cm of the sonic anemometer path to minimise flux loss from spatial separation; (3) a</w:t>
      </w:r>
      <w:r>
        <w:t xml:space="preserve"> </w:t>
      </w:r>
      <w:r>
        <w:rPr>
          <w:bCs/>
          <w:b/>
        </w:rPr>
        <w:t xml:space="preserve">datalogger</w:t>
      </w:r>
      <w:r>
        <w:t xml:space="preserve"> </w:t>
      </w:r>
      <w:r>
        <w:t xml:space="preserve">capable of synchronised high-frequency sampling and on-board flux computation (e.g., Campbell Scientific CR3000/CR6, LI-COR SmartFlux); and (4)</w:t>
      </w:r>
      <w:r>
        <w:t xml:space="preserve"> </w:t>
      </w:r>
      <w:r>
        <w:rPr>
          <w:bCs/>
          <w:b/>
        </w:rPr>
        <w:t xml:space="preserve">ancillary sensors</w:t>
      </w:r>
      <w:r>
        <w:t xml:space="preserve"> </w:t>
      </w:r>
      <w:r>
        <w:t xml:space="preserve">— net radiometer, soil heat flux plates, soil temperature/moisture profile, and a standard meteorological suite — needed to close and interpret the energy balance.</w:t>
      </w:r>
    </w:p>
    <w:p>
      <w:pPr>
        <w:pStyle w:val="Heading3"/>
      </w:pPr>
      <w:r>
        <w:t xml:space="preserve">26.5.3 Data processing chain</w:t>
      </w:r>
    </w:p>
    <w:p>
      <w:pPr>
        <w:pStyle w:val="FirstParagraph"/>
      </w:pPr>
      <w:r>
        <w:t xml:space="preserve">Raw high-frequency data must pass through a standardised post-processing chain before fluxes are considered publishable (e.g., EddyPro, TK3, ECpack software implement this chain):</w:t>
      </w:r>
    </w:p>
    <w:p>
      <w:pPr>
        <w:pStyle w:val="Compact"/>
        <w:numPr>
          <w:ilvl w:val="0"/>
          <w:numId w:val="1197"/>
        </w:numPr>
      </w:pPr>
      <w:r>
        <w:rPr>
          <w:bCs/>
          <w:b/>
        </w:rPr>
        <w:t xml:space="preserve">Despiking / quality screening</w:t>
      </w:r>
      <w:r>
        <w:t xml:space="preserve"> </w:t>
      </w:r>
      <w:r>
        <w:t xml:space="preserve">of the raw time series to remove instrument spikes.</w:t>
      </w:r>
    </w:p>
    <w:p>
      <w:pPr>
        <w:pStyle w:val="Compact"/>
        <w:numPr>
          <w:ilvl w:val="0"/>
          <w:numId w:val="1197"/>
        </w:numPr>
      </w:pPr>
      <w:r>
        <w:rPr>
          <w:bCs/>
          <w:b/>
        </w:rPr>
        <w:t xml:space="preserve">Coordinate rotation</w:t>
      </w:r>
      <w:r>
        <w:t xml:space="preserve"> </w:t>
      </w:r>
      <w:r>
        <w:t xml:space="preserve">(double or triple rotation, or planar-fit method) to align the sonic’s vertical axis with the mean streamline, removing bias from tower/terrain tilt.</w:t>
      </w:r>
    </w:p>
    <w:p>
      <w:pPr>
        <w:pStyle w:val="Compact"/>
        <w:numPr>
          <w:ilvl w:val="0"/>
          <w:numId w:val="1197"/>
        </w:numPr>
      </w:pPr>
      <w:r>
        <w:rPr>
          <w:bCs/>
          <w:b/>
        </w:rPr>
        <w:t xml:space="preserve">Time-lag compensation</w:t>
      </w:r>
      <w:r>
        <w:t xml:space="preserve"> </w:t>
      </w:r>
      <w:r>
        <w:t xml:space="preserve">between sonic (instantaneous) and closed-path IRGA (delayed by the sample tube) signals, via cross-covariance maximisation.</w:t>
      </w:r>
    </w:p>
    <w:p>
      <w:pPr>
        <w:pStyle w:val="Compact"/>
        <w:numPr>
          <w:ilvl w:val="0"/>
          <w:numId w:val="1197"/>
        </w:numPr>
      </w:pPr>
      <w:r>
        <w:rPr>
          <w:bCs/>
          <w:b/>
        </w:rPr>
        <w:t xml:space="preserve">Frequency-response corrections</w:t>
      </w:r>
      <w:r>
        <w:t xml:space="preserve"> </w:t>
      </w:r>
      <w:r>
        <w:t xml:space="preserve">for high-frequency flux loss (sensor separation, path/tube averaging, sensor response time) and low-frequency loss (finite averaging period), typically after Moore (1986)/Massman.</w:t>
      </w:r>
    </w:p>
    <w:p>
      <w:pPr>
        <w:pStyle w:val="Compact"/>
        <w:numPr>
          <w:ilvl w:val="0"/>
          <w:numId w:val="1197"/>
        </w:numPr>
      </w:pPr>
      <w:r>
        <w:rPr>
          <w:bCs/>
          <w:b/>
        </w:rPr>
        <w:t xml:space="preserve">WPL (Webb–Pearman–Leuning) correction</w:t>
      </w:r>
      <w:r>
        <w:t xml:space="preserve"> </w:t>
      </w:r>
      <w:r>
        <w:t xml:space="preserve">for density fluctuations caused by simultaneous heat and water-vapour transfer, essential for open-path IRGA CO2/CH4 flux, since the IRGA measures molar density which itself fluctuates with air density (temperature and humidity), not just with the scalar of interest.</w:t>
      </w:r>
    </w:p>
    <w:p>
      <w:pPr>
        <w:pStyle w:val="Compact"/>
        <w:numPr>
          <w:ilvl w:val="0"/>
          <w:numId w:val="1197"/>
        </w:numPr>
      </w:pPr>
      <w:r>
        <w:rPr>
          <w:bCs/>
          <w:b/>
        </w:rPr>
        <w:t xml:space="preserve">Sonic virtual-temperature to actual-temperature correction</w:t>
      </w:r>
      <w:r>
        <w:t xml:space="preserve">, since the</w:t>
      </w:r>
      <w:r>
        <w:t xml:space="preserve"> </w:t>
      </w:r>
      <w:r>
        <w:t xml:space="preserve">“</w:t>
      </w:r>
      <w:r>
        <w:t xml:space="preserve">temperature</w:t>
      </w:r>
      <w:r>
        <w:t xml:space="preserve">”</w:t>
      </w:r>
      <w:r>
        <w:t xml:space="preserve"> </w:t>
      </w:r>
      <w:r>
        <w:t xml:space="preserve">measured by a sonic anemometer is a virtual (humidity-affected) temperature.</w:t>
      </w:r>
    </w:p>
    <w:p>
      <w:pPr>
        <w:pStyle w:val="Compact"/>
        <w:numPr>
          <w:ilvl w:val="0"/>
          <w:numId w:val="1197"/>
        </w:numPr>
      </w:pPr>
      <w:r>
        <w:rPr>
          <w:bCs/>
          <w:b/>
        </w:rPr>
        <w:t xml:space="preserve">Footprint modelling</w:t>
      </w:r>
      <w:r>
        <w:t xml:space="preserve"> </w:t>
      </w:r>
      <w:r>
        <w:t xml:space="preserve">— using analytical (Kljun et al., Hsieh et al.) or Lagrangian footprint models to estimate the upwind source area contributing to the measured flux, essential in heterogeneous cropped landscapes to confirm the flux represents the crop of interest rather than a bund, road or adjoining field.</w:t>
      </w:r>
    </w:p>
    <w:p>
      <w:pPr>
        <w:pStyle w:val="Compact"/>
        <w:numPr>
          <w:ilvl w:val="0"/>
          <w:numId w:val="1197"/>
        </w:numPr>
      </w:pPr>
      <w:r>
        <w:rPr>
          <w:bCs/>
          <w:b/>
        </w:rPr>
        <w:t xml:space="preserve">Quality flagging</w:t>
      </w:r>
      <w:r>
        <w:t xml:space="preserve"> </w:t>
      </w:r>
      <w:r>
        <w:t xml:space="preserve">— stationarity test and integral turbulence characteristics test (Foken and Wichura scheme), producing 0 (good), 1 (usable), 2 (discard) flags.</w:t>
      </w:r>
    </w:p>
    <w:p>
      <w:pPr>
        <w:pStyle w:val="Compact"/>
        <w:numPr>
          <w:ilvl w:val="0"/>
          <w:numId w:val="1197"/>
        </w:numPr>
      </w:pPr>
      <w:r>
        <w:rPr>
          <w:bCs/>
          <w:b/>
        </w:rPr>
        <w:t xml:space="preserve">Gap-filling and partitioning</w:t>
      </w:r>
      <w:r>
        <w:t xml:space="preserve"> </w:t>
      </w:r>
      <w:r>
        <w:t xml:space="preserve">— marginal distribution sampling / look-up table methods (Reichstein et al.) for gap-filling, and NEE partitioning into gross primary productivity (GPP) and ecosystem respiration (Reco) using nighttime or light-response-curve methods.</w:t>
      </w:r>
    </w:p>
    <w:p>
      <w:pPr>
        <w:pStyle w:val="Heading3"/>
      </w:pPr>
      <w:r>
        <w:t xml:space="preserve">26.5.4 Energy balance closure</w:t>
      </w:r>
    </w:p>
    <w:p>
      <w:pPr>
        <w:pStyle w:val="FirstParagraph"/>
      </w:pPr>
      <w:r>
        <w:t xml:space="preserve">Even after all corrections, EC towers over cropland typically show Rn − G ≠ H + LE, with the sum of turbulent fluxes 10–30 percent smaller than available energy — the well-documented</w:t>
      </w:r>
      <w:r>
        <w:t xml:space="preserve"> </w:t>
      </w:r>
      <w:r>
        <w:rPr>
          <w:bCs/>
          <w:b/>
        </w:rPr>
        <w:t xml:space="preserve">energy balance closure problem</w:t>
      </w:r>
      <w:r>
        <w:t xml:space="preserve">, attributed to a scale mismatch between the EC footprint (which senses mesoscale secondary circulations and low-frequency transport not captured in a 30-min average) and the point measurement of Rn and G. The</w:t>
      </w:r>
      <w:r>
        <w:t xml:space="preserve"> </w:t>
      </w:r>
      <w:r>
        <w:rPr>
          <w:bCs/>
          <w:b/>
        </w:rPr>
        <w:t xml:space="preserve">Bowen ratio (β = H/LE)</w:t>
      </w:r>
      <w:r>
        <w:t xml:space="preserve"> </w:t>
      </w:r>
      <w:r>
        <w:t xml:space="preserve">is frequently used to redistribute the residual (Rn − G − H − LE) between H and LE assuming β is correctly measured even when absolute magnitudes are biased — this is the standard</w:t>
      </w:r>
      <w:r>
        <w:t xml:space="preserve"> </w:t>
      </w:r>
      <w:r>
        <w:t xml:space="preserve">“</w:t>
      </w:r>
      <w:r>
        <w:t xml:space="preserve">Bowen-ratio energy-balance closure correction</w:t>
      </w:r>
      <w:r>
        <w:t xml:space="preserve">”</w:t>
      </w:r>
      <w:r>
        <w:t xml:space="preserve"> </w:t>
      </w:r>
      <w:r>
        <w:t xml:space="preserve">applied to FLUXNET/ICOS-type data and is directly relevant when SAC scientists validate satellite ET against tower ET.</w:t>
      </w:r>
    </w:p>
    <w:p>
      <w:pPr>
        <w:pStyle w:val="Heading2"/>
      </w:pPr>
      <w:r>
        <w:t xml:space="preserve">26.6 Eddy Covariance Deep-Dive: from Eddies to Fluxes</w:t>
      </w:r>
    </w:p>
    <w:p>
      <w:pPr>
        <w:pStyle w:val="Heading3"/>
      </w:pPr>
      <w:r>
        <w:t xml:space="preserve">26.6.1 The physical picture</w:t>
      </w:r>
    </w:p>
    <w:p>
      <w:pPr>
        <w:pStyle w:val="FirstParagraph"/>
      </w:pPr>
      <w:r>
        <w:t xml:space="preserve">Near a canopy the air does not flow in smooth layers — it moves in</w:t>
      </w:r>
      <w:r>
        <w:t xml:space="preserve"> </w:t>
      </w:r>
      <w:r>
        <w:rPr>
          <w:bCs/>
          <w:b/>
        </w:rPr>
        <w:t xml:space="preserve">turbulent eddies</w:t>
      </w:r>
      <w:r>
        <w:t xml:space="preserve"> </w:t>
      </w:r>
      <w:r>
        <w:t xml:space="preserve">of many sizes (centimetres to hundreds of metres, lasting fractions of a second to minutes), riding on the mean wind. Each eddy carries air parcels up and down; each parcel has its own CO₂, H₂O and temperature. Because the mean vertical wind over flat terrain is ≈ 0,</w:t>
      </w:r>
      <w:r>
        <w:t xml:space="preserve"> </w:t>
      </w:r>
      <w:r>
        <w:rPr>
          <w:bCs/>
          <w:b/>
        </w:rPr>
        <w:t xml:space="preserve">vertical transport is done by the eddies</w:t>
      </w:r>
      <w:r>
        <w:t xml:space="preserve">, not by the mean flow.</w:t>
      </w:r>
    </w:p>
    <w:p>
      <w:pPr>
        <w:pStyle w:val="BodyText"/>
      </w:pPr>
      <w:r>
        <w:rPr>
          <w:bCs/>
          <w:b/>
        </w:rPr>
        <w:t xml:space="preserve">Simple daytime example over a photosynthesising forest:</w:t>
      </w:r>
    </w:p>
    <w:p>
      <w:pPr>
        <w:pStyle w:val="Compact"/>
        <w:numPr>
          <w:ilvl w:val="0"/>
          <w:numId w:val="1198"/>
        </w:numPr>
      </w:pPr>
      <w:r>
        <w:t xml:space="preserve">an</w:t>
      </w:r>
      <w:r>
        <w:t xml:space="preserve"> </w:t>
      </w:r>
      <w:r>
        <w:rPr>
          <w:bCs/>
          <w:b/>
        </w:rPr>
        <w:t xml:space="preserve">updraft</w:t>
      </w:r>
      <w:r>
        <w:t xml:space="preserve"> </w:t>
      </w:r>
      <w:r>
        <w:t xml:space="preserve">(</w:t>
      </w:r>
      <m:oMath>
        <m:r>
          <m:t>w</m:t>
        </m:r>
        <m:r>
          <m:rPr>
            <m:sty m:val="p"/>
          </m:rPr>
          <m:t>′</m:t>
        </m:r>
        <m:r>
          <m:rPr>
            <m:sty m:val="p"/>
          </m:rPr>
          <m:t>&gt;</m:t>
        </m:r>
        <m:r>
          <m:t>0</m:t>
        </m:r>
      </m:oMath>
      <w:r>
        <w:t xml:space="preserve">) lifts CO₂-depleted canopy air (</w:t>
      </w:r>
      <m:oMath>
        <m:r>
          <m:t>c</m:t>
        </m:r>
        <m:r>
          <m:rPr>
            <m:sty m:val="p"/>
          </m:rPr>
          <m:t>′</m:t>
        </m:r>
        <m:r>
          <m:rPr>
            <m:sty m:val="p"/>
          </m:rPr>
          <m:t>&lt;</m:t>
        </m:r>
        <m:r>
          <m:t>0</m:t>
        </m:r>
      </m:oMath>
      <w:r>
        <w:t xml:space="preserve">);</w:t>
      </w:r>
    </w:p>
    <w:p>
      <w:pPr>
        <w:pStyle w:val="Compact"/>
        <w:numPr>
          <w:ilvl w:val="0"/>
          <w:numId w:val="1198"/>
        </w:numPr>
      </w:pPr>
      <w:r>
        <w:t xml:space="preserve">a</w:t>
      </w:r>
      <w:r>
        <w:t xml:space="preserve"> </w:t>
      </w:r>
      <w:r>
        <w:rPr>
          <w:bCs/>
          <w:b/>
        </w:rPr>
        <w:t xml:space="preserve">downdraft</w:t>
      </w:r>
      <w:r>
        <w:t xml:space="preserve"> </w:t>
      </w:r>
      <w:r>
        <w:t xml:space="preserve">(</w:t>
      </w:r>
      <m:oMath>
        <m:r>
          <m:t>w</m:t>
        </m:r>
        <m:r>
          <m:rPr>
            <m:sty m:val="p"/>
          </m:rPr>
          <m:t>′</m:t>
        </m:r>
        <m:r>
          <m:rPr>
            <m:sty m:val="p"/>
          </m:rPr>
          <m:t>&lt;</m:t>
        </m:r>
        <m:r>
          <m:t>0</m:t>
        </m:r>
      </m:oMath>
      <w:r>
        <w:t xml:space="preserve">) brings CO₂-richer air from above (</w:t>
      </w:r>
      <m:oMath>
        <m:r>
          <m:t>c</m:t>
        </m:r>
        <m:r>
          <m:rPr>
            <m:sty m:val="p"/>
          </m:rPr>
          <m:t>′</m:t>
        </m:r>
        <m:r>
          <m:rPr>
            <m:sty m:val="p"/>
          </m:rPr>
          <m:t>&gt;</m:t>
        </m:r>
        <m:r>
          <m:t>0</m:t>
        </m:r>
      </m:oMath>
      <w:r>
        <w:t xml:space="preserve">);</w:t>
      </w:r>
    </w:p>
    <w:p>
      <w:pPr>
        <w:pStyle w:val="Compact"/>
        <w:numPr>
          <w:ilvl w:val="0"/>
          <w:numId w:val="1198"/>
        </w:numPr>
      </w:pPr>
      <w:r>
        <w:t xml:space="preserve">in both cases</w:t>
      </w:r>
      <w:r>
        <w:t xml:space="preserve"> </w:t>
      </w:r>
      <m:oMath>
        <m:r>
          <m:t>w</m:t>
        </m:r>
        <m:r>
          <m:rPr>
            <m:sty m:val="p"/>
          </m:rPr>
          <m:t>′</m:t>
        </m:r>
        <m:r>
          <m:t>c</m:t>
        </m:r>
        <m:r>
          <m:rPr>
            <m:sty m:val="p"/>
          </m:rPr>
          <m:t>′</m:t>
        </m:r>
        <m:r>
          <m:rPr>
            <m:sty m:val="p"/>
          </m:rPr>
          <m:t>&lt;</m:t>
        </m:r>
        <m:r>
          <m:t>0</m:t>
        </m:r>
      </m:oMath>
      <w:r>
        <w:t xml:space="preserve"> </w:t>
      </w:r>
      <w:r>
        <w:t xml:space="preserve">⇒ averaged over 30 min the covariance is negative ⇒</w:t>
      </w:r>
      <w:r>
        <w:t xml:space="preserve"> </w:t>
      </w:r>
      <w:r>
        <w:rPr>
          <w:bCs/>
          <w:b/>
        </w:rPr>
        <w:t xml:space="preserve">net downward CO₂ flux = uptake (sink)</w:t>
      </w:r>
      <w:r>
        <w:t xml:space="preserve">. At night (respiration only) the sign reverses.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Sample</w:t>
            </w:r>
          </w:p>
        </w:tc>
        <w:tc>
          <w:tcPr/>
          <w:p>
            <w:pPr>
              <w:pStyle w:val="Compact"/>
              <w:jc w:val="left"/>
            </w:pPr>
            <w:r>
              <w:t xml:space="preserve">w′ (m s⁻¹)</w:t>
            </w:r>
          </w:p>
        </w:tc>
        <w:tc>
          <w:tcPr/>
          <w:p>
            <w:pPr>
              <w:pStyle w:val="Compact"/>
              <w:jc w:val="left"/>
            </w:pPr>
            <w:r>
              <w:t xml:space="preserve">ρc′ (mmol m⁻³)</w:t>
            </w:r>
          </w:p>
        </w:tc>
        <w:tc>
          <w:tcPr/>
          <w:p>
            <w:pPr>
              <w:pStyle w:val="Compact"/>
              <w:jc w:val="left"/>
            </w:pPr>
            <w:r>
              <w:t xml:space="preserve">w′ρc′</w:t>
            </w:r>
          </w:p>
        </w:tc>
      </w:tr>
      <w:tr>
        <w:tc>
          <w:tcPr/>
          <w:p>
            <w:pPr>
              <w:pStyle w:val="Compact"/>
              <w:jc w:val="left"/>
            </w:pPr>
            <w:r>
              <w:t xml:space="preserve">1</w:t>
            </w:r>
          </w:p>
        </w:tc>
        <w:tc>
          <w:tcPr/>
          <w:p>
            <w:pPr>
              <w:pStyle w:val="Compact"/>
              <w:jc w:val="left"/>
            </w:pPr>
            <w:r>
              <w:t xml:space="preserve">+0.4</w:t>
            </w:r>
          </w:p>
        </w:tc>
        <w:tc>
          <w:tcPr/>
          <w:p>
            <w:pPr>
              <w:pStyle w:val="Compact"/>
              <w:jc w:val="left"/>
            </w:pPr>
            <w:r>
              <w:t xml:space="preserve">−0.05</w:t>
            </w:r>
          </w:p>
        </w:tc>
        <w:tc>
          <w:tcPr/>
          <w:p>
            <w:pPr>
              <w:pStyle w:val="Compact"/>
              <w:jc w:val="left"/>
            </w:pPr>
            <w:r>
              <w:t xml:space="preserve">−0.020</w:t>
            </w:r>
          </w:p>
        </w:tc>
      </w:tr>
      <w:tr>
        <w:tc>
          <w:tcPr/>
          <w:p>
            <w:pPr>
              <w:pStyle w:val="Compact"/>
              <w:jc w:val="left"/>
            </w:pPr>
            <w:r>
              <w:t xml:space="preserve">2</w:t>
            </w:r>
          </w:p>
        </w:tc>
        <w:tc>
          <w:tcPr/>
          <w:p>
            <w:pPr>
              <w:pStyle w:val="Compact"/>
              <w:jc w:val="left"/>
            </w:pPr>
            <w:r>
              <w:t xml:space="preserve">−0.3</w:t>
            </w:r>
          </w:p>
        </w:tc>
        <w:tc>
          <w:tcPr/>
          <w:p>
            <w:pPr>
              <w:pStyle w:val="Compact"/>
              <w:jc w:val="left"/>
            </w:pPr>
            <w:r>
              <w:t xml:space="preserve">+0.04</w:t>
            </w:r>
          </w:p>
        </w:tc>
        <w:tc>
          <w:tcPr/>
          <w:p>
            <w:pPr>
              <w:pStyle w:val="Compact"/>
              <w:jc w:val="left"/>
            </w:pPr>
            <w:r>
              <w:t xml:space="preserve">−0.012</w:t>
            </w:r>
          </w:p>
        </w:tc>
      </w:tr>
      <w:tr>
        <w:tc>
          <w:tcPr/>
          <w:p>
            <w:pPr>
              <w:pStyle w:val="Compact"/>
              <w:jc w:val="left"/>
            </w:pPr>
            <w:r>
              <w:t xml:space="preserve">3</w:t>
            </w:r>
          </w:p>
        </w:tc>
        <w:tc>
          <w:tcPr/>
          <w:p>
            <w:pPr>
              <w:pStyle w:val="Compact"/>
              <w:jc w:val="left"/>
            </w:pPr>
            <w:r>
              <w:t xml:space="preserve">+0.2</w:t>
            </w:r>
          </w:p>
        </w:tc>
        <w:tc>
          <w:tcPr/>
          <w:p>
            <w:pPr>
              <w:pStyle w:val="Compact"/>
              <w:jc w:val="left"/>
            </w:pPr>
            <w:r>
              <w:t xml:space="preserve">−0.02</w:t>
            </w:r>
          </w:p>
        </w:tc>
        <w:tc>
          <w:tcPr/>
          <w:p>
            <w:pPr>
              <w:pStyle w:val="Compact"/>
              <w:jc w:val="left"/>
            </w:pPr>
            <w:r>
              <w:t xml:space="preserve">−0.004</w:t>
            </w:r>
          </w:p>
        </w:tc>
      </w:tr>
      <w:tr>
        <w:tc>
          <w:tcPr/>
          <w:p>
            <w:pPr>
              <w:pStyle w:val="Compact"/>
              <w:jc w:val="left"/>
            </w:pPr>
            <w:r>
              <w:t xml:space="preserve">4</w:t>
            </w:r>
          </w:p>
        </w:tc>
        <w:tc>
          <w:tcPr/>
          <w:p>
            <w:pPr>
              <w:pStyle w:val="Compact"/>
              <w:jc w:val="left"/>
            </w:pPr>
            <w:r>
              <w:t xml:space="preserve">−0.5</w:t>
            </w:r>
          </w:p>
        </w:tc>
        <w:tc>
          <w:tcPr/>
          <w:p>
            <w:pPr>
              <w:pStyle w:val="Compact"/>
              <w:jc w:val="left"/>
            </w:pPr>
            <w:r>
              <w:t xml:space="preserve">+0.06</w:t>
            </w:r>
          </w:p>
        </w:tc>
        <w:tc>
          <w:tcPr/>
          <w:p>
            <w:pPr>
              <w:pStyle w:val="Compact"/>
              <w:jc w:val="left"/>
            </w:pPr>
            <w:r>
              <w:t xml:space="preserve">−0.030</w:t>
            </w:r>
          </w:p>
        </w:tc>
      </w:tr>
      <w:tr>
        <w:tc>
          <w:tcPr/>
          <w:p>
            <w:pPr>
              <w:pStyle w:val="Compact"/>
              <w:jc w:val="left"/>
            </w:pPr>
            <w:r>
              <w:t xml:space="preserve">5</w:t>
            </w:r>
          </w:p>
        </w:tc>
        <w:tc>
          <w:tcPr/>
          <w:p>
            <w:pPr>
              <w:pStyle w:val="Compact"/>
              <w:jc w:val="left"/>
            </w:pPr>
            <w:r>
              <w:t xml:space="preserve">+0.3</w:t>
            </w:r>
          </w:p>
        </w:tc>
        <w:tc>
          <w:tcPr/>
          <w:p>
            <w:pPr>
              <w:pStyle w:val="Compact"/>
              <w:jc w:val="left"/>
            </w:pPr>
            <w:r>
              <w:t xml:space="preserve">−0.03</w:t>
            </w:r>
          </w:p>
        </w:tc>
        <w:tc>
          <w:tcPr/>
          <w:p>
            <w:pPr>
              <w:pStyle w:val="Compact"/>
              <w:jc w:val="left"/>
            </w:pPr>
            <w:r>
              <w:t xml:space="preserve">−0.009</w:t>
            </w:r>
          </w:p>
        </w:tc>
      </w:tr>
      <w:tr>
        <w:tc>
          <w:tcPr/>
          <w:p>
            <w:pPr>
              <w:pStyle w:val="Compact"/>
              <w:jc w:val="left"/>
            </w:pPr>
            <w:r>
              <w:t xml:space="preserve">6</w:t>
            </w:r>
          </w:p>
        </w:tc>
        <w:tc>
          <w:tcPr/>
          <w:p>
            <w:pPr>
              <w:pStyle w:val="Compact"/>
              <w:jc w:val="left"/>
            </w:pPr>
            <w:r>
              <w:t xml:space="preserve">−0.1</w:t>
            </w:r>
          </w:p>
        </w:tc>
        <w:tc>
          <w:tcPr/>
          <w:p>
            <w:pPr>
              <w:pStyle w:val="Compact"/>
              <w:jc w:val="left"/>
            </w:pPr>
            <w:r>
              <w:t xml:space="preserve">0.00</w:t>
            </w:r>
          </w:p>
        </w:tc>
        <w:tc>
          <w:tcPr/>
          <w:p>
            <w:pPr>
              <w:pStyle w:val="Compact"/>
              <w:jc w:val="left"/>
            </w:pPr>
            <w:r>
              <w:t xml:space="preserve">0.000</w:t>
            </w:r>
          </w:p>
        </w:tc>
      </w:tr>
      <w:tr>
        <w:tc>
          <w:tcPr/>
          <w:p>
            <w:pPr>
              <w:pStyle w:val="Compact"/>
              <w:jc w:val="left"/>
            </w:pPr>
            <w:r>
              <w:rPr>
                <w:bCs/>
                <w:b/>
              </w:rPr>
              <w:t xml:space="preserve">Mean</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−0.0125 mmol m⁻² s⁻¹ = −12.5 µmol m⁻² s⁻¹</w:t>
            </w:r>
          </w:p>
        </w:tc>
      </w:tr>
    </w:tbl>
    <w:p>
      <w:pPr>
        <w:pStyle w:val="BodyText"/>
      </w:pPr>
      <w:r>
        <w:t xml:space="preserve">Individually,</w:t>
      </w:r>
      <w:r>
        <w:t xml:space="preserve"> </w:t>
      </w:r>
      <m:oMath>
        <m:bar>
          <m:barPr>
            <m:pos m:val="top"/>
          </m:barPr>
          <m:e>
            <m:r>
              <m:t>w</m:t>
            </m:r>
            <m:r>
              <m:rPr>
                <m:sty m:val="p"/>
              </m:rPr>
              <m:t>′</m:t>
            </m:r>
          </m:e>
        </m:bar>
        <m:r>
          <m:rPr>
            <m:sty m:val="p"/>
          </m:rPr>
          <m:t>=</m:t>
        </m:r>
        <m:r>
          <m:t>0</m:t>
        </m:r>
      </m:oMath>
      <w:r>
        <w:t xml:space="preserve"> </w:t>
      </w:r>
      <w:r>
        <w:t xml:space="preserve">and</w:t>
      </w:r>
      <w:r>
        <w:t xml:space="preserve"> </w:t>
      </w:r>
      <m:oMath>
        <m:bar>
          <m:barPr>
            <m:pos m:val="top"/>
          </m:barPr>
          <m:e>
            <m:r>
              <m:t>c</m:t>
            </m:r>
            <m:r>
              <m:rPr>
                <m:sty m:val="p"/>
              </m:rPr>
              <m:t>′</m:t>
            </m:r>
          </m:e>
        </m:bar>
        <m:r>
          <m:rPr>
            <m:sty m:val="p"/>
          </m:rPr>
          <m:t>=</m:t>
        </m:r>
        <m:r>
          <m:t>0</m:t>
        </m:r>
      </m:oMath>
      <w:r>
        <w:t xml:space="preserve">; only their</w:t>
      </w:r>
      <w:r>
        <w:t xml:space="preserve"> </w:t>
      </w:r>
      <w:r>
        <w:rPr>
          <w:bCs/>
          <w:b/>
        </w:rPr>
        <w:t xml:space="preserve">correlation (covariance)</w:t>
      </w:r>
      <w:r>
        <w:t xml:space="preserve"> </w:t>
      </w:r>
      <w:r>
        <w:t xml:space="preserve">is non-zero — hence</w:t>
      </w:r>
      <w:r>
        <w:t xml:space="preserve"> </w:t>
      </w:r>
      <w:r>
        <w:t xml:space="preserve">“</w:t>
      </w:r>
      <w:r>
        <w:t xml:space="preserve">eddy</w:t>
      </w:r>
      <w:r>
        <w:t xml:space="preserve"> </w:t>
      </w:r>
      <w:r>
        <w:rPr>
          <w:bCs/>
          <w:b/>
        </w:rPr>
        <w:t xml:space="preserve">covariance</w:t>
      </w:r>
      <w:r>
        <w:t xml:space="preserve">”</w:t>
      </w:r>
      <w:r>
        <w:t xml:space="preserve"> </w:t>
      </w:r>
      <w:r>
        <w:t xml:space="preserve">(older name:</w:t>
      </w:r>
      <w:r>
        <w:t xml:space="preserve"> </w:t>
      </w:r>
      <w:r>
        <w:rPr>
          <w:bCs/>
          <w:b/>
        </w:rPr>
        <w:t xml:space="preserve">eddy correlation</w:t>
      </w:r>
      <w:r>
        <w:t xml:space="preserve">).</w:t>
      </w:r>
    </w:p>
    <w:p>
      <w:pPr>
        <w:pStyle w:val="Heading3"/>
      </w:pPr>
      <w:r>
        <w:t xml:space="preserve">26.6.2 Derivation with Reynolds averaging</w:t>
      </w:r>
    </w:p>
    <w:p>
      <w:pPr>
        <w:pStyle w:val="FirstParagraph"/>
      </w:pPr>
      <w:r>
        <w:t xml:space="preserve">The true mean vertical flux of an entity</w:t>
      </w:r>
      <w:r>
        <w:t xml:space="preserve"> </w:t>
      </w:r>
      <m:oMath>
        <m:r>
          <m:t>s</m:t>
        </m:r>
      </m:oMath>
      <w:r>
        <w:t xml:space="preserve"> </w:t>
      </w:r>
      <w:r>
        <w:t xml:space="preserve">(amount per unit mass of air) is</w:t>
      </w:r>
      <w:r>
        <w:t xml:space="preserve"> </w:t>
      </w:r>
      <m:oMath>
        <m:r>
          <m:t>F</m:t>
        </m:r>
        <m:r>
          <m:rPr>
            <m:sty m:val="p"/>
          </m:rPr>
          <m:t>=</m:t>
        </m:r>
        <m:bar>
          <m:barPr>
            <m:pos m:val="top"/>
          </m:barPr>
          <m:e>
            <m:sSub>
              <m:e>
                <m:r>
                  <m:t>ρ</m:t>
                </m:r>
              </m:e>
              <m:sub>
                <m:r>
                  <m:t>a</m:t>
                </m:r>
              </m:sub>
            </m:sSub>
            <m:r>
              <m:t> </m:t>
            </m:r>
            <m:r>
              <m:t>w</m:t>
            </m:r>
            <m:r>
              <m:t> </m:t>
            </m:r>
            <m:r>
              <m:t>s</m:t>
            </m:r>
          </m:e>
        </m:bar>
      </m:oMath>
      <w:r>
        <w:t xml:space="preserve">. Decompose each variable into mean and fluctuation (</w:t>
      </w:r>
      <w:r>
        <w:rPr>
          <w:bCs/>
          <w:b/>
        </w:rPr>
        <w:t xml:space="preserve">Reynolds decomposition</w:t>
      </w:r>
      <w:r>
        <w:t xml:space="preserve">):</w:t>
      </w:r>
      <w:r>
        <w:t xml:space="preserve"> </w:t>
      </w:r>
      <m:oMath>
        <m:sSub>
          <m:e>
            <m:r>
              <m:t>ρ</m:t>
            </m:r>
          </m:e>
          <m:sub>
            <m:r>
              <m:t>a</m:t>
            </m:r>
          </m:sub>
        </m:sSub>
        <m:r>
          <m:rPr>
            <m:sty m:val="p"/>
          </m:rPr>
          <m:t>=</m:t>
        </m:r>
        <m:bar>
          <m:barPr>
            <m:pos m:val="top"/>
          </m:barPr>
          <m:e>
            <m:sSub>
              <m:e>
                <m:r>
                  <m:t>ρ</m:t>
                </m:r>
              </m:e>
              <m:sub>
                <m:r>
                  <m:t>a</m:t>
                </m:r>
              </m:sub>
            </m:sSub>
          </m:e>
        </m:bar>
        <m:r>
          <m:rPr>
            <m:sty m:val="p"/>
          </m:rPr>
          <m:t>+</m:t>
        </m:r>
        <m:sSub>
          <m:e>
            <m:r>
              <m:t>ρ</m:t>
            </m:r>
          </m:e>
          <m:sub>
            <m:r>
              <m:t>a</m:t>
            </m:r>
          </m:sub>
        </m:sSub>
        <m:r>
          <m:rPr>
            <m:sty m:val="p"/>
          </m:rPr>
          <m:t>′</m:t>
        </m:r>
      </m:oMath>
      <w:r>
        <w:t xml:space="preserve">,</w:t>
      </w:r>
      <w:r>
        <w:t xml:space="preserve"> </w:t>
      </w:r>
      <m:oMath>
        <m:r>
          <m:t>w</m:t>
        </m:r>
        <m:r>
          <m:rPr>
            <m:sty m:val="p"/>
          </m:rPr>
          <m:t>=</m:t>
        </m:r>
        <m:bar>
          <m:barPr>
            <m:pos m:val="top"/>
          </m:barPr>
          <m:e>
            <m:r>
              <m:t>w</m:t>
            </m:r>
          </m:e>
        </m:bar>
        <m:r>
          <m:rPr>
            <m:sty m:val="p"/>
          </m:rPr>
          <m:t>+</m:t>
        </m:r>
        <m:r>
          <m:t>w</m:t>
        </m:r>
        <m:r>
          <m:rPr>
            <m:sty m:val="p"/>
          </m:rPr>
          <m:t>′</m:t>
        </m:r>
      </m:oMath>
      <w:r>
        <w:t xml:space="preserve">,</w:t>
      </w:r>
      <w:r>
        <w:t xml:space="preserve"> </w:t>
      </w:r>
      <m:oMath>
        <m:r>
          <m:t>s</m:t>
        </m:r>
        <m:r>
          <m:rPr>
            <m:sty m:val="p"/>
          </m:rPr>
          <m:t>=</m:t>
        </m:r>
        <m:bar>
          <m:barPr>
            <m:pos m:val="top"/>
          </m:barPr>
          <m:e>
            <m:r>
              <m:t>s</m:t>
            </m:r>
          </m:e>
        </m:bar>
        <m:r>
          <m:rPr>
            <m:sty m:val="p"/>
          </m:rPr>
          <m:t>+</m:t>
        </m:r>
        <m:r>
          <m:t>s</m:t>
        </m:r>
        <m:r>
          <m:rPr>
            <m:sty m:val="p"/>
          </m:rPr>
          <m:t>′</m:t>
        </m:r>
      </m:oMath>
      <w:r>
        <w:t xml:space="preserve">. Expanding gives eight terms:</w:t>
      </w:r>
    </w:p>
    <w:p>
      <w:pPr>
        <w:pStyle w:val="BodyText"/>
      </w:pPr>
      <m:oMathPara>
        <m:oMathParaPr>
          <m:jc m:val="center"/>
        </m:oMathParaPr>
        <m:oMath>
          <m:r>
            <m:t>F</m:t>
          </m:r>
          <m:r>
            <m:rPr>
              <m:sty m:val="p"/>
            </m:rPr>
            <m:t>=</m:t>
          </m:r>
          <m:bar>
            <m:barPr>
              <m:pos m:val="top"/>
            </m:barPr>
            <m:e>
              <m:d>
                <m:dPr>
                  <m:begChr m:val="("/>
                  <m:endChr m:val=")"/>
                  <m:sepChr m:val=""/>
                  <m:grow/>
                </m:dPr>
                <m:e>
                  <m:acc>
                    <m:accPr>
                      <m:chr m:val="‾"/>
                    </m:accPr>
                    <m:e>
                      <m:r>
                        <m:t>ρ</m:t>
                      </m:r>
                    </m:e>
                  </m:acc>
                  <m:r>
                    <m:rPr>
                      <m:sty m:val="p"/>
                    </m:rPr>
                    <m:t>+</m:t>
                  </m:r>
                  <m:r>
                    <m:t>ρ</m:t>
                  </m:r>
                  <m:r>
                    <m:rPr>
                      <m:sty m:val="p"/>
                    </m:rPr>
                    <m:t>′</m:t>
                  </m:r>
                </m:e>
              </m:d>
              <m:d>
                <m:dPr>
                  <m:begChr m:val="("/>
                  <m:endChr m:val=")"/>
                  <m:sepChr m:val=""/>
                  <m:grow/>
                </m:dPr>
                <m:e>
                  <m:acc>
                    <m:accPr>
                      <m:chr m:val="‾"/>
                    </m:accPr>
                    <m:e>
                      <m:r>
                        <m:t>w</m:t>
                      </m:r>
                    </m:e>
                  </m:acc>
                  <m:r>
                    <m:rPr>
                      <m:sty m:val="p"/>
                    </m:rPr>
                    <m:t>+</m:t>
                  </m:r>
                  <m:r>
                    <m:t>w</m:t>
                  </m:r>
                  <m:r>
                    <m:rPr>
                      <m:sty m:val="p"/>
                    </m:rPr>
                    <m:t>′</m:t>
                  </m:r>
                </m:e>
              </m:d>
              <m:d>
                <m:dPr>
                  <m:begChr m:val="("/>
                  <m:endChr m:val=")"/>
                  <m:sepChr m:val=""/>
                  <m:grow/>
                </m:dPr>
                <m:e>
                  <m:acc>
                    <m:accPr>
                      <m:chr m:val="‾"/>
                    </m:accPr>
                    <m:e>
                      <m:r>
                        <m:t>s</m:t>
                      </m:r>
                    </m:e>
                  </m:acc>
                  <m:r>
                    <m:rPr>
                      <m:sty m:val="p"/>
                    </m:rPr>
                    <m:t>+</m:t>
                  </m:r>
                  <m:r>
                    <m:t>s</m:t>
                  </m:r>
                  <m:r>
                    <m:rPr>
                      <m:sty m:val="p"/>
                    </m:rPr>
                    <m:t>′</m:t>
                  </m:r>
                </m:e>
              </m:d>
            </m:e>
          </m:bar>
        </m:oMath>
      </m:oMathPara>
    </w:p>
    <w:p>
      <w:pPr>
        <w:pStyle w:val="FirstParagraph"/>
      </w:pPr>
      <w:r>
        <w:rPr>
          <w:bCs/>
          <w:b/>
        </w:rPr>
        <w:t xml:space="preserve">Reynolds averaging rules:</w:t>
      </w:r>
      <w:r>
        <w:t xml:space="preserve"> </w:t>
      </w:r>
      <m:oMath>
        <m:bar>
          <m:barPr>
            <m:pos m:val="top"/>
          </m:barPr>
          <m:e>
            <m:r>
              <m:t>x</m:t>
            </m:r>
            <m:r>
              <m:rPr>
                <m:sty m:val="p"/>
              </m:rPr>
              <m:t>′</m:t>
            </m:r>
          </m:e>
        </m:bar>
        <m:r>
          <m:rPr>
            <m:sty m:val="p"/>
          </m:rPr>
          <m:t>=</m:t>
        </m:r>
        <m:r>
          <m:t>0</m:t>
        </m:r>
      </m:oMath>
      <w:r>
        <w:t xml:space="preserve">;</w:t>
      </w:r>
      <w:r>
        <w:t xml:space="preserve"> </w:t>
      </w:r>
      <m:oMath>
        <m:bar>
          <m:barPr>
            <m:pos m:val="top"/>
          </m:barPr>
          <m:e>
            <m:acc>
              <m:accPr>
                <m:chr m:val="‾"/>
              </m:accPr>
              <m:e>
                <m:r>
                  <m:t>x</m:t>
                </m:r>
              </m:e>
            </m:acc>
          </m:e>
        </m:bar>
        <m:r>
          <m:rPr>
            <m:sty m:val="p"/>
          </m:rPr>
          <m:t>=</m:t>
        </m:r>
        <m:acc>
          <m:accPr>
            <m:chr m:val="‾"/>
          </m:accPr>
          <m:e>
            <m:r>
              <m:t>x</m:t>
            </m:r>
          </m:e>
        </m:acc>
      </m:oMath>
      <w:r>
        <w:t xml:space="preserve">;</w:t>
      </w:r>
      <w:r>
        <w:t xml:space="preserve"> </w:t>
      </w:r>
      <m:oMath>
        <m:bar>
          <m:barPr>
            <m:pos m:val="top"/>
          </m:barPr>
          <m:e>
            <m:r>
              <m:t>x</m:t>
            </m:r>
            <m:r>
              <m:rPr>
                <m:sty m:val="p"/>
              </m:rPr>
              <m:t>+</m:t>
            </m:r>
            <m:r>
              <m:t>y</m:t>
            </m:r>
          </m:e>
        </m:bar>
        <m:r>
          <m:rPr>
            <m:sty m:val="p"/>
          </m:rPr>
          <m:t>=</m:t>
        </m:r>
        <m:acc>
          <m:accPr>
            <m:chr m:val="‾"/>
          </m:accPr>
          <m:e>
            <m:r>
              <m:t>x</m:t>
            </m:r>
          </m:e>
        </m:acc>
        <m:r>
          <m:rPr>
            <m:sty m:val="p"/>
          </m:rPr>
          <m:t>+</m:t>
        </m:r>
        <m:acc>
          <m:accPr>
            <m:chr m:val="‾"/>
          </m:accPr>
          <m:e>
            <m:r>
              <m:t>y</m:t>
            </m:r>
          </m:e>
        </m:acc>
      </m:oMath>
      <w:r>
        <w:t xml:space="preserve">;</w:t>
      </w:r>
      <w:r>
        <w:t xml:space="preserve"> </w:t>
      </w:r>
      <m:oMath>
        <m:bar>
          <m:barPr>
            <m:pos m:val="top"/>
          </m:barPr>
          <m:e>
            <m:acc>
              <m:accPr>
                <m:chr m:val="‾"/>
              </m:accPr>
              <m:e>
                <m:r>
                  <m:t>x</m:t>
                </m:r>
              </m:e>
            </m:acc>
            <m:r>
              <m:t> </m:t>
            </m:r>
            <m:r>
              <m:t>y</m:t>
            </m:r>
            <m:r>
              <m:rPr>
                <m:sty m:val="p"/>
              </m:rPr>
              <m:t>′</m:t>
            </m:r>
          </m:e>
        </m:bar>
        <m:r>
          <m:rPr>
            <m:sty m:val="p"/>
          </m:rPr>
          <m:t>=</m:t>
        </m:r>
        <m:r>
          <m:t>0</m:t>
        </m:r>
      </m:oMath>
      <w:r>
        <w:t xml:space="preserve">; but</w:t>
      </w:r>
      <w:r>
        <w:t xml:space="preserve"> </w:t>
      </w:r>
      <m:oMath>
        <m:bar>
          <m:barPr>
            <m:pos m:val="top"/>
          </m:barPr>
          <m:e>
            <m:r>
              <m:t>x</m:t>
            </m:r>
            <m:r>
              <m:rPr>
                <m:sty m:val="p"/>
              </m:rPr>
              <m:t>′</m:t>
            </m:r>
            <m:r>
              <m:t>y</m:t>
            </m:r>
            <m:r>
              <m:rPr>
                <m:sty m:val="p"/>
              </m:rPr>
              <m:t>′</m:t>
            </m:r>
          </m:e>
        </m:bar>
        <m:r>
          <m:rPr>
            <m:sty m:val="p"/>
          </m:rPr>
          <m:t>≠</m:t>
        </m:r>
        <m:r>
          <m:t>0</m:t>
        </m:r>
      </m:oMath>
      <w:r>
        <w:t xml:space="preserve"> </w:t>
      </w:r>
      <w:r>
        <w:t xml:space="preserve">in general (it is the covariance);</w:t>
      </w:r>
      <w:r>
        <w:t xml:space="preserve"> </w:t>
      </w:r>
      <m:oMath>
        <m:bar>
          <m:barPr>
            <m:pos m:val="top"/>
          </m:barPr>
          <m:e>
            <m:r>
              <m:t>x</m:t>
            </m:r>
            <m:r>
              <m:t>y</m:t>
            </m:r>
          </m:e>
        </m:bar>
        <m:r>
          <m:rPr>
            <m:sty m:val="p"/>
          </m:rPr>
          <m:t>=</m:t>
        </m:r>
        <m:acc>
          <m:accPr>
            <m:chr m:val="‾"/>
          </m:accPr>
          <m:e>
            <m:r>
              <m:t>x</m:t>
            </m:r>
          </m:e>
        </m:acc>
        <m:acc>
          <m:accPr>
            <m:chr m:val="‾"/>
          </m:accPr>
          <m:e>
            <m:r>
              <m:t>y</m:t>
            </m:r>
          </m:e>
        </m:acc>
        <m:r>
          <m:rPr>
            <m:sty m:val="p"/>
          </m:rPr>
          <m:t>+</m:t>
        </m:r>
        <m:bar>
          <m:barPr>
            <m:pos m:val="top"/>
          </m:barPr>
          <m:e>
            <m:r>
              <m:t>x</m:t>
            </m:r>
            <m:r>
              <m:rPr>
                <m:sty m:val="p"/>
              </m:rPr>
              <m:t>′</m:t>
            </m:r>
            <m:r>
              <m:t>y</m:t>
            </m:r>
            <m:r>
              <m:rPr>
                <m:sty m:val="p"/>
              </m:rPr>
              <m:t>′</m:t>
            </m:r>
          </m:e>
        </m:bar>
      </m:oMath>
      <w:r>
        <w:t xml:space="preserv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Term</w:t>
            </w:r>
          </w:p>
        </w:tc>
        <w:tc>
          <w:tcPr/>
          <w:p>
            <w:pPr>
              <w:pStyle w:val="Compact"/>
              <w:jc w:val="left"/>
            </w:pPr>
            <w:r>
              <w:t xml:space="preserve">After averaging</w:t>
            </w:r>
          </w:p>
        </w:tc>
      </w:tr>
      <w:tr>
        <w:tc>
          <w:tcPr/>
          <w:p>
            <w:pPr>
              <w:pStyle w:val="Compact"/>
              <w:jc w:val="left"/>
            </w:pPr>
            <w:r>
              <w:t xml:space="preserve">1</w:t>
            </w:r>
          </w:p>
        </w:tc>
        <w:tc>
          <w:tcPr/>
          <w:p>
            <w:pPr>
              <w:pStyle w:val="Compact"/>
              <w:jc w:val="left"/>
            </w:pPr>
            <m:oMath>
              <m:acc>
                <m:accPr>
                  <m:chr m:val="‾"/>
                </m:accPr>
                <m:e>
                  <m:r>
                    <m:t>ρ</m:t>
                  </m:r>
                </m:e>
              </m:acc>
              <m:acc>
                <m:accPr>
                  <m:chr m:val="‾"/>
                </m:accPr>
                <m:e>
                  <m:r>
                    <m:t>w</m:t>
                  </m:r>
                </m:e>
              </m:acc>
              <m:acc>
                <m:accPr>
                  <m:chr m:val="‾"/>
                </m:accPr>
                <m:e>
                  <m:r>
                    <m:t>s</m:t>
                  </m:r>
                </m:e>
              </m:acc>
            </m:oMath>
          </w:p>
        </w:tc>
        <w:tc>
          <w:tcPr/>
          <w:p>
            <w:pPr>
              <w:pStyle w:val="Compact"/>
              <w:jc w:val="left"/>
            </w:pPr>
            <w:r>
              <w:t xml:space="preserve">stays</w:t>
            </w:r>
          </w:p>
        </w:tc>
      </w:tr>
      <w:tr>
        <w:tc>
          <w:tcPr/>
          <w:p>
            <w:pPr>
              <w:pStyle w:val="Compact"/>
              <w:jc w:val="left"/>
            </w:pPr>
            <w:r>
              <w:t xml:space="preserve">2</w:t>
            </w:r>
          </w:p>
        </w:tc>
        <w:tc>
          <w:tcPr/>
          <w:p>
            <w:pPr>
              <w:pStyle w:val="Compact"/>
              <w:jc w:val="left"/>
            </w:pPr>
            <m:oMath>
              <m:acc>
                <m:accPr>
                  <m:chr m:val="‾"/>
                </m:accPr>
                <m:e>
                  <m:r>
                    <m:t>ρ</m:t>
                  </m:r>
                </m:e>
              </m:acc>
              <m:r>
                <m:t>w</m:t>
              </m:r>
              <m:r>
                <m:rPr>
                  <m:sty m:val="p"/>
                </m:rPr>
                <m:t>′</m:t>
              </m:r>
              <m:acc>
                <m:accPr>
                  <m:chr m:val="‾"/>
                </m:accPr>
                <m:e>
                  <m:r>
                    <m:t>s</m:t>
                  </m:r>
                </m:e>
              </m:acc>
            </m:oMath>
          </w:p>
        </w:tc>
        <w:tc>
          <w:tcPr/>
          <w:p>
            <w:pPr>
              <w:pStyle w:val="Compact"/>
              <w:jc w:val="left"/>
            </w:pPr>
            <w:r>
              <w:rPr>
                <w:bCs/>
                <w:b/>
              </w:rPr>
              <w:t xml:space="preserve">0</w:t>
            </w:r>
            <w:r>
              <w:t xml:space="preserve"> </w:t>
            </w:r>
            <w:r>
              <w:t xml:space="preserve">(single prime)</w:t>
            </w:r>
          </w:p>
        </w:tc>
      </w:tr>
      <w:tr>
        <w:tc>
          <w:tcPr/>
          <w:p>
            <w:pPr>
              <w:pStyle w:val="Compact"/>
              <w:jc w:val="left"/>
            </w:pPr>
            <w:r>
              <w:t xml:space="preserve">3</w:t>
            </w:r>
          </w:p>
        </w:tc>
        <w:tc>
          <w:tcPr/>
          <w:p>
            <w:pPr>
              <w:pStyle w:val="Compact"/>
              <w:jc w:val="left"/>
            </w:pPr>
            <m:oMath>
              <m:r>
                <m:t>ρ</m:t>
              </m:r>
              <m:r>
                <m:rPr>
                  <m:sty m:val="p"/>
                </m:rPr>
                <m:t>′</m:t>
              </m:r>
              <m:acc>
                <m:accPr>
                  <m:chr m:val="‾"/>
                </m:accPr>
                <m:e>
                  <m:r>
                    <m:t>w</m:t>
                  </m:r>
                </m:e>
              </m:acc>
              <m:acc>
                <m:accPr>
                  <m:chr m:val="‾"/>
                </m:accPr>
                <m:e>
                  <m:r>
                    <m:t>s</m:t>
                  </m:r>
                </m:e>
              </m:acc>
            </m:oMath>
          </w:p>
        </w:tc>
        <w:tc>
          <w:tcPr/>
          <w:p>
            <w:pPr>
              <w:pStyle w:val="Compact"/>
              <w:jc w:val="left"/>
            </w:pPr>
            <w:r>
              <w:rPr>
                <w:bCs/>
                <w:b/>
              </w:rPr>
              <w:t xml:space="preserve">0</w:t>
            </w:r>
          </w:p>
        </w:tc>
      </w:tr>
      <w:tr>
        <w:tc>
          <w:tcPr/>
          <w:p>
            <w:pPr>
              <w:pStyle w:val="Compact"/>
              <w:jc w:val="left"/>
            </w:pPr>
            <w:r>
              <w:t xml:space="preserve">4</w:t>
            </w:r>
          </w:p>
        </w:tc>
        <w:tc>
          <w:tcPr/>
          <w:p>
            <w:pPr>
              <w:pStyle w:val="Compact"/>
              <w:jc w:val="left"/>
            </w:pPr>
            <m:oMath>
              <m:r>
                <m:t>ρ</m:t>
              </m:r>
              <m:r>
                <m:rPr>
                  <m:sty m:val="p"/>
                </m:rPr>
                <m:t>′</m:t>
              </m:r>
              <m:r>
                <m:t>w</m:t>
              </m:r>
              <m:r>
                <m:rPr>
                  <m:sty m:val="p"/>
                </m:rPr>
                <m:t>′</m:t>
              </m:r>
              <m:acc>
                <m:accPr>
                  <m:chr m:val="‾"/>
                </m:accPr>
                <m:e>
                  <m:r>
                    <m:t>s</m:t>
                  </m:r>
                </m:e>
              </m:acc>
            </m:oMath>
          </w:p>
        </w:tc>
        <w:tc>
          <w:tcPr/>
          <w:p>
            <w:pPr>
              <w:pStyle w:val="Compact"/>
              <w:jc w:val="left"/>
            </w:pPr>
            <m:oMath>
              <m:acc>
                <m:accPr>
                  <m:chr m:val="‾"/>
                </m:accPr>
                <m:e>
                  <m:r>
                    <m:t>s</m:t>
                  </m:r>
                </m:e>
              </m:acc>
              <m:r>
                <m:t> </m:t>
              </m:r>
              <m:bar>
                <m:barPr>
                  <m:pos m:val="top"/>
                </m:barPr>
                <m:e>
                  <m:r>
                    <m:t>ρ</m:t>
                  </m:r>
                  <m:r>
                    <m:rPr>
                      <m:sty m:val="p"/>
                    </m:rPr>
                    <m:t>′</m:t>
                  </m:r>
                  <m:r>
                    <m:t>w</m:t>
                  </m:r>
                  <m:r>
                    <m:rPr>
                      <m:sty m:val="p"/>
                    </m:rPr>
                    <m:t>′</m:t>
                  </m:r>
                </m:e>
              </m:bar>
            </m:oMath>
          </w:p>
        </w:tc>
      </w:tr>
      <w:tr>
        <w:tc>
          <w:tcPr/>
          <w:p>
            <w:pPr>
              <w:pStyle w:val="Compact"/>
              <w:jc w:val="left"/>
            </w:pPr>
            <w:r>
              <w:t xml:space="preserve">5</w:t>
            </w:r>
          </w:p>
        </w:tc>
        <w:tc>
          <w:tcPr/>
          <w:p>
            <w:pPr>
              <w:pStyle w:val="Compact"/>
              <w:jc w:val="left"/>
            </w:pPr>
            <m:oMath>
              <m:acc>
                <m:accPr>
                  <m:chr m:val="‾"/>
                </m:accPr>
                <m:e>
                  <m:r>
                    <m:t>ρ</m:t>
                  </m:r>
                </m:e>
              </m:acc>
              <m:acc>
                <m:accPr>
                  <m:chr m:val="‾"/>
                </m:accPr>
                <m:e>
                  <m:r>
                    <m:t>w</m:t>
                  </m:r>
                </m:e>
              </m:acc>
              <m:r>
                <m:t>s</m:t>
              </m:r>
              <m:r>
                <m:rPr>
                  <m:sty m:val="p"/>
                </m:rPr>
                <m:t>′</m:t>
              </m:r>
            </m:oMath>
          </w:p>
        </w:tc>
        <w:tc>
          <w:tcPr/>
          <w:p>
            <w:pPr>
              <w:pStyle w:val="Compact"/>
              <w:jc w:val="left"/>
            </w:pPr>
            <w:r>
              <w:rPr>
                <w:bCs/>
                <w:b/>
              </w:rPr>
              <w:t xml:space="preserve">0</w:t>
            </w:r>
          </w:p>
        </w:tc>
      </w:tr>
      <w:tr>
        <w:tc>
          <w:tcPr/>
          <w:p>
            <w:pPr>
              <w:pStyle w:val="Compact"/>
              <w:jc w:val="left"/>
            </w:pPr>
            <w:r>
              <w:t xml:space="preserve">6</w:t>
            </w:r>
          </w:p>
        </w:tc>
        <w:tc>
          <w:tcPr/>
          <w:p>
            <w:pPr>
              <w:pStyle w:val="Compact"/>
              <w:jc w:val="left"/>
            </w:pPr>
            <m:oMath>
              <m:acc>
                <m:accPr>
                  <m:chr m:val="‾"/>
                </m:accPr>
                <m:e>
                  <m:r>
                    <m:t>ρ</m:t>
                  </m:r>
                </m:e>
              </m:acc>
              <m:r>
                <m:t>w</m:t>
              </m:r>
              <m:r>
                <m:rPr>
                  <m:sty m:val="p"/>
                </m:rPr>
                <m:t>′</m:t>
              </m:r>
              <m:r>
                <m:t>s</m:t>
              </m:r>
              <m:r>
                <m:rPr>
                  <m:sty m:val="p"/>
                </m:rPr>
                <m:t>′</m:t>
              </m:r>
            </m:oMath>
          </w:p>
        </w:tc>
        <w:tc>
          <w:tcPr/>
          <w:p>
            <w:pPr>
              <w:pStyle w:val="Compact"/>
              <w:jc w:val="left"/>
            </w:pPr>
            <m:oMath>
              <m:acc>
                <m:accPr>
                  <m:chr m:val="‾"/>
                </m:accPr>
                <m:e>
                  <m:r>
                    <m:t>ρ</m:t>
                  </m:r>
                </m:e>
              </m:acc>
              <m:r>
                <m:t> </m:t>
              </m:r>
              <m:bar>
                <m:barPr>
                  <m:pos m:val="top"/>
                </m:barPr>
                <m:e>
                  <m:r>
                    <m:t>w</m:t>
                  </m:r>
                  <m:r>
                    <m:rPr>
                      <m:sty m:val="p"/>
                    </m:rPr>
                    <m:t>′</m:t>
                  </m:r>
                  <m:r>
                    <m:t>s</m:t>
                  </m:r>
                  <m:r>
                    <m:rPr>
                      <m:sty m:val="p"/>
                    </m:rPr>
                    <m:t>′</m:t>
                  </m:r>
                </m:e>
              </m:bar>
            </m:oMath>
            <w:r>
              <w:t xml:space="preserve"> </w:t>
            </w:r>
            <w:r>
              <w:t xml:space="preserve">—</w:t>
            </w:r>
            <w:r>
              <w:t xml:space="preserve"> </w:t>
            </w:r>
            <w:r>
              <w:rPr>
                <w:bCs/>
                <w:b/>
              </w:rPr>
              <w:t xml:space="preserve">the eddy flux</w:t>
            </w:r>
          </w:p>
        </w:tc>
      </w:tr>
      <w:tr>
        <w:tc>
          <w:tcPr/>
          <w:p>
            <w:pPr>
              <w:pStyle w:val="Compact"/>
              <w:jc w:val="left"/>
            </w:pPr>
            <w:r>
              <w:t xml:space="preserve">7</w:t>
            </w:r>
          </w:p>
        </w:tc>
        <w:tc>
          <w:tcPr/>
          <w:p>
            <w:pPr>
              <w:pStyle w:val="Compact"/>
              <w:jc w:val="left"/>
            </w:pPr>
            <m:oMath>
              <m:r>
                <m:t>ρ</m:t>
              </m:r>
              <m:r>
                <m:rPr>
                  <m:sty m:val="p"/>
                </m:rPr>
                <m:t>′</m:t>
              </m:r>
              <m:acc>
                <m:accPr>
                  <m:chr m:val="‾"/>
                </m:accPr>
                <m:e>
                  <m:r>
                    <m:t>w</m:t>
                  </m:r>
                </m:e>
              </m:acc>
              <m:r>
                <m:t>s</m:t>
              </m:r>
              <m:r>
                <m:rPr>
                  <m:sty m:val="p"/>
                </m:rPr>
                <m:t>′</m:t>
              </m:r>
            </m:oMath>
          </w:p>
        </w:tc>
        <w:tc>
          <w:tcPr/>
          <w:p>
            <w:pPr>
              <w:pStyle w:val="Compact"/>
              <w:jc w:val="left"/>
            </w:pPr>
            <m:oMath>
              <m:acc>
                <m:accPr>
                  <m:chr m:val="‾"/>
                </m:accPr>
                <m:e>
                  <m:r>
                    <m:t>w</m:t>
                  </m:r>
                </m:e>
              </m:acc>
              <m:r>
                <m:t> </m:t>
              </m:r>
              <m:bar>
                <m:barPr>
                  <m:pos m:val="top"/>
                </m:barPr>
                <m:e>
                  <m:r>
                    <m:t>ρ</m:t>
                  </m:r>
                  <m:r>
                    <m:rPr>
                      <m:sty m:val="p"/>
                    </m:rPr>
                    <m:t>′</m:t>
                  </m:r>
                  <m:r>
                    <m:t>s</m:t>
                  </m:r>
                  <m:r>
                    <m:rPr>
                      <m:sty m:val="p"/>
                    </m:rPr>
                    <m:t>′</m:t>
                  </m:r>
                </m:e>
              </m:bar>
            </m:oMath>
          </w:p>
        </w:tc>
      </w:tr>
      <w:tr>
        <w:tc>
          <w:tcPr/>
          <w:p>
            <w:pPr>
              <w:pStyle w:val="Compact"/>
              <w:jc w:val="left"/>
            </w:pPr>
            <w:r>
              <w:t xml:space="preserve">8</w:t>
            </w:r>
          </w:p>
        </w:tc>
        <w:tc>
          <w:tcPr/>
          <w:p>
            <w:pPr>
              <w:pStyle w:val="Compact"/>
              <w:jc w:val="left"/>
            </w:pPr>
            <m:oMath>
              <m:r>
                <m:t>ρ</m:t>
              </m:r>
              <m:r>
                <m:rPr>
                  <m:sty m:val="p"/>
                </m:rPr>
                <m:t>′</m:t>
              </m:r>
              <m:r>
                <m:t>w</m:t>
              </m:r>
              <m:r>
                <m:rPr>
                  <m:sty m:val="p"/>
                </m:rPr>
                <m:t>′</m:t>
              </m:r>
              <m:r>
                <m:t>s</m:t>
              </m:r>
              <m:r>
                <m:rPr>
                  <m:sty m:val="p"/>
                </m:rPr>
                <m:t>′</m:t>
              </m:r>
            </m:oMath>
          </w:p>
        </w:tc>
        <w:tc>
          <w:tcPr/>
          <w:p>
            <w:pPr>
              <w:pStyle w:val="Compact"/>
              <w:jc w:val="left"/>
            </w:pPr>
            <m:oMath>
              <m:bar>
                <m:barPr>
                  <m:pos m:val="top"/>
                </m:barPr>
                <m:e>
                  <m:r>
                    <m:t>ρ</m:t>
                  </m:r>
                  <m:r>
                    <m:rPr>
                      <m:sty m:val="p"/>
                    </m:rPr>
                    <m:t>′</m:t>
                  </m:r>
                  <m:r>
                    <m:t>w</m:t>
                  </m:r>
                  <m:r>
                    <m:rPr>
                      <m:sty m:val="p"/>
                    </m:rPr>
                    <m:t>′</m:t>
                  </m:r>
                  <m:r>
                    <m:t>s</m:t>
                  </m:r>
                  <m:r>
                    <m:rPr>
                      <m:sty m:val="p"/>
                    </m:rPr>
                    <m:t>′</m:t>
                  </m:r>
                </m:e>
              </m:bar>
            </m:oMath>
            <w:r>
              <w:t xml:space="preserve"> </w:t>
            </w:r>
            <w:r>
              <w:t xml:space="preserve">(triple correlation, tiny)</w:t>
            </w:r>
          </w:p>
        </w:tc>
      </w:tr>
    </w:tbl>
    <w:p>
      <w:pPr>
        <w:pStyle w:val="BodyText"/>
      </w:pPr>
      <w:r>
        <w:rPr>
          <w:bCs/>
          <w:b/>
        </w:rPr>
        <w:t xml:space="preserve">Simplifications:</w:t>
      </w:r>
      <w:r>
        <w:t xml:space="preserve"> </w:t>
      </w:r>
      <w:r>
        <w:t xml:space="preserve">(i) neglect density fluctuations (terms 4, 7, 8) — air density varies little near the surface; (ii) neglect mean vertical motion</w:t>
      </w:r>
      <w:r>
        <w:t xml:space="preserve"> </w:t>
      </w:r>
      <m:oMath>
        <m:acc>
          <m:accPr>
            <m:chr m:val="‾"/>
          </m:accPr>
          <m:e>
            <m:r>
              <m:t>w</m:t>
            </m:r>
          </m:e>
        </m:acc>
        <m:r>
          <m:rPr>
            <m:sty m:val="p"/>
          </m:rPr>
          <m:t>≈</m:t>
        </m:r>
        <m:r>
          <m:t>0</m:t>
        </m:r>
      </m:oMath>
      <w:r>
        <w:t xml:space="preserve"> </w:t>
      </w:r>
      <w:r>
        <w:t xml:space="preserve">over flat homogeneous terrain (enforced by</w:t>
      </w:r>
      <w:r>
        <w:t xml:space="preserve"> </w:t>
      </w:r>
      <w:r>
        <w:rPr>
          <w:bCs/>
          <w:b/>
        </w:rPr>
        <w:t xml:space="preserve">coordinate rotation</w:t>
      </w:r>
      <w:r>
        <w:t xml:space="preserve">). Result:</w:t>
      </w:r>
    </w:p>
    <w:p>
      <w:pPr>
        <w:pStyle w:val="BodyText"/>
      </w:pPr>
      <m:oMathPara>
        <m:oMathParaPr>
          <m:jc m:val="center"/>
        </m:oMathParaPr>
        <m:oMath>
          <m:borderBox>
            <m:e>
              <m:r>
                <m:t>F</m:t>
              </m:r>
              <m:r>
                <m:rPr>
                  <m:sty m:val="p"/>
                </m:rPr>
                <m:t>=</m:t>
              </m:r>
              <m:sSub>
                <m:e>
                  <m:r>
                    <m:t>ρ</m:t>
                  </m:r>
                </m:e>
                <m:sub>
                  <m:r>
                    <m:t>a</m:t>
                  </m:r>
                </m:sub>
              </m:sSub>
              <m:r>
                <m:t> </m:t>
              </m:r>
              <m:bar>
                <m:barPr>
                  <m:pos m:val="top"/>
                </m:barPr>
                <m:e>
                  <m:r>
                    <m:t>w</m:t>
                  </m:r>
                  <m:r>
                    <m:rPr>
                      <m:sty m:val="p"/>
                    </m:rPr>
                    <m:t>′</m:t>
                  </m:r>
                  <m:r>
                    <m:t>s</m:t>
                  </m:r>
                  <m:r>
                    <m:rPr>
                      <m:sty m:val="p"/>
                    </m:rPr>
                    <m:t>′</m:t>
                  </m:r>
                </m:e>
              </m:bar>
            </m:e>
          </m:borderBox>
        </m:oMath>
      </m:oMathPara>
    </w:p>
    <w:p>
      <w:pPr>
        <w:pStyle w:val="FirstParagraph"/>
      </w:pPr>
      <w:r>
        <w:t xml:space="preserve">Specific forms: momentum</w:t>
      </w:r>
      <w:r>
        <w:t xml:space="preserve"> </w:t>
      </w:r>
      <m:oMath>
        <m:r>
          <m:t>τ</m:t>
        </m:r>
        <m:r>
          <m:rPr>
            <m:sty m:val="p"/>
          </m:rPr>
          <m:t>=</m:t>
        </m:r>
        <m:r>
          <m:rPr>
            <m:sty m:val="p"/>
          </m:rPr>
          <m:t>−</m:t>
        </m:r>
        <m:r>
          <m:t>ρ</m:t>
        </m:r>
        <m:bar>
          <m:barPr>
            <m:pos m:val="top"/>
          </m:barPr>
          <m:e>
            <m:r>
              <m:t>u</m:t>
            </m:r>
            <m:r>
              <m:rPr>
                <m:sty m:val="p"/>
              </m:rPr>
              <m:t>′</m:t>
            </m:r>
            <m:r>
              <m:t>w</m:t>
            </m:r>
            <m:r>
              <m:rPr>
                <m:sty m:val="p"/>
              </m:rPr>
              <m:t>′</m:t>
            </m:r>
          </m:e>
        </m:bar>
      </m:oMath>
      <w:r>
        <w:t xml:space="preserve"> </w:t>
      </w:r>
      <w:r>
        <w:t xml:space="preserve">(friction velocity</w:t>
      </w:r>
      <w:r>
        <w:t xml:space="preserve"> </w:t>
      </w:r>
      <m:oMath>
        <m:sSub>
          <m:e>
            <m:r>
              <m:t>u</m:t>
            </m:r>
          </m:e>
          <m:sub>
            <m:r>
              <m:rPr>
                <m:sty m:val="p"/>
              </m:rPr>
              <m:t>*</m:t>
            </m:r>
          </m:sub>
        </m:sSub>
        <m:r>
          <m:rPr>
            <m:sty m:val="p"/>
          </m:rPr>
          <m:t>=</m:t>
        </m:r>
        <m:rad>
          <m:radPr>
            <m:degHide m:val="on"/>
          </m:radPr>
          <m:deg/>
          <m:e>
            <m:r>
              <m:rPr>
                <m:sty m:val="p"/>
              </m:rPr>
              <m:t>−</m:t>
            </m:r>
            <m:bar>
              <m:barPr>
                <m:pos m:val="top"/>
              </m:barPr>
              <m:e>
                <m:r>
                  <m:t>u</m:t>
                </m:r>
                <m:r>
                  <m:rPr>
                    <m:sty m:val="p"/>
                  </m:rPr>
                  <m:t>′</m:t>
                </m:r>
                <m:r>
                  <m:t>w</m:t>
                </m:r>
                <m:r>
                  <m:rPr>
                    <m:sty m:val="p"/>
                  </m:rPr>
                  <m:t>′</m:t>
                </m:r>
              </m:e>
            </m:bar>
          </m:e>
        </m:rad>
      </m:oMath>
      <w:r>
        <w:t xml:space="preserve">); sensible heat</w:t>
      </w:r>
      <w:r>
        <w:t xml:space="preserve"> </w:t>
      </w:r>
      <m:oMath>
        <m:r>
          <m:t>H</m:t>
        </m:r>
        <m:r>
          <m:rPr>
            <m:sty m:val="p"/>
          </m:rPr>
          <m:t>=</m:t>
        </m:r>
        <m:r>
          <m:t>ρ</m:t>
        </m:r>
        <m:sSub>
          <m:e>
            <m:r>
              <m:t>c</m:t>
            </m:r>
          </m:e>
          <m:sub>
            <m:r>
              <m:t>p</m:t>
            </m:r>
          </m:sub>
        </m:sSub>
        <m:bar>
          <m:barPr>
            <m:pos m:val="top"/>
          </m:barPr>
          <m:e>
            <m:r>
              <m:t>w</m:t>
            </m:r>
            <m:r>
              <m:rPr>
                <m:sty m:val="p"/>
              </m:rPr>
              <m:t>′</m:t>
            </m:r>
            <m:r>
              <m:t>θ</m:t>
            </m:r>
            <m:r>
              <m:rPr>
                <m:sty m:val="p"/>
              </m:rPr>
              <m:t>′</m:t>
            </m:r>
          </m:e>
        </m:bar>
      </m:oMath>
      <w:r>
        <w:t xml:space="preserve"> </w:t>
      </w:r>
      <w:r>
        <w:t xml:space="preserve">(ρcp ≈ 1200 J m⁻³ K⁻¹); latent heat</w:t>
      </w:r>
      <w:r>
        <w:t xml:space="preserve"> </w:t>
      </w:r>
      <m:oMath>
        <m:r>
          <m:t>L</m:t>
        </m:r>
        <m:r>
          <m:t>E</m:t>
        </m:r>
        <m:r>
          <m:rPr>
            <m:sty m:val="p"/>
          </m:rPr>
          <m:t>=</m:t>
        </m:r>
        <m:r>
          <m:t>λ</m:t>
        </m:r>
        <m:r>
          <m:t>ρ</m:t>
        </m:r>
        <m:bar>
          <m:barPr>
            <m:pos m:val="top"/>
          </m:barPr>
          <m:e>
            <m:r>
              <m:t>w</m:t>
            </m:r>
            <m:r>
              <m:rPr>
                <m:sty m:val="p"/>
              </m:rPr>
              <m:t>′</m:t>
            </m:r>
            <m:r>
              <m:t>q</m:t>
            </m:r>
            <m:r>
              <m:rPr>
                <m:sty m:val="p"/>
              </m:rPr>
              <m:t>′</m:t>
            </m:r>
          </m:e>
        </m:bar>
        <m:r>
          <m:rPr>
            <m:sty m:val="p"/>
          </m:rPr>
          <m:t>=</m:t>
        </m:r>
        <m:r>
          <m:t>λ</m:t>
        </m:r>
        <m:r>
          <m:t>ρ</m:t>
        </m:r>
        <m:f>
          <m:fPr>
            <m:type m:val="bar"/>
          </m:fPr>
          <m:num>
            <m:r>
              <m:t>ε</m:t>
            </m:r>
          </m:num>
          <m:den>
            <m:r>
              <m:t>P</m:t>
            </m:r>
          </m:den>
        </m:f>
        <m:bar>
          <m:barPr>
            <m:pos m:val="top"/>
          </m:barPr>
          <m:e>
            <m:r>
              <m:t>w</m:t>
            </m:r>
            <m:r>
              <m:rPr>
                <m:sty m:val="p"/>
              </m:rPr>
              <m:t>′</m:t>
            </m:r>
            <m:r>
              <m:t>e</m:t>
            </m:r>
            <m:r>
              <m:rPr>
                <m:sty m:val="p"/>
              </m:rPr>
              <m:t>′</m:t>
            </m:r>
          </m:e>
        </m:bar>
      </m:oMath>
      <w:r>
        <w:t xml:space="preserve"> </w:t>
      </w:r>
      <w:r>
        <w:t xml:space="preserve">(ε = 0.622, P = pressure); with density-measuring analysers</w:t>
      </w:r>
      <w:r>
        <w:t xml:space="preserve"> </w:t>
      </w:r>
      <m:oMath>
        <m:sSub>
          <m:e>
            <m:r>
              <m:t>F</m:t>
            </m:r>
          </m:e>
          <m:sub>
            <m:r>
              <m:t>c</m:t>
            </m:r>
          </m:sub>
        </m:sSub>
        <m:r>
          <m:rPr>
            <m:sty m:val="p"/>
          </m:rPr>
          <m:t>=</m:t>
        </m:r>
        <m:bar>
          <m:barPr>
            <m:pos m:val="top"/>
          </m:barPr>
          <m:e>
            <m:r>
              <m:t>w</m:t>
            </m:r>
            <m:r>
              <m:rPr>
                <m:sty m:val="p"/>
              </m:rPr>
              <m:t>′</m:t>
            </m:r>
            <m:sSub>
              <m:e>
                <m:r>
                  <m:t>ρ</m:t>
                </m:r>
              </m:e>
              <m:sub>
                <m:r>
                  <m:t>c</m:t>
                </m:r>
              </m:sub>
            </m:sSub>
            <m:r>
              <m:rPr>
                <m:sty m:val="p"/>
              </m:rPr>
              <m:t>′</m:t>
            </m:r>
          </m:e>
        </m:bar>
      </m:oMath>
      <w:r>
        <w:t xml:space="preserve">,</w:t>
      </w:r>
      <w:r>
        <w:t xml:space="preserve"> </w:t>
      </w:r>
      <m:oMath>
        <m:r>
          <m:t>L</m:t>
        </m:r>
        <m:r>
          <m:t>E</m:t>
        </m:r>
        <m:r>
          <m:rPr>
            <m:sty m:val="p"/>
          </m:rPr>
          <m:t>=</m:t>
        </m:r>
        <m:r>
          <m:t>λ</m:t>
        </m:r>
        <m:bar>
          <m:barPr>
            <m:pos m:val="top"/>
          </m:barPr>
          <m:e>
            <m:r>
              <m:t>w</m:t>
            </m:r>
            <m:r>
              <m:rPr>
                <m:sty m:val="p"/>
              </m:rPr>
              <m:t>′</m:t>
            </m:r>
            <m:sSub>
              <m:e>
                <m:r>
                  <m:t>ρ</m:t>
                </m:r>
              </m:e>
              <m:sub>
                <m:r>
                  <m:t>v</m:t>
                </m:r>
              </m:sub>
            </m:sSub>
            <m:r>
              <m:rPr>
                <m:sty m:val="p"/>
              </m:rPr>
              <m:t>′</m:t>
            </m:r>
          </m:e>
        </m:bar>
      </m:oMath>
      <w:r>
        <w:t xml:space="preserve">.</w:t>
      </w:r>
    </w:p>
    <w:p>
      <w:pPr>
        <w:pStyle w:val="BodyText"/>
      </w:pPr>
      <w:r>
        <w:rPr>
          <w:bCs/>
          <w:b/>
        </w:rPr>
        <w:t xml:space="preserve">Units check:</w:t>
      </w:r>
      <w:r>
        <w:t xml:space="preserve"> </w:t>
      </w:r>
      <w:r>
        <w:t xml:space="preserve">m s⁻¹ × mmol m⁻³ = mmol m⁻² s⁻¹; kg m⁻³ × J kg⁻¹ K⁻¹ × m s⁻¹ × K = W m⁻².</w:t>
      </w:r>
    </w:p>
    <w:p>
      <w:pPr>
        <w:pStyle w:val="KeyPoint"/>
      </w:pPr>
      <w:r>
        <w:rPr>
          <w:bCs/>
          <w:b/>
        </w:rPr>
        <w:t xml:space="preserve">Where the neglected terms come back:</w:t>
      </w:r>
      <w:r>
        <w:t xml:space="preserve"> </w:t>
      </w:r>
      <w:r>
        <w:t xml:space="preserve">for CO₂ the mean concentration</w:t>
      </w:r>
      <w:r>
        <w:t xml:space="preserve"> </w:t>
      </w:r>
      <m:oMath>
        <m:acc>
          <m:accPr>
            <m:chr m:val="‾"/>
          </m:accPr>
          <m:e>
            <m:r>
              <m:t>s</m:t>
            </m:r>
          </m:e>
        </m:acc>
      </m:oMath>
      <w:r>
        <w:t xml:space="preserve"> </w:t>
      </w:r>
      <w:r>
        <w:t xml:space="preserve">is large compared with flux-related fluctuations, so</w:t>
      </w:r>
      <w:r>
        <w:t xml:space="preserve"> </w:t>
      </w:r>
      <m:oMath>
        <m:acc>
          <m:accPr>
            <m:chr m:val="‾"/>
          </m:accPr>
          <m:e>
            <m:r>
              <m:t>s</m:t>
            </m:r>
          </m:e>
        </m:acc>
        <m:r>
          <m:t> </m:t>
        </m:r>
        <m:bar>
          <m:barPr>
            <m:pos m:val="top"/>
          </m:barPr>
          <m:e>
            <m:r>
              <m:t>ρ</m:t>
            </m:r>
            <m:r>
              <m:rPr>
                <m:sty m:val="p"/>
              </m:rPr>
              <m:t>′</m:t>
            </m:r>
            <m:r>
              <m:t>w</m:t>
            </m:r>
            <m:r>
              <m:rPr>
                <m:sty m:val="p"/>
              </m:rPr>
              <m:t>′</m:t>
            </m:r>
          </m:e>
        </m:bar>
      </m:oMath>
      <w:r>
        <w:t xml:space="preserve"> </w:t>
      </w:r>
      <w:r>
        <w:t xml:space="preserve">is not negligible — warm rising air is less dense and an open-path analyser</w:t>
      </w:r>
      <w:r>
        <w:t xml:space="preserve"> </w:t>
      </w:r>
      <w:r>
        <w:t xml:space="preserve">“</w:t>
      </w:r>
      <w:r>
        <w:t xml:space="preserve">sees</w:t>
      </w:r>
      <w:r>
        <w:t xml:space="preserve">”</w:t>
      </w:r>
      <w:r>
        <w:t xml:space="preserve"> </w:t>
      </w:r>
      <w:r>
        <w:t xml:space="preserve">a false CO₂ flux. The</w:t>
      </w:r>
      <w:r>
        <w:t xml:space="preserve"> </w:t>
      </w:r>
      <w:r>
        <w:rPr>
          <w:bCs/>
          <w:b/>
        </w:rPr>
        <w:t xml:space="preserve">WPL (Webb–Pearman–Leuning, 1980) density correction</w:t>
      </w:r>
      <w:r>
        <w:t xml:space="preserve"> </w:t>
      </w:r>
      <w:r>
        <w:t xml:space="preserve">restores it using measured H and LE.</w:t>
      </w:r>
    </w:p>
    <w:p>
      <w:pPr>
        <w:pStyle w:val="Heading3"/>
      </w:pPr>
      <w:r>
        <w:t xml:space="preserve">26.6.3 Reading the classic time-series figure</w:t>
      </w:r>
    </w:p>
    <w:p>
      <w:pPr>
        <w:pStyle w:val="FirstParagraph"/>
      </w:pPr>
      <w:r>
        <w:t xml:space="preserve">Plotting</w:t>
      </w:r>
      <w:r>
        <w:t xml:space="preserve"> </w:t>
      </w:r>
      <m:oMath>
        <m:r>
          <m:t>w</m:t>
        </m:r>
      </m:oMath>
      <w:r>
        <w:t xml:space="preserve">,</w:t>
      </w:r>
      <w:r>
        <w:t xml:space="preserve"> </w:t>
      </w:r>
      <m:oMath>
        <m:r>
          <m:t>s</m:t>
        </m:r>
      </m:oMath>
      <w:r>
        <w:t xml:space="preserve"> </w:t>
      </w:r>
      <w:r>
        <w:t xml:space="preserve">and the product</w:t>
      </w:r>
      <w:r>
        <w:t xml:space="preserve"> </w:t>
      </w:r>
      <m:oMath>
        <m:r>
          <m:t>w</m:t>
        </m:r>
        <m:r>
          <m:rPr>
            <m:sty m:val="p"/>
          </m:rPr>
          <m:t>′</m:t>
        </m:r>
        <m:r>
          <m:t>s</m:t>
        </m:r>
        <m:r>
          <m:rPr>
            <m:sty m:val="p"/>
          </m:rPr>
          <m:t>′</m:t>
        </m:r>
      </m:oMath>
      <w:r>
        <w:t xml:space="preserve"> </w:t>
      </w:r>
      <w:r>
        <w:t xml:space="preserve">against time:</w:t>
      </w:r>
      <w:r>
        <w:t xml:space="preserve"> </w:t>
      </w:r>
      <m:oMath>
        <m:r>
          <m:t>w</m:t>
        </m:r>
      </m:oMath>
      <w:r>
        <w:t xml:space="preserve"> </w:t>
      </w:r>
      <w:r>
        <w:t xml:space="preserve">fluctuates about</w:t>
      </w:r>
      <w:r>
        <w:t xml:space="preserve"> </w:t>
      </w:r>
      <m:oMath>
        <m:acc>
          <m:accPr>
            <m:chr m:val="‾"/>
          </m:accPr>
          <m:e>
            <m:r>
              <m:t>w</m:t>
            </m:r>
          </m:e>
        </m:acc>
        <m:r>
          <m:rPr>
            <m:sty m:val="p"/>
          </m:rPr>
          <m:t>≈</m:t>
        </m:r>
        <m:r>
          <m:t>0</m:t>
        </m:r>
      </m:oMath>
      <w:r>
        <w:t xml:space="preserve">;</w:t>
      </w:r>
      <w:r>
        <w:t xml:space="preserve"> </w:t>
      </w:r>
      <m:oMath>
        <m:r>
          <m:t>s</m:t>
        </m:r>
      </m:oMath>
      <w:r>
        <w:t xml:space="preserve"> </w:t>
      </w:r>
      <w:r>
        <w:t xml:space="preserve">fluctuates about</w:t>
      </w:r>
      <w:r>
        <w:t xml:space="preserve"> </w:t>
      </w:r>
      <m:oMath>
        <m:acc>
          <m:accPr>
            <m:chr m:val="‾"/>
          </m:accPr>
          <m:e>
            <m:r>
              <m:t>s</m:t>
            </m:r>
          </m:e>
        </m:acc>
      </m:oMath>
      <w:r>
        <w:t xml:space="preserve">; the product has spikes mostly on one side of zero (e.g., positive for daytime water vapour — rising air is moist, sinking air dry, and</w:t>
      </w:r>
      <w:r>
        <w:t xml:space="preserve"> </w:t>
      </w:r>
      <m:oMath>
        <m:d>
          <m:dPr>
            <m:begChr m:val="("/>
            <m:endChr m:val=")"/>
            <m:sepChr m:val=""/>
            <m:grow/>
          </m:dPr>
          <m:e>
            <m:r>
              <m:rPr>
                <m:sty m:val="p"/>
              </m:rPr>
              <m:t>−</m:t>
            </m:r>
          </m:e>
        </m:d>
        <m:r>
          <m:rPr>
            <m:sty m:val="p"/>
          </m:rPr>
          <m:t>×</m:t>
        </m:r>
        <m:d>
          <m:dPr>
            <m:begChr m:val="("/>
            <m:endChr m:val=")"/>
            <m:sepChr m:val=""/>
            <m:grow/>
          </m:dPr>
          <m:e>
            <m:r>
              <m:rPr>
                <m:sty m:val="p"/>
              </m:rPr>
              <m:t>−</m:t>
            </m:r>
          </m:e>
        </m:d>
        <m:r>
          <m:rPr>
            <m:sty m:val="p"/>
          </m:rPr>
          <m:t>=</m:t>
        </m:r>
        <m:d>
          <m:dPr>
            <m:begChr m:val="("/>
            <m:endChr m:val=")"/>
            <m:sepChr m:val=""/>
            <m:grow/>
          </m:dPr>
          <m:e>
            <m:r>
              <m:rPr>
                <m:sty m:val="p"/>
              </m:rPr>
              <m:t>+</m:t>
            </m:r>
          </m:e>
        </m:d>
      </m:oMath>
      <w:r>
        <w:t xml:space="preserve">). The mean of the product is the flux. The flux is</w:t>
      </w:r>
      <w:r>
        <w:t xml:space="preserve"> </w:t>
      </w:r>
      <w:r>
        <w:rPr>
          <w:bCs/>
          <w:b/>
        </w:rPr>
        <w:t xml:space="preserve">intermittent</w:t>
      </w:r>
      <w:r>
        <w:t xml:space="preserve"> </w:t>
      </w:r>
      <w:r>
        <w:t xml:space="preserve">— dominated by a few large organised events (</w:t>
      </w:r>
      <w:r>
        <w:rPr>
          <w:bCs/>
          <w:b/>
        </w:rPr>
        <w:t xml:space="preserve">sweeps</w:t>
      </w:r>
      <w:r>
        <w:t xml:space="preserve"> </w:t>
      </w:r>
      <w:r>
        <w:t xml:space="preserve">and</w:t>
      </w:r>
      <w:r>
        <w:t xml:space="preserve"> </w:t>
      </w:r>
      <w:r>
        <w:rPr>
          <w:bCs/>
          <w:b/>
        </w:rPr>
        <w:t xml:space="preserve">ejections</w:t>
      </w:r>
      <w:r>
        <w:t xml:space="preserve">); missing them through slow sampling or too-short averaging underestimates the flux.</w:t>
      </w:r>
    </w:p>
    <w:p>
      <w:pPr>
        <w:pStyle w:val="Heading3"/>
      </w:pPr>
      <w:r>
        <w:t xml:space="preserve">26.6.4 Why 10–20 Hz sampling and 30-min averaging; Taylor’s hypothesis</w:t>
      </w:r>
    </w:p>
    <w:p>
      <w:pPr>
        <w:pStyle w:val="Compact"/>
        <w:numPr>
          <w:ilvl w:val="0"/>
          <w:numId w:val="1199"/>
        </w:numPr>
      </w:pPr>
      <w:r>
        <w:rPr>
          <w:bCs/>
          <w:b/>
        </w:rPr>
        <w:t xml:space="preserve">Fast sampling (10–20 Hz)</w:t>
      </w:r>
      <w:r>
        <w:t xml:space="preserve"> </w:t>
      </w:r>
      <w:r>
        <w:t xml:space="preserve">captures small eddies that pass in a fraction of a second.</w:t>
      </w:r>
    </w:p>
    <w:p>
      <w:pPr>
        <w:pStyle w:val="Compact"/>
        <w:numPr>
          <w:ilvl w:val="0"/>
          <w:numId w:val="1199"/>
        </w:numPr>
      </w:pPr>
      <w:r>
        <w:rPr>
          <w:bCs/>
          <w:b/>
        </w:rPr>
        <w:t xml:space="preserve">30-min averaging</w:t>
      </w:r>
      <w:r>
        <w:t xml:space="preserve"> </w:t>
      </w:r>
      <w:r>
        <w:t xml:space="preserve">includes slow large eddies while conditions remain approximately stationary (required by Reynolds averaging).</w:t>
      </w:r>
    </w:p>
    <w:p>
      <w:pPr>
        <w:pStyle w:val="Compact"/>
        <w:numPr>
          <w:ilvl w:val="0"/>
          <w:numId w:val="1199"/>
        </w:numPr>
      </w:pPr>
      <w:r>
        <w:rPr>
          <w:bCs/>
          <w:b/>
        </w:rPr>
        <w:t xml:space="preserve">Taylor’s frozen-turbulence hypothesis:</w:t>
      </w:r>
      <w:r>
        <w:t xml:space="preserve"> </w:t>
      </w:r>
      <w:r>
        <w:t xml:space="preserve">eddies are advected past the sensor unchanged by the mean wind, so a time series at one point represents the spatial eddy field.</w:t>
      </w:r>
    </w:p>
    <w:p>
      <w:pPr>
        <w:pStyle w:val="Heading3"/>
      </w:pPr>
      <w:r>
        <w:t xml:space="preserve">26.6.5 Sensors in detail</w:t>
      </w:r>
    </w:p>
    <w:p>
      <w:pPr>
        <w:pStyle w:val="FirstParagraph"/>
      </w:pPr>
      <w:r>
        <w:rPr>
          <w:bCs/>
          <w:b/>
        </w:rPr>
        <w:t xml:space="preserve">3-D sonic anemometer</w:t>
      </w:r>
      <w:r>
        <w:t xml:space="preserve"> </w:t>
      </w:r>
      <w:r>
        <w:t xml:space="preserve">— pairs of ultrasonic transducers (A, B) a fixed distance</w:t>
      </w:r>
      <w:r>
        <w:t xml:space="preserve"> </w:t>
      </w:r>
      <m:oMath>
        <m:r>
          <m:t>d</m:t>
        </m:r>
      </m:oMath>
      <w:r>
        <w:t xml:space="preserve"> </w:t>
      </w:r>
      <w:r>
        <w:t xml:space="preserve">apart (~10–15 cm) time pulses in both directions:</w:t>
      </w:r>
    </w:p>
    <w:p>
      <w:pPr>
        <w:pStyle w:val="BodyText"/>
      </w:pPr>
      <m:oMathPara>
        <m:oMathParaPr>
          <m:jc m:val="center"/>
        </m:oMathParaPr>
        <m:oMath>
          <m:sSub>
            <m:e>
              <m:r>
                <m:t>t</m:t>
              </m:r>
            </m:e>
            <m:sub>
              <m:r>
                <m:t>A</m:t>
              </m:r>
              <m:r>
                <m:t>B</m:t>
              </m:r>
            </m:sub>
          </m:sSub>
          <m:r>
            <m:rPr>
              <m:sty m:val="p"/>
            </m:rPr>
            <m:t>=</m:t>
          </m:r>
          <m:f>
            <m:fPr>
              <m:type m:val="bar"/>
            </m:fPr>
            <m:num>
              <m:r>
                <m:t>d</m:t>
              </m:r>
            </m:num>
            <m:den>
              <m:sSub>
                <m:e>
                  <m:r>
                    <m:t>c</m:t>
                  </m:r>
                </m:e>
                <m:sub>
                  <m:r>
                    <m:t>s</m:t>
                  </m:r>
                </m:sub>
              </m:sSub>
              <m:r>
                <m:rPr>
                  <m:sty m:val="p"/>
                </m:rPr>
                <m:t>+</m:t>
              </m:r>
              <m:r>
                <m:t>V</m:t>
              </m:r>
            </m:den>
          </m:f>
          <m:r>
            <m:rPr>
              <m:sty m:val="p"/>
            </m:rPr>
            <m:t>,</m:t>
          </m:r>
          <m:r>
            <m:t> </m:t>
          </m:r>
          <m:sSub>
            <m:e>
              <m:r>
                <m:t>t</m:t>
              </m:r>
            </m:e>
            <m:sub>
              <m:r>
                <m:t>B</m:t>
              </m:r>
              <m:r>
                <m:t>A</m:t>
              </m:r>
            </m:sub>
          </m:sSub>
          <m:r>
            <m:rPr>
              <m:sty m:val="p"/>
            </m:rPr>
            <m:t>=</m:t>
          </m:r>
          <m:f>
            <m:fPr>
              <m:type m:val="bar"/>
            </m:fPr>
            <m:num>
              <m:r>
                <m:t>d</m:t>
              </m:r>
            </m:num>
            <m:den>
              <m:sSub>
                <m:e>
                  <m:r>
                    <m:t>c</m:t>
                  </m:r>
                </m:e>
                <m:sub>
                  <m:r>
                    <m:t>s</m:t>
                  </m:r>
                </m:sub>
              </m:sSub>
              <m:r>
                <m:rPr>
                  <m:sty m:val="p"/>
                </m:rPr>
                <m:t>−</m:t>
              </m:r>
              <m:r>
                <m:t>V</m:t>
              </m:r>
            </m:den>
          </m:f>
          <m:r>
            <m:t> </m:t>
          </m:r>
          <m:r>
            <m:rPr>
              <m:sty m:val="p"/>
            </m:rPr>
            <m:t>⇒</m:t>
          </m:r>
          <m:r>
            <m:t> </m:t>
          </m:r>
          <m:r>
            <m:t>V</m:t>
          </m:r>
          <m:r>
            <m:rPr>
              <m:sty m:val="p"/>
            </m:rPr>
            <m:t>=</m:t>
          </m:r>
          <m:f>
            <m:fPr>
              <m:type m:val="bar"/>
            </m:fPr>
            <m:num>
              <m:r>
                <m:t>d</m:t>
              </m:r>
            </m:num>
            <m:den>
              <m:r>
                <m:t>2</m:t>
              </m:r>
            </m:den>
          </m:f>
          <m:d>
            <m:dPr>
              <m:begChr m:val="("/>
              <m:endChr m:val=")"/>
              <m:sepChr m:val=""/>
              <m:grow/>
            </m:dPr>
            <m:e>
              <m:f>
                <m:fPr>
                  <m:type m:val="bar"/>
                </m:fPr>
                <m:num>
                  <m:r>
                    <m:t>1</m:t>
                  </m:r>
                </m:num>
                <m:den>
                  <m:sSub>
                    <m:e>
                      <m:r>
                        <m:t>t</m:t>
                      </m:r>
                    </m:e>
                    <m:sub>
                      <m:r>
                        <m:t>A</m:t>
                      </m:r>
                      <m:r>
                        <m:t>B</m:t>
                      </m:r>
                    </m:sub>
                  </m:sSub>
                </m:den>
              </m:f>
              <m:r>
                <m:rPr>
                  <m:sty m:val="p"/>
                </m:rPr>
                <m:t>−</m:t>
              </m:r>
              <m:f>
                <m:fPr>
                  <m:type m:val="bar"/>
                </m:fPr>
                <m:num>
                  <m:r>
                    <m:t>1</m:t>
                  </m:r>
                </m:num>
                <m:den>
                  <m:sSub>
                    <m:e>
                      <m:r>
                        <m:t>t</m:t>
                      </m:r>
                    </m:e>
                    <m:sub>
                      <m:r>
                        <m:t>B</m:t>
                      </m:r>
                      <m:r>
                        <m:t>A</m:t>
                      </m:r>
                    </m:sub>
                  </m:sSub>
                </m:den>
              </m:f>
            </m:e>
          </m:d>
          <m:r>
            <m:rPr>
              <m:sty m:val="p"/>
            </m:rPr>
            <m:t>,</m:t>
          </m:r>
          <m:r>
            <m:t> </m:t>
          </m:r>
          <m:sSub>
            <m:e>
              <m:r>
                <m:t>c</m:t>
              </m:r>
            </m:e>
            <m:sub>
              <m:r>
                <m:t>s</m:t>
              </m:r>
            </m:sub>
          </m:sSub>
          <m:r>
            <m:rPr>
              <m:sty m:val="p"/>
            </m:rPr>
            <m:t>=</m:t>
          </m:r>
          <m:f>
            <m:fPr>
              <m:type m:val="bar"/>
            </m:fPr>
            <m:num>
              <m:r>
                <m:t>d</m:t>
              </m:r>
            </m:num>
            <m:den>
              <m:r>
                <m:t>2</m:t>
              </m:r>
            </m:den>
          </m:f>
          <m:d>
            <m:dPr>
              <m:begChr m:val="("/>
              <m:endChr m:val=")"/>
              <m:sepChr m:val=""/>
              <m:grow/>
            </m:dPr>
            <m:e>
              <m:f>
                <m:fPr>
                  <m:type m:val="bar"/>
                </m:fPr>
                <m:num>
                  <m:r>
                    <m:t>1</m:t>
                  </m:r>
                </m:num>
                <m:den>
                  <m:sSub>
                    <m:e>
                      <m:r>
                        <m:t>t</m:t>
                      </m:r>
                    </m:e>
                    <m:sub>
                      <m:r>
                        <m:t>A</m:t>
                      </m:r>
                      <m:r>
                        <m:t>B</m:t>
                      </m:r>
                    </m:sub>
                  </m:sSub>
                </m:den>
              </m:f>
              <m:r>
                <m:rPr>
                  <m:sty m:val="p"/>
                </m:rPr>
                <m:t>+</m:t>
              </m:r>
              <m:f>
                <m:fPr>
                  <m:type m:val="bar"/>
                </m:fPr>
                <m:num>
                  <m:r>
                    <m:t>1</m:t>
                  </m:r>
                </m:num>
                <m:den>
                  <m:sSub>
                    <m:e>
                      <m:r>
                        <m:t>t</m:t>
                      </m:r>
                    </m:e>
                    <m:sub>
                      <m:r>
                        <m:t>B</m:t>
                      </m:r>
                      <m:r>
                        <m:t>A</m:t>
                      </m:r>
                    </m:sub>
                  </m:sSub>
                </m:den>
              </m:f>
            </m:e>
          </m:d>
        </m:oMath>
      </m:oMathPara>
    </w:p>
    <w:p>
      <w:pPr>
        <w:pStyle w:val="FirstParagraph"/>
      </w:pPr>
      <w:r>
        <w:t xml:space="preserve">The speed of sound</w:t>
      </w:r>
      <w:r>
        <w:t xml:space="preserve"> </w:t>
      </w:r>
      <m:oMath>
        <m:sSub>
          <m:e>
            <m:r>
              <m:t>c</m:t>
            </m:r>
          </m:e>
          <m:sub>
            <m:r>
              <m:t>s</m:t>
            </m:r>
          </m:sub>
        </m:sSub>
      </m:oMath>
      <w:r>
        <w:t xml:space="preserve"> </w:t>
      </w:r>
      <w:r>
        <w:t xml:space="preserve">cancels from</w:t>
      </w:r>
      <w:r>
        <w:t xml:space="preserve"> </w:t>
      </w:r>
      <m:oMath>
        <m:r>
          <m:t>V</m:t>
        </m:r>
      </m:oMath>
      <w:r>
        <w:t xml:space="preserve"> </w:t>
      </w:r>
      <w:r>
        <w:t xml:space="preserve">— wind is independent of temperature and humidity. Since</w:t>
      </w:r>
      <w:r>
        <w:t xml:space="preserve"> </w:t>
      </w:r>
      <m:oMath>
        <m:sSubSup>
          <m:e>
            <m:r>
              <m:t>c</m:t>
            </m:r>
          </m:e>
          <m:sub>
            <m:r>
              <m:t>s</m:t>
            </m:r>
          </m:sub>
          <m:sup>
            <m:r>
              <m:t>2</m:t>
            </m:r>
          </m:sup>
        </m:sSubSup>
        <m:r>
          <m:rPr>
            <m:sty m:val="p"/>
          </m:rPr>
          <m:t>≈</m:t>
        </m:r>
        <m:r>
          <m:t>403</m:t>
        </m:r>
        <m:r>
          <m:t> </m:t>
        </m:r>
        <m:sSub>
          <m:e>
            <m:r>
              <m:t>T</m:t>
            </m:r>
          </m:e>
          <m:sub>
            <m:r>
              <m:t>s</m:t>
            </m:r>
          </m:sub>
        </m:sSub>
      </m:oMath>
      <w:r>
        <w:t xml:space="preserve">, the sonic also gives fast</w:t>
      </w:r>
      <w:r>
        <w:t xml:space="preserve"> </w:t>
      </w:r>
      <w:r>
        <w:rPr>
          <w:bCs/>
          <w:b/>
        </w:rPr>
        <w:t xml:space="preserve">sonic (virtual) temperature</w:t>
      </w:r>
      <w:r>
        <w:t xml:space="preserve"> </w:t>
      </w:r>
      <w:r>
        <w:t xml:space="preserve">(corrected for humidity by the Schotanus correction). Three non-orthogonal paths give</w:t>
      </w:r>
      <w:r>
        <w:t xml:space="preserve"> </w:t>
      </w:r>
      <m:oMath>
        <m:r>
          <m:t>u</m:t>
        </m:r>
        <m:r>
          <m:rPr>
            <m:sty m:val="p"/>
          </m:rPr>
          <m:t>,</m:t>
        </m:r>
        <m:r>
          <m:t>v</m:t>
        </m:r>
        <m:r>
          <m:rPr>
            <m:sty m:val="p"/>
          </m:rPr>
          <m:t>,</m:t>
        </m:r>
        <m:r>
          <m:t>w</m:t>
        </m:r>
      </m:oMath>
      <w:r>
        <w:t xml:space="preserve">. No moving parts → no inertia.</w:t>
      </w:r>
    </w:p>
    <w:p>
      <w:pPr>
        <w:pStyle w:val="BodyText"/>
      </w:pPr>
      <w:r>
        <w:rPr>
          <w:bCs/>
          <w:b/>
        </w:rPr>
        <w:t xml:space="preserve">Infrared gas analyser (IRGA)</w:t>
      </w:r>
      <w:r>
        <w:t xml:space="preserve"> </w:t>
      </w:r>
      <w:r>
        <w:t xml:space="preserve">— non-dispersive infrared (NDIR) absorption obeying Beer–Lambert,</w:t>
      </w:r>
      <w:r>
        <w:t xml:space="preserve"> </w:t>
      </w:r>
      <m:oMath>
        <m:r>
          <m:t>I</m:t>
        </m:r>
        <m:r>
          <m:rPr>
            <m:sty m:val="p"/>
          </m:rPr>
          <m:t>=</m:t>
        </m:r>
        <m:sSub>
          <m:e>
            <m:r>
              <m:t>I</m:t>
            </m:r>
          </m:e>
          <m:sub>
            <m:r>
              <m:t>0</m:t>
            </m:r>
          </m:sub>
        </m:sSub>
        <m:sSup>
          <m:e>
            <m:r>
              <m:t>e</m:t>
            </m:r>
          </m:e>
          <m:sup>
            <m:r>
              <m:rPr>
                <m:sty m:val="p"/>
              </m:rPr>
              <m:t>−</m:t>
            </m:r>
            <m:r>
              <m:t>k</m:t>
            </m:r>
            <m:r>
              <m:t>ρ</m:t>
            </m:r>
            <m:r>
              <m:t>L</m:t>
            </m:r>
          </m:sup>
        </m:sSup>
      </m:oMath>
      <w:r>
        <w:t xml:space="preserve">:</w:t>
      </w:r>
    </w:p>
    <w:p>
      <w:pPr>
        <w:pStyle w:val="Compact"/>
        <w:numPr>
          <w:ilvl w:val="0"/>
          <w:numId w:val="1200"/>
        </w:numPr>
      </w:pPr>
      <w:r>
        <w:rPr>
          <w:bCs/>
          <w:b/>
        </w:rPr>
        <w:t xml:space="preserve">CO₂ absorption band 4.26 µm; H₂O band 2.59 µm; reference 3.95 µm</w:t>
      </w:r>
      <w:r>
        <w:t xml:space="preserve"> </w:t>
      </w:r>
      <w:r>
        <w:t xml:space="preserve">(absorbed by neither).</w:t>
      </w:r>
    </w:p>
    <w:p>
      <w:pPr>
        <w:pStyle w:val="Compact"/>
        <w:numPr>
          <w:ilvl w:val="0"/>
          <w:numId w:val="1200"/>
        </w:numPr>
      </w:pPr>
      <w:r>
        <w:t xml:space="preserve">A broadband IR source, a</w:t>
      </w:r>
      <w:r>
        <w:t xml:space="preserve"> </w:t>
      </w:r>
      <w:r>
        <w:rPr>
          <w:bCs/>
          <w:b/>
        </w:rPr>
        <w:t xml:space="preserve">chopper (filter) wheel</w:t>
      </w:r>
      <w:r>
        <w:t xml:space="preserve"> </w:t>
      </w:r>
      <w:r>
        <w:t xml:space="preserve">spinning the filters through the beam, an</w:t>
      </w:r>
      <w:r>
        <w:t xml:space="preserve"> </w:t>
      </w:r>
      <w:r>
        <w:rPr>
          <w:bCs/>
          <w:b/>
        </w:rPr>
        <w:t xml:space="preserve">open path (~12.5 cm)</w:t>
      </w:r>
      <w:r>
        <w:t xml:space="preserve"> </w:t>
      </w:r>
      <w:r>
        <w:t xml:space="preserve">or enclosed cell, a beam splitter and</w:t>
      </w:r>
      <w:r>
        <w:t xml:space="preserve"> </w:t>
      </w:r>
      <w:r>
        <w:rPr>
          <w:bCs/>
          <w:b/>
        </w:rPr>
        <w:t xml:space="preserve">thermoelectrically cooled</w:t>
      </w:r>
      <w:r>
        <w:t xml:space="preserve"> </w:t>
      </w:r>
      <w:r>
        <w:t xml:space="preserve">lead-selenide detectors.</w:t>
      </w:r>
    </w:p>
    <w:p>
      <w:pPr>
        <w:pStyle w:val="Compact"/>
        <w:numPr>
          <w:ilvl w:val="0"/>
          <w:numId w:val="1200"/>
        </w:numPr>
      </w:pPr>
      <w:r>
        <w:t xml:space="preserve">The ratio of absorbing-band to reference-band signal cancels source drift, window dirt and detector drift.</w:t>
      </w:r>
    </w:p>
    <w:p>
      <w:pPr>
        <w:pStyle w:val="Compact"/>
        <w:numPr>
          <w:ilvl w:val="0"/>
          <w:numId w:val="1200"/>
        </w:numPr>
      </w:pPr>
      <w:r>
        <w:t xml:space="preserve">Output:</w:t>
      </w:r>
      <w:r>
        <w:t xml:space="preserve"> </w:t>
      </w:r>
      <w:r>
        <w:rPr>
          <w:bCs/>
          <w:b/>
        </w:rPr>
        <w:t xml:space="preserve">molar density</w:t>
      </w:r>
      <w:r>
        <w:t xml:space="preserve"> </w:t>
      </w:r>
      <w:r>
        <w:t xml:space="preserve">(mmol m⁻³) at 10–20 Hz.</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Open-path (e.g., LI-7500)</w:t>
            </w:r>
          </w:p>
        </w:tc>
        <w:tc>
          <w:tcPr/>
          <w:p>
            <w:pPr>
              <w:pStyle w:val="Compact"/>
              <w:jc w:val="left"/>
            </w:pPr>
            <w:r>
              <w:t xml:space="preserve">Closed/enclosed-path (e.g., LI-7200)</w:t>
            </w:r>
          </w:p>
        </w:tc>
      </w:tr>
      <w:tr>
        <w:tc>
          <w:tcPr/>
          <w:p>
            <w:pPr>
              <w:pStyle w:val="Compact"/>
              <w:jc w:val="left"/>
            </w:pPr>
            <w:r>
              <w:t xml:space="preserve">Sampling</w:t>
            </w:r>
          </w:p>
        </w:tc>
        <w:tc>
          <w:tcPr/>
          <w:p>
            <w:pPr>
              <w:pStyle w:val="Compact"/>
              <w:jc w:val="left"/>
            </w:pPr>
            <w:r>
              <w:t xml:space="preserve">Free air</w:t>
            </w:r>
          </w:p>
        </w:tc>
        <w:tc>
          <w:tcPr/>
          <w:p>
            <w:pPr>
              <w:pStyle w:val="Compact"/>
              <w:jc w:val="left"/>
            </w:pPr>
            <w:r>
              <w:t xml:space="preserve">Pumped through tube into cell</w:t>
            </w:r>
          </w:p>
        </w:tc>
      </w:tr>
      <w:tr>
        <w:tc>
          <w:tcPr/>
          <w:p>
            <w:pPr>
              <w:pStyle w:val="Compact"/>
              <w:jc w:val="left"/>
            </w:pPr>
            <w:r>
              <w:t xml:space="preserve">Power</w:t>
            </w:r>
          </w:p>
        </w:tc>
        <w:tc>
          <w:tcPr/>
          <w:p>
            <w:pPr>
              <w:pStyle w:val="Compact"/>
              <w:jc w:val="left"/>
            </w:pPr>
            <w:r>
              <w:t xml:space="preserve">Low (solar-powered remote sites)</w:t>
            </w:r>
          </w:p>
        </w:tc>
        <w:tc>
          <w:tcPr/>
          <w:p>
            <w:pPr>
              <w:pStyle w:val="Compact"/>
              <w:jc w:val="left"/>
            </w:pPr>
            <w:r>
              <w:t xml:space="preserve">Higher (pump)</w:t>
            </w:r>
          </w:p>
        </w:tc>
      </w:tr>
      <w:tr>
        <w:tc>
          <w:tcPr/>
          <w:p>
            <w:pPr>
              <w:pStyle w:val="Compact"/>
              <w:jc w:val="left"/>
            </w:pPr>
            <w:r>
              <w:t xml:space="preserve">Frequency response</w:t>
            </w:r>
          </w:p>
        </w:tc>
        <w:tc>
          <w:tcPr/>
          <w:p>
            <w:pPr>
              <w:pStyle w:val="Compact"/>
              <w:jc w:val="left"/>
            </w:pPr>
            <w:r>
              <w:t xml:space="preserve">Excellent</w:t>
            </w:r>
          </w:p>
        </w:tc>
        <w:tc>
          <w:tcPr/>
          <w:p>
            <w:pPr>
              <w:pStyle w:val="Compact"/>
              <w:jc w:val="left"/>
            </w:pPr>
            <w:r>
              <w:t xml:space="preserve">Some attenuation in tube</w:t>
            </w:r>
          </w:p>
        </w:tc>
      </w:tr>
      <w:tr>
        <w:tc>
          <w:tcPr/>
          <w:p>
            <w:pPr>
              <w:pStyle w:val="Compact"/>
              <w:jc w:val="left"/>
            </w:pPr>
            <w:r>
              <w:t xml:space="preserve">Rain/dew</w:t>
            </w:r>
          </w:p>
        </w:tc>
        <w:tc>
          <w:tcPr/>
          <w:p>
            <w:pPr>
              <w:pStyle w:val="Compact"/>
              <w:jc w:val="left"/>
            </w:pPr>
            <w:r>
              <w:t xml:space="preserve">Data lost when windows wet</w:t>
            </w:r>
          </w:p>
        </w:tc>
        <w:tc>
          <w:tcPr/>
          <w:p>
            <w:pPr>
              <w:pStyle w:val="Compact"/>
              <w:jc w:val="left"/>
            </w:pPr>
            <w:r>
              <w:t xml:space="preserve">Works in rain</w:t>
            </w:r>
          </w:p>
        </w:tc>
      </w:tr>
      <w:tr>
        <w:tc>
          <w:tcPr/>
          <w:p>
            <w:pPr>
              <w:pStyle w:val="Compact"/>
              <w:jc w:val="left"/>
            </w:pPr>
            <w:r>
              <w:t xml:space="preserve">WPL correction</w:t>
            </w:r>
          </w:p>
        </w:tc>
        <w:tc>
          <w:tcPr/>
          <w:p>
            <w:pPr>
              <w:pStyle w:val="Compact"/>
              <w:jc w:val="left"/>
            </w:pPr>
            <w:r>
              <w:t xml:space="preserve">Large</w:t>
            </w:r>
          </w:p>
        </w:tc>
        <w:tc>
          <w:tcPr/>
          <w:p>
            <w:pPr>
              <w:pStyle w:val="Compact"/>
              <w:jc w:val="left"/>
            </w:pPr>
            <w:r>
              <w:t xml:space="preserve">Small (controlled cell temperature)</w:t>
            </w:r>
          </w:p>
        </w:tc>
      </w:tr>
      <w:tr>
        <w:tc>
          <w:tcPr/>
          <w:p>
            <w:pPr>
              <w:pStyle w:val="Compact"/>
              <w:jc w:val="left"/>
            </w:pPr>
            <w:r>
              <w:t xml:space="preserve">Self-heating (cold)</w:t>
            </w:r>
          </w:p>
        </w:tc>
        <w:tc>
          <w:tcPr/>
          <w:p>
            <w:pPr>
              <w:pStyle w:val="Compact"/>
              <w:jc w:val="left"/>
            </w:pPr>
            <w:r>
              <w:t xml:space="preserve">Needs Burba correction</w:t>
            </w:r>
          </w:p>
        </w:tc>
        <w:tc>
          <w:tcPr/>
          <w:p>
            <w:pPr>
              <w:pStyle w:val="Compact"/>
              <w:jc w:val="left"/>
            </w:pPr>
            <w:r>
              <w:t xml:space="preserve">Not an issue</w:t>
            </w:r>
          </w:p>
        </w:tc>
      </w:tr>
    </w:tbl>
    <w:p>
      <w:pPr>
        <w:pStyle w:val="BodyText"/>
      </w:pPr>
      <w:r>
        <w:rPr>
          <w:bCs/>
          <w:b/>
        </w:rPr>
        <w:t xml:space="preserve">Older (classical) setup</w:t>
      </w:r>
      <w:r>
        <w:t xml:space="preserve"> </w:t>
      </w:r>
      <w:r>
        <w:t xml:space="preserve">described in agrometeorology textbooks: a</w:t>
      </w:r>
      <w:r>
        <w:t xml:space="preserve"> </w:t>
      </w:r>
      <w:r>
        <w:rPr>
          <w:bCs/>
          <w:b/>
        </w:rPr>
        <w:t xml:space="preserve">one-dimensional sonic anemometer</w:t>
      </w:r>
      <w:r>
        <w:t xml:space="preserve"> </w:t>
      </w:r>
      <w:r>
        <w:t xml:space="preserve">(w only), a</w:t>
      </w:r>
      <w:r>
        <w:t xml:space="preserve"> </w:t>
      </w:r>
      <w:r>
        <w:rPr>
          <w:bCs/>
          <w:b/>
        </w:rPr>
        <w:t xml:space="preserve">fine-wire chromel–constantan (type E) thermocouple</w:t>
      </w:r>
      <w:r>
        <w:t xml:space="preserve"> </w:t>
      </w:r>
      <w:r>
        <w:t xml:space="preserve">(12–25 µm, negligible heat capacity → fast T′), and a</w:t>
      </w:r>
      <w:r>
        <w:t xml:space="preserve"> </w:t>
      </w:r>
      <w:r>
        <w:rPr>
          <w:bCs/>
          <w:b/>
        </w:rPr>
        <w:t xml:space="preserve">krypton hygrometer</w:t>
      </w:r>
      <w:r>
        <w:t xml:space="preserve"> </w:t>
      </w:r>
      <w:r>
        <w:t xml:space="preserve">(KH20 — krypton lamp UV lines at 123.58 and 116.49 nm strongly absorbed by water vapour; O₂ correction needed), logged on a</w:t>
      </w:r>
      <w:r>
        <w:t xml:space="preserve"> </w:t>
      </w:r>
      <w:r>
        <w:rPr>
          <w:bCs/>
          <w:b/>
        </w:rPr>
        <w:t xml:space="preserve">Campbell 21X micrologger</w:t>
      </w:r>
      <w:r>
        <w:t xml:space="preserve">. Modern systems replaced these with 3-D sonics and IRGAs that also measure CO₂, enabling carbon-flux science.</w:t>
      </w:r>
    </w:p>
    <w:p>
      <w:pPr>
        <w:pStyle w:val="Heading3"/>
      </w:pPr>
      <w:r>
        <w:t xml:space="preserve">26.6.6 Tower design and footprint</w:t>
      </w:r>
    </w:p>
    <w:p>
      <w:pPr>
        <w:pStyle w:val="Compact"/>
        <w:numPr>
          <w:ilvl w:val="0"/>
          <w:numId w:val="1201"/>
        </w:numPr>
      </w:pPr>
      <w:r>
        <w:t xml:space="preserve">Sensors above the</w:t>
      </w:r>
      <w:r>
        <w:t xml:space="preserve"> </w:t>
      </w:r>
      <w:r>
        <w:rPr>
          <w:bCs/>
          <w:b/>
        </w:rPr>
        <w:t xml:space="preserve">roughness sublayer</w:t>
      </w:r>
      <w:r>
        <w:t xml:space="preserve">, typically</w:t>
      </w:r>
      <w:r>
        <w:t xml:space="preserve"> </w:t>
      </w:r>
      <w:r>
        <w:rPr>
          <w:bCs/>
          <w:b/>
        </w:rPr>
        <w:t xml:space="preserve">1.5–2 × canopy height</w:t>
      </w:r>
      <w:r>
        <w:t xml:space="preserve"> </w:t>
      </w:r>
      <w:r>
        <w:t xml:space="preserve">(tall towers over forests, 2–4 m over crops).</w:t>
      </w:r>
    </w:p>
    <w:p>
      <w:pPr>
        <w:pStyle w:val="Compact"/>
        <w:numPr>
          <w:ilvl w:val="0"/>
          <w:numId w:val="1201"/>
        </w:numPr>
      </w:pPr>
      <w:r>
        <w:rPr>
          <w:bCs/>
          <w:b/>
        </w:rPr>
        <w:t xml:space="preserve">Fetch</w:t>
      </w:r>
      <w:r>
        <w:t xml:space="preserve"> </w:t>
      </w:r>
      <w:r>
        <w:t xml:space="preserve">of uniform surface upwind ≈ 100 × (measurement height − d) as a rule of thumb.</w:t>
      </w:r>
    </w:p>
    <w:p>
      <w:pPr>
        <w:pStyle w:val="Compact"/>
        <w:numPr>
          <w:ilvl w:val="0"/>
          <w:numId w:val="1201"/>
        </w:numPr>
      </w:pPr>
      <w:r>
        <w:rPr>
          <w:bCs/>
          <w:b/>
        </w:rPr>
        <w:t xml:space="preserve">Footprint</w:t>
      </w:r>
      <w:r>
        <w:t xml:space="preserve"> </w:t>
      </w:r>
      <w:r>
        <w:t xml:space="preserve">— the upwind source area (hundreds of m to ~1 km), varying with wind direction, stability and height; computed with Kljun (FFP), Kormann–Meixner or Hsieh models — essential for matching tower fluxes to satellite pixels.</w:t>
      </w:r>
    </w:p>
    <w:p>
      <w:pPr>
        <w:pStyle w:val="Heading3"/>
      </w:pPr>
      <w:r>
        <w:t xml:space="preserve">26.6.7 Flux–gradient (K-theory) and why EC is</w:t>
      </w:r>
      <w:r>
        <w:t xml:space="preserve"> </w:t>
      </w:r>
      <w:r>
        <w:t xml:space="preserve">“</w:t>
      </w:r>
      <w:r>
        <w:t xml:space="preserve">theoretically superior</w:t>
      </w:r>
      <w:r>
        <w:t xml:space="preserve">”</w:t>
      </w:r>
    </w:p>
    <w:p>
      <w:pPr>
        <w:pStyle w:val="FirstParagraph"/>
      </w:pPr>
      <w:r>
        <w:t xml:space="preserve">The older</w:t>
      </w:r>
      <w:r>
        <w:t xml:space="preserve"> </w:t>
      </w:r>
      <w:r>
        <w:rPr>
          <w:bCs/>
          <w:b/>
        </w:rPr>
        <w:t xml:space="preserve">aerodynamic (flux–gradient) method</w:t>
      </w:r>
      <w:r>
        <w:t xml:space="preserve"> </w:t>
      </w:r>
      <w:r>
        <w:t xml:space="preserve">treats turbulence like diffusion:</w:t>
      </w:r>
    </w:p>
    <w:p>
      <w:pPr>
        <w:pStyle w:val="BodyText"/>
      </w:pPr>
      <m:oMathPara>
        <m:oMathParaPr>
          <m:jc m:val="center"/>
        </m:oMathParaPr>
        <m:oMath>
          <m:r>
            <m:t>τ</m:t>
          </m:r>
          <m:r>
            <m:rPr>
              <m:sty m:val="p"/>
            </m:rPr>
            <m:t>=</m:t>
          </m:r>
          <m:r>
            <m:t>ρ</m:t>
          </m:r>
          <m:sSub>
            <m:e>
              <m:r>
                <m:t>K</m:t>
              </m:r>
            </m:e>
            <m:sub>
              <m:r>
                <m:t>m</m:t>
              </m:r>
            </m:sub>
          </m:sSub>
          <m:f>
            <m:fPr>
              <m:type m:val="bar"/>
            </m:fPr>
            <m:num>
              <m:r>
                <m:rPr>
                  <m:sty m:val="p"/>
                </m:rPr>
                <m:t>∂</m:t>
              </m:r>
              <m:r>
                <m:t>u</m:t>
              </m:r>
            </m:num>
            <m:den>
              <m:r>
                <m:rPr>
                  <m:sty m:val="p"/>
                </m:rPr>
                <m:t>∂</m:t>
              </m:r>
              <m:r>
                <m:t>z</m:t>
              </m:r>
            </m:den>
          </m:f>
          <m:r>
            <m:rPr>
              <m:sty m:val="p"/>
            </m:rPr>
            <m:t>,</m:t>
          </m:r>
          <m:r>
            <m:t> </m:t>
          </m:r>
          <m:r>
            <m:t>H</m:t>
          </m:r>
          <m:r>
            <m:rPr>
              <m:sty m:val="p"/>
            </m:rPr>
            <m:t>=</m:t>
          </m:r>
          <m:r>
            <m:rPr>
              <m:sty m:val="p"/>
            </m:rPr>
            <m:t>−</m:t>
          </m:r>
          <m:r>
            <m:t>ρ</m:t>
          </m:r>
          <m:sSub>
            <m:e>
              <m:r>
                <m:t>c</m:t>
              </m:r>
            </m:e>
            <m:sub>
              <m:r>
                <m:t>p</m:t>
              </m:r>
            </m:sub>
          </m:sSub>
          <m:sSub>
            <m:e>
              <m:r>
                <m:t>K</m:t>
              </m:r>
            </m:e>
            <m:sub>
              <m:r>
                <m:t>h</m:t>
              </m:r>
            </m:sub>
          </m:sSub>
          <m:f>
            <m:fPr>
              <m:type m:val="bar"/>
            </m:fPr>
            <m:num>
              <m:r>
                <m:rPr>
                  <m:sty m:val="p"/>
                </m:rPr>
                <m:t>∂</m:t>
              </m:r>
              <m:r>
                <m:t>T</m:t>
              </m:r>
            </m:num>
            <m:den>
              <m:r>
                <m:rPr>
                  <m:sty m:val="p"/>
                </m:rPr>
                <m:t>∂</m:t>
              </m:r>
              <m:r>
                <m:t>z</m:t>
              </m:r>
            </m:den>
          </m:f>
          <m:r>
            <m:rPr>
              <m:sty m:val="p"/>
            </m:rPr>
            <m:t>,</m:t>
          </m:r>
          <m:r>
            <m:t> </m:t>
          </m:r>
          <m:r>
            <m:t>E</m:t>
          </m:r>
          <m:r>
            <m:rPr>
              <m:sty m:val="p"/>
            </m:rPr>
            <m:t>=</m:t>
          </m:r>
          <m:r>
            <m:rPr>
              <m:sty m:val="p"/>
            </m:rPr>
            <m:t>−</m:t>
          </m:r>
          <m:r>
            <m:t>ρ</m:t>
          </m:r>
          <m:sSub>
            <m:e>
              <m:r>
                <m:t>K</m:t>
              </m:r>
            </m:e>
            <m:sub>
              <m:r>
                <m:t>w</m:t>
              </m:r>
            </m:sub>
          </m:sSub>
          <m:f>
            <m:fPr>
              <m:type m:val="bar"/>
            </m:fPr>
            <m:num>
              <m:r>
                <m:rPr>
                  <m:sty m:val="p"/>
                </m:rPr>
                <m:t>∂</m:t>
              </m:r>
              <m:r>
                <m:t>q</m:t>
              </m:r>
            </m:num>
            <m:den>
              <m:r>
                <m:rPr>
                  <m:sty m:val="p"/>
                </m:rPr>
                <m:t>∂</m:t>
              </m:r>
              <m:r>
                <m:t>z</m:t>
              </m:r>
            </m:den>
          </m:f>
        </m:oMath>
      </m:oMathPara>
    </w:p>
    <w:p>
      <w:pPr>
        <w:pStyle w:val="FirstParagraph"/>
      </w:pPr>
      <w:r>
        <w:t xml:space="preserve">assuming</w:t>
      </w:r>
      <w:r>
        <w:t xml:space="preserve"> </w:t>
      </w:r>
      <w:r>
        <w:rPr>
          <w:bCs/>
          <w:b/>
        </w:rPr>
        <w:t xml:space="preserve">similarity</w:t>
      </w:r>
      <w:r>
        <w:t xml:space="preserve"> </w:t>
      </w:r>
      <m:oMath>
        <m:sSub>
          <m:e>
            <m:r>
              <m:t>K</m:t>
            </m:r>
          </m:e>
          <m:sub>
            <m:r>
              <m:t>h</m:t>
            </m:r>
          </m:sub>
        </m:sSub>
        <m:r>
          <m:rPr>
            <m:sty m:val="p"/>
          </m:rPr>
          <m:t>=</m:t>
        </m:r>
        <m:sSub>
          <m:e>
            <m:r>
              <m:t>K</m:t>
            </m:r>
          </m:e>
          <m:sub>
            <m:r>
              <m:t>m</m:t>
            </m:r>
          </m:sub>
        </m:sSub>
        <m:r>
          <m:rPr>
            <m:sty m:val="p"/>
          </m:rPr>
          <m:t>=</m:t>
        </m:r>
        <m:sSub>
          <m:e>
            <m:r>
              <m:t>K</m:t>
            </m:r>
          </m:e>
          <m:sub>
            <m:r>
              <m:t>w</m:t>
            </m:r>
          </m:sub>
        </m:sSub>
      </m:oMath>
      <w:r>
        <w:t xml:space="preserve"> </w:t>
      </w:r>
      <w:r>
        <w:t xml:space="preserve">and applying stability corrections (Richardson number, Monin–Obukhov). Similarity fails in unstable or stable conditions and immediately above tall rough canopies (roughness sublayer, even</w:t>
      </w:r>
      <w:r>
        <w:t xml:space="preserve"> </w:t>
      </w:r>
      <w:r>
        <w:rPr>
          <w:bCs/>
          <w:b/>
        </w:rPr>
        <w:t xml:space="preserve">counter-gradient flux</w:t>
      </w:r>
      <w:r>
        <w:t xml:space="preserve">). EC needs</w:t>
      </w:r>
      <w:r>
        <w:t xml:space="preserve"> </w:t>
      </w:r>
      <w:r>
        <w:rPr>
          <w:bCs/>
          <w:b/>
        </w:rPr>
        <w:t xml:space="preserve">no assumption about diffusivities or surface type</w:t>
      </w:r>
      <w:r>
        <w:t xml:space="preserve"> </w:t>
      </w:r>
      <w:r>
        <w:t xml:space="preserve">— it directly measures what moves.</w:t>
      </w:r>
    </w:p>
    <w:p>
      <w:pPr>
        <w:pStyle w:val="Heading3"/>
      </w:pPr>
      <w:r>
        <w:t xml:space="preserve">26.6.8 Resistance (Ohm’s-law) approach</w:t>
      </w:r>
    </w:p>
    <w:p>
      <w:pPr>
        <w:pStyle w:val="FirstParagraph"/>
      </w:pPr>
      <w:r>
        <w:t xml:space="preserve">Flux is analogous to electric current:</w:t>
      </w:r>
      <w:r>
        <w:t xml:space="preserve"> </w:t>
      </w:r>
      <w:r>
        <w:rPr>
          <w:bCs/>
          <w:b/>
        </w:rPr>
        <w:t xml:space="preserve">flux = potential difference / resistance</w:t>
      </w:r>
      <w:r>
        <w:t xml:space="preserve">.</w:t>
      </w:r>
    </w:p>
    <w:p>
      <w:pPr>
        <w:pStyle w:val="BodyText"/>
      </w:pPr>
      <m:oMathPara>
        <m:oMathParaPr>
          <m:jc m:val="center"/>
        </m:oMathParaPr>
        <m:oMath>
          <m:r>
            <m:t>H</m:t>
          </m:r>
          <m:r>
            <m:rPr>
              <m:sty m:val="p"/>
            </m:rPr>
            <m:t>=</m:t>
          </m:r>
          <m:f>
            <m:fPr>
              <m:type m:val="bar"/>
            </m:fPr>
            <m:num>
              <m:r>
                <m:t>ρ</m:t>
              </m:r>
              <m:sSub>
                <m:e>
                  <m:r>
                    <m:t>c</m:t>
                  </m:r>
                </m:e>
                <m:sub>
                  <m:r>
                    <m:t>p</m:t>
                  </m:r>
                </m:sub>
              </m:sSub>
              <m:r>
                <m:t> </m:t>
              </m:r>
              <m:d>
                <m:dPr>
                  <m:begChr m:val="("/>
                  <m:endChr m:val=")"/>
                  <m:sepChr m:val=""/>
                  <m:grow/>
                </m:dPr>
                <m:e>
                  <m:sSub>
                    <m:e>
                      <m:r>
                        <m:t>T</m:t>
                      </m:r>
                    </m:e>
                    <m:sub>
                      <m:r>
                        <m:t>s</m:t>
                      </m:r>
                    </m:sub>
                  </m:sSub>
                  <m:r>
                    <m:rPr>
                      <m:sty m:val="p"/>
                    </m:rPr>
                    <m:t>−</m:t>
                  </m:r>
                  <m:sSub>
                    <m:e>
                      <m:r>
                        <m:t>T</m:t>
                      </m:r>
                    </m:e>
                    <m:sub>
                      <m:r>
                        <m:t>a</m:t>
                      </m:r>
                    </m:sub>
                  </m:sSub>
                </m:e>
              </m:d>
            </m:num>
            <m:den>
              <m:sSub>
                <m:e>
                  <m:r>
                    <m:t>r</m:t>
                  </m:r>
                </m:e>
                <m:sub>
                  <m:r>
                    <m:t>a</m:t>
                  </m:r>
                </m:sub>
              </m:sSub>
            </m:den>
          </m:f>
          <m:r>
            <m:rPr>
              <m:sty m:val="p"/>
            </m:rPr>
            <m:t>,</m:t>
          </m:r>
          <m:r>
            <m:t>  </m:t>
          </m:r>
          <m:sSub>
            <m:e>
              <m:r>
                <m:t>r</m:t>
              </m:r>
            </m:e>
            <m:sub>
              <m:r>
                <m:t>a</m:t>
              </m:r>
            </m:sub>
          </m:sSub>
          <m:r>
            <m:rPr>
              <m:sty m:val="p"/>
            </m:rPr>
            <m:t>=</m:t>
          </m:r>
          <m:f>
            <m:fPr>
              <m:type m:val="bar"/>
            </m:fPr>
            <m:num>
              <m:sSup>
                <m:e>
                  <m:d>
                    <m:dPr>
                      <m:begChr m:val="["/>
                      <m:endChr m:val="]"/>
                      <m:sepChr m:val=""/>
                      <m:grow/>
                    </m:dPr>
                    <m:e>
                      <m:r>
                        <m:rPr>
                          <m:sty m:val="p"/>
                        </m:rPr>
                        <m:t>ln</m:t>
                      </m:r>
                      <m:r>
                        <m:t>​</m:t>
                      </m:r>
                      <m:d>
                        <m:dPr>
                          <m:begChr m:val="("/>
                          <m:endChr m:val=")"/>
                          <m:sepChr m:val=""/>
                          <m:grow/>
                        </m:dPr>
                        <m:e>
                          <m:f>
                            <m:fPr>
                              <m:type m:val="bar"/>
                            </m:fPr>
                            <m:num>
                              <m:r>
                                <m:t>z</m:t>
                              </m:r>
                              <m:r>
                                <m:rPr>
                                  <m:sty m:val="p"/>
                                </m:rPr>
                                <m:t>−</m:t>
                              </m:r>
                              <m:r>
                                <m:t>d</m:t>
                              </m:r>
                            </m:num>
                            <m:den>
                              <m:sSub>
                                <m:e>
                                  <m:r>
                                    <m:t>z</m:t>
                                  </m:r>
                                </m:e>
                                <m:sub>
                                  <m:r>
                                    <m:t>0</m:t>
                                  </m:r>
                                </m:sub>
                              </m:sSub>
                            </m:den>
                          </m:f>
                        </m:e>
                      </m:d>
                    </m:e>
                  </m:d>
                </m:e>
                <m:sup>
                  <m:r>
                    <m:t>2</m:t>
                  </m:r>
                </m:sup>
              </m:sSup>
            </m:num>
            <m:den>
              <m:sSup>
                <m:e>
                  <m:r>
                    <m:t>k</m:t>
                  </m:r>
                </m:e>
                <m:sup>
                  <m:r>
                    <m:t>2</m:t>
                  </m:r>
                </m:sup>
              </m:sSup>
              <m:r>
                <m:t> </m:t>
              </m:r>
              <m:r>
                <m:t>u</m:t>
              </m:r>
              <m:d>
                <m:dPr>
                  <m:begChr m:val="("/>
                  <m:endChr m:val=")"/>
                  <m:sepChr m:val=""/>
                  <m:grow/>
                </m:dPr>
                <m:e>
                  <m:r>
                    <m:t>z</m:t>
                  </m:r>
                </m:e>
              </m:d>
            </m:den>
          </m:f>
          <m:r>
            <m:t> </m:t>
          </m:r>
          <m:r>
            <m:t> </m:t>
          </m:r>
          <m:d>
            <m:dPr>
              <m:begChr m:val="("/>
              <m:endChr m:val=")"/>
              <m:sepChr m:val=""/>
              <m:grow/>
            </m:dPr>
            <m:e>
              <m:r>
                <m:rPr>
                  <m:nor/>
                  <m:sty m:val="p"/>
                </m:rPr>
                <m:t>neutral conditions</m:t>
              </m:r>
            </m:e>
          </m:d>
        </m:oMath>
      </m:oMathPara>
    </w:p>
    <w:p>
      <w:pPr>
        <w:pStyle w:val="FirstParagraph"/>
      </w:pPr>
      <w:r>
        <w:t xml:space="preserve">(</w:t>
      </w:r>
      <m:oMath>
        <m:r>
          <m:t>k</m:t>
        </m:r>
      </m:oMath>
      <w:r>
        <w:t xml:space="preserve"> </w:t>
      </w:r>
      <w:r>
        <w:t xml:space="preserve">= 0.41 von Kármán constant.) Worked example for a 25 m forest:</w:t>
      </w:r>
      <w:r>
        <w:t xml:space="preserve"> </w:t>
      </w:r>
      <m:oMath>
        <m:r>
          <m:t>d</m:t>
        </m:r>
      </m:oMath>
      <w:r>
        <w:t xml:space="preserve"> </w:t>
      </w:r>
      <w:r>
        <w:t xml:space="preserve">≈ ⅔h = 16.7 m,</w:t>
      </w:r>
      <w:r>
        <w:t xml:space="preserve"> </w:t>
      </w:r>
      <m:oMath>
        <m:sSub>
          <m:e>
            <m:r>
              <m:t>z</m:t>
            </m:r>
          </m:e>
          <m:sub>
            <m:r>
              <m:t>0</m:t>
            </m:r>
          </m:sub>
        </m:sSub>
      </m:oMath>
      <w:r>
        <w:t xml:space="preserve"> </w:t>
      </w:r>
      <w:r>
        <w:t xml:space="preserve">≈ 0.1h = 2.5 m,</w:t>
      </w:r>
      <w:r>
        <w:t xml:space="preserve"> </w:t>
      </w:r>
      <m:oMath>
        <m:r>
          <m:t>z</m:t>
        </m:r>
      </m:oMath>
      <w:r>
        <w:t xml:space="preserve"> </w:t>
      </w:r>
      <w:r>
        <w:t xml:space="preserve">= 40 m,</w:t>
      </w:r>
      <w:r>
        <w:t xml:space="preserve"> </w:t>
      </w:r>
      <m:oMath>
        <m:r>
          <m:t>u</m:t>
        </m:r>
      </m:oMath>
      <w:r>
        <w:t xml:space="preserve"> </w:t>
      </w:r>
      <w:r>
        <w:t xml:space="preserve">= 3 m s⁻¹ →</w:t>
      </w:r>
      <w:r>
        <w:t xml:space="preserve"> </w:t>
      </w:r>
      <m:oMath>
        <m:sSub>
          <m:e>
            <m:r>
              <m:t>r</m:t>
            </m:r>
          </m:e>
          <m:sub>
            <m:r>
              <m:t>a</m:t>
            </m:r>
          </m:sub>
        </m:sSub>
      </m:oMath>
      <w:r>
        <w:t xml:space="preserve"> </w:t>
      </w:r>
      <w:r>
        <w:t xml:space="preserve">≈ 10 s m⁻¹; with</w:t>
      </w:r>
      <w:r>
        <w:t xml:space="preserve"> </w:t>
      </w:r>
      <m:oMath>
        <m:sSub>
          <m:e>
            <m:r>
              <m:t>T</m:t>
            </m:r>
          </m:e>
          <m:sub>
            <m:r>
              <m:t>s</m:t>
            </m:r>
          </m:sub>
        </m:sSub>
        <m:r>
          <m:rPr>
            <m:sty m:val="p"/>
          </m:rPr>
          <m:t>−</m:t>
        </m:r>
        <m:sSub>
          <m:e>
            <m:r>
              <m:t>T</m:t>
            </m:r>
          </m:e>
          <m:sub>
            <m:r>
              <m:t>a</m:t>
            </m:r>
          </m:sub>
        </m:sSub>
      </m:oMath>
      <w:r>
        <w:t xml:space="preserve"> </w:t>
      </w:r>
      <w:r>
        <w:t xml:space="preserve">= 2 K,</w:t>
      </w:r>
      <w:r>
        <w:t xml:space="preserve"> </w:t>
      </w:r>
      <m:oMath>
        <m:r>
          <m:t>H</m:t>
        </m:r>
      </m:oMath>
      <w:r>
        <w:t xml:space="preserve"> </w:t>
      </w:r>
      <w:r>
        <w:t xml:space="preserve">≈ 1200 × 2/10 ≈ 240 W m⁻². Forests (r_a ~5–20 s m⁻¹) are aerodynamically rough and tightly coupled to the atmosphere; short grass/crops have r_a ~ 50–100 s m⁻¹. This resistance form underlies satellite energy-balance ET models (SEBAL, METRIC, SEBS) and Penman–Monteith (with surface resistance</w:t>
      </w:r>
      <w:r>
        <w:t xml:space="preserve"> </w:t>
      </w:r>
      <m:oMath>
        <m:sSub>
          <m:e>
            <m:r>
              <m:t>r</m:t>
            </m:r>
          </m:e>
          <m:sub>
            <m:r>
              <m:t>s</m:t>
            </m:r>
          </m:sub>
        </m:sSub>
      </m:oMath>
      <w:r>
        <w:t xml:space="preserve">).</w:t>
      </w:r>
    </w:p>
    <w:p>
      <w:pPr>
        <w:pStyle w:val="Heading3"/>
      </w:pPr>
      <w:r>
        <w:t xml:space="preserve">26.6.9 Zero-plane displacement and roughness length</w:t>
      </w:r>
    </w:p>
    <w:p>
      <w:pPr>
        <w:pStyle w:val="FirstParagraph"/>
      </w:pPr>
      <w:r>
        <w:t xml:space="preserve">Extrapolating the logarithmic wind profile down, wind becomes zero not at the ground but at height</w:t>
      </w:r>
      <w:r>
        <w:t xml:space="preserve"> </w:t>
      </w:r>
      <m:oMath>
        <m:r>
          <m:t>d</m:t>
        </m:r>
      </m:oMath>
      <w:r>
        <w:t xml:space="preserve"> </w:t>
      </w:r>
      <w:r>
        <w:t xml:space="preserve">— the</w:t>
      </w:r>
      <w:r>
        <w:t xml:space="preserve"> </w:t>
      </w:r>
      <w:r>
        <w:rPr>
          <w:bCs/>
          <w:b/>
        </w:rPr>
        <w:t xml:space="preserve">zero-plane displacement</w:t>
      </w:r>
      <w:r>
        <w:t xml:space="preserve">, the level of the apparent</w:t>
      </w:r>
      <w:r>
        <w:t xml:space="preserve"> </w:t>
      </w:r>
      <w:r>
        <w:rPr>
          <w:bCs/>
          <w:b/>
        </w:rPr>
        <w:t xml:space="preserve">momentum sink</w:t>
      </w:r>
      <w:r>
        <w:t xml:space="preserve"> </w:t>
      </w:r>
      <w:r>
        <w:t xml:space="preserve">within the canopy:</w:t>
      </w:r>
    </w:p>
    <w:p>
      <w:pPr>
        <w:pStyle w:val="BodyText"/>
      </w:pPr>
      <m:oMathPara>
        <m:oMathParaPr>
          <m:jc m:val="center"/>
        </m:oMathParaPr>
        <m:oMath>
          <m:r>
            <m:t>u</m:t>
          </m:r>
          <m:d>
            <m:dPr>
              <m:begChr m:val="("/>
              <m:endChr m:val=")"/>
              <m:sepChr m:val=""/>
              <m:grow/>
            </m:dPr>
            <m:e>
              <m:r>
                <m:t>z</m:t>
              </m:r>
            </m:e>
          </m:d>
          <m:r>
            <m:rPr>
              <m:sty m:val="p"/>
            </m:rPr>
            <m:t>=</m:t>
          </m:r>
          <m:f>
            <m:fPr>
              <m:type m:val="bar"/>
            </m:fPr>
            <m:num>
              <m:sSub>
                <m:e>
                  <m:r>
                    <m:t>u</m:t>
                  </m:r>
                </m:e>
                <m:sub>
                  <m:r>
                    <m:rPr>
                      <m:sty m:val="p"/>
                    </m:rPr>
                    <m:t>*</m:t>
                  </m:r>
                </m:sub>
              </m:sSub>
            </m:num>
            <m:den>
              <m:r>
                <m:t>k</m:t>
              </m:r>
            </m:den>
          </m:f>
          <m:r>
            <m:rPr>
              <m:sty m:val="p"/>
            </m:rPr>
            <m:t>ln</m:t>
          </m:r>
          <m:r>
            <m:t>​</m:t>
          </m:r>
          <m:d>
            <m:dPr>
              <m:begChr m:val="("/>
              <m:endChr m:val=")"/>
              <m:sepChr m:val=""/>
              <m:grow/>
            </m:dPr>
            <m:e>
              <m:f>
                <m:fPr>
                  <m:type m:val="bar"/>
                </m:fPr>
                <m:num>
                  <m:r>
                    <m:t>z</m:t>
                  </m:r>
                  <m:r>
                    <m:rPr>
                      <m:sty m:val="p"/>
                    </m:rPr>
                    <m:t>−</m:t>
                  </m:r>
                  <m:r>
                    <m:t>d</m:t>
                  </m:r>
                </m:num>
                <m:den>
                  <m:sSub>
                    <m:e>
                      <m:r>
                        <m:t>z</m:t>
                      </m:r>
                    </m:e>
                    <m:sub>
                      <m:r>
                        <m:t>0</m:t>
                      </m:r>
                    </m:sub>
                  </m:sSub>
                </m:den>
              </m:f>
            </m:e>
          </m:d>
        </m:oMath>
      </m:oMathPara>
    </w:p>
    <w:p>
      <w:pPr>
        <w:pStyle w:val="FirstParagraph"/>
      </w:pPr>
      <w:r>
        <w:t xml:space="preserve">Rules of thumb:</w:t>
      </w:r>
      <w:r>
        <w:t xml:space="preserve"> </w:t>
      </w:r>
      <m:oMath>
        <m:r>
          <m:t>d</m:t>
        </m:r>
        <m:r>
          <m:rPr>
            <m:sty m:val="p"/>
          </m:rPr>
          <m:t>≈</m:t>
        </m:r>
        <m:f>
          <m:fPr>
            <m:type m:val="lin"/>
          </m:fPr>
          <m:num>
            <m:r>
              <m:t>2</m:t>
            </m:r>
          </m:num>
          <m:den>
            <m:r>
              <m:t>3</m:t>
            </m:r>
          </m:den>
        </m:f>
        <m:r>
          <m:t>h</m:t>
        </m:r>
      </m:oMath>
      <w:r>
        <w:t xml:space="preserve"> </w:t>
      </w:r>
      <w:r>
        <w:t xml:space="preserve">(0.6–0.8h, increasing with canopy density),</w:t>
      </w:r>
      <w:r>
        <w:t xml:space="preserve"> </w:t>
      </w:r>
      <m:oMath>
        <m:sSub>
          <m:e>
            <m:r>
              <m:t>z</m:t>
            </m:r>
          </m:e>
          <m:sub>
            <m:r>
              <m:t>0</m:t>
            </m:r>
          </m:sub>
        </m:sSub>
        <m:r>
          <m:rPr>
            <m:sty m:val="p"/>
          </m:rPr>
          <m:t>≈</m:t>
        </m:r>
        <m:r>
          <m:t>0.1</m:t>
        </m:r>
        <m:r>
          <m:t>h</m:t>
        </m:r>
      </m:oMath>
      <w:r>
        <w:t xml:space="preserve"> </w:t>
      </w:r>
      <w:r>
        <w:t xml:space="preserve">(0.1–0.13h; FAO uses</w:t>
      </w:r>
      <w:r>
        <w:t xml:space="preserve"> </w:t>
      </w:r>
      <m:oMath>
        <m:sSub>
          <m:e>
            <m:r>
              <m:t>z</m:t>
            </m:r>
          </m:e>
          <m:sub>
            <m:r>
              <m:t>o</m:t>
            </m:r>
            <m:r>
              <m:t>m</m:t>
            </m:r>
          </m:sub>
        </m:sSub>
        <m:r>
          <m:rPr>
            <m:sty m:val="p"/>
          </m:rPr>
          <m:t>=</m:t>
        </m:r>
        <m:r>
          <m:t>0.123</m:t>
        </m:r>
        <m:r>
          <m:t>h</m:t>
        </m:r>
      </m:oMath>
      <w:r>
        <w:t xml:space="preserve">,</w:t>
      </w:r>
      <w:r>
        <w:t xml:space="preserve"> </w:t>
      </w:r>
      <m:oMath>
        <m:sSub>
          <m:e>
            <m:r>
              <m:t>z</m:t>
            </m:r>
          </m:e>
          <m:sub>
            <m:r>
              <m:t>o</m:t>
            </m:r>
            <m:r>
              <m:t>h</m:t>
            </m:r>
          </m:sub>
        </m:sSub>
        <m:r>
          <m:rPr>
            <m:sty m:val="p"/>
          </m:rPr>
          <m:t>=</m:t>
        </m:r>
        <m:r>
          <m:t>0.1</m:t>
        </m:r>
        <m:sSub>
          <m:e>
            <m:r>
              <m:t>z</m:t>
            </m:r>
          </m:e>
          <m:sub>
            <m:r>
              <m:t>o</m:t>
            </m:r>
            <m:r>
              <m:t>m</m:t>
            </m:r>
          </m:sub>
        </m:sSub>
      </m:oMath>
      <w:r>
        <w:t xml:space="preserve">). Heat, humidity and CO₂ profiles behave similarly. All profile, resistance, stability (</w:t>
      </w:r>
      <m:oMath>
        <m:r>
          <m:t>ζ</m:t>
        </m:r>
        <m:r>
          <m:rPr>
            <m:sty m:val="p"/>
          </m:rPr>
          <m:t>=</m:t>
        </m:r>
        <m:d>
          <m:dPr>
            <m:begChr m:val="("/>
            <m:endChr m:val=")"/>
            <m:sepChr m:val=""/>
            <m:grow/>
          </m:dPr>
          <m:e>
            <m:r>
              <m:t>z</m:t>
            </m:r>
            <m:r>
              <m:rPr>
                <m:sty m:val="p"/>
              </m:rPr>
              <m:t>−</m:t>
            </m:r>
            <m:r>
              <m:t>d</m:t>
            </m:r>
          </m:e>
        </m:d>
        <m:r>
          <m:rPr>
            <m:sty m:val="p"/>
          </m:rPr>
          <m:t>/</m:t>
        </m:r>
        <m:r>
          <m:t>L</m:t>
        </m:r>
      </m:oMath>
      <w:r>
        <w:t xml:space="preserve">) and footprint calculations use</w:t>
      </w:r>
      <w:r>
        <w:t xml:space="preserve"> </w:t>
      </w:r>
      <m:oMath>
        <m:d>
          <m:dPr>
            <m:begChr m:val="("/>
            <m:endChr m:val=")"/>
            <m:sepChr m:val=""/>
            <m:grow/>
          </m:dPr>
          <m:e>
            <m:r>
              <m:t>z</m:t>
            </m:r>
            <m:r>
              <m:rPr>
                <m:sty m:val="p"/>
              </m:rPr>
              <m:t>−</m:t>
            </m:r>
            <m:r>
              <m:t>d</m:t>
            </m:r>
          </m:e>
        </m:d>
      </m:oMath>
      <w:r>
        <w:t xml:space="preserve">, not</w:t>
      </w:r>
      <w:r>
        <w:t xml:space="preserve"> </w:t>
      </w:r>
      <m:oMath>
        <m:r>
          <m:t>z</m:t>
        </m:r>
      </m:oMath>
      <w:r>
        <w:t xml:space="preserve">.</w:t>
      </w:r>
    </w:p>
    <w:p>
      <w:pPr>
        <w:pStyle w:val="Heading3"/>
      </w:pPr>
      <w:r>
        <w:t xml:space="preserve">26.6.10 Advantages and disadvantages</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Advantages</w:t>
            </w:r>
          </w:p>
        </w:tc>
        <w:tc>
          <w:tcPr/>
          <w:p>
            <w:pPr>
              <w:pStyle w:val="Compact"/>
              <w:jc w:val="left"/>
            </w:pPr>
            <w:r>
              <w:t xml:space="preserve">Disadvantages</w:t>
            </w:r>
          </w:p>
        </w:tc>
      </w:tr>
      <w:tr>
        <w:tc>
          <w:tcPr/>
          <w:p>
            <w:pPr>
              <w:pStyle w:val="Compact"/>
              <w:jc w:val="left"/>
            </w:pPr>
            <w:r>
              <w:rPr>
                <w:bCs/>
                <w:b/>
              </w:rPr>
              <w:t xml:space="preserve">Ecosystem-scale</w:t>
            </w:r>
            <w:r>
              <w:t xml:space="preserve"> </w:t>
            </w:r>
            <w:r>
              <w:t xml:space="preserve">(whole canopy + soil), unlike leaf/organ chambers</w:t>
            </w:r>
          </w:p>
        </w:tc>
        <w:tc>
          <w:tcPr/>
          <w:p>
            <w:pPr>
              <w:pStyle w:val="Compact"/>
              <w:jc w:val="left"/>
            </w:pPr>
            <w:r>
              <w:rPr>
                <w:bCs/>
                <w:b/>
              </w:rPr>
              <w:t xml:space="preserve">Night-time NEE underestimation</w:t>
            </w:r>
            <w:r>
              <w:t xml:space="preserve"> </w:t>
            </w:r>
            <w:r>
              <w:t xml:space="preserve">— calm stable nights (low u</w:t>
            </w:r>
            <w:r>
              <w:rPr>
                <w:iCs/>
                <w:i/>
              </w:rPr>
              <w:t xml:space="preserve">) let CO₂ pool or drain away (advection); fixed by u</w:t>
            </w:r>
            <w:r>
              <w:t xml:space="preserve"> </w:t>
            </w:r>
            <w:r>
              <w:t xml:space="preserve">filtering + gap filling + storage term</w:t>
            </w:r>
          </w:p>
        </w:tc>
      </w:tr>
      <w:tr>
        <w:tc>
          <w:tcPr/>
          <w:p>
            <w:pPr>
              <w:pStyle w:val="Compact"/>
              <w:jc w:val="left"/>
            </w:pPr>
            <w:r>
              <w:rPr>
                <w:bCs/>
                <w:b/>
              </w:rPr>
              <w:t xml:space="preserve">Direct, non-destructive measure of NEE</w:t>
            </w:r>
          </w:p>
        </w:tc>
        <w:tc>
          <w:tcPr/>
          <w:p>
            <w:pPr>
              <w:pStyle w:val="Compact"/>
              <w:jc w:val="left"/>
            </w:pPr>
            <w:r>
              <w:rPr>
                <w:bCs/>
                <w:b/>
              </w:rPr>
              <w:t xml:space="preserve">Ideal terrain requirement</w:t>
            </w:r>
            <w:r>
              <w:t xml:space="preserve"> </w:t>
            </w:r>
            <w:r>
              <w:t xml:space="preserve">— flat, homogeneous; slopes/heterogeneity break w̄ = 0 and cause advection</w:t>
            </w:r>
          </w:p>
        </w:tc>
      </w:tr>
      <w:tr>
        <w:tc>
          <w:tcPr/>
          <w:p>
            <w:pPr>
              <w:pStyle w:val="Compact"/>
              <w:jc w:val="left"/>
            </w:pPr>
            <w:r>
              <w:rPr>
                <w:bCs/>
                <w:b/>
              </w:rPr>
              <w:t xml:space="preserve">Large footprint</w:t>
            </w:r>
            <w:r>
              <w:t xml:space="preserve"> </w:t>
            </w:r>
            <w:r>
              <w:t xml:space="preserve">comparable to satellite pixels → calibration/validation of RS products</w:t>
            </w:r>
          </w:p>
        </w:tc>
        <w:tc>
          <w:tcPr/>
          <w:p>
            <w:pPr>
              <w:pStyle w:val="Compact"/>
              <w:jc w:val="left"/>
            </w:pPr>
            <w:r>
              <w:rPr>
                <w:bCs/>
                <w:b/>
              </w:rPr>
              <w:t xml:space="preserve">Data gaps</w:t>
            </w:r>
            <w:r>
              <w:t xml:space="preserve"> </w:t>
            </w:r>
            <w:r>
              <w:t xml:space="preserve">20–60% (rain on open path, power, QC) → gap filling</w:t>
            </w:r>
          </w:p>
        </w:tc>
      </w:tr>
      <w:tr>
        <w:tc>
          <w:tcPr/>
          <w:p>
            <w:pPr>
              <w:pStyle w:val="Compact"/>
              <w:jc w:val="left"/>
            </w:pPr>
            <w:r>
              <w:rPr>
                <w:bCs/>
                <w:b/>
              </w:rPr>
              <w:t xml:space="preserve">Continuous</w:t>
            </w:r>
            <w:r>
              <w:t xml:space="preserve">, half-hourly to multi-year — captures diurnal, seasonal, inter-annual dynamics</w:t>
            </w:r>
          </w:p>
        </w:tc>
        <w:tc>
          <w:tcPr/>
          <w:p>
            <w:pPr>
              <w:pStyle w:val="Compact"/>
              <w:jc w:val="left"/>
            </w:pPr>
            <w:r>
              <w:t xml:space="preserve">Energy balance closure gap (H + LE ≈ 70–90% of Rn − G); cost, expertise</w:t>
            </w:r>
          </w:p>
        </w:tc>
      </w:tr>
    </w:tbl>
    <w:p>
      <w:pPr>
        <w:pStyle w:val="BodyText"/>
      </w:pPr>
      <w:r>
        <w:rPr>
          <w:bCs/>
          <w:b/>
        </w:rPr>
        <w:t xml:space="preserve">Global networks:</w:t>
      </w:r>
      <w:r>
        <w:t xml:space="preserve"> </w:t>
      </w:r>
      <w:r>
        <w:t xml:space="preserve">FLUXNET (regional: AmeriFlux, ICOS, AsiaFlux, OzFlux, ChinaFLUX). Coverage is sparse in India and Africa — the Indian towers under ISRO-GBP (e.g., IIRS’s Barkot sal forest tower in Uttarakhand; others in teak, mangrove and agricultural sites) are scientifically valuable for validating satellite GPP and ET over tropical monsoon ecosystems.</w:t>
      </w:r>
    </w:p>
    <w:p>
      <w:pPr>
        <w:pStyle w:val="Heading3"/>
      </w:pPr>
      <w:r>
        <w:t xml:space="preserve">26.6.11 Likely interview questions</w:t>
      </w:r>
    </w:p>
    <w:p>
      <w:pPr>
        <w:pStyle w:val="FirstParagraph"/>
      </w:pPr>
      <w:r>
        <w:rPr>
          <w:bCs/>
          <w:b/>
        </w:rPr>
        <w:t xml:space="preserve">Q. Derive the eddy covariance flux equation.</w:t>
      </w:r>
      <w:r>
        <w:t xml:space="preserve"> </w:t>
      </w:r>
      <w:r>
        <w:t xml:space="preserve">Reynolds-decompose ρ, w, s; average; single-prime terms vanish; neglect density fluctuations and w̄ →</w:t>
      </w:r>
      <w:r>
        <w:t xml:space="preserve"> </w:t>
      </w:r>
      <m:oMath>
        <m:r>
          <m:t>F</m:t>
        </m:r>
        <m:r>
          <m:rPr>
            <m:sty m:val="p"/>
          </m:rPr>
          <m:t>=</m:t>
        </m:r>
        <m:r>
          <m:t>ρ</m:t>
        </m:r>
        <m:bar>
          <m:barPr>
            <m:pos m:val="top"/>
          </m:barPr>
          <m:e>
            <m:r>
              <m:t>w</m:t>
            </m:r>
            <m:r>
              <m:rPr>
                <m:sty m:val="p"/>
              </m:rPr>
              <m:t>′</m:t>
            </m:r>
            <m:r>
              <m:t>s</m:t>
            </m:r>
            <m:r>
              <m:rPr>
                <m:sty m:val="p"/>
              </m:rPr>
              <m:t>′</m:t>
            </m:r>
          </m:e>
        </m:bar>
      </m:oMath>
      <w:r>
        <w:t xml:space="preserve">.</w:t>
      </w:r>
    </w:p>
    <w:p>
      <w:pPr>
        <w:pStyle w:val="BodyText"/>
      </w:pPr>
      <w:r>
        <w:rPr>
          <w:bCs/>
          <w:b/>
        </w:rPr>
        <w:t xml:space="preserve">Q. How does a sonic anemometer measure wind and temperature?</w:t>
      </w:r>
      <w:r>
        <w:t xml:space="preserve"> </w:t>
      </w:r>
      <w:r>
        <w:t xml:space="preserve">Opposing-direction travel times give</w:t>
      </w:r>
      <w:r>
        <w:t xml:space="preserve"> </w:t>
      </w:r>
      <m:oMath>
        <m:r>
          <m:t>V</m:t>
        </m:r>
        <m:r>
          <m:rPr>
            <m:sty m:val="p"/>
          </m:rPr>
          <m:t>=</m:t>
        </m:r>
        <m:d>
          <m:dPr>
            <m:begChr m:val="("/>
            <m:endChr m:val=")"/>
            <m:sepChr m:val=""/>
            <m:grow/>
          </m:dPr>
          <m:e>
            <m:r>
              <m:t>d</m:t>
            </m:r>
            <m:r>
              <m:rPr>
                <m:sty m:val="p"/>
              </m:rPr>
              <m:t>/</m:t>
            </m:r>
            <m:r>
              <m:t>2</m:t>
            </m:r>
          </m:e>
        </m:d>
        <m:d>
          <m:dPr>
            <m:begChr m:val="("/>
            <m:endChr m:val=")"/>
            <m:sepChr m:val=""/>
            <m:grow/>
          </m:dPr>
          <m:e>
            <m:r>
              <m:t>1</m:t>
            </m:r>
            <m:r>
              <m:rPr>
                <m:sty m:val="p"/>
              </m:rPr>
              <m:t>/</m:t>
            </m:r>
            <m:sSub>
              <m:e>
                <m:r>
                  <m:t>t</m:t>
                </m:r>
              </m:e>
              <m:sub>
                <m:r>
                  <m:t>A</m:t>
                </m:r>
                <m:r>
                  <m:t>B</m:t>
                </m:r>
              </m:sub>
            </m:sSub>
            <m:r>
              <m:rPr>
                <m:sty m:val="p"/>
              </m:rPr>
              <m:t>−</m:t>
            </m:r>
            <m:r>
              <m:t>1</m:t>
            </m:r>
            <m:r>
              <m:rPr>
                <m:sty m:val="p"/>
              </m:rPr>
              <m:t>/</m:t>
            </m:r>
            <m:sSub>
              <m:e>
                <m:r>
                  <m:t>t</m:t>
                </m:r>
              </m:e>
              <m:sub>
                <m:r>
                  <m:t>B</m:t>
                </m:r>
                <m:r>
                  <m:t>A</m:t>
                </m:r>
              </m:sub>
            </m:sSub>
          </m:e>
        </m:d>
      </m:oMath>
      <w:r>
        <w:t xml:space="preserve">; their sum gives the speed of sound ∝ √T.</w:t>
      </w:r>
    </w:p>
    <w:p>
      <w:pPr>
        <w:pStyle w:val="BodyText"/>
      </w:pPr>
      <w:r>
        <w:rPr>
          <w:bCs/>
          <w:b/>
        </w:rPr>
        <w:t xml:space="preserve">Q. Which wavelengths does an IRGA use?</w:t>
      </w:r>
      <w:r>
        <w:t xml:space="preserve"> </w:t>
      </w:r>
      <w:r>
        <w:t xml:space="preserve">4.26 µm (CO₂), 2.59 µm (H₂O), 3.95 µm reference.</w:t>
      </w:r>
    </w:p>
    <w:p>
      <w:pPr>
        <w:pStyle w:val="BodyText"/>
      </w:pPr>
      <w:r>
        <w:rPr>
          <w:bCs/>
          <w:b/>
        </w:rPr>
        <w:t xml:space="preserve">Q. Why is EC superior to the aerodynamic method?</w:t>
      </w:r>
      <w:r>
        <w:t xml:space="preserve"> </w:t>
      </w:r>
      <w:r>
        <w:t xml:space="preserve">It does not assume</w:t>
      </w:r>
      <w:r>
        <w:t xml:space="preserve"> </w:t>
      </w:r>
      <m:oMath>
        <m:sSub>
          <m:e>
            <m:r>
              <m:t>K</m:t>
            </m:r>
          </m:e>
          <m:sub>
            <m:r>
              <m:t>h</m:t>
            </m:r>
          </m:sub>
        </m:sSub>
        <m:r>
          <m:rPr>
            <m:sty m:val="p"/>
          </m:rPr>
          <m:t>=</m:t>
        </m:r>
        <m:sSub>
          <m:e>
            <m:r>
              <m:t>K</m:t>
            </m:r>
          </m:e>
          <m:sub>
            <m:r>
              <m:t>m</m:t>
            </m:r>
          </m:sub>
        </m:sSub>
        <m:r>
          <m:rPr>
            <m:sty m:val="p"/>
          </m:rPr>
          <m:t>=</m:t>
        </m:r>
        <m:sSub>
          <m:e>
            <m:r>
              <m:t>K</m:t>
            </m:r>
          </m:e>
          <m:sub>
            <m:r>
              <m:t>w</m:t>
            </m:r>
          </m:sub>
        </m:sSub>
      </m:oMath>
      <w:r>
        <w:t xml:space="preserve"> </w:t>
      </w:r>
      <w:r>
        <w:t xml:space="preserve">or surface uniformity of diffusivity; it measures the turbulent covariance directly.</w:t>
      </w:r>
    </w:p>
    <w:p>
      <w:pPr>
        <w:pStyle w:val="BodyText"/>
      </w:pPr>
      <w:r>
        <w:rPr>
          <w:bCs/>
          <w:b/>
        </w:rPr>
        <w:t xml:space="preserve">Q. What is zero-plane displacement and its typical value?</w:t>
      </w:r>
      <w:r>
        <w:t xml:space="preserve"> </w:t>
      </w:r>
      <w:r>
        <w:t xml:space="preserve">Height of the apparent momentum sink where the extrapolated log profile reaches zero; ≈ ⅔ canopy height.</w:t>
      </w:r>
    </w:p>
    <w:p>
      <w:pPr>
        <w:pStyle w:val="Heading2"/>
      </w:pPr>
      <w:r>
        <w:t xml:space="preserve">26.7 Large Aperture Scintillometer (LAS)</w:t>
      </w:r>
    </w:p>
    <w:p>
      <w:pPr>
        <w:pStyle w:val="Heading3"/>
      </w:pPr>
      <w:r>
        <w:t xml:space="preserve">26.7.1 Working principle</w:t>
      </w:r>
    </w:p>
    <w:p>
      <w:pPr>
        <w:pStyle w:val="FirstParagraph"/>
      </w:pPr>
      <w:r>
        <w:t xml:space="preserve">A scintillometer measures the</w:t>
      </w:r>
      <w:r>
        <w:t xml:space="preserve"> </w:t>
      </w:r>
      <w:r>
        <w:rPr>
          <w:bCs/>
          <w:b/>
        </w:rPr>
        <w:t xml:space="preserve">path-averaged structure parameter of the refractive index of air (Cn²)</w:t>
      </w:r>
      <w:r>
        <w:t xml:space="preserve"> </w:t>
      </w:r>
      <w:r>
        <w:t xml:space="preserve">along a horizontal optical/microwave path between a transmitter and a receiver, from which the sensible heat flux (and, for combined optical-microwave systems, latent heat flux) is derived over a footprint of hundreds of metres to several kilometres — bridging the scale gap between a point EC tower and a satellite pixel, and making it the instrument of choice for validating remote-sensing ET products over heterogeneous agricultural landscapes.</w:t>
      </w:r>
    </w:p>
    <w:p>
      <w:pPr>
        <w:pStyle w:val="BodyText"/>
      </w:pPr>
      <w:r>
        <w:t xml:space="preserve">The refractive index of air, n, depends on air temperature, humidity and pressure. Turbulent eddies of varying temperature (and, to a lesser extent, humidity) along the beam path create small random fluctuations in n, which cause the amplitude (scintillation/</w:t>
      </w:r>
      <w:r>
        <w:t xml:space="preserve">“</w:t>
      </w:r>
      <w:r>
        <w:t xml:space="preserve">twinkling</w:t>
      </w:r>
      <w:r>
        <w:t xml:space="preserve">”</w:t>
      </w:r>
      <w:r>
        <w:t xml:space="preserve">) of the received light or microwave signal to fluctuate. The</w:t>
      </w:r>
      <w:r>
        <w:t xml:space="preserve"> </w:t>
      </w:r>
      <w:r>
        <w:rPr>
          <w:bCs/>
          <w:b/>
        </w:rPr>
        <w:t xml:space="preserve">Large Aperture Scintillometer</w:t>
      </w:r>
      <w:r>
        <w:t xml:space="preserve"> </w:t>
      </w:r>
      <w:r>
        <w:t xml:space="preserve">uses a transmitter aperture and receiver aperture that are large (typically 0.15 m) relative to the Fresnel zone and the inner scale of turbulence, which makes the instrument primarily sensitive to the</w:t>
      </w:r>
      <w:r>
        <w:t xml:space="preserve"> </w:t>
      </w:r>
      <w:r>
        <w:rPr>
          <w:bCs/>
          <w:b/>
        </w:rPr>
        <w:t xml:space="preserve">temperature structure parameter, CT²</w:t>
      </w:r>
      <w:r>
        <w:t xml:space="preserve">, and largely insensitive to small-scale saturation effects that plague small-aperture scintillometers, allowing much longer path lengths (up to ~5–10 km) than small-aperture systems (typically &lt;1 km).</w:t>
      </w:r>
    </w:p>
    <w:p>
      <w:pPr>
        <w:pStyle w:val="Heading3"/>
      </w:pPr>
      <w:r>
        <w:t xml:space="preserve">26.7.2 From Cn² to sensible heat flux — the derivation chain</w:t>
      </w:r>
    </w:p>
    <w:p>
      <w:pPr>
        <w:pStyle w:val="Compact"/>
        <w:numPr>
          <w:ilvl w:val="0"/>
          <w:numId w:val="1202"/>
        </w:numPr>
      </w:pPr>
      <w:r>
        <w:rPr>
          <w:bCs/>
          <w:b/>
        </w:rPr>
        <w:t xml:space="preserve">Measured quantity:</w:t>
      </w:r>
      <w:r>
        <w:t xml:space="preserve"> </w:t>
      </w:r>
      <w:r>
        <w:t xml:space="preserve">the LAS records the variance of the log-amplitude fluctuations of the received near-infrared beam (typically 880–950 nm), σlnI², which is related to the refractive-index structure parameter Cn² by a path-weighted integral over the beam:</w:t>
      </w:r>
    </w:p>
    <w:p>
      <w:pPr>
        <w:numPr>
          <w:ilvl w:val="0"/>
          <w:numId w:val="1203"/>
        </w:numPr>
      </w:pPr>
      <w:r>
        <w:t xml:space="preserve">σlnI² = 1.12 Cn² D^(−7/3) L^3 k^(7/6) (approximate saturated/near-field relation used operationally; the more general Rytov-approximation weighting function is path-length- and aperture-dependent)</w:t>
      </w:r>
    </w:p>
    <w:p>
      <w:pPr>
        <w:numPr>
          <w:ilvl w:val="0"/>
          <w:numId w:val="1000"/>
        </w:numPr>
      </w:pPr>
      <w:r>
        <w:t xml:space="preserve">where D = aperture diameter, L = path length, k = 2π/λ (optical wavenumber). Manufacturer firmware (e.g., Kipp &amp; Zonen LAS, Scintec BLS) inverts this relation on-board to output Cn² directly.</w:t>
      </w:r>
    </w:p>
    <w:p>
      <w:pPr>
        <w:pStyle w:val="Compact"/>
        <w:numPr>
          <w:ilvl w:val="0"/>
          <w:numId w:val="1204"/>
        </w:numPr>
      </w:pPr>
      <w:r>
        <w:rPr>
          <w:bCs/>
          <w:b/>
        </w:rPr>
        <w:t xml:space="preserve">Cn² to CT²:</w:t>
      </w:r>
      <w:r>
        <w:t xml:space="preserve"> </w:t>
      </w:r>
      <w:r>
        <w:t xml:space="preserve">For the optical wavelengths used, refractive-index fluctuations are dominated by temperature fluctuations (humidity contributes a small</w:t>
      </w:r>
      <w:r>
        <w:t xml:space="preserve"> </w:t>
      </w:r>
      <w:r>
        <w:t xml:space="preserve">“</w:t>
      </w:r>
      <w:r>
        <w:t xml:space="preserve">Bowen ratio dependent</w:t>
      </w:r>
      <w:r>
        <w:t xml:space="preserve">”</w:t>
      </w:r>
      <w:r>
        <w:t xml:space="preserve"> </w:t>
      </w:r>
      <w:r>
        <w:t xml:space="preserve">correction term, typically 1–5 percent under most agricultural conditions but larger under high-humidity/low-Bowen-ratio conditions):</w:t>
      </w:r>
    </w:p>
    <w:p>
      <w:pPr>
        <w:pStyle w:val="Compact"/>
        <w:numPr>
          <w:ilvl w:val="0"/>
          <w:numId w:val="1205"/>
        </w:numPr>
      </w:pPr>
      <w:r>
        <w:t xml:space="preserve">Cn² = (77.6 × 10⁻⁶ P/T²)² CT² [1 + 0.03/β]² (approximate form; β = Bowen ratio)</w:t>
      </w:r>
    </w:p>
    <w:p>
      <w:pPr>
        <w:pStyle w:val="Compact"/>
        <w:numPr>
          <w:ilvl w:val="0"/>
          <w:numId w:val="1206"/>
        </w:numPr>
      </w:pPr>
      <w:r>
        <w:rPr>
          <w:bCs/>
          <w:b/>
        </w:rPr>
        <w:t xml:space="preserve">CT² to the temperature structure-function scaling and thence to H via Monin–Obukhov Similarity Theory:</w:t>
      </w:r>
      <w:r>
        <w:t xml:space="preserve"> </w:t>
      </w:r>
      <w:r>
        <w:t xml:space="preserve">The dimensionless temperature structure parameter is related to T* (the MOST temperature scale) through</w:t>
      </w:r>
    </w:p>
    <w:p>
      <w:pPr>
        <w:numPr>
          <w:ilvl w:val="0"/>
          <w:numId w:val="1207"/>
        </w:numPr>
      </w:pPr>
      <w:r>
        <w:t xml:space="preserve">CT² (z−d)^(2/3) / T*² = fT(ζ)</w:t>
      </w:r>
    </w:p>
    <w:p>
      <w:pPr>
        <w:numPr>
          <w:ilvl w:val="0"/>
          <w:numId w:val="1000"/>
        </w:numPr>
      </w:pPr>
      <w:r>
        <w:t xml:space="preserve">where fT(ζ) is an empirical MOST universal function (analogous to φh), commonly of the form fT(ζ) = c1 (1 − c2 z/L)^(−2/3) for unstable, and fT(ζ) = c1 (1 + c3 (z/L)^(2/3)) for stable conditions (Wyngaard/Andreas-type formulations, with constants c1≈4.9, c2≈9 typically calibrated).</w:t>
      </w:r>
    </w:p>
    <w:p>
      <w:pPr>
        <w:numPr>
          <w:ilvl w:val="0"/>
          <w:numId w:val="1208"/>
        </w:numPr>
      </w:pPr>
      <w:r>
        <w:t xml:space="preserve">Because fT depends on z/L, and L itself depends on the (unknown) sensible heat flux H via u*T*, the sensible-heat flux must be solved</w:t>
      </w:r>
      <w:r>
        <w:t xml:space="preserve"> </w:t>
      </w:r>
      <w:r>
        <w:rPr>
          <w:bCs/>
          <w:b/>
        </w:rPr>
        <w:t xml:space="preserve">iteratively</w:t>
      </w:r>
      <w:r>
        <w:t xml:space="preserve">: an initial neutral estimate of H is used to compute a first L, u* is obtained from wind speed/roughness length (or from an auxiliary anemometer), fT(ζ) and hence T* (and H) are recomputed, and the loop is iterated to convergence (typically 3–5 iterations). This iterative MOST-based inversion is the single most examination-relevant</w:t>
      </w:r>
      <w:r>
        <w:t xml:space="preserve"> </w:t>
      </w:r>
      <w:r>
        <w:t xml:space="preserve">“</w:t>
      </w:r>
      <w:r>
        <w:t xml:space="preserve">mechanism</w:t>
      </w:r>
      <w:r>
        <w:t xml:space="preserve">”</w:t>
      </w:r>
      <w:r>
        <w:t xml:space="preserve"> </w:t>
      </w:r>
      <w:r>
        <w:t xml:space="preserve">question associated with the LAS.</w:t>
      </w:r>
    </w:p>
    <w:p>
      <w:pPr>
        <w:numPr>
          <w:ilvl w:val="0"/>
          <w:numId w:val="1208"/>
        </w:numPr>
      </w:pPr>
      <w:r>
        <w:rPr>
          <w:bCs/>
          <w:b/>
        </w:rPr>
        <w:t xml:space="preserve">Latent heat flux by residual or combined instrument:</w:t>
      </w:r>
      <w:r>
        <w:t xml:space="preserve"> </w:t>
      </w:r>
      <w:r>
        <w:t xml:space="preserve">once H is obtained, LE is commonly estimated as the residual of the surface energy balance, LE = Rn − G − H, using independently measured Rn and G. Alternatively, a combined optical-microwave scintillometer pair (large-aperture optical + microwave link) allows direct, simultaneous retrieval of both CT² and the temperature–humidity covariance (Cn²Tq), enabling direct (non-residual) estimation of both H and LE — the so-called two-wavelength method, increasingly used at SAC/IIRS experimental sites for direct ET validation.</w:t>
      </w:r>
    </w:p>
    <w:p>
      <w:pPr>
        <w:pStyle w:val="Heading3"/>
      </w:pPr>
      <w:r>
        <w:t xml:space="preserve">26.7.3 Advantages and applications</w:t>
      </w:r>
    </w:p>
    <w:p>
      <w:pPr>
        <w:pStyle w:val="Compact"/>
        <w:numPr>
          <w:ilvl w:val="0"/>
          <w:numId w:val="1209"/>
        </w:numPr>
      </w:pPr>
      <w:r>
        <w:rPr>
          <w:bCs/>
          <w:b/>
        </w:rPr>
        <w:t xml:space="preserve">Footprint/scale matching:</w:t>
      </w:r>
      <w:r>
        <w:t xml:space="preserve"> </w:t>
      </w:r>
      <w:r>
        <w:t xml:space="preserve">integrates over a path of 1–5 km, matching the pixel scale of moderate-resolution satellites (Landsat, Sentinel-2, ResourceSat LISS) far better than a point EC tower, making LAS the preferred instrument for validating pixel-scale remote-sensing H/LE/ET products over mixed cropland.</w:t>
      </w:r>
    </w:p>
    <w:p>
      <w:pPr>
        <w:pStyle w:val="Compact"/>
        <w:numPr>
          <w:ilvl w:val="0"/>
          <w:numId w:val="1209"/>
        </w:numPr>
      </w:pPr>
      <w:r>
        <w:rPr>
          <w:bCs/>
          <w:b/>
        </w:rPr>
        <w:t xml:space="preserve">Robustness:</w:t>
      </w:r>
      <w:r>
        <w:t xml:space="preserve"> </w:t>
      </w:r>
      <w:r>
        <w:t xml:space="preserve">unaffected by rain within reasonable limits (heavy rain causes signal loss/beam attenuation, flagged and excluded), no moving parts, and less sensitive to individual surface heterogeneities than a point tower.</w:t>
      </w:r>
    </w:p>
    <w:p>
      <w:pPr>
        <w:pStyle w:val="Compact"/>
        <w:numPr>
          <w:ilvl w:val="0"/>
          <w:numId w:val="1209"/>
        </w:numPr>
      </w:pPr>
      <w:r>
        <w:rPr>
          <w:bCs/>
          <w:b/>
        </w:rPr>
        <w:t xml:space="preserve">Applications at SAC/NRSC/IIRS:</w:t>
      </w:r>
      <w:r>
        <w:t xml:space="preserve"> </w:t>
      </w:r>
      <w:r>
        <w:t xml:space="preserve">LAS networks have been deployed over agricultural test sites for surface energy-balance model validation (SEBAL/METRIC/SEBS calibration), irrigation-command-area ET mapping, and drought (evaporative-stress) monitoring research.</w:t>
      </w:r>
    </w:p>
    <w:p>
      <w:pPr>
        <w:pStyle w:val="CaptionedFigure"/>
      </w:pPr>
      <w:r>
        <w:drawing>
          <wp:inline>
            <wp:extent cx="5334000" cy="3593431"/>
            <wp:effectExtent b="0" l="0" r="0" t="0"/>
            <wp:docPr descr="Figure: Schematic of the LAS retrieval chain — from measured log-amplitude variance (σlnI²) to Cn², CT², and iteratively to sensible heat flux H via Monin–Obukhov Similarity Theory, with LE obtained as the energy-balance residual." title="" id="93" name="Picture"/>
            <a:graphic>
              <a:graphicData uri="http://schemas.openxmlformats.org/drawingml/2006/picture">
                <pic:pic>
                  <pic:nvPicPr>
                    <pic:cNvPr descr="up/media/media/image2.png" id="94" name="Picture"/>
                    <pic:cNvPicPr>
                      <a:picLocks noChangeArrowheads="1" noChangeAspect="1"/>
                    </pic:cNvPicPr>
                  </pic:nvPicPr>
                  <pic:blipFill>
                    <a:blip r:embed="rId92"/>
                    <a:stretch>
                      <a:fillRect/>
                    </a:stretch>
                  </pic:blipFill>
                  <pic:spPr bwMode="auto">
                    <a:xfrm>
                      <a:off x="0" y="0"/>
                      <a:ext cx="5334000" cy="3593431"/>
                    </a:xfrm>
                    <a:prstGeom prst="rect">
                      <a:avLst/>
                    </a:prstGeom>
                    <a:noFill/>
                    <a:ln w="9525">
                      <a:noFill/>
                      <a:headEnd/>
                      <a:tailEnd/>
                    </a:ln>
                  </pic:spPr>
                </pic:pic>
              </a:graphicData>
            </a:graphic>
          </wp:inline>
        </w:drawing>
      </w:r>
    </w:p>
    <w:p>
      <w:pPr>
        <w:pStyle w:val="ImageCaption"/>
      </w:pPr>
      <w:r>
        <w:t xml:space="preserve">Figure: Schematic of the LAS retrieval chain — from measured log-amplitude variance (σlnI²) to Cn², CT², and iteratively to sensible heat flux H via Monin–Obukhov Similarity Theory, with LE obtained as the energy-balance residual.</w:t>
      </w:r>
    </w:p>
    <w:p>
      <w:pPr>
        <w:pStyle w:val="BodyText"/>
      </w:pPr>
      <w:r>
        <w:t xml:space="preserve">Figure: Schematic of the LAS retrieval chain — from measured log-amplitude variance (σlnI²) to Cn², CT², and iteratively to sensible heat flux H via Monin–Obukhov Similarity Theory, with LE obtained as the energy-balance residual.</w:t>
      </w:r>
    </w:p>
    <w:p>
      <w:pPr>
        <w:pStyle w:val="Heading2"/>
      </w:pPr>
      <w:r>
        <w:t xml:space="preserve">26.8 LAS Iterative Sensible-Heat-Flux Retrieval — Illustrative Numerical Pass</w:t>
      </w:r>
    </w:p>
    <w:p>
      <w:pPr>
        <w:pStyle w:val="FirstParagraph"/>
      </w:pPr>
      <w:r>
        <w:rPr>
          <w:bCs/>
          <w:b/>
        </w:rPr>
        <w:t xml:space="preserve">Problem (illustrative, simplified):</w:t>
      </w:r>
      <w:r>
        <w:t xml:space="preserve"> </w:t>
      </w:r>
      <w:r>
        <w:t xml:space="preserve">A LAS measurement over a 2 km path at height z=4 m above a short crop (displacement height d≈0, aerodynamic roughness z0=0.05 m) gives a measured structure parameter CT² = 0.045 K² m⁻²ᐟ³ after inversion from the raw scintillation signal. Wind speed at 4 m is 2.5 m s⁻¹. Using neutral-condition starting values, walk through one iteration.</w:t>
      </w:r>
    </w:p>
    <w:p>
      <w:pPr>
        <w:pStyle w:val="BodyText"/>
      </w:pPr>
      <w:r>
        <w:rPr>
          <w:bCs/>
          <w:b/>
        </w:rPr>
        <w:t xml:space="preserve">Step 1 — Neutral first guess.</w:t>
      </w:r>
      <w:r>
        <w:t xml:space="preserve"> </w:t>
      </w:r>
      <w:r>
        <w:t xml:space="preserve">Assume neutral stability initially: compute u* from the log-law, u* = k·u(z)/ln(z/z0) = 0.4×2.5/ln(4/0.05) = 1.0/ln(80) = 1.0/4.382 =</w:t>
      </w:r>
      <w:r>
        <w:t xml:space="preserve"> </w:t>
      </w:r>
      <w:r>
        <w:rPr>
          <w:bCs/>
          <w:b/>
        </w:rPr>
        <w:t xml:space="preserve">0.228 m s⁻¹</w:t>
      </w:r>
    </w:p>
    <w:p>
      <w:pPr>
        <w:pStyle w:val="BodyText"/>
      </w:pPr>
      <w:r>
        <w:rPr>
          <w:bCs/>
          <w:b/>
        </w:rPr>
        <w:t xml:space="preserve">Step 2 — Neutral MOST function.</w:t>
      </w:r>
      <w:r>
        <w:t xml:space="preserve"> </w:t>
      </w:r>
      <w:r>
        <w:t xml:space="preserve">Under neutral conditions fT(0) ≈ c1 = 4.9 (a typical calibrated constant), so: T*² = CT² × z^(2/3) / fT = 0.045 × 4^(2/3) / 4.9 = 0.045 × 2.52 / 4.9 = 0.1134/4.9 = 0.02314 →</w:t>
      </w:r>
      <w:r>
        <w:t xml:space="preserve"> </w:t>
      </w:r>
      <w:r>
        <w:rPr>
          <w:bCs/>
          <w:b/>
        </w:rPr>
        <w:t xml:space="preserve">T* ≈ 0.152 K</w:t>
      </w:r>
    </w:p>
    <w:p>
      <w:pPr>
        <w:pStyle w:val="BodyText"/>
      </w:pPr>
      <w:r>
        <w:rPr>
          <w:bCs/>
          <w:b/>
        </w:rPr>
        <w:t xml:space="preserve">Step 3 — First-pass H.</w:t>
      </w:r>
      <w:r>
        <w:t xml:space="preserve"> </w:t>
      </w:r>
      <w:r>
        <w:t xml:space="preserve">H = −ρ cp u* T* (sign convention: upward flux positive under daytime unstable conditions when T* is defined with the appropriate sign — magnitudes shown here): using ρ≈1.15 kg m⁻³, cp=1005 J kg⁻¹K⁻¹: H ≈ 1.15 × 1005 × 0.228 × 0.152 =</w:t>
      </w:r>
      <w:r>
        <w:t xml:space="preserve"> </w:t>
      </w:r>
      <w:r>
        <w:rPr>
          <w:bCs/>
          <w:b/>
        </w:rPr>
        <w:t xml:space="preserve">39.9 W m⁻²</w:t>
      </w:r>
    </w:p>
    <w:p>
      <w:pPr>
        <w:pStyle w:val="BodyText"/>
      </w:pPr>
      <w:r>
        <w:rPr>
          <w:bCs/>
          <w:b/>
        </w:rPr>
        <w:t xml:space="preserve">Step 4 — Recompute L using this H.</w:t>
      </w:r>
      <w:r>
        <w:t xml:space="preserve"> </w:t>
      </w:r>
      <w:r>
        <w:t xml:space="preserve">L = −u*³ / [k(g/T)(H/(ρ cp))] (kinematic heat flux form) — plugging in u*=0.228, T≈303K, H/(ρcp)=39.9/(1.15×1005)=0.0345 K m/s: L = −(0.228)³ / [0.4×(9.81/303)×0.0345] = −0.01186 / [0.4×0.03238×0.0345] = −0.01186/0.000447 =</w:t>
      </w:r>
      <w:r>
        <w:t xml:space="preserve"> </w:t>
      </w:r>
      <w:r>
        <w:rPr>
          <w:bCs/>
          <w:b/>
        </w:rPr>
        <w:t xml:space="preserve">≈ −26.5 m</w:t>
      </w:r>
    </w:p>
    <w:p>
      <w:pPr>
        <w:pStyle w:val="BodyText"/>
      </w:pPr>
      <w:r>
        <w:rPr>
          <w:bCs/>
          <w:b/>
        </w:rPr>
        <w:t xml:space="preserve">Step 5 — Update ζ and fT, repeat.</w:t>
      </w:r>
      <w:r>
        <w:t xml:space="preserve"> </w:t>
      </w:r>
      <w:r>
        <w:t xml:space="preserve">ζ = (z−d)/L = 4/(−26.5) = −0.151 (mildly unstable) → recompute fT(ζ) using the unstable form, e.g. fT ≈ c1(1−c2 ζ)^(−2/3) with c2≈9: fT = 4.9×(1−9×(−0.151))^(−2/3) = 4.9×(1+1.359)^(−2/3) = 4.9×(2.359)^(−2/3) = 4.9×0.547 = 2.68 — a markedly lower fT than the neutral value 4.9, which on the next pass would increase the derived T* and hence H.</w:t>
      </w:r>
      <w:r>
        <w:t xml:space="preserve"> </w:t>
      </w:r>
      <w:r>
        <w:rPr>
          <w:bCs/>
          <w:b/>
        </w:rPr>
        <w:t xml:space="preserve">This is exactly why the calculation must be iterated to convergence</w:t>
      </w:r>
      <w:r>
        <w:t xml:space="preserve"> </w:t>
      </w:r>
      <w:r>
        <w:t xml:space="preserve">rather than accepted after a single pass — the first-guess H of ~40 W m⁻² would be revised upward in the next iteration, and iteration continues (typically 3–5 passes) until successive H estimates change by less than a small convergence tolerance (e.g., &lt;1–2 W m⁻²).</w:t>
      </w:r>
    </w:p>
    <w:p>
      <w:pPr>
        <w:pStyle w:val="Heading2"/>
      </w:pPr>
      <w:r>
        <w:t xml:space="preserve">26.9 Infra-Red Gas Analyser (IRGA)</w:t>
      </w:r>
    </w:p>
    <w:p>
      <w:pPr>
        <w:pStyle w:val="Heading3"/>
      </w:pPr>
      <w:r>
        <w:t xml:space="preserve">26.9.1 What it measures and the physical principle</w:t>
      </w:r>
    </w:p>
    <w:p>
      <w:pPr>
        <w:pStyle w:val="FirstParagraph"/>
      </w:pPr>
      <w:r>
        <w:t xml:space="preserve">An IRGA measures the concentration (molar or mass density) of a target gas — most commonly CO2 and H2O vapour, and in newer instruments CH4 and N2O — by exploiting the fact that these gases absorb infrared radiation at specific, well-characterised wavelength bands (CO2 strongly absorbs near 4.26 µm and 2.7 µm; H2O vapour absorbs broadly around 2.6 µm and 6.3 µm and in the near-infrared). The instrument follows the</w:t>
      </w:r>
      <w:r>
        <w:t xml:space="preserve"> </w:t>
      </w:r>
      <w:r>
        <w:rPr>
          <w:bCs/>
          <w:b/>
        </w:rPr>
        <w:t xml:space="preserve">Beer–Lambert law</w:t>
      </w:r>
      <w:r>
        <w:t xml:space="preserve">:</w:t>
      </w:r>
    </w:p>
    <w:p>
      <w:pPr>
        <w:pStyle w:val="BodyText"/>
      </w:pPr>
      <w:r>
        <w:t xml:space="preserve">I = I0 exp(−α c l)</w:t>
      </w:r>
    </w:p>
    <w:p>
      <w:pPr>
        <w:pStyle w:val="BodyText"/>
      </w:pPr>
      <w:r>
        <w:t xml:space="preserve">where I0 is the incident IR intensity at the absorption wavelength, I is the transmitted intensity after passing through the sample of path length l, c is the gas concentration, and α is the gas- and wavelength-specific absorption coefficient. By measuring the attenuation of IR radiation at the target absorption band, relative to a non-absorbed reference wavelength (to cancel source/detector drift), the instrument computes gas concentration.</w:t>
      </w:r>
    </w:p>
    <w:p>
      <w:pPr>
        <w:pStyle w:val="Heading3"/>
      </w:pPr>
      <w:r>
        <w:t xml:space="preserve">26.9.2 Design types</w:t>
      </w:r>
    </w:p>
    <w:p>
      <w:pPr>
        <w:pStyle w:val="Compact"/>
        <w:numPr>
          <w:ilvl w:val="0"/>
          <w:numId w:val="1210"/>
        </w:numPr>
      </w:pPr>
      <w:r>
        <w:rPr>
          <w:bCs/>
          <w:b/>
        </w:rPr>
        <w:t xml:space="preserve">Non-dispersive infrared (NDIR) analysers</w:t>
      </w:r>
      <w:r>
        <w:t xml:space="preserve"> </w:t>
      </w:r>
      <w:r>
        <w:t xml:space="preserve">— use a broadband IR source, an optical filter selecting the absorption band, and a solid-state or pyroelectric detector; simplest and most common design (e.g., LI-COR LI-7500 open-path, LI-840/LI-850 closed-path).</w:t>
      </w:r>
    </w:p>
    <w:p>
      <w:pPr>
        <w:pStyle w:val="Compact"/>
        <w:numPr>
          <w:ilvl w:val="0"/>
          <w:numId w:val="1210"/>
        </w:numPr>
      </w:pPr>
      <w:r>
        <w:rPr>
          <w:bCs/>
          <w:b/>
        </w:rPr>
        <w:t xml:space="preserve">Open-path IRGA:</w:t>
      </w:r>
      <w:r>
        <w:t xml:space="preserve"> </w:t>
      </w:r>
      <w:r>
        <w:t xml:space="preserve">the sample air passes freely (unenclosed) between the source and detector heads, mounted next to the sonic anemometer on an EC tower; advantage — no tube-induced time lag/attenuation, low power (suitable for solar-powered remote agricultural towers); disadvantage — susceptible to rain/dew contamination of optical windows, requires the WPL density correction because the open beam samples a fluctuating-density parcel of ambient air directly.</w:t>
      </w:r>
    </w:p>
    <w:p>
      <w:pPr>
        <w:pStyle w:val="Compact"/>
        <w:numPr>
          <w:ilvl w:val="0"/>
          <w:numId w:val="1210"/>
        </w:numPr>
      </w:pPr>
      <w:r>
        <w:rPr>
          <w:bCs/>
          <w:b/>
        </w:rPr>
        <w:t xml:space="preserve">Closed-path IRGA:</w:t>
      </w:r>
      <w:r>
        <w:t xml:space="preserve"> </w:t>
      </w:r>
      <w:r>
        <w:t xml:space="preserve">ambient air is drawn through a tube (with a pump) into an enclosed optical measurement cell; advantage — protected optics, less affected by rain; disadvantage — tube attenuates high-frequency fluctuations and introduces a time lag that must be corrected in EC processing, and requires desiccant/filter maintenance.</w:t>
      </w:r>
    </w:p>
    <w:p>
      <w:pPr>
        <w:pStyle w:val="Compact"/>
        <w:numPr>
          <w:ilvl w:val="0"/>
          <w:numId w:val="1210"/>
        </w:numPr>
      </w:pPr>
      <w:r>
        <w:rPr>
          <w:bCs/>
          <w:b/>
        </w:rPr>
        <w:t xml:space="preserve">Enclosed/semi-closed-path designs</w:t>
      </w:r>
      <w:r>
        <w:t xml:space="preserve"> </w:t>
      </w:r>
      <w:r>
        <w:t xml:space="preserve">(e.g., LI-7200) combine the open-path’s fast response with closed-path’s environmental protection, using a short intake tube and a heated cell.</w:t>
      </w:r>
    </w:p>
    <w:p>
      <w:pPr>
        <w:pStyle w:val="Heading3"/>
      </w:pPr>
      <w:r>
        <w:t xml:space="preserve">26.9.3 Calibration and use</w:t>
      </w:r>
    </w:p>
    <w:p>
      <w:pPr>
        <w:pStyle w:val="FirstParagraph"/>
      </w:pPr>
      <w:r>
        <w:t xml:space="preserve">IRGAs require periodic</w:t>
      </w:r>
      <w:r>
        <w:t xml:space="preserve"> </w:t>
      </w:r>
      <w:r>
        <w:rPr>
          <w:bCs/>
          <w:b/>
        </w:rPr>
        <w:t xml:space="preserve">zero and span calibration</w:t>
      </w:r>
      <w:r>
        <w:t xml:space="preserve"> </w:t>
      </w:r>
      <w:r>
        <w:t xml:space="preserve">using CO2-free (N2 or scrubbed) gas for zero, and certified reference gas concentrations (traceable to WMO-GAW standards) for span, plus a dew-point generator for H2O calibration. In EC applications the IRGA’s high-frequency (10–20 Hz) fluctuating output is what is correlated with vertical wind speed to derive the flux; in survey/chamber applications, the same NDIR principle underlies portable photosynthesis systems (LI-6400/LI-6800) used for leaf-level gas-exchange (photosynthesis, stomatal conductance, transpiration) measurement — a technique often referenced in crop physiological ground-truth work supporting SAC vegetation-index and stress-detection algorithms.</w:t>
      </w:r>
    </w:p>
    <w:p>
      <w:pPr>
        <w:pStyle w:val="Heading2"/>
      </w:pPr>
      <w:r>
        <w:t xml:space="preserve">26.10 Automatic Weather Station (AWS)</w:t>
      </w:r>
    </w:p>
    <w:p>
      <w:pPr>
        <w:pStyle w:val="Heading3"/>
      </w:pPr>
      <w:r>
        <w:t xml:space="preserve">26.10.1 Working principle</w:t>
      </w:r>
    </w:p>
    <w:p>
      <w:pPr>
        <w:pStyle w:val="FirstParagraph"/>
      </w:pPr>
      <w:r>
        <w:t xml:space="preserve">An AWS is an unattended, self-powered (typically solar-panel + battery) station that automatically measures a standard suite of surface meteorological variables at fixed intervals, logs them, and transmits data (via GSM/GPRS, satellite — e.g., INSAT DRT/MSS — or radio telemetry) to a central server without manual intervention. It replaces manual synoptic observation with continuous, high-frequency (typically 1-min to 15-min) automated sampling.</w:t>
      </w:r>
    </w:p>
    <w:p>
      <w:pPr>
        <w:pStyle w:val="BodyText"/>
      </w:pPr>
      <w:r>
        <w:rPr>
          <w:bCs/>
          <w:b/>
        </w:rPr>
        <w:t xml:space="preserve">Standard sensor suite and principles:</w:t>
      </w:r>
    </w:p>
    <w:p>
      <w:pPr>
        <w:pStyle w:val="Compact"/>
        <w:numPr>
          <w:ilvl w:val="0"/>
          <w:numId w:val="1211"/>
        </w:numPr>
      </w:pPr>
      <w:r>
        <w:rPr>
          <w:bCs/>
          <w:b/>
        </w:rPr>
        <w:t xml:space="preserve">Air temperature and relative humidity</w:t>
      </w:r>
      <w:r>
        <w:t xml:space="preserve"> </w:t>
      </w:r>
      <w:r>
        <w:t xml:space="preserve">— platinum resistance thermometer (PRT, e.g., PT100, based on the known temperature-dependence of platinum’s electrical resistance) housed in a naturally or fan-aspirated radiation shield; RH via a capacitive polymer sensor whose dielectric constant changes with absorbed moisture.</w:t>
      </w:r>
    </w:p>
    <w:p>
      <w:pPr>
        <w:pStyle w:val="Compact"/>
        <w:numPr>
          <w:ilvl w:val="0"/>
          <w:numId w:val="1211"/>
        </w:numPr>
      </w:pPr>
      <w:r>
        <w:rPr>
          <w:bCs/>
          <w:b/>
        </w:rPr>
        <w:t xml:space="preserve">Wind speed and direction</w:t>
      </w:r>
      <w:r>
        <w:t xml:space="preserve"> </w:t>
      </w:r>
      <w:r>
        <w:t xml:space="preserve">— cup anemometer (rotation rate proportional to wind speed) or propeller vane, increasingly replaced by 2-D/3-D sonic anemometers (no moving parts, time-of-flight principle as in the relevant chapter).</w:t>
      </w:r>
    </w:p>
    <w:p>
      <w:pPr>
        <w:pStyle w:val="Compact"/>
        <w:numPr>
          <w:ilvl w:val="0"/>
          <w:numId w:val="1211"/>
        </w:numPr>
      </w:pPr>
      <w:r>
        <w:rPr>
          <w:bCs/>
          <w:b/>
        </w:rPr>
        <w:t xml:space="preserve">Rainfall</w:t>
      </w:r>
      <w:r>
        <w:t xml:space="preserve"> </w:t>
      </w:r>
      <w:r>
        <w:t xml:space="preserve">— tipping-bucket rain gauge: a two-compartment bucket alternately fills and tips at a fixed volume threshold (e.g., 0.2 or 0.5 mm equivalent depth) with each tip registered as a digital pulse; alternative is a weighing-bucket gauge that continuously records accumulated mass.</w:t>
      </w:r>
    </w:p>
    <w:p>
      <w:pPr>
        <w:pStyle w:val="Compact"/>
        <w:numPr>
          <w:ilvl w:val="0"/>
          <w:numId w:val="1211"/>
        </w:numPr>
      </w:pPr>
      <w:r>
        <w:rPr>
          <w:bCs/>
          <w:b/>
        </w:rPr>
        <w:t xml:space="preserve">Barometric pressure</w:t>
      </w:r>
      <w:r>
        <w:t xml:space="preserve"> </w:t>
      </w:r>
      <w:r>
        <w:t xml:space="preserve">— capacitive or piezoresistive silicon pressure transducer.</w:t>
      </w:r>
    </w:p>
    <w:p>
      <w:pPr>
        <w:pStyle w:val="Compact"/>
        <w:numPr>
          <w:ilvl w:val="0"/>
          <w:numId w:val="1211"/>
        </w:numPr>
      </w:pPr>
      <w:r>
        <w:rPr>
          <w:bCs/>
          <w:b/>
        </w:rPr>
        <w:t xml:space="preserve">Solar/net radiation</w:t>
      </w:r>
      <w:r>
        <w:t xml:space="preserve"> </w:t>
      </w:r>
      <w:r>
        <w:t xml:space="preserve">— pyranometer/net radiometer.</w:t>
      </w:r>
    </w:p>
    <w:p>
      <w:pPr>
        <w:pStyle w:val="Compact"/>
        <w:numPr>
          <w:ilvl w:val="0"/>
          <w:numId w:val="1211"/>
        </w:numPr>
      </w:pPr>
      <w:r>
        <w:rPr>
          <w:bCs/>
          <w:b/>
        </w:rPr>
        <w:t xml:space="preserve">Soil temperature and moisture</w:t>
      </w:r>
      <w:r>
        <w:t xml:space="preserve"> </w:t>
      </w:r>
      <w:r>
        <w:t xml:space="preserve">— thermistor/PRT probes at standard depths; soil moisture via frequency-domain reflectometry (FDR) or time-domain reflectometry (TDR), which relate the dielectric permittivity of soil (strongly dependent on liquid water content because water’s dielectric constant, ~80, vastly exceeds that of dry soil minerals, ~3–5, or air, ~1) to volumetric water content.</w:t>
      </w:r>
    </w:p>
    <w:p>
      <w:pPr>
        <w:pStyle w:val="Compact"/>
        <w:numPr>
          <w:ilvl w:val="0"/>
          <w:numId w:val="1211"/>
        </w:numPr>
      </w:pPr>
      <w:r>
        <w:rPr>
          <w:bCs/>
          <w:b/>
        </w:rPr>
        <w:t xml:space="preserve">Datalogger and telemetry unit</w:t>
      </w:r>
      <w:r>
        <w:t xml:space="preserve"> </w:t>
      </w:r>
      <w:r>
        <w:t xml:space="preserve">— samples all sensors, computes averages/totals over the reporting interval, and transmits.</w:t>
      </w:r>
    </w:p>
    <w:p>
      <w:pPr>
        <w:pStyle w:val="Heading3"/>
      </w:pPr>
      <w:r>
        <w:t xml:space="preserve">26.10.2 Role in agrometeorology and FASAL/GKMS</w:t>
      </w:r>
    </w:p>
    <w:p>
      <w:pPr>
        <w:pStyle w:val="FirstParagraph"/>
      </w:pPr>
      <w:r>
        <w:t xml:space="preserve">AWS networks (India has a dense network under IMD, and ISRO/SAC’s Gramin Krishi Mausam Seva (GKMS)-linked Agro-Meteorological Field Units use both IMD and dedicated AWS data) provide the ground meteorological inputs — temperature, humidity, wind, rainfall, radiation — required to run crop-growth-simulation and crop-weather-yield-relationship models used in FASAL, to compute reference evapotranspiration (via the FAO-56 Penman–Monteith equation, Section 1.9), to validate satellite-derived rainfall (Hydro-Estimator) and land-surface-temperature products, and to compute the bulk-Richardson-number-based stability diagnostics discussed in the relevant chapter without requiring an expensive sonic anemometer at every site.</w:t>
      </w:r>
    </w:p>
    <w:p>
      <w:pPr>
        <w:pStyle w:val="Heading2"/>
      </w:pPr>
      <w:r>
        <w:t xml:space="preserve">26.11 Instrumentation and Modelling of Surface Energy–Mass Flux — Integrated View</w:t>
      </w:r>
    </w:p>
    <w:p>
      <w:pPr>
        <w:pStyle w:val="FirstParagraph"/>
      </w:pPr>
      <w:r>
        <w:t xml:space="preserve">A modern agricultural micrometeorological/ET-validation site, as operated by SAC/IIRS/ICAR, typically layers instrumentation at three scales, feeding two families of models:</w:t>
      </w:r>
    </w:p>
    <w:p>
      <w:pPr>
        <w:pStyle w:val="Compact"/>
        <w:numPr>
          <w:ilvl w:val="0"/>
          <w:numId w:val="1212"/>
        </w:numPr>
      </w:pPr>
      <w:r>
        <w:rPr>
          <w:bCs/>
          <w:b/>
        </w:rPr>
        <w:t xml:space="preserve">Point scale (few m² footprint):</w:t>
      </w:r>
      <w:r>
        <w:t xml:space="preserve"> </w:t>
      </w:r>
      <w:r>
        <w:t xml:space="preserve">AWS + net radiometer + soil heat-flux plates + soil moisture/temperature profile — gives all four surface-energy-balance terms at a point, and drives point crop-water-balance models (e.g., FAO-56 dual-crop-coefficient method, DSSAT/InfoCrop crop models).</w:t>
      </w:r>
    </w:p>
    <w:p>
      <w:pPr>
        <w:pStyle w:val="Compact"/>
        <w:numPr>
          <w:ilvl w:val="0"/>
          <w:numId w:val="1212"/>
        </w:numPr>
      </w:pPr>
      <w:r>
        <w:rPr>
          <w:bCs/>
          <w:b/>
        </w:rPr>
        <w:t xml:space="preserve">Field/footprint scale (10²–10⁴ m²):</w:t>
      </w:r>
      <w:r>
        <w:t xml:space="preserve"> </w:t>
      </w:r>
      <w:r>
        <w:t xml:space="preserve">eddy-covariance tower — gives directly measured, footprint-integrated H, LE, momentum and (where CO2/CH4 IRGA fitted) net ecosystem carbon/methane exchange; the natural validation target for high-resolution (10–100 m) satellite ET/GPP products (Landsat, Sentinel-2, ResourceSat LISS-based SEBAL/METRIC/SSEBop).</w:t>
      </w:r>
    </w:p>
    <w:p>
      <w:pPr>
        <w:pStyle w:val="Compact"/>
        <w:numPr>
          <w:ilvl w:val="0"/>
          <w:numId w:val="1212"/>
        </w:numPr>
      </w:pPr>
      <w:r>
        <w:rPr>
          <w:bCs/>
          <w:b/>
        </w:rPr>
        <w:t xml:space="preserve">Landscape scale (1–10 km path):</w:t>
      </w:r>
      <w:r>
        <w:t xml:space="preserve"> </w:t>
      </w:r>
      <w:r>
        <w:t xml:space="preserve">Large Aperture Scintillometer, alone (H, with LE as residual) or combined optical-microwave (direct H and LE) — the natural validation target for moderate-resolution satellite products (AWiFS, MODIS) and for command-area/irrigation-scheme-scale water-accounting studies.</w:t>
      </w:r>
    </w:p>
    <w:p>
      <w:pPr>
        <w:pStyle w:val="FirstParagraph"/>
      </w:pPr>
      <w:r>
        <w:rPr>
          <w:bCs/>
          <w:b/>
        </w:rPr>
        <w:t xml:space="preserve">Two broad model families</w:t>
      </w:r>
      <w:r>
        <w:t xml:space="preserve"> </w:t>
      </w:r>
      <w:r>
        <w:t xml:space="preserve">convert satellite land-surface temperature (LST), albedo and vegetation-index data into these same fluxes for spatially distributed mapping, and are validated against the instrumentation above:</w:t>
      </w:r>
    </w:p>
    <w:p>
      <w:pPr>
        <w:pStyle w:val="Compact"/>
        <w:numPr>
          <w:ilvl w:val="0"/>
          <w:numId w:val="1213"/>
        </w:numPr>
      </w:pPr>
      <w:r>
        <w:rPr>
          <w:bCs/>
          <w:b/>
        </w:rPr>
        <w:t xml:space="preserve">One-source energy-balance models</w:t>
      </w:r>
      <w:r>
        <w:t xml:space="preserve"> </w:t>
      </w:r>
      <w:r>
        <w:t xml:space="preserve">(SEBAL — Surface Energy Balance Algorithm for Land; METRIC — Mapping EvapoTranspiration at high Resolution with Internalized Calibration; SEBS — Surface Energy Balance System) treat the surface as a single</w:t>
      </w:r>
      <w:r>
        <w:t xml:space="preserve"> </w:t>
      </w:r>
      <w:r>
        <w:t xml:space="preserve">“</w:t>
      </w:r>
      <w:r>
        <w:t xml:space="preserve">big-leaf</w:t>
      </w:r>
      <w:r>
        <w:t xml:space="preserve">”</w:t>
      </w:r>
      <w:r>
        <w:t xml:space="preserve"> </w:t>
      </w:r>
      <w:r>
        <w:t xml:space="preserve">with one aerodynamic temperature, solving Rn = H + LE + G with H computed from LST gradient and an empirical/iterative excess-resistance correction (kB⁻¹ parameter) to reconcile the radiometric surface temperature with the aerodynamic temperature required by MOST.</w:t>
      </w:r>
    </w:p>
    <w:p>
      <w:pPr>
        <w:pStyle w:val="Compact"/>
        <w:numPr>
          <w:ilvl w:val="0"/>
          <w:numId w:val="1213"/>
        </w:numPr>
      </w:pPr>
      <w:r>
        <w:rPr>
          <w:bCs/>
          <w:b/>
        </w:rPr>
        <w:t xml:space="preserve">Two-source energy-balance models</w:t>
      </w:r>
      <w:r>
        <w:t xml:space="preserve"> </w:t>
      </w:r>
      <w:r>
        <w:t xml:space="preserve">(TSEB — Two-Source Energy Balance, Norman et al.) explicitly separate soil and canopy temperature/flux components, better suited to the sparse/row-crop canopies (cotton, sugarcane at early growth stages) common in Indian agriculture, and are increasingly used in SAC/VEDAS operational ET generation.</w:t>
      </w:r>
    </w:p>
    <w:p>
      <w:pPr>
        <w:pStyle w:val="CaptionedFigure"/>
      </w:pPr>
      <w:r>
        <w:drawing>
          <wp:inline>
            <wp:extent cx="5334000" cy="3265714"/>
            <wp:effectExtent b="0" l="0" r="0" t="0"/>
            <wp:docPr descr="Figure: Surface energy-balance instrumentation deployed at point, field/footprint and landscape scales, and the corresponding satellite energy-balance model resolutions each is used to validate." title="" id="96" name="Picture"/>
            <a:graphic>
              <a:graphicData uri="http://schemas.openxmlformats.org/drawingml/2006/picture">
                <pic:pic>
                  <pic:nvPicPr>
                    <pic:cNvPr descr="up/media/media/image3.png" id="97" name="Picture"/>
                    <pic:cNvPicPr>
                      <a:picLocks noChangeArrowheads="1" noChangeAspect="1"/>
                    </pic:cNvPicPr>
                  </pic:nvPicPr>
                  <pic:blipFill>
                    <a:blip r:embed="rId95"/>
                    <a:stretch>
                      <a:fillRect/>
                    </a:stretch>
                  </pic:blipFill>
                  <pic:spPr bwMode="auto">
                    <a:xfrm>
                      <a:off x="0" y="0"/>
                      <a:ext cx="5334000" cy="3265714"/>
                    </a:xfrm>
                    <a:prstGeom prst="rect">
                      <a:avLst/>
                    </a:prstGeom>
                    <a:noFill/>
                    <a:ln w="9525">
                      <a:noFill/>
                      <a:headEnd/>
                      <a:tailEnd/>
                    </a:ln>
                  </pic:spPr>
                </pic:pic>
              </a:graphicData>
            </a:graphic>
          </wp:inline>
        </w:drawing>
      </w:r>
    </w:p>
    <w:p>
      <w:pPr>
        <w:pStyle w:val="ImageCaption"/>
      </w:pPr>
      <w:r>
        <w:t xml:space="preserve">Figure: Surface energy-balance instrumentation deployed at point, field/footprint and landscape scales, and the corresponding satellite energy-balance model resolutions each is used to validate.</w:t>
      </w:r>
    </w:p>
    <w:p>
      <w:pPr>
        <w:pStyle w:val="BodyText"/>
      </w:pPr>
      <w:r>
        <w:t xml:space="preserve">Figure: Surface energy-balance instrumentation deployed at point, field/footprint and landscape scales, and the corresponding satellite energy-balance model resolutions each is used to validate.</w:t>
      </w:r>
    </w:p>
    <w:p>
      <w:pPr>
        <w:pStyle w:val="Heading2"/>
      </w:pPr>
      <w:r>
        <w:t xml:space="preserve">26.12 Soil-Vegetation-Atmosphere Flux Studies over Different Agro-Ecosystems</w:t>
      </w:r>
    </w:p>
    <w:p>
      <w:pPr>
        <w:pStyle w:val="FirstParagraph"/>
      </w:pPr>
      <w:r>
        <w:t xml:space="preserve">A cross-cutting experimental-methodology theme spanning Chapters 1, 6, 9 and this chapter’s Section 13.9: coordinated, multi-instrument (eddy-covariance tower + AWS + soil-profile sensors + LAS, Chapter 1; occasionally combined with leaf-level IRGA-based photosynthesis measurement, Chapter 1, Section 1.6.3) field campaigns are conducted across</w:t>
      </w:r>
      <w:r>
        <w:t xml:space="preserve"> </w:t>
      </w:r>
      <w:r>
        <w:rPr>
          <w:bCs/>
          <w:b/>
        </w:rPr>
        <w:t xml:space="preserve">different agro-ecosystems</w:t>
      </w:r>
      <w:r>
        <w:t xml:space="preserve"> </w:t>
      </w:r>
      <w:r>
        <w:t xml:space="preserve">(irrigated rice-wheat systems, rainfed dryland cropping, sugarcane, horticultural/orchard systems) specifically because flux-partitioning behaviour (the relative magnitude of H, LE, and canopy-CO2/CH4 exchange, and their governing MOST/stability regime, Chapter 1) differs systematically with crop type, canopy architecture and irrigation/water-management regime — providing the crop-and-system-specific process understanding and empirical-model-calibration datasets that generic (single-crop-calibrated) surface-energy-balance and crop-water-use models would otherwise lack when applied across India’s highly diverse agro-ecosystem mosaic.</w:t>
      </w:r>
    </w:p>
    <w:p>
      <w:pPr>
        <w:pStyle w:val="Heading1"/>
      </w:pPr>
      <w:r>
        <w:t xml:space="preserve">Chapter 27. Evapotranspiration and Crop Water Use</w:t>
      </w:r>
    </w:p>
    <w:p>
      <w:pPr>
        <w:pStyle w:val="Heading2"/>
      </w:pPr>
      <w:r>
        <w:t xml:space="preserve">27.1 Evapotranspiration Concepts</w:t>
      </w:r>
    </w:p>
    <w:p>
      <w:pPr>
        <w:pStyle w:val="FirstParagraph"/>
      </w:pPr>
      <w:r>
        <w:rPr>
          <w:bCs/>
          <w:b/>
        </w:rPr>
        <w:t xml:space="preserve">Evapotranspiration (ET)</w:t>
      </w:r>
      <w:r>
        <w:t xml:space="preserve"> </w:t>
      </w:r>
      <w:r>
        <w:t xml:space="preserve">is the combined loss of water from soil and wet surfaces (</w:t>
      </w:r>
      <w:r>
        <w:rPr>
          <w:bCs/>
          <w:b/>
        </w:rPr>
        <w:t xml:space="preserve">evaporation</w:t>
      </w:r>
      <w:r>
        <w:t xml:space="preserve">) and from plants through stomata (</w:t>
      </w:r>
      <w:r>
        <w:rPr>
          <w:bCs/>
          <w:b/>
        </w:rPr>
        <w:t xml:space="preserve">transpiration</w:t>
      </w:r>
      <w:r>
        <w:t xml:space="preserve">). It is the largest consumptive use of water in agriculture and the link between the energy balance (</w:t>
      </w:r>
      <m:oMath>
        <m:r>
          <m:t>L</m:t>
        </m:r>
        <m:r>
          <m:t>E</m:t>
        </m:r>
      </m:oMath>
      <w:r>
        <w:t xml:space="preserve">) and the water balance.</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Potential ET (PET)</w:t>
            </w:r>
          </w:p>
        </w:tc>
        <w:tc>
          <w:tcPr/>
          <w:p>
            <w:pPr>
              <w:pStyle w:val="Compact"/>
              <w:jc w:val="left"/>
            </w:pPr>
            <w:r>
              <w:t xml:space="preserve">ET from an extensive surface of short green vegetation completely shading the ground, never short of water (Penman/Thornthwaite concept)</w:t>
            </w:r>
          </w:p>
        </w:tc>
      </w:tr>
      <w:tr>
        <w:tc>
          <w:tcPr/>
          <w:p>
            <w:pPr>
              <w:pStyle w:val="Compact"/>
              <w:jc w:val="left"/>
            </w:pPr>
            <w:r>
              <w:rPr>
                <w:bCs/>
                <w:b/>
              </w:rPr>
              <w:t xml:space="preserve">Reference crop ET (ET₀)</w:t>
            </w:r>
          </w:p>
        </w:tc>
        <w:tc>
          <w:tcPr/>
          <w:p>
            <w:pPr>
              <w:pStyle w:val="Compact"/>
              <w:jc w:val="left"/>
            </w:pPr>
            <w:r>
              <w:t xml:space="preserve">ET from a</w:t>
            </w:r>
            <w:r>
              <w:t xml:space="preserve"> </w:t>
            </w:r>
            <w:r>
              <w:rPr>
                <w:bCs/>
                <w:b/>
              </w:rPr>
              <w:t xml:space="preserve">hypothetical reference grass</w:t>
            </w:r>
            <w:r>
              <w:t xml:space="preserve">: height 0.12 m, fixed surface resistance</w:t>
            </w:r>
            <w:r>
              <w:t xml:space="preserve"> </w:t>
            </w:r>
            <w:r>
              <w:rPr>
                <w:bCs/>
                <w:b/>
              </w:rPr>
              <w:t xml:space="preserve">70 s m⁻¹</w:t>
            </w:r>
            <w:r>
              <w:t xml:space="preserve">, albedo</w:t>
            </w:r>
            <w:r>
              <w:t xml:space="preserve"> </w:t>
            </w:r>
            <w:r>
              <w:rPr>
                <w:bCs/>
                <w:b/>
              </w:rPr>
              <w:t xml:space="preserve">0.23</w:t>
            </w:r>
            <w:r>
              <w:t xml:space="preserve">, actively growing, well-watered (FAO-56) — depends only on weather</w:t>
            </w:r>
          </w:p>
        </w:tc>
      </w:tr>
      <w:tr>
        <w:tc>
          <w:tcPr/>
          <w:p>
            <w:pPr>
              <w:pStyle w:val="Compact"/>
              <w:jc w:val="left"/>
            </w:pPr>
            <w:r>
              <w:rPr>
                <w:bCs/>
                <w:b/>
              </w:rPr>
              <w:t xml:space="preserve">Crop ET under standard conditions (ETc)</w:t>
            </w:r>
          </w:p>
        </w:tc>
        <w:tc>
          <w:tcPr/>
          <w:p>
            <w:pPr>
              <w:pStyle w:val="Compact"/>
              <w:jc w:val="left"/>
            </w:pPr>
            <w:r>
              <w:t xml:space="preserve">ET of a disease-free, well-fertilised crop in large fields under optimum soil water:</w:t>
            </w:r>
            <w:r>
              <w:t xml:space="preserve"> </w:t>
            </w:r>
            <m:oMath>
              <m:r>
                <m:t>E</m:t>
              </m:r>
              <m:sSub>
                <m:e>
                  <m:r>
                    <m:t>T</m:t>
                  </m:r>
                </m:e>
                <m:sub>
                  <m:r>
                    <m:t>c</m:t>
                  </m:r>
                </m:sub>
              </m:sSub>
              <m:r>
                <m:rPr>
                  <m:sty m:val="p"/>
                </m:rPr>
                <m:t>=</m:t>
              </m:r>
              <m:sSub>
                <m:e>
                  <m:r>
                    <m:t>K</m:t>
                  </m:r>
                </m:e>
                <m:sub>
                  <m:r>
                    <m:t>c</m:t>
                  </m:r>
                </m:sub>
              </m:sSub>
              <m:r>
                <m:t> </m:t>
              </m:r>
              <m:r>
                <m:t>E</m:t>
              </m:r>
              <m:sSub>
                <m:e>
                  <m:r>
                    <m:t>T</m:t>
                  </m:r>
                </m:e>
                <m:sub>
                  <m:r>
                    <m:t>0</m:t>
                  </m:r>
                </m:sub>
              </m:sSub>
            </m:oMath>
          </w:p>
        </w:tc>
      </w:tr>
      <w:tr>
        <w:tc>
          <w:tcPr/>
          <w:p>
            <w:pPr>
              <w:pStyle w:val="Compact"/>
              <w:jc w:val="left"/>
            </w:pPr>
            <w:r>
              <w:rPr>
                <w:bCs/>
                <w:b/>
              </w:rPr>
              <w:t xml:space="preserve">Actual ET (ETa, ETc adj)</w:t>
            </w:r>
          </w:p>
        </w:tc>
        <w:tc>
          <w:tcPr/>
          <w:p>
            <w:pPr>
              <w:pStyle w:val="Compact"/>
              <w:jc w:val="left"/>
            </w:pPr>
            <w:r>
              <w:t xml:space="preserve">ET under actual (water, salinity, management) conditions:</w:t>
            </w:r>
            <w:r>
              <w:t xml:space="preserve"> </w:t>
            </w:r>
            <m:oMath>
              <m:r>
                <m:t>E</m:t>
              </m:r>
              <m:sSub>
                <m:e>
                  <m:r>
                    <m:t>T</m:t>
                  </m:r>
                </m:e>
                <m:sub>
                  <m:r>
                    <m:t>c</m:t>
                  </m:r>
                  <m:r>
                    <m:rPr>
                      <m:sty m:val="p"/>
                    </m:rPr>
                    <m:t>,</m:t>
                  </m:r>
                  <m:r>
                    <m:t>a</m:t>
                  </m:r>
                  <m:r>
                    <m:t>d</m:t>
                  </m:r>
                  <m:r>
                    <m:t>j</m:t>
                  </m:r>
                </m:sub>
              </m:sSub>
              <m:r>
                <m:rPr>
                  <m:sty m:val="p"/>
                </m:rPr>
                <m:t>=</m:t>
              </m:r>
              <m:sSub>
                <m:e>
                  <m:r>
                    <m:t>K</m:t>
                  </m:r>
                </m:e>
                <m:sub>
                  <m:r>
                    <m:t>s</m:t>
                  </m:r>
                </m:sub>
              </m:sSub>
              <m:sSub>
                <m:e>
                  <m:r>
                    <m:t>K</m:t>
                  </m:r>
                </m:e>
                <m:sub>
                  <m:r>
                    <m:t>c</m:t>
                  </m:r>
                </m:sub>
              </m:sSub>
              <m:r>
                <m:t>E</m:t>
              </m:r>
              <m:sSub>
                <m:e>
                  <m:r>
                    <m:t>T</m:t>
                  </m:r>
                </m:e>
                <m:sub>
                  <m:r>
                    <m:t>0</m:t>
                  </m:r>
                </m:sub>
              </m:sSub>
            </m:oMath>
          </w:p>
        </w:tc>
      </w:tr>
    </w:tbl>
    <w:p>
      <w:pPr>
        <w:pStyle w:val="BodyText"/>
      </w:pPr>
      <w:r>
        <w:rPr>
          <w:bCs/>
          <w:b/>
        </w:rPr>
        <w:t xml:space="preserve">Factors affecting ET:</w:t>
      </w:r>
      <w:r>
        <w:t xml:space="preserve"> </w:t>
      </w:r>
      <w:r>
        <w:t xml:space="preserve">weather (radiation, temperature, humidity/VPD, wind), crop (type, LAI, height, rooting, stomatal behaviour, growth stage), soil (water availability, salinity, texture) and management (spacing, mulches, irrigation method).</w:t>
      </w:r>
    </w:p>
    <w:p>
      <w:pPr>
        <w:pStyle w:val="Heading2"/>
      </w:pPr>
      <w:r>
        <w:t xml:space="preserve">27.2 Crop Coefficient Approach (FAO-56)</w:t>
      </w:r>
    </w:p>
    <w:p>
      <w:pPr>
        <w:pStyle w:val="Heading3"/>
      </w:pPr>
      <w:r>
        <w:t xml:space="preserve">27.2.1 Single crop coefficient</w:t>
      </w:r>
    </w:p>
    <w:p>
      <w:pPr>
        <w:pStyle w:val="FirstParagraph"/>
      </w:pPr>
      <m:oMath>
        <m:sSub>
          <m:e>
            <m:r>
              <m:t>K</m:t>
            </m:r>
          </m:e>
          <m:sub>
            <m:r>
              <m:t>c</m:t>
            </m:r>
          </m:sub>
        </m:sSub>
      </m:oMath>
      <w:r>
        <w:t xml:space="preserve"> </w:t>
      </w:r>
      <w:r>
        <w:t xml:space="preserve">integrates differences in canopy (albedo, height, roughness), stomatal behaviour and soil evaporation between the crop and the reference grass. The</w:t>
      </w:r>
      <w:r>
        <w:t xml:space="preserve"> </w:t>
      </w:r>
      <w:r>
        <w:rPr>
          <w:bCs/>
          <w:b/>
        </w:rPr>
        <w:t xml:space="preserve">Kc curve</w:t>
      </w:r>
      <w:r>
        <w:t xml:space="preserve"> </w:t>
      </w:r>
      <w:r>
        <w:t xml:space="preserve">has four stages: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Kc behaviour</w:t>
            </w:r>
          </w:p>
        </w:tc>
        <w:tc>
          <w:tcPr/>
          <w:p>
            <w:pPr>
              <w:pStyle w:val="Compact"/>
              <w:jc w:val="left"/>
            </w:pPr>
            <w:r>
              <w:t xml:space="preserve">Typical values</w:t>
            </w:r>
          </w:p>
        </w:tc>
      </w:tr>
      <w:tr>
        <w:tc>
          <w:tcPr/>
          <w:p>
            <w:pPr>
              <w:pStyle w:val="Compact"/>
              <w:jc w:val="left"/>
            </w:pPr>
            <w:r>
              <w:t xml:space="preserve">Initial (sowing to ~10% cover)</w:t>
            </w:r>
          </w:p>
        </w:tc>
        <w:tc>
          <w:tcPr/>
          <w:p>
            <w:pPr>
              <w:pStyle w:val="Compact"/>
              <w:jc w:val="left"/>
            </w:pPr>
            <m:oMath>
              <m:sSub>
                <m:e>
                  <m:r>
                    <m:t>K</m:t>
                  </m:r>
                </m:e>
                <m:sub>
                  <m:r>
                    <m:t>c</m:t>
                  </m:r>
                  <m:r>
                    <m:rPr>
                      <m:sty m:val="p"/>
                    </m:rPr>
                    <m:t>,</m:t>
                  </m:r>
                  <m:r>
                    <m:t>i</m:t>
                  </m:r>
                  <m:r>
                    <m:t>n</m:t>
                  </m:r>
                  <m:r>
                    <m:t>i</m:t>
                  </m:r>
                </m:sub>
              </m:sSub>
            </m:oMath>
            <w:r>
              <w:t xml:space="preserve"> </w:t>
            </w:r>
            <w:r>
              <w:t xml:space="preserve">low, depends on wetting frequency</w:t>
            </w:r>
          </w:p>
        </w:tc>
        <w:tc>
          <w:tcPr/>
          <w:p>
            <w:pPr>
              <w:pStyle w:val="Compact"/>
              <w:jc w:val="left"/>
            </w:pPr>
            <w:r>
              <w:t xml:space="preserve">0.3–0.5 (up to 1.0 for frequent wetting)</w:t>
            </w:r>
          </w:p>
        </w:tc>
      </w:tr>
      <w:tr>
        <w:tc>
          <w:tcPr/>
          <w:p>
            <w:pPr>
              <w:pStyle w:val="Compact"/>
              <w:jc w:val="left"/>
            </w:pPr>
            <w:r>
              <w:t xml:space="preserve">Crop development (10% to effective full cover)</w:t>
            </w:r>
          </w:p>
        </w:tc>
        <w:tc>
          <w:tcPr/>
          <w:p>
            <w:pPr>
              <w:pStyle w:val="Compact"/>
              <w:jc w:val="left"/>
            </w:pPr>
            <w:r>
              <w:t xml:space="preserve">Rises linearly</w:t>
            </w:r>
          </w:p>
        </w:tc>
        <w:tc>
          <w:tcPr/>
          <w:p>
            <w:pPr>
              <w:pStyle w:val="Compact"/>
              <w:jc w:val="left"/>
            </w:pPr>
            <w:r>
              <w:t xml:space="preserve">—</w:t>
            </w:r>
          </w:p>
        </w:tc>
      </w:tr>
      <w:tr>
        <w:tc>
          <w:tcPr/>
          <w:p>
            <w:pPr>
              <w:pStyle w:val="Compact"/>
              <w:jc w:val="left"/>
            </w:pPr>
            <w:r>
              <w:t xml:space="preserve">Mid-season (full cover to start of maturity)</w:t>
            </w:r>
          </w:p>
        </w:tc>
        <w:tc>
          <w:tcPr/>
          <w:p>
            <w:pPr>
              <w:pStyle w:val="Compact"/>
              <w:jc w:val="left"/>
            </w:pPr>
            <m:oMath>
              <m:sSub>
                <m:e>
                  <m:r>
                    <m:t>K</m:t>
                  </m:r>
                </m:e>
                <m:sub>
                  <m:r>
                    <m:t>c</m:t>
                  </m:r>
                  <m:r>
                    <m:rPr>
                      <m:sty m:val="p"/>
                    </m:rPr>
                    <m:t>,</m:t>
                  </m:r>
                  <m:r>
                    <m:t>m</m:t>
                  </m:r>
                  <m:r>
                    <m:t>i</m:t>
                  </m:r>
                  <m:r>
                    <m:t>d</m:t>
                  </m:r>
                </m:sub>
              </m:sSub>
            </m:oMath>
            <w:r>
              <w:t xml:space="preserve"> </w:t>
            </w:r>
            <w:r>
              <w:t xml:space="preserve">maximum</w:t>
            </w:r>
          </w:p>
        </w:tc>
        <w:tc>
          <w:tcPr/>
          <w:p>
            <w:pPr>
              <w:pStyle w:val="Compact"/>
              <w:jc w:val="left"/>
            </w:pPr>
            <w:r>
              <w:t xml:space="preserve">Wheat 1.15, rice 1.20, maize 1.20, sugarcane 1.25, cotton 1.15–1.20, groundnut 1.15</w:t>
            </w:r>
          </w:p>
        </w:tc>
      </w:tr>
      <w:tr>
        <w:tc>
          <w:tcPr/>
          <w:p>
            <w:pPr>
              <w:pStyle w:val="Compact"/>
              <w:jc w:val="left"/>
            </w:pPr>
            <w:r>
              <w:t xml:space="preserve">Late season (maturity to harvest)</w:t>
            </w:r>
          </w:p>
        </w:tc>
        <w:tc>
          <w:tcPr/>
          <w:p>
            <w:pPr>
              <w:pStyle w:val="Compact"/>
              <w:jc w:val="left"/>
            </w:pPr>
            <w:r>
              <w:t xml:space="preserve">Declines to</w:t>
            </w:r>
            <w:r>
              <w:t xml:space="preserve"> </w:t>
            </w:r>
            <m:oMath>
              <m:sSub>
                <m:e>
                  <m:r>
                    <m:t>K</m:t>
                  </m:r>
                </m:e>
                <m:sub>
                  <m:r>
                    <m:t>c</m:t>
                  </m:r>
                  <m:r>
                    <m:rPr>
                      <m:sty m:val="p"/>
                    </m:rPr>
                    <m:t>,</m:t>
                  </m:r>
                  <m:r>
                    <m:t>e</m:t>
                  </m:r>
                  <m:r>
                    <m:t>n</m:t>
                  </m:r>
                  <m:r>
                    <m:t>d</m:t>
                  </m:r>
                </m:sub>
              </m:sSub>
            </m:oMath>
          </w:p>
        </w:tc>
        <w:tc>
          <w:tcPr/>
          <w:p>
            <w:pPr>
              <w:pStyle w:val="Compact"/>
              <w:jc w:val="left"/>
            </w:pPr>
            <w:r>
              <w:t xml:space="preserve">0.25–0.6 for dry harvest; 0.9–1.0 for fresh harvest/rice</w:t>
            </w:r>
          </w:p>
        </w:tc>
      </w:tr>
    </w:tbl>
    <w:p>
      <w:pPr>
        <w:pStyle w:val="BodyText"/>
      </w:pPr>
      <m:oMath>
        <m:sSub>
          <m:e>
            <m:r>
              <m:t>K</m:t>
            </m:r>
          </m:e>
          <m:sub>
            <m:r>
              <m:t>c</m:t>
            </m:r>
            <m:r>
              <m:rPr>
                <m:sty m:val="p"/>
              </m:rPr>
              <m:t>,</m:t>
            </m:r>
            <m:r>
              <m:t>m</m:t>
            </m:r>
            <m:r>
              <m:t>i</m:t>
            </m:r>
            <m:r>
              <m:t>d</m:t>
            </m:r>
          </m:sub>
        </m:sSub>
      </m:oMath>
      <w:r>
        <w:t xml:space="preserve"> </w:t>
      </w:r>
      <w:r>
        <w:t xml:space="preserve">is adjusted for climate:</w:t>
      </w:r>
      <w:r>
        <w:t xml:space="preserve"> </w:t>
      </w:r>
      <m:oMath>
        <m:sSub>
          <m:e>
            <m:r>
              <m:t>K</m:t>
            </m:r>
          </m:e>
          <m:sub>
            <m:r>
              <m:t>c</m:t>
            </m:r>
            <m:r>
              <m:rPr>
                <m:sty m:val="p"/>
              </m:rPr>
              <m:t>,</m:t>
            </m:r>
            <m:r>
              <m:t>m</m:t>
            </m:r>
            <m:r>
              <m:t>i</m:t>
            </m:r>
            <m:r>
              <m:t>d</m:t>
            </m:r>
          </m:sub>
        </m:sSub>
        <m:r>
          <m:rPr>
            <m:sty m:val="p"/>
          </m:rPr>
          <m:t>=</m:t>
        </m:r>
        <m:sSub>
          <m:e>
            <m:r>
              <m:t>K</m:t>
            </m:r>
          </m:e>
          <m:sub>
            <m:r>
              <m:t>c</m:t>
            </m:r>
            <m:r>
              <m:rPr>
                <m:sty m:val="p"/>
              </m:rPr>
              <m:t>,</m:t>
            </m:r>
            <m:r>
              <m:t>m</m:t>
            </m:r>
            <m:r>
              <m:t>i</m:t>
            </m:r>
            <m:r>
              <m:t>d</m:t>
            </m:r>
            <m:d>
              <m:dPr>
                <m:begChr m:val="("/>
                <m:endChr m:val=")"/>
                <m:sepChr m:val=""/>
                <m:grow/>
              </m:dPr>
              <m:e>
                <m:r>
                  <m:t>t</m:t>
                </m:r>
                <m:r>
                  <m:t>a</m:t>
                </m:r>
                <m:r>
                  <m:t>b</m:t>
                </m:r>
              </m:e>
            </m:d>
          </m:sub>
        </m:sSub>
        <m:r>
          <m:rPr>
            <m:sty m:val="p"/>
          </m:rPr>
          <m:t>+</m:t>
        </m:r>
        <m:d>
          <m:dPr>
            <m:begChr m:val="["/>
            <m:endChr m:val="]"/>
            <m:sepChr m:val=""/>
            <m:grow/>
          </m:dPr>
          <m:e>
            <m:r>
              <m:t>0.04</m:t>
            </m:r>
            <m:d>
              <m:dPr>
                <m:begChr m:val="("/>
                <m:endChr m:val=")"/>
                <m:sepChr m:val=""/>
                <m:grow/>
              </m:dPr>
              <m:e>
                <m:sSub>
                  <m:e>
                    <m:r>
                      <m:t>u</m:t>
                    </m:r>
                  </m:e>
                  <m:sub>
                    <m:r>
                      <m:t>2</m:t>
                    </m:r>
                  </m:sub>
                </m:sSub>
                <m:r>
                  <m:rPr>
                    <m:sty m:val="p"/>
                  </m:rPr>
                  <m:t>−</m:t>
                </m:r>
                <m:r>
                  <m:t>2</m:t>
                </m:r>
              </m:e>
            </m:d>
            <m:r>
              <m:rPr>
                <m:sty m:val="p"/>
              </m:rPr>
              <m:t>−</m:t>
            </m:r>
            <m:r>
              <m:t>0.004</m:t>
            </m:r>
            <m:d>
              <m:dPr>
                <m:begChr m:val="("/>
                <m:endChr m:val=")"/>
                <m:sepChr m:val=""/>
                <m:grow/>
              </m:dPr>
              <m:e>
                <m:r>
                  <m:t>R</m:t>
                </m:r>
                <m:sSub>
                  <m:e>
                    <m:r>
                      <m:t>H</m:t>
                    </m:r>
                  </m:e>
                  <m:sub>
                    <m:r>
                      <m:t>m</m:t>
                    </m:r>
                    <m:r>
                      <m:t>i</m:t>
                    </m:r>
                    <m:r>
                      <m:t>n</m:t>
                    </m:r>
                  </m:sub>
                </m:sSub>
                <m:r>
                  <m:rPr>
                    <m:sty m:val="p"/>
                  </m:rPr>
                  <m:t>−</m:t>
                </m:r>
                <m:r>
                  <m:t>45</m:t>
                </m:r>
              </m:e>
            </m:d>
          </m:e>
        </m:d>
        <m:sSup>
          <m:e>
            <m:d>
              <m:dPr>
                <m:begChr m:val="("/>
                <m:endChr m:val=")"/>
                <m:sepChr m:val=""/>
                <m:grow/>
              </m:dPr>
              <m:e>
                <m:r>
                  <m:t>h</m:t>
                </m:r>
                <m:r>
                  <m:rPr>
                    <m:sty m:val="p"/>
                  </m:rPr>
                  <m:t>/</m:t>
                </m:r>
                <m:r>
                  <m:t>3</m:t>
                </m:r>
              </m:e>
            </m:d>
          </m:e>
          <m:sup>
            <m:r>
              <m:t>0.3</m:t>
            </m:r>
          </m:sup>
        </m:sSup>
      </m:oMath>
      <w:r>
        <w:t xml:space="preserve">.</w:t>
      </w:r>
    </w:p>
    <w:p>
      <w:pPr>
        <w:pStyle w:val="Heading3"/>
      </w:pPr>
      <w:r>
        <w:t xml:space="preserve">27.2.2 Dual crop coefficient</w:t>
      </w:r>
    </w:p>
    <w:p>
      <w:pPr>
        <w:pStyle w:val="FirstParagraph"/>
      </w:pPr>
      <m:oMathPara>
        <m:oMathParaPr>
          <m:jc m:val="center"/>
        </m:oMathParaPr>
        <m:oMath>
          <m:r>
            <m:t>E</m:t>
          </m:r>
          <m:sSub>
            <m:e>
              <m:r>
                <m:t>T</m:t>
              </m:r>
            </m:e>
            <m:sub>
              <m:r>
                <m:t>c</m:t>
              </m:r>
            </m:sub>
          </m:sSub>
          <m:r>
            <m:rPr>
              <m:sty m:val="p"/>
            </m:rPr>
            <m:t>=</m:t>
          </m:r>
          <m:d>
            <m:dPr>
              <m:begChr m:val="("/>
              <m:endChr m:val=")"/>
              <m:sepChr m:val=""/>
              <m:grow/>
            </m:dPr>
            <m:e>
              <m:sSub>
                <m:e>
                  <m:r>
                    <m:t>K</m:t>
                  </m:r>
                </m:e>
                <m:sub>
                  <m:r>
                    <m:t>c</m:t>
                  </m:r>
                  <m:r>
                    <m:t>b</m:t>
                  </m:r>
                </m:sub>
              </m:sSub>
              <m:r>
                <m:rPr>
                  <m:sty m:val="p"/>
                </m:rPr>
                <m:t>+</m:t>
              </m:r>
              <m:sSub>
                <m:e>
                  <m:r>
                    <m:t>K</m:t>
                  </m:r>
                </m:e>
                <m:sub>
                  <m:r>
                    <m:t>e</m:t>
                  </m:r>
                </m:sub>
              </m:sSub>
            </m:e>
          </m:d>
          <m:r>
            <m:t> </m:t>
          </m:r>
          <m:r>
            <m:t>E</m:t>
          </m:r>
          <m:sSub>
            <m:e>
              <m:r>
                <m:t>T</m:t>
              </m:r>
            </m:e>
            <m:sub>
              <m:r>
                <m:t>0</m:t>
              </m:r>
            </m:sub>
          </m:sSub>
        </m:oMath>
      </m:oMathPara>
    </w:p>
    <w:p>
      <w:pPr>
        <w:pStyle w:val="FirstParagraph"/>
      </w:pPr>
      <m:oMath>
        <m:sSub>
          <m:e>
            <m:r>
              <m:t>K</m:t>
            </m:r>
          </m:e>
          <m:sub>
            <m:r>
              <m:t>c</m:t>
            </m:r>
            <m:r>
              <m:t>b</m:t>
            </m:r>
          </m:sub>
        </m:sSub>
      </m:oMath>
      <w:r>
        <w:t xml:space="preserve"> </w:t>
      </w:r>
      <w:r>
        <w:t xml:space="preserve">= basal crop coefficient (transpiration);</w:t>
      </w:r>
      <w:r>
        <w:t xml:space="preserve"> </w:t>
      </w:r>
      <m:oMath>
        <m:sSub>
          <m:e>
            <m:r>
              <m:t>K</m:t>
            </m:r>
          </m:e>
          <m:sub>
            <m:r>
              <m:t>e</m:t>
            </m:r>
          </m:sub>
        </m:sSub>
      </m:oMath>
      <w:r>
        <w:t xml:space="preserve"> </w:t>
      </w:r>
      <w:r>
        <w:t xml:space="preserve">= soil evaporation coefficient (high after wetting, low under full cover). Better for daily water balance and drip/partial wetting.</w:t>
      </w:r>
    </w:p>
    <w:p>
      <w:pPr>
        <w:pStyle w:val="BodyText"/>
      </w:pPr>
      <w:r>
        <w:rPr>
          <w:bCs/>
          <w:b/>
        </w:rPr>
        <w:t xml:space="preserve">Water stress coefficient</w:t>
      </w:r>
      <w:r>
        <w:t xml:space="preserve"> </w:t>
      </w:r>
      <m:oMath>
        <m:sSub>
          <m:e>
            <m:r>
              <m:t>K</m:t>
            </m:r>
          </m:e>
          <m:sub>
            <m:r>
              <m:t>s</m:t>
            </m:r>
          </m:sub>
        </m:sSub>
        <m:r>
          <m:rPr>
            <m:sty m:val="p"/>
          </m:rPr>
          <m:t>=</m:t>
        </m:r>
        <m:f>
          <m:fPr>
            <m:type m:val="bar"/>
          </m:fPr>
          <m:num>
            <m:r>
              <m:t>T</m:t>
            </m:r>
            <m:r>
              <m:t>A</m:t>
            </m:r>
            <m:r>
              <m:t>W</m:t>
            </m:r>
            <m:r>
              <m:rPr>
                <m:sty m:val="p"/>
              </m:rPr>
              <m:t>−</m:t>
            </m:r>
            <m:sSub>
              <m:e>
                <m:r>
                  <m:t>D</m:t>
                </m:r>
              </m:e>
              <m:sub>
                <m:r>
                  <m:t>r</m:t>
                </m:r>
              </m:sub>
            </m:sSub>
          </m:num>
          <m:den>
            <m:d>
              <m:dPr>
                <m:begChr m:val="("/>
                <m:endChr m:val=")"/>
                <m:sepChr m:val=""/>
                <m:grow/>
              </m:dPr>
              <m:e>
                <m:r>
                  <m:t>1</m:t>
                </m:r>
                <m:r>
                  <m:rPr>
                    <m:sty m:val="p"/>
                  </m:rPr>
                  <m:t>−</m:t>
                </m:r>
                <m:r>
                  <m:t>p</m:t>
                </m:r>
              </m:e>
            </m:d>
            <m:r>
              <m:t> </m:t>
            </m:r>
            <m:r>
              <m:t>T</m:t>
            </m:r>
            <m:r>
              <m:t>A</m:t>
            </m:r>
            <m:r>
              <m:t>W</m:t>
            </m:r>
          </m:den>
        </m:f>
      </m:oMath>
      <w:r>
        <w:t xml:space="preserve"> </w:t>
      </w:r>
      <w:r>
        <w:t xml:space="preserve">when depletion</w:t>
      </w:r>
      <w:r>
        <w:t xml:space="preserve"> </w:t>
      </w:r>
      <m:oMath>
        <m:sSub>
          <m:e>
            <m:r>
              <m:t>D</m:t>
            </m:r>
          </m:e>
          <m:sub>
            <m:r>
              <m:t>r</m:t>
            </m:r>
          </m:sub>
        </m:sSub>
      </m:oMath>
      <w:r>
        <w:t xml:space="preserve"> </w:t>
      </w:r>
      <w:r>
        <w:t xml:space="preserve">exceeds RAW (= p·TAW).</w:t>
      </w:r>
    </w:p>
    <w:p>
      <w:pPr>
        <w:pStyle w:val="BodyText"/>
      </w:pPr>
      <w:r>
        <w:rPr>
          <w:bCs/>
          <w:b/>
        </w:rPr>
        <w:t xml:space="preserve">Remote-sensing Kc:</w:t>
      </w:r>
      <w:r>
        <w:t xml:space="preserve"> </w:t>
      </w:r>
      <w:r>
        <w:t xml:space="preserve">Kc (or Kcb) is strongly related to NDVI/SAVI and fractional cover, e.g. </w:t>
      </w:r>
      <m:oMath>
        <m:sSub>
          <m:e>
            <m:r>
              <m:t>K</m:t>
            </m:r>
          </m:e>
          <m:sub>
            <m:r>
              <m:t>c</m:t>
            </m:r>
            <m:r>
              <m:t>b</m:t>
            </m:r>
          </m:sub>
        </m:sSub>
        <m:r>
          <m:rPr>
            <m:sty m:val="p"/>
          </m:rPr>
          <m:t>≈</m:t>
        </m:r>
        <m:r>
          <m:t>1.07</m:t>
        </m:r>
        <m:r>
          <m:t> </m:t>
        </m:r>
        <m:r>
          <m:t>N</m:t>
        </m:r>
        <m:r>
          <m:t>D</m:t>
        </m:r>
        <m:r>
          <m:t>V</m:t>
        </m:r>
        <m:r>
          <m:t>I</m:t>
        </m:r>
        <m:r>
          <m:rPr>
            <m:sty m:val="p"/>
          </m:rPr>
          <m:t>+</m:t>
        </m:r>
        <m:r>
          <m:rPr>
            <m:sty m:val="p"/>
          </m:rPr>
          <m:t>…</m:t>
        </m:r>
      </m:oMath>
      <w:r>
        <w:t xml:space="preserve"> </w:t>
      </w:r>
      <w:r>
        <w:t xml:space="preserve">or</w:t>
      </w:r>
      <w:r>
        <w:t xml:space="preserve"> </w:t>
      </w:r>
      <m:oMath>
        <m:sSub>
          <m:e>
            <m:r>
              <m:t>K</m:t>
            </m:r>
          </m:e>
          <m:sub>
            <m:r>
              <m:t>c</m:t>
            </m:r>
            <m:r>
              <m:t>b</m:t>
            </m:r>
          </m:sub>
        </m:sSub>
        <m:r>
          <m:rPr>
            <m:sty m:val="p"/>
          </m:rPr>
          <m:t>=</m:t>
        </m:r>
        <m:r>
          <m:t>1.36</m:t>
        </m:r>
        <m:r>
          <m:t> </m:t>
        </m:r>
        <m:r>
          <m:t>S</m:t>
        </m:r>
        <m:r>
          <m:t>A</m:t>
        </m:r>
        <m:r>
          <m:t>V</m:t>
        </m:r>
        <m:r>
          <m:t>I</m:t>
        </m:r>
        <m:r>
          <m:rPr>
            <m:sty m:val="p"/>
          </m:rPr>
          <m:t>−</m:t>
        </m:r>
        <m:r>
          <m:t>0.06</m:t>
        </m:r>
      </m:oMath>
      <w:r>
        <w:t xml:space="preserve"> </w:t>
      </w:r>
      <w:r>
        <w:t xml:space="preserve">— used for satellite-based irrigation scheduling and command-area water accounting.</w:t>
      </w:r>
    </w:p>
    <w:p>
      <w:pPr>
        <w:pStyle w:val="Heading2"/>
      </w:pPr>
      <w:r>
        <w:t xml:space="preserve">27.3 Methods of Estimating Reference / Potential ET</w:t>
      </w:r>
    </w:p>
    <w:p>
      <w:pPr>
        <w:pStyle w:val="FirstParagraph"/>
      </w:pPr>
      <w:r>
        <w:t xml:space="preserve">The FAO-56 Penman–Monteith equation and its worked example are given in the following sections. Other methods for data-scarce situations: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Equation</w:t>
            </w:r>
          </w:p>
        </w:tc>
        <w:tc>
          <w:tcPr/>
          <w:p>
            <w:pPr>
              <w:pStyle w:val="Compact"/>
              <w:jc w:val="left"/>
            </w:pPr>
            <w:r>
              <w:t xml:space="preserve">Data</w:t>
            </w:r>
          </w:p>
        </w:tc>
        <w:tc>
          <w:tcPr/>
          <w:p>
            <w:pPr>
              <w:pStyle w:val="Compact"/>
              <w:jc w:val="left"/>
            </w:pPr>
            <w:r>
              <w:t xml:space="preserve">Remarks</w:t>
            </w:r>
          </w:p>
        </w:tc>
      </w:tr>
      <w:tr>
        <w:tc>
          <w:tcPr/>
          <w:p>
            <w:pPr>
              <w:pStyle w:val="Compact"/>
              <w:jc w:val="left"/>
            </w:pPr>
            <w:r>
              <w:rPr>
                <w:bCs/>
                <w:b/>
              </w:rPr>
              <w:t xml:space="preserve">Thornthwaite (1948)</w:t>
            </w:r>
          </w:p>
        </w:tc>
        <w:tc>
          <w:tcPr/>
          <w:p>
            <w:pPr>
              <w:pStyle w:val="Compact"/>
              <w:jc w:val="left"/>
            </w:pPr>
            <m:oMath>
              <m:r>
                <m:t>P</m:t>
              </m:r>
              <m:r>
                <m:t>E</m:t>
              </m:r>
              <m:r>
                <m:t>T</m:t>
              </m:r>
              <m:r>
                <m:rPr>
                  <m:sty m:val="p"/>
                </m:rPr>
                <m:t>=</m:t>
              </m:r>
              <m:r>
                <m:t>16</m:t>
              </m:r>
              <m:r>
                <m:t> </m:t>
              </m:r>
              <m:sSup>
                <m:e>
                  <m:d>
                    <m:dPr>
                      <m:begChr m:val="("/>
                      <m:endChr m:val=")"/>
                      <m:sepChr m:val=""/>
                      <m:grow/>
                    </m:dPr>
                    <m:e>
                      <m:r>
                        <m:t>10</m:t>
                      </m:r>
                      <m:r>
                        <m:t>T</m:t>
                      </m:r>
                      <m:r>
                        <m:rPr>
                          <m:sty m:val="p"/>
                        </m:rPr>
                        <m:t>/</m:t>
                      </m:r>
                      <m:r>
                        <m:t>I</m:t>
                      </m:r>
                    </m:e>
                  </m:d>
                </m:e>
                <m:sup>
                  <m:r>
                    <m:t>a</m:t>
                  </m:r>
                </m:sup>
              </m:sSup>
            </m:oMath>
            <w:r>
              <w:t xml:space="preserve"> </w:t>
            </w:r>
            <w:r>
              <w:t xml:space="preserve">mm month⁻¹ (day-length adjusted)</w:t>
            </w:r>
          </w:p>
        </w:tc>
        <w:tc>
          <w:tcPr/>
          <w:p>
            <w:pPr>
              <w:pStyle w:val="Compact"/>
              <w:jc w:val="left"/>
            </w:pPr>
            <w:r>
              <w:t xml:space="preserve">Mean temperature</w:t>
            </w:r>
          </w:p>
        </w:tc>
        <w:tc>
          <w:tcPr/>
          <w:p>
            <w:pPr>
              <w:pStyle w:val="Compact"/>
              <w:jc w:val="left"/>
            </w:pPr>
            <w:r>
              <w:t xml:space="preserve">Underestimates in arid, windy climates; used for climate classification</w:t>
            </w:r>
          </w:p>
        </w:tc>
      </w:tr>
      <w:tr>
        <w:tc>
          <w:tcPr/>
          <w:p>
            <w:pPr>
              <w:pStyle w:val="Compact"/>
              <w:jc w:val="left"/>
            </w:pPr>
            <w:r>
              <w:rPr>
                <w:bCs/>
                <w:b/>
              </w:rPr>
              <w:t xml:space="preserve">Blaney–Criddle</w:t>
            </w:r>
          </w:p>
        </w:tc>
        <w:tc>
          <w:tcPr/>
          <w:p>
            <w:pPr>
              <w:pStyle w:val="Compact"/>
              <w:jc w:val="left"/>
            </w:pPr>
            <m:oMath>
              <m:r>
                <m:t>E</m:t>
              </m:r>
              <m:sSub>
                <m:e>
                  <m:r>
                    <m:t>T</m:t>
                  </m:r>
                </m:e>
                <m:sub>
                  <m:r>
                    <m:t>0</m:t>
                  </m:r>
                </m:sub>
              </m:sSub>
              <m:r>
                <m:rPr>
                  <m:sty m:val="p"/>
                </m:rPr>
                <m:t>=</m:t>
              </m:r>
              <m:r>
                <m:t>p</m:t>
              </m:r>
              <m:r>
                <m:t> </m:t>
              </m:r>
              <m:d>
                <m:dPr>
                  <m:begChr m:val="("/>
                  <m:endChr m:val=")"/>
                  <m:sepChr m:val=""/>
                  <m:grow/>
                </m:dPr>
                <m:e>
                  <m:r>
                    <m:t>0.46</m:t>
                  </m:r>
                  <m:r>
                    <m:t>T</m:t>
                  </m:r>
                  <m:r>
                    <m:rPr>
                      <m:sty m:val="p"/>
                    </m:rPr>
                    <m:t>+</m:t>
                  </m:r>
                  <m:r>
                    <m:t>8.13</m:t>
                  </m:r>
                </m:e>
              </m:d>
            </m:oMath>
            <w:r>
              <w:t xml:space="preserve"> </w:t>
            </w:r>
            <w:r>
              <w:t xml:space="preserve">(p = % of annual daytime hours)</w:t>
            </w:r>
          </w:p>
        </w:tc>
        <w:tc>
          <w:tcPr/>
          <w:p>
            <w:pPr>
              <w:pStyle w:val="Compact"/>
              <w:jc w:val="left"/>
            </w:pPr>
            <w:r>
              <w:t xml:space="preserve">T, day length</w:t>
            </w:r>
          </w:p>
        </w:tc>
        <w:tc>
          <w:tcPr/>
          <w:p>
            <w:pPr>
              <w:pStyle w:val="Compact"/>
              <w:jc w:val="left"/>
            </w:pPr>
            <w:r>
              <w:t xml:space="preserve">Irrigation planning in the western US/India historically</w:t>
            </w:r>
          </w:p>
        </w:tc>
      </w:tr>
      <w:tr>
        <w:tc>
          <w:tcPr/>
          <w:p>
            <w:pPr>
              <w:pStyle w:val="Compact"/>
              <w:jc w:val="left"/>
            </w:pPr>
            <w:r>
              <w:rPr>
                <w:bCs/>
                <w:b/>
              </w:rPr>
              <w:t xml:space="preserve">Hargreaves–Samani (1985)</w:t>
            </w:r>
          </w:p>
        </w:tc>
        <w:tc>
          <w:tcPr/>
          <w:p>
            <w:pPr>
              <w:pStyle w:val="Compact"/>
              <w:jc w:val="left"/>
            </w:pPr>
            <m:oMath>
              <m:r>
                <m:t>E</m:t>
              </m:r>
              <m:sSub>
                <m:e>
                  <m:r>
                    <m:t>T</m:t>
                  </m:r>
                </m:e>
                <m:sub>
                  <m:r>
                    <m:t>0</m:t>
                  </m:r>
                </m:sub>
              </m:sSub>
              <m:r>
                <m:rPr>
                  <m:sty m:val="p"/>
                </m:rPr>
                <m:t>=</m:t>
              </m:r>
              <m:r>
                <m:t>0.0023</m:t>
              </m:r>
              <m:r>
                <m:t> </m:t>
              </m:r>
              <m:sSub>
                <m:e>
                  <m:r>
                    <m:t>R</m:t>
                  </m:r>
                </m:e>
                <m:sub>
                  <m:r>
                    <m:t>a</m:t>
                  </m:r>
                </m:sub>
              </m:sSub>
              <m:r>
                <m:t> </m:t>
              </m:r>
              <m:d>
                <m:dPr>
                  <m:begChr m:val="("/>
                  <m:endChr m:val=")"/>
                  <m:sepChr m:val=""/>
                  <m:grow/>
                </m:dPr>
                <m:e>
                  <m:sSub>
                    <m:e>
                      <m:r>
                        <m:t>T</m:t>
                      </m:r>
                    </m:e>
                    <m:sub>
                      <m:r>
                        <m:t>m</m:t>
                      </m:r>
                      <m:r>
                        <m:t>e</m:t>
                      </m:r>
                      <m:r>
                        <m:t>a</m:t>
                      </m:r>
                      <m:r>
                        <m:t>n</m:t>
                      </m:r>
                    </m:sub>
                  </m:sSub>
                  <m:r>
                    <m:rPr>
                      <m:sty m:val="p"/>
                    </m:rPr>
                    <m:t>+</m:t>
                  </m:r>
                  <m:r>
                    <m:t>17.8</m:t>
                  </m:r>
                </m:e>
              </m:d>
              <m:rad>
                <m:radPr>
                  <m:degHide m:val="on"/>
                </m:radPr>
                <m:deg/>
                <m:e>
                  <m:sSub>
                    <m:e>
                      <m:r>
                        <m:t>T</m:t>
                      </m:r>
                    </m:e>
                    <m:sub>
                      <m:r>
                        <m:t>m</m:t>
                      </m:r>
                      <m:r>
                        <m:t>a</m:t>
                      </m:r>
                      <m:r>
                        <m:t>x</m:t>
                      </m:r>
                    </m:sub>
                  </m:sSub>
                  <m:r>
                    <m:rPr>
                      <m:sty m:val="p"/>
                    </m:rPr>
                    <m:t>−</m:t>
                  </m:r>
                  <m:sSub>
                    <m:e>
                      <m:r>
                        <m:t>T</m:t>
                      </m:r>
                    </m:e>
                    <m:sub>
                      <m:r>
                        <m:t>m</m:t>
                      </m:r>
                      <m:r>
                        <m:t>i</m:t>
                      </m:r>
                      <m:r>
                        <m:t>n</m:t>
                      </m:r>
                    </m:sub>
                  </m:sSub>
                </m:e>
              </m:rad>
            </m:oMath>
          </w:p>
        </w:tc>
        <w:tc>
          <w:tcPr/>
          <w:p>
            <w:pPr>
              <w:pStyle w:val="Compact"/>
              <w:jc w:val="left"/>
            </w:pPr>
            <w:r>
              <w:t xml:space="preserve">Tmax, Tmin, Ra</w:t>
            </w:r>
          </w:p>
        </w:tc>
        <w:tc>
          <w:tcPr/>
          <w:p>
            <w:pPr>
              <w:pStyle w:val="Compact"/>
              <w:jc w:val="left"/>
            </w:pPr>
            <w:r>
              <w:t xml:space="preserve">Recommended by FAO when only temperature is available</w:t>
            </w:r>
          </w:p>
        </w:tc>
      </w:tr>
      <w:tr>
        <w:tc>
          <w:tcPr/>
          <w:p>
            <w:pPr>
              <w:pStyle w:val="Compact"/>
              <w:jc w:val="left"/>
            </w:pPr>
            <w:r>
              <w:rPr>
                <w:bCs/>
                <w:b/>
              </w:rPr>
              <w:t xml:space="preserve">Priestley–Taylor (1972)</w:t>
            </w:r>
          </w:p>
        </w:tc>
        <w:tc>
          <w:tcPr/>
          <w:p>
            <w:pPr>
              <w:pStyle w:val="Compact"/>
              <w:jc w:val="left"/>
            </w:pPr>
            <m:oMath>
              <m:r>
                <m:t>λ</m:t>
              </m:r>
              <m:r>
                <m:t>E</m:t>
              </m:r>
              <m:r>
                <m:t>T</m:t>
              </m:r>
              <m:r>
                <m:rPr>
                  <m:sty m:val="p"/>
                </m:rPr>
                <m:t>=</m:t>
              </m:r>
              <m:r>
                <m:t>α</m:t>
              </m:r>
              <m:r>
                <m:t> </m:t>
              </m:r>
              <m:f>
                <m:fPr>
                  <m:type m:val="bar"/>
                </m:fPr>
                <m:num>
                  <m:r>
                    <m:t>Δ</m:t>
                  </m:r>
                </m:num>
                <m:den>
                  <m:r>
                    <m:t>Δ</m:t>
                  </m:r>
                  <m:r>
                    <m:rPr>
                      <m:sty m:val="p"/>
                    </m:rPr>
                    <m:t>+</m:t>
                  </m:r>
                  <m:r>
                    <m:t>γ</m:t>
                  </m:r>
                </m:den>
              </m:f>
              <m:d>
                <m:dPr>
                  <m:begChr m:val="("/>
                  <m:endChr m:val=")"/>
                  <m:sepChr m:val=""/>
                  <m:grow/>
                </m:dPr>
                <m:e>
                  <m:sSub>
                    <m:e>
                      <m:r>
                        <m:t>R</m:t>
                      </m:r>
                    </m:e>
                    <m:sub>
                      <m:r>
                        <m:t>n</m:t>
                      </m:r>
                    </m:sub>
                  </m:sSub>
                  <m:r>
                    <m:rPr>
                      <m:sty m:val="p"/>
                    </m:rPr>
                    <m:t>−</m:t>
                  </m:r>
                  <m:r>
                    <m:t>G</m:t>
                  </m:r>
                </m:e>
              </m:d>
            </m:oMath>
            <w:r>
              <w:t xml:space="preserve">, α = 1.26</w:t>
            </w:r>
          </w:p>
        </w:tc>
        <w:tc>
          <w:tcPr/>
          <w:p>
            <w:pPr>
              <w:pStyle w:val="Compact"/>
              <w:jc w:val="left"/>
            </w:pPr>
            <w:r>
              <w:t xml:space="preserve">Rn, T</w:t>
            </w:r>
          </w:p>
        </w:tc>
        <w:tc>
          <w:tcPr/>
          <w:p>
            <w:pPr>
              <w:pStyle w:val="Compact"/>
              <w:jc w:val="left"/>
            </w:pPr>
            <w:r>
              <w:t xml:space="preserve">Humid, minimally advective conditions; basis of PT-JPL satellite ET</w:t>
            </w:r>
          </w:p>
        </w:tc>
      </w:tr>
      <w:tr>
        <w:tc>
          <w:tcPr/>
          <w:p>
            <w:pPr>
              <w:pStyle w:val="Compact"/>
              <w:jc w:val="left"/>
            </w:pPr>
            <w:r>
              <w:rPr>
                <w:bCs/>
                <w:b/>
              </w:rPr>
              <w:t xml:space="preserve">Penman (1948)</w:t>
            </w:r>
          </w:p>
        </w:tc>
        <w:tc>
          <w:tcPr/>
          <w:p>
            <w:pPr>
              <w:pStyle w:val="Compact"/>
              <w:jc w:val="left"/>
            </w:pPr>
            <w:r>
              <w:t xml:space="preserve">Combination: energy + aerodynamic (wind function) terms</w:t>
            </w:r>
          </w:p>
        </w:tc>
        <w:tc>
          <w:tcPr/>
          <w:p>
            <w:pPr>
              <w:pStyle w:val="Compact"/>
              <w:jc w:val="left"/>
            </w:pPr>
            <w:r>
              <w:t xml:space="preserve">Rn, T, RH, u</w:t>
            </w:r>
          </w:p>
        </w:tc>
        <w:tc>
          <w:tcPr/>
          <w:p>
            <w:pPr>
              <w:pStyle w:val="Compact"/>
              <w:jc w:val="left"/>
            </w:pPr>
            <w:r>
              <w:t xml:space="preserve">Original combination equation</w:t>
            </w:r>
          </w:p>
        </w:tc>
      </w:tr>
      <w:tr>
        <w:tc>
          <w:tcPr/>
          <w:p>
            <w:pPr>
              <w:pStyle w:val="Compact"/>
              <w:jc w:val="left"/>
            </w:pPr>
            <w:r>
              <w:rPr>
                <w:bCs/>
                <w:b/>
              </w:rPr>
              <w:t xml:space="preserve">Pan evaporation</w:t>
            </w:r>
          </w:p>
        </w:tc>
        <w:tc>
          <w:tcPr/>
          <w:p>
            <w:pPr>
              <w:pStyle w:val="Compact"/>
              <w:jc w:val="left"/>
            </w:pPr>
            <m:oMath>
              <m:r>
                <m:t>E</m:t>
              </m:r>
              <m:sSub>
                <m:e>
                  <m:r>
                    <m:t>T</m:t>
                  </m:r>
                </m:e>
                <m:sub>
                  <m:r>
                    <m:t>0</m:t>
                  </m:r>
                </m:sub>
              </m:sSub>
              <m:r>
                <m:rPr>
                  <m:sty m:val="p"/>
                </m:rPr>
                <m:t>=</m:t>
              </m:r>
              <m:sSub>
                <m:e>
                  <m:r>
                    <m:t>K</m:t>
                  </m:r>
                </m:e>
                <m:sub>
                  <m:r>
                    <m:t>p</m:t>
                  </m:r>
                </m:sub>
              </m:sSub>
              <m:r>
                <m:t> </m:t>
              </m:r>
              <m:sSub>
                <m:e>
                  <m:r>
                    <m:t>E</m:t>
                  </m:r>
                </m:e>
                <m:sub>
                  <m:r>
                    <m:t>p</m:t>
                  </m:r>
                  <m:r>
                    <m:t>a</m:t>
                  </m:r>
                  <m:r>
                    <m:t>n</m:t>
                  </m:r>
                </m:sub>
              </m:sSub>
            </m:oMath>
            <w:r>
              <w:t xml:space="preserve">,</w:t>
            </w:r>
            <w:r>
              <w:t xml:space="preserve"> </w:t>
            </w:r>
            <m:oMath>
              <m:sSub>
                <m:e>
                  <m:r>
                    <m:t>K</m:t>
                  </m:r>
                </m:e>
                <m:sub>
                  <m:r>
                    <m:t>p</m:t>
                  </m:r>
                </m:sub>
              </m:sSub>
            </m:oMath>
            <w:r>
              <w:t xml:space="preserve"> </w:t>
            </w:r>
            <w:r>
              <w:t xml:space="preserve">≈ 0.6–0.85 (depends on fetch, wind, RH)</w:t>
            </w:r>
          </w:p>
        </w:tc>
        <w:tc>
          <w:tcPr/>
          <w:p>
            <w:pPr>
              <w:pStyle w:val="Compact"/>
              <w:jc w:val="left"/>
            </w:pPr>
            <w:r>
              <w:t xml:space="preserve">Class A pan</w:t>
            </w:r>
          </w:p>
        </w:tc>
        <w:tc>
          <w:tcPr/>
          <w:p>
            <w:pPr>
              <w:pStyle w:val="Compact"/>
              <w:jc w:val="left"/>
            </w:pPr>
            <w:r>
              <w:t xml:space="preserve">Simple, widely used in India (IW/CPE scheduling)</w:t>
            </w:r>
          </w:p>
        </w:tc>
      </w:tr>
      <w:tr>
        <w:tc>
          <w:tcPr/>
          <w:p>
            <w:pPr>
              <w:pStyle w:val="Compact"/>
              <w:jc w:val="left"/>
            </w:pPr>
            <w:r>
              <w:rPr>
                <w:bCs/>
                <w:b/>
              </w:rPr>
              <w:t xml:space="preserve">Radiation method</w:t>
            </w:r>
          </w:p>
        </w:tc>
        <w:tc>
          <w:tcPr/>
          <w:p>
            <w:pPr>
              <w:pStyle w:val="Compact"/>
              <w:jc w:val="left"/>
            </w:pPr>
            <m:oMath>
              <m:r>
                <m:t>E</m:t>
              </m:r>
              <m:sSub>
                <m:e>
                  <m:r>
                    <m:t>T</m:t>
                  </m:r>
                </m:e>
                <m:sub>
                  <m:r>
                    <m:t>0</m:t>
                  </m:r>
                </m:sub>
              </m:sSub>
              <m:r>
                <m:rPr>
                  <m:sty m:val="p"/>
                </m:rPr>
                <m:t>=</m:t>
              </m:r>
              <m:r>
                <m:t>c</m:t>
              </m:r>
              <m:r>
                <m:t> </m:t>
              </m:r>
              <m:d>
                <m:dPr>
                  <m:begChr m:val="("/>
                  <m:endChr m:val=")"/>
                  <m:sepChr m:val=""/>
                  <m:grow/>
                </m:dPr>
                <m:e>
                  <m:r>
                    <m:t>W</m:t>
                  </m:r>
                  <m:r>
                    <m:t> </m:t>
                  </m:r>
                  <m:sSub>
                    <m:e>
                      <m:r>
                        <m:t>R</m:t>
                      </m:r>
                    </m:e>
                    <m:sub>
                      <m:r>
                        <m:t>s</m:t>
                      </m:r>
                    </m:sub>
                  </m:sSub>
                </m:e>
              </m:d>
            </m:oMath>
          </w:p>
        </w:tc>
        <w:tc>
          <w:tcPr/>
          <w:p>
            <w:pPr>
              <w:pStyle w:val="Compact"/>
              <w:jc w:val="left"/>
            </w:pPr>
            <w:r>
              <w:t xml:space="preserve">Rs, T</w:t>
            </w:r>
          </w:p>
        </w:tc>
        <w:tc>
          <w:tcPr/>
          <w:p>
            <w:pPr>
              <w:pStyle w:val="Compact"/>
              <w:jc w:val="left"/>
            </w:pPr>
            <w:r>
              <w:t xml:space="preserve">—</w:t>
            </w:r>
          </w:p>
        </w:tc>
      </w:tr>
    </w:tbl>
    <w:p>
      <w:pPr>
        <w:pStyle w:val="BodyText"/>
      </w:pPr>
      <w:r>
        <w:rPr>
          <w:bCs/>
          <w:b/>
        </w:rPr>
        <w:t xml:space="preserve">Penman–Monteith components (recap):</w:t>
      </w:r>
      <w:r>
        <w:t xml:space="preserve"> </w:t>
      </w:r>
      <w:r>
        <w:t xml:space="preserve">radiation term</w:t>
      </w:r>
      <w:r>
        <w:t xml:space="preserve"> </w:t>
      </w:r>
      <m:oMath>
        <m:r>
          <m:t>Δ</m:t>
        </m:r>
        <m:d>
          <m:dPr>
            <m:begChr m:val="("/>
            <m:endChr m:val=")"/>
            <m:sepChr m:val=""/>
            <m:grow/>
          </m:dPr>
          <m:e>
            <m:sSub>
              <m:e>
                <m:r>
                  <m:t>R</m:t>
                </m:r>
              </m:e>
              <m:sub>
                <m:r>
                  <m:t>n</m:t>
                </m:r>
              </m:sub>
            </m:sSub>
            <m:r>
              <m:rPr>
                <m:sty m:val="p"/>
              </m:rPr>
              <m:t>−</m:t>
            </m:r>
            <m:r>
              <m:t>G</m:t>
            </m:r>
          </m:e>
        </m:d>
      </m:oMath>
      <w:r>
        <w:t xml:space="preserve"> </w:t>
      </w:r>
      <w:r>
        <w:t xml:space="preserve">and aerodynamic term</w:t>
      </w:r>
      <w:r>
        <w:t xml:space="preserve"> </w:t>
      </w:r>
      <m:oMath>
        <m:r>
          <m:t>ρ</m:t>
        </m:r>
        <m:sSub>
          <m:e>
            <m:r>
              <m:t>c</m:t>
            </m:r>
          </m:e>
          <m:sub>
            <m:r>
              <m:t>p</m:t>
            </m:r>
          </m:sub>
        </m:sSub>
        <m:r>
          <m:t> </m:t>
        </m:r>
        <m:r>
          <m:t>V</m:t>
        </m:r>
        <m:r>
          <m:t>P</m:t>
        </m:r>
        <m:r>
          <m:t>D</m:t>
        </m:r>
        <m:r>
          <m:rPr>
            <m:sty m:val="p"/>
          </m:rPr>
          <m:t>/</m:t>
        </m:r>
        <m:sSub>
          <m:e>
            <m:r>
              <m:t>r</m:t>
            </m:r>
          </m:e>
          <m:sub>
            <m:r>
              <m:t>a</m:t>
            </m:r>
          </m:sub>
        </m:sSub>
      </m:oMath>
      <w:r>
        <w:t xml:space="preserve">, divided by</w:t>
      </w:r>
      <w:r>
        <w:t xml:space="preserve"> </w:t>
      </w:r>
      <m:oMath>
        <m:r>
          <m:t>Δ</m:t>
        </m:r>
        <m:r>
          <m:rPr>
            <m:sty m:val="p"/>
          </m:rPr>
          <m:t>+</m:t>
        </m:r>
        <m:r>
          <m:t>γ</m:t>
        </m:r>
        <m:d>
          <m:dPr>
            <m:begChr m:val="("/>
            <m:endChr m:val=")"/>
            <m:sepChr m:val=""/>
            <m:grow/>
          </m:dPr>
          <m:e>
            <m:r>
              <m:t>1</m:t>
            </m:r>
            <m:r>
              <m:rPr>
                <m:sty m:val="p"/>
              </m:rPr>
              <m:t>+</m:t>
            </m:r>
            <m:sSub>
              <m:e>
                <m:r>
                  <m:t>r</m:t>
                </m:r>
              </m:e>
              <m:sub>
                <m:r>
                  <m:t>s</m:t>
                </m:r>
              </m:sub>
            </m:sSub>
            <m:r>
              <m:rPr>
                <m:sty m:val="p"/>
              </m:rPr>
              <m:t>/</m:t>
            </m:r>
            <m:sSub>
              <m:e>
                <m:r>
                  <m:t>r</m:t>
                </m:r>
              </m:e>
              <m:sub>
                <m:r>
                  <m:t>a</m:t>
                </m:r>
              </m:sub>
            </m:sSub>
          </m:e>
        </m:d>
      </m:oMath>
      <w:r>
        <w:t xml:space="preserve">; for the FAO reference crop this becomes</w:t>
      </w:r>
    </w:p>
    <w:p>
      <w:pPr>
        <w:pStyle w:val="BodyText"/>
      </w:pPr>
      <m:oMathPara>
        <m:oMathParaPr>
          <m:jc m:val="center"/>
        </m:oMathParaPr>
        <m:oMath>
          <m:r>
            <m:t>E</m:t>
          </m:r>
          <m:sSub>
            <m:e>
              <m:r>
                <m:t>T</m:t>
              </m:r>
            </m:e>
            <m:sub>
              <m:r>
                <m:t>0</m:t>
              </m:r>
            </m:sub>
          </m:sSub>
          <m:r>
            <m:rPr>
              <m:sty m:val="p"/>
            </m:rPr>
            <m:t>=</m:t>
          </m:r>
          <m:f>
            <m:fPr>
              <m:type m:val="bar"/>
            </m:fPr>
            <m:num>
              <m:r>
                <m:t>0.408</m:t>
              </m:r>
              <m:r>
                <m:t>Δ</m:t>
              </m:r>
              <m:d>
                <m:dPr>
                  <m:begChr m:val="("/>
                  <m:endChr m:val=")"/>
                  <m:sepChr m:val=""/>
                  <m:grow/>
                </m:dPr>
                <m:e>
                  <m:sSub>
                    <m:e>
                      <m:r>
                        <m:t>R</m:t>
                      </m:r>
                    </m:e>
                    <m:sub>
                      <m:r>
                        <m:t>n</m:t>
                      </m:r>
                    </m:sub>
                  </m:sSub>
                  <m:r>
                    <m:rPr>
                      <m:sty m:val="p"/>
                    </m:rPr>
                    <m:t>−</m:t>
                  </m:r>
                  <m:r>
                    <m:t>G</m:t>
                  </m:r>
                </m:e>
              </m:d>
              <m:r>
                <m:rPr>
                  <m:sty m:val="p"/>
                </m:rPr>
                <m:t>+</m:t>
              </m:r>
              <m:r>
                <m:t>γ</m:t>
              </m:r>
              <m:f>
                <m:fPr>
                  <m:type m:val="bar"/>
                </m:fPr>
                <m:num>
                  <m:r>
                    <m:t>900</m:t>
                  </m:r>
                </m:num>
                <m:den>
                  <m:r>
                    <m:t>T</m:t>
                  </m:r>
                  <m:r>
                    <m:rPr>
                      <m:sty m:val="p"/>
                    </m:rPr>
                    <m:t>+</m:t>
                  </m:r>
                  <m:r>
                    <m:t>273</m:t>
                  </m:r>
                </m:den>
              </m:f>
              <m:sSub>
                <m:e>
                  <m:r>
                    <m:t>u</m:t>
                  </m:r>
                </m:e>
                <m:sub>
                  <m:r>
                    <m:t>2</m:t>
                  </m:r>
                </m:sub>
              </m:sSub>
              <m:d>
                <m:dPr>
                  <m:begChr m:val="("/>
                  <m:endChr m:val=")"/>
                  <m:sepChr m:val=""/>
                  <m:grow/>
                </m:dPr>
                <m:e>
                  <m:sSub>
                    <m:e>
                      <m:r>
                        <m:t>e</m:t>
                      </m:r>
                    </m:e>
                    <m:sub>
                      <m:r>
                        <m:t>s</m:t>
                      </m:r>
                    </m:sub>
                  </m:sSub>
                  <m:r>
                    <m:rPr>
                      <m:sty m:val="p"/>
                    </m:rPr>
                    <m:t>−</m:t>
                  </m:r>
                  <m:sSub>
                    <m:e>
                      <m:r>
                        <m:t>e</m:t>
                      </m:r>
                    </m:e>
                    <m:sub>
                      <m:r>
                        <m:t>a</m:t>
                      </m:r>
                    </m:sub>
                  </m:sSub>
                </m:e>
              </m:d>
            </m:num>
            <m:den>
              <m:r>
                <m:t>Δ</m:t>
              </m:r>
              <m:r>
                <m:rPr>
                  <m:sty m:val="p"/>
                </m:rPr>
                <m:t>+</m:t>
              </m:r>
              <m:r>
                <m:t>γ</m:t>
              </m:r>
              <m:d>
                <m:dPr>
                  <m:begChr m:val="("/>
                  <m:endChr m:val=")"/>
                  <m:sepChr m:val=""/>
                  <m:grow/>
                </m:dPr>
                <m:e>
                  <m:r>
                    <m:t>1</m:t>
                  </m:r>
                  <m:r>
                    <m:rPr>
                      <m:sty m:val="p"/>
                    </m:rPr>
                    <m:t>+</m:t>
                  </m:r>
                  <m:r>
                    <m:t>0.34</m:t>
                  </m:r>
                  <m:sSub>
                    <m:e>
                      <m:r>
                        <m:t>u</m:t>
                      </m:r>
                    </m:e>
                    <m:sub>
                      <m:r>
                        <m:t>2</m:t>
                      </m:r>
                    </m:sub>
                  </m:sSub>
                </m:e>
              </m:d>
            </m:den>
          </m:f>
        </m:oMath>
      </m:oMathPara>
    </w:p>
    <w:p>
      <w:pPr>
        <w:pStyle w:val="Heading2"/>
      </w:pPr>
      <w:r>
        <w:t xml:space="preserve">27.4 Measurement of ET</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Principle</w:t>
            </w:r>
          </w:p>
        </w:tc>
        <w:tc>
          <w:tcPr/>
          <w:p>
            <w:pPr>
              <w:pStyle w:val="Compact"/>
              <w:jc w:val="left"/>
            </w:pPr>
            <w:r>
              <w:t xml:space="preserve">Scale</w:t>
            </w:r>
          </w:p>
        </w:tc>
        <w:tc>
          <w:tcPr/>
          <w:p>
            <w:pPr>
              <w:pStyle w:val="Compact"/>
              <w:jc w:val="left"/>
            </w:pPr>
            <w:r>
              <w:t xml:space="preserve">Notes</w:t>
            </w:r>
          </w:p>
        </w:tc>
      </w:tr>
      <w:tr>
        <w:tc>
          <w:tcPr/>
          <w:p>
            <w:pPr>
              <w:pStyle w:val="Compact"/>
              <w:jc w:val="left"/>
            </w:pPr>
            <w:r>
              <w:rPr>
                <w:bCs/>
                <w:b/>
              </w:rPr>
              <w:t xml:space="preserve">Lysimeter</w:t>
            </w:r>
            <w:r>
              <w:t xml:space="preserve"> </w:t>
            </w:r>
            <w:r>
              <w:t xml:space="preserve">(weighing / non-weighing / drainage)</w:t>
            </w:r>
          </w:p>
        </w:tc>
        <w:tc>
          <w:tcPr/>
          <w:p>
            <w:pPr>
              <w:pStyle w:val="Compact"/>
              <w:jc w:val="left"/>
            </w:pPr>
            <w:r>
              <w:t xml:space="preserve">Water balance of an isolated soil–crop block; weighing lysimeters detect 0.05 mm</w:t>
            </w:r>
          </w:p>
        </w:tc>
        <w:tc>
          <w:tcPr/>
          <w:p>
            <w:pPr>
              <w:pStyle w:val="Compact"/>
              <w:jc w:val="left"/>
            </w:pPr>
            <w:r>
              <w:t xml:space="preserve">Point (1–10 m²)</w:t>
            </w:r>
          </w:p>
        </w:tc>
        <w:tc>
          <w:tcPr/>
          <w:p>
            <w:pPr>
              <w:pStyle w:val="Compact"/>
              <w:jc w:val="left"/>
            </w:pPr>
            <w:r>
              <w:t xml:space="preserve">Most direct; reference standard; expensive</w:t>
            </w:r>
          </w:p>
        </w:tc>
      </w:tr>
      <w:tr>
        <w:tc>
          <w:tcPr/>
          <w:p>
            <w:pPr>
              <w:pStyle w:val="Compact"/>
              <w:jc w:val="left"/>
            </w:pPr>
            <w:r>
              <w:t xml:space="preserve">Soil water balance</w:t>
            </w:r>
          </w:p>
        </w:tc>
        <w:tc>
          <w:tcPr/>
          <w:p>
            <w:pPr>
              <w:pStyle w:val="Compact"/>
              <w:jc w:val="left"/>
            </w:pPr>
            <w:r>
              <w:t xml:space="preserve">ΔS from soil moisture + P, I, R, D</w:t>
            </w:r>
          </w:p>
        </w:tc>
        <w:tc>
          <w:tcPr/>
          <w:p>
            <w:pPr>
              <w:pStyle w:val="Compact"/>
              <w:jc w:val="left"/>
            </w:pPr>
            <w:r>
              <w:t xml:space="preserve">Field</w:t>
            </w:r>
          </w:p>
        </w:tc>
        <w:tc>
          <w:tcPr/>
          <w:p>
            <w:pPr>
              <w:pStyle w:val="Compact"/>
              <w:jc w:val="left"/>
            </w:pPr>
            <w:r>
              <w:t xml:space="preserve">Simple; drainage uncertainty</w:t>
            </w:r>
          </w:p>
        </w:tc>
      </w:tr>
      <w:tr>
        <w:tc>
          <w:tcPr/>
          <w:p>
            <w:pPr>
              <w:pStyle w:val="Compact"/>
              <w:jc w:val="left"/>
            </w:pPr>
            <w:r>
              <w:rPr>
                <w:bCs/>
                <w:b/>
              </w:rPr>
              <w:t xml:space="preserve">Bowen ratio energy balance</w:t>
            </w:r>
          </w:p>
        </w:tc>
        <w:tc>
          <w:tcPr/>
          <w:p>
            <w:pPr>
              <w:pStyle w:val="Compact"/>
              <w:jc w:val="left"/>
            </w:pPr>
            <m:oMath>
              <m:r>
                <m:t>L</m:t>
              </m:r>
              <m:r>
                <m:t>E</m:t>
              </m:r>
              <m:r>
                <m:rPr>
                  <m:sty m:val="p"/>
                </m:rPr>
                <m:t>=</m:t>
              </m:r>
              <m:d>
                <m:dPr>
                  <m:begChr m:val="("/>
                  <m:endChr m:val=")"/>
                  <m:sepChr m:val=""/>
                  <m:grow/>
                </m:dPr>
                <m:e>
                  <m:sSub>
                    <m:e>
                      <m:r>
                        <m:t>R</m:t>
                      </m:r>
                    </m:e>
                    <m:sub>
                      <m:r>
                        <m:t>n</m:t>
                      </m:r>
                    </m:sub>
                  </m:sSub>
                  <m:r>
                    <m:rPr>
                      <m:sty m:val="p"/>
                    </m:rPr>
                    <m:t>−</m:t>
                  </m:r>
                  <m:r>
                    <m:t>G</m:t>
                  </m:r>
                </m:e>
              </m:d>
              <m:r>
                <m:rPr>
                  <m:sty m:val="p"/>
                </m:rPr>
                <m:t>/</m:t>
              </m:r>
              <m:d>
                <m:dPr>
                  <m:begChr m:val="("/>
                  <m:endChr m:val=")"/>
                  <m:sepChr m:val=""/>
                  <m:grow/>
                </m:dPr>
                <m:e>
                  <m:r>
                    <m:t>1</m:t>
                  </m:r>
                  <m:r>
                    <m:rPr>
                      <m:sty m:val="p"/>
                    </m:rPr>
                    <m:t>+</m:t>
                  </m:r>
                  <m:r>
                    <m:t>β</m:t>
                  </m:r>
                </m:e>
              </m:d>
            </m:oMath>
          </w:p>
        </w:tc>
        <w:tc>
          <w:tcPr/>
          <w:p>
            <w:pPr>
              <w:pStyle w:val="Compact"/>
              <w:jc w:val="left"/>
            </w:pPr>
            <w:r>
              <w:t xml:space="preserve">Field (~100 m)</w:t>
            </w:r>
          </w:p>
        </w:tc>
        <w:tc>
          <w:tcPr/>
          <w:p>
            <w:pPr>
              <w:pStyle w:val="Compact"/>
              <w:jc w:val="left"/>
            </w:pPr>
            <w:r>
              <w:t xml:space="preserve">Needs gradients; fails when β ≈ −1</w:t>
            </w:r>
          </w:p>
        </w:tc>
      </w:tr>
      <w:tr>
        <w:tc>
          <w:tcPr/>
          <w:p>
            <w:pPr>
              <w:pStyle w:val="Compact"/>
              <w:jc w:val="left"/>
            </w:pPr>
            <w:r>
              <w:rPr>
                <w:bCs/>
                <w:b/>
              </w:rPr>
              <w:t xml:space="preserve">Eddy covariance</w:t>
            </w:r>
          </w:p>
        </w:tc>
        <w:tc>
          <w:tcPr/>
          <w:p>
            <w:pPr>
              <w:pStyle w:val="Compact"/>
              <w:jc w:val="left"/>
            </w:pPr>
            <m:oMath>
              <m:r>
                <m:t>L</m:t>
              </m:r>
              <m:r>
                <m:t>E</m:t>
              </m:r>
              <m:r>
                <m:rPr>
                  <m:sty m:val="p"/>
                </m:rPr>
                <m:t>=</m:t>
              </m:r>
              <m:r>
                <m:t>λ</m:t>
              </m:r>
              <m:r>
                <m:t>ρ</m:t>
              </m:r>
              <m:bar>
                <m:barPr>
                  <m:pos m:val="top"/>
                </m:barPr>
                <m:e>
                  <m:r>
                    <m:t>w</m:t>
                  </m:r>
                  <m:r>
                    <m:rPr>
                      <m:sty m:val="p"/>
                    </m:rPr>
                    <m:t>′</m:t>
                  </m:r>
                  <m:r>
                    <m:t>q</m:t>
                  </m:r>
                  <m:r>
                    <m:rPr>
                      <m:sty m:val="p"/>
                    </m:rPr>
                    <m:t>′</m:t>
                  </m:r>
                </m:e>
              </m:bar>
            </m:oMath>
          </w:p>
        </w:tc>
        <w:tc>
          <w:tcPr/>
          <w:p>
            <w:pPr>
              <w:pStyle w:val="Compact"/>
              <w:jc w:val="left"/>
            </w:pPr>
            <w:r>
              <w:t xml:space="preserve">Field–ecosystem</w:t>
            </w:r>
          </w:p>
        </w:tc>
        <w:tc>
          <w:tcPr/>
          <w:p>
            <w:pPr>
              <w:pStyle w:val="Compact"/>
              <w:jc w:val="left"/>
            </w:pPr>
            <w:r>
              <w:t xml:space="preserve">Direct turbulent flux; closure gap</w:t>
            </w:r>
          </w:p>
        </w:tc>
      </w:tr>
      <w:tr>
        <w:tc>
          <w:tcPr/>
          <w:p>
            <w:pPr>
              <w:pStyle w:val="Compact"/>
              <w:jc w:val="left"/>
            </w:pPr>
            <w:r>
              <w:rPr>
                <w:bCs/>
                <w:b/>
              </w:rPr>
              <w:t xml:space="preserve">Scintillometer</w:t>
            </w:r>
            <w:r>
              <w:t xml:space="preserve"> </w:t>
            </w:r>
            <w:r>
              <w:t xml:space="preserve">(LAS)</w:t>
            </w:r>
          </w:p>
        </w:tc>
        <w:tc>
          <w:tcPr/>
          <w:p>
            <w:pPr>
              <w:pStyle w:val="Compact"/>
              <w:jc w:val="left"/>
            </w:pPr>
            <w:r>
              <w:t xml:space="preserve">H from refractive-index fluctuations; LE as residual</w:t>
            </w:r>
          </w:p>
        </w:tc>
        <w:tc>
          <w:tcPr/>
          <w:p>
            <w:pPr>
              <w:pStyle w:val="Compact"/>
              <w:jc w:val="left"/>
            </w:pPr>
            <w:r>
              <w:t xml:space="preserve">0.5–5 km path</w:t>
            </w:r>
          </w:p>
        </w:tc>
        <w:tc>
          <w:tcPr/>
          <w:p>
            <w:pPr>
              <w:pStyle w:val="Compact"/>
              <w:jc w:val="left"/>
            </w:pPr>
            <w:r>
              <w:t xml:space="preserve">Matches satellite pixels</w:t>
            </w:r>
          </w:p>
        </w:tc>
      </w:tr>
      <w:tr>
        <w:tc>
          <w:tcPr/>
          <w:p>
            <w:pPr>
              <w:pStyle w:val="Compact"/>
              <w:jc w:val="left"/>
            </w:pPr>
            <w:r>
              <w:rPr>
                <w:bCs/>
                <w:b/>
              </w:rPr>
              <w:t xml:space="preserve">Sap flow</w:t>
            </w:r>
          </w:p>
        </w:tc>
        <w:tc>
          <w:tcPr/>
          <w:p>
            <w:pPr>
              <w:pStyle w:val="Compact"/>
              <w:jc w:val="left"/>
            </w:pPr>
            <w:r>
              <w:t xml:space="preserve">Heat pulse / thermal dissipation</w:t>
            </w:r>
          </w:p>
        </w:tc>
        <w:tc>
          <w:tcPr/>
          <w:p>
            <w:pPr>
              <w:pStyle w:val="Compact"/>
              <w:jc w:val="left"/>
            </w:pPr>
            <w:r>
              <w:t xml:space="preserve">Plant</w:t>
            </w:r>
          </w:p>
        </w:tc>
        <w:tc>
          <w:tcPr/>
          <w:p>
            <w:pPr>
              <w:pStyle w:val="Compact"/>
              <w:jc w:val="left"/>
            </w:pPr>
            <w:r>
              <w:t xml:space="preserve">Transpiration only</w:t>
            </w:r>
          </w:p>
        </w:tc>
      </w:tr>
      <w:tr>
        <w:tc>
          <w:tcPr/>
          <w:p>
            <w:pPr>
              <w:pStyle w:val="Compact"/>
              <w:jc w:val="left"/>
            </w:pPr>
            <w:r>
              <w:rPr>
                <w:bCs/>
                <w:b/>
              </w:rPr>
              <w:t xml:space="preserve">Remote sensing energy balance</w:t>
            </w:r>
          </w:p>
        </w:tc>
        <w:tc>
          <w:tcPr/>
          <w:p>
            <w:pPr>
              <w:pStyle w:val="Compact"/>
              <w:jc w:val="left"/>
            </w:pPr>
            <w:r>
              <w:t xml:space="preserve">LE = Rn − G − H from thermal imagery</w:t>
            </w:r>
          </w:p>
        </w:tc>
        <w:tc>
          <w:tcPr/>
          <w:p>
            <w:pPr>
              <w:pStyle w:val="Compact"/>
              <w:jc w:val="left"/>
            </w:pPr>
            <w:r>
              <w:t xml:space="preserve">Pixel to region</w:t>
            </w:r>
          </w:p>
        </w:tc>
        <w:tc>
          <w:tcPr/>
          <w:p>
            <w:pPr>
              <w:pStyle w:val="Compact"/>
              <w:jc w:val="left"/>
            </w:pPr>
            <w:r>
              <w:t xml:space="preserve">SEBAL, METRIC, SEBS, SSEBop, ALEXI/DisALEXI, MOD16, ECOSTRESS, TRISHNA (future)</w:t>
            </w:r>
          </w:p>
        </w:tc>
      </w:tr>
    </w:tbl>
    <w:p>
      <w:pPr>
        <w:pStyle w:val="Heading2"/>
      </w:pPr>
      <w:r>
        <w:t xml:space="preserve">27.5 Satellite ET by the Surface Energy Balance — Step by Step</w:t>
      </w:r>
    </w:p>
    <w:p>
      <w:pPr>
        <w:pStyle w:val="FirstParagraph"/>
      </w:pPr>
      <w:r>
        <w:t xml:space="preserve">The concept (Bartholic et al., 1972; Brown, 1974) is that surface temperature reflects the partitioning of available energy: a transpiring crop is cool, a stressed or bare surface warm. A typical single-source scheme:</w:t>
      </w:r>
    </w:p>
    <w:p>
      <w:pPr>
        <w:pStyle w:val="Compact"/>
        <w:numPr>
          <w:ilvl w:val="0"/>
          <w:numId w:val="1214"/>
        </w:numPr>
      </w:pPr>
      <w:r>
        <w:rPr>
          <w:bCs/>
          <w:b/>
        </w:rPr>
        <w:t xml:space="preserve">Albedo</w:t>
      </w:r>
      <w:r>
        <w:t xml:space="preserve"> </w:t>
      </w:r>
      <m:oMath>
        <m:r>
          <m:t>A</m:t>
        </m:r>
      </m:oMath>
      <w:r>
        <w:t xml:space="preserve"> </w:t>
      </w:r>
      <w:r>
        <w:t xml:space="preserve">from optical bands (narrow-to-broadband conversion).</w:t>
      </w:r>
    </w:p>
    <w:p>
      <w:pPr>
        <w:pStyle w:val="Compact"/>
        <w:numPr>
          <w:ilvl w:val="0"/>
          <w:numId w:val="1214"/>
        </w:numPr>
      </w:pPr>
      <w:r>
        <w:rPr>
          <w:bCs/>
          <w:b/>
        </w:rPr>
        <w:t xml:space="preserve">Surface temperature</w:t>
      </w:r>
      <w:r>
        <w:t xml:space="preserve"> </w:t>
      </w:r>
      <m:oMath>
        <m:sSub>
          <m:e>
            <m:r>
              <m:t>T</m:t>
            </m:r>
          </m:e>
          <m:sub>
            <m:r>
              <m:t>s</m:t>
            </m:r>
          </m:sub>
        </m:sSub>
      </m:oMath>
      <w:r>
        <w:t xml:space="preserve"> </w:t>
      </w:r>
      <w:r>
        <w:t xml:space="preserve">from thermal bands (emissivity from NDVI; split-window or single-channel).</w:t>
      </w:r>
    </w:p>
    <w:p>
      <w:pPr>
        <w:pStyle w:val="Compact"/>
        <w:numPr>
          <w:ilvl w:val="0"/>
          <w:numId w:val="1214"/>
        </w:numPr>
      </w:pPr>
      <w:r>
        <w:rPr>
          <w:bCs/>
          <w:b/>
        </w:rPr>
        <w:t xml:space="preserve">Net radiation:</w:t>
      </w:r>
      <w:r>
        <w:t xml:space="preserve"> </w:t>
      </w:r>
      <m:oMath>
        <m:sSub>
          <m:e>
            <m:r>
              <m:t>R</m:t>
            </m:r>
          </m:e>
          <m:sub>
            <m:r>
              <m:t>n</m:t>
            </m:r>
          </m:sub>
        </m:sSub>
        <m:r>
          <m:rPr>
            <m:sty m:val="p"/>
          </m:rPr>
          <m:t>=</m:t>
        </m:r>
        <m:d>
          <m:dPr>
            <m:begChr m:val="("/>
            <m:endChr m:val=")"/>
            <m:sepChr m:val=""/>
            <m:grow/>
          </m:dPr>
          <m:e>
            <m:r>
              <m:t>1</m:t>
            </m:r>
            <m:r>
              <m:rPr>
                <m:sty m:val="p"/>
              </m:rPr>
              <m:t>−</m:t>
            </m:r>
            <m:r>
              <m:t>A</m:t>
            </m:r>
          </m:e>
        </m:d>
        <m:sSub>
          <m:e>
            <m:r>
              <m:t>R</m:t>
            </m:r>
          </m:e>
          <m:sub>
            <m:r>
              <m:t>s</m:t>
            </m:r>
          </m:sub>
        </m:sSub>
        <m:r>
          <m:rPr>
            <m:sty m:val="p"/>
          </m:rPr>
          <m:t>+</m:t>
        </m:r>
        <m:sSub>
          <m:e>
            <m:r>
              <m:t>ε</m:t>
            </m:r>
          </m:e>
          <m:sub>
            <m:r>
              <m:t>a</m:t>
            </m:r>
          </m:sub>
        </m:sSub>
        <m:r>
          <m:t>σ</m:t>
        </m:r>
        <m:sSubSup>
          <m:e>
            <m:r>
              <m:t>T</m:t>
            </m:r>
          </m:e>
          <m:sub>
            <m:r>
              <m:t>a</m:t>
            </m:r>
          </m:sub>
          <m:sup>
            <m:r>
              <m:t>4</m:t>
            </m:r>
          </m:sup>
        </m:sSubSup>
        <m:r>
          <m:rPr>
            <m:sty m:val="p"/>
          </m:rPr>
          <m:t>−</m:t>
        </m:r>
        <m:sSub>
          <m:e>
            <m:r>
              <m:t>ε</m:t>
            </m:r>
          </m:e>
          <m:sub>
            <m:r>
              <m:t>s</m:t>
            </m:r>
          </m:sub>
        </m:sSub>
        <m:r>
          <m:t>σ</m:t>
        </m:r>
        <m:sSubSup>
          <m:e>
            <m:r>
              <m:t>T</m:t>
            </m:r>
          </m:e>
          <m:sub>
            <m:r>
              <m:t>s</m:t>
            </m:r>
          </m:sub>
          <m:sup>
            <m:r>
              <m:t>4</m:t>
            </m:r>
          </m:sup>
        </m:sSubSup>
      </m:oMath>
      <w:r>
        <w:t xml:space="preserve">, with</w:t>
      </w:r>
      <w:r>
        <w:t xml:space="preserve"> </w:t>
      </w:r>
      <m:oMath>
        <m:sSub>
          <m:e>
            <m:r>
              <m:t>ε</m:t>
            </m:r>
          </m:e>
          <m:sub>
            <m:r>
              <m:t>a</m:t>
            </m:r>
          </m:sub>
        </m:sSub>
        <m:r>
          <m:rPr>
            <m:sty m:val="p"/>
          </m:rPr>
          <m:t>=</m:t>
        </m:r>
        <m:r>
          <m:t>1.24</m:t>
        </m:r>
        <m:sSup>
          <m:e>
            <m:d>
              <m:dPr>
                <m:begChr m:val="("/>
                <m:endChr m:val=")"/>
                <m:sepChr m:val=""/>
                <m:grow/>
              </m:dPr>
              <m:e>
                <m:sSub>
                  <m:e>
                    <m:r>
                      <m:t>e</m:t>
                    </m:r>
                  </m:e>
                  <m:sub>
                    <m:r>
                      <m:t>a</m:t>
                    </m:r>
                  </m:sub>
                </m:sSub>
                <m:r>
                  <m:rPr>
                    <m:sty m:val="p"/>
                  </m:rPr>
                  <m:t>/</m:t>
                </m:r>
                <m:sSub>
                  <m:e>
                    <m:r>
                      <m:t>T</m:t>
                    </m:r>
                  </m:e>
                  <m:sub>
                    <m:r>
                      <m:t>a</m:t>
                    </m:r>
                  </m:sub>
                </m:sSub>
              </m:e>
            </m:d>
          </m:e>
          <m:sup>
            <m:r>
              <m:t>1</m:t>
            </m:r>
            <m:r>
              <m:rPr>
                <m:sty m:val="p"/>
              </m:rPr>
              <m:t>/</m:t>
            </m:r>
            <m:r>
              <m:t>7</m:t>
            </m:r>
          </m:sup>
        </m:sSup>
      </m:oMath>
      <w:r>
        <w:t xml:space="preserve">.</w:t>
      </w:r>
    </w:p>
    <w:p>
      <w:pPr>
        <w:pStyle w:val="Compact"/>
        <w:numPr>
          <w:ilvl w:val="0"/>
          <w:numId w:val="1214"/>
        </w:numPr>
      </w:pPr>
      <w:r>
        <w:rPr>
          <w:bCs/>
          <w:b/>
        </w:rPr>
        <w:t xml:space="preserve">Soil heat flux:</w:t>
      </w:r>
      <w:r>
        <w:t xml:space="preserve"> </w:t>
      </w:r>
      <m:oMath>
        <m:r>
          <m:t>G</m:t>
        </m:r>
        <m:r>
          <m:rPr>
            <m:sty m:val="p"/>
          </m:rPr>
          <m:t>=</m:t>
        </m:r>
        <m:f>
          <m:fPr>
            <m:type m:val="bar"/>
          </m:fPr>
          <m:num>
            <m:sSub>
              <m:e>
                <m:r>
                  <m:t>T</m:t>
                </m:r>
              </m:e>
              <m:sub>
                <m:r>
                  <m:t>s</m:t>
                </m:r>
              </m:sub>
            </m:sSub>
          </m:num>
          <m:den>
            <m:r>
              <m:t>A</m:t>
            </m:r>
          </m:den>
        </m:f>
        <m:d>
          <m:dPr>
            <m:begChr m:val="("/>
            <m:endChr m:val=")"/>
            <m:sepChr m:val=""/>
            <m:grow/>
          </m:dPr>
          <m:e>
            <m:r>
              <m:t>0.0032</m:t>
            </m:r>
            <m:r>
              <m:t>A</m:t>
            </m:r>
            <m:r>
              <m:rPr>
                <m:sty m:val="p"/>
              </m:rPr>
              <m:t>+</m:t>
            </m:r>
            <m:r>
              <m:t>0.0062</m:t>
            </m:r>
            <m:sSup>
              <m:e>
                <m:r>
                  <m:t>A</m:t>
                </m:r>
              </m:e>
              <m:sup>
                <m:r>
                  <m:t>2</m:t>
                </m:r>
              </m:sup>
            </m:sSup>
          </m:e>
        </m:d>
        <m:d>
          <m:dPr>
            <m:begChr m:val="("/>
            <m:endChr m:val=")"/>
            <m:sepChr m:val=""/>
            <m:grow/>
          </m:dPr>
          <m:e>
            <m:r>
              <m:t>1</m:t>
            </m:r>
            <m:r>
              <m:rPr>
                <m:sty m:val="p"/>
              </m:rPr>
              <m:t>−</m:t>
            </m:r>
            <m:r>
              <m:t>0.978</m:t>
            </m:r>
            <m:r>
              <m:t>N</m:t>
            </m:r>
            <m:r>
              <m:t>D</m:t>
            </m:r>
            <m:r>
              <m:t>V</m:t>
            </m:r>
            <m:sSup>
              <m:e>
                <m:r>
                  <m:t>I</m:t>
                </m:r>
              </m:e>
              <m:sup>
                <m:r>
                  <m:t>4</m:t>
                </m:r>
              </m:sup>
            </m:sSup>
          </m:e>
        </m:d>
        <m:sSub>
          <m:e>
            <m:r>
              <m:t>R</m:t>
            </m:r>
          </m:e>
          <m:sub>
            <m:r>
              <m:t>n</m:t>
            </m:r>
          </m:sub>
        </m:sSub>
      </m:oMath>
      <w:r>
        <w:t xml:space="preserve"> </w:t>
      </w:r>
      <w:r>
        <w:t xml:space="preserve">for vegetation;</w:t>
      </w:r>
      <w:r>
        <w:t xml:space="preserve"> </w:t>
      </w:r>
      <m:oMath>
        <m:r>
          <m:t>G</m:t>
        </m:r>
        <m:r>
          <m:rPr>
            <m:sty m:val="p"/>
          </m:rPr>
          <m:t>≈</m:t>
        </m:r>
        <m:r>
          <m:t>0.2</m:t>
        </m:r>
        <m:sSub>
          <m:e>
            <m:r>
              <m:t>R</m:t>
            </m:r>
          </m:e>
          <m:sub>
            <m:r>
              <m:t>n</m:t>
            </m:r>
          </m:sub>
        </m:sSub>
      </m:oMath>
      <w:r>
        <w:t xml:space="preserve"> </w:t>
      </w:r>
      <w:r>
        <w:t xml:space="preserve">for bare soil.</w:t>
      </w:r>
    </w:p>
    <w:p>
      <w:pPr>
        <w:pStyle w:val="Compact"/>
        <w:numPr>
          <w:ilvl w:val="0"/>
          <w:numId w:val="1214"/>
        </w:numPr>
      </w:pPr>
      <w:r>
        <w:rPr>
          <w:bCs/>
          <w:b/>
        </w:rPr>
        <w:t xml:space="preserve">Sensible heat:</w:t>
      </w:r>
      <w:r>
        <w:t xml:space="preserve"> </w:t>
      </w:r>
      <m:oMath>
        <m:r>
          <m:t>H</m:t>
        </m:r>
        <m:r>
          <m:rPr>
            <m:sty m:val="p"/>
          </m:rPr>
          <m:t>=</m:t>
        </m:r>
        <m:r>
          <m:t>ρ</m:t>
        </m:r>
        <m:sSub>
          <m:e>
            <m:r>
              <m:t>c</m:t>
            </m:r>
          </m:e>
          <m:sub>
            <m:r>
              <m:t>p</m:t>
            </m:r>
          </m:sub>
        </m:sSub>
        <m:f>
          <m:fPr>
            <m:type m:val="bar"/>
          </m:fPr>
          <m:num>
            <m:sSub>
              <m:e>
                <m:r>
                  <m:t>T</m:t>
                </m:r>
              </m:e>
              <m:sub>
                <m:r>
                  <m:t>s</m:t>
                </m:r>
              </m:sub>
            </m:sSub>
            <m:r>
              <m:rPr>
                <m:sty m:val="p"/>
              </m:rPr>
              <m:t>−</m:t>
            </m:r>
            <m:sSub>
              <m:e>
                <m:r>
                  <m:t>T</m:t>
                </m:r>
              </m:e>
              <m:sub>
                <m:r>
                  <m:t>a</m:t>
                </m:r>
              </m:sub>
            </m:sSub>
          </m:num>
          <m:den>
            <m:sSub>
              <m:e>
                <m:r>
                  <m:t>r</m:t>
                </m:r>
              </m:e>
              <m:sub>
                <m:r>
                  <m:t>a</m:t>
                </m:r>
              </m:sub>
            </m:sSub>
          </m:den>
        </m:f>
      </m:oMath>
      <w:r>
        <w:t xml:space="preserve">, with</w:t>
      </w:r>
      <w:r>
        <w:t xml:space="preserve"> </w:t>
      </w:r>
      <m:oMath>
        <m:sSub>
          <m:e>
            <m:r>
              <m:t>r</m:t>
            </m:r>
          </m:e>
          <m:sub>
            <m:r>
              <m:t>a</m:t>
            </m:r>
          </m:sub>
        </m:sSub>
        <m:r>
          <m:rPr>
            <m:sty m:val="p"/>
          </m:rPr>
          <m:t>=</m:t>
        </m:r>
        <m:f>
          <m:fPr>
            <m:type m:val="bar"/>
          </m:fPr>
          <m:num>
            <m:sSup>
              <m:e>
                <m:d>
                  <m:dPr>
                    <m:begChr m:val="["/>
                    <m:endChr m:val="]"/>
                    <m:sepChr m:val=""/>
                    <m:grow/>
                  </m:dPr>
                  <m:e>
                    <m:r>
                      <m:rPr>
                        <m:sty m:val="p"/>
                      </m:rPr>
                      <m:t>ln</m:t>
                    </m:r>
                    <m:d>
                      <m:dPr>
                        <m:begChr m:val="("/>
                        <m:endChr m:val=")"/>
                        <m:sepChr m:val=""/>
                        <m:grow/>
                      </m:dPr>
                      <m:e>
                        <m:d>
                          <m:dPr>
                            <m:begChr m:val="("/>
                            <m:endChr m:val=")"/>
                            <m:sepChr m:val=""/>
                            <m:grow/>
                          </m:dPr>
                          <m:e>
                            <m:r>
                              <m:t>z</m:t>
                            </m:r>
                            <m:r>
                              <m:rPr>
                                <m:sty m:val="p"/>
                              </m:rPr>
                              <m:t>−</m:t>
                            </m:r>
                            <m:r>
                              <m:t>d</m:t>
                            </m:r>
                          </m:e>
                        </m:d>
                        <m:r>
                          <m:rPr>
                            <m:sty m:val="p"/>
                          </m:rPr>
                          <m:t>/</m:t>
                        </m:r>
                        <m:sSub>
                          <m:e>
                            <m:r>
                              <m:t>z</m:t>
                            </m:r>
                          </m:e>
                          <m:sub>
                            <m:r>
                              <m:t>0</m:t>
                            </m:r>
                          </m:sub>
                        </m:sSub>
                      </m:e>
                    </m:d>
                  </m:e>
                </m:d>
              </m:e>
              <m:sup>
                <m:r>
                  <m:t>2</m:t>
                </m:r>
              </m:sup>
            </m:sSup>
          </m:num>
          <m:den>
            <m:sSup>
              <m:e>
                <m:r>
                  <m:t>k</m:t>
                </m:r>
              </m:e>
              <m:sup>
                <m:r>
                  <m:t>2</m:t>
                </m:r>
              </m:sup>
            </m:sSup>
            <m:r>
              <m:t>u</m:t>
            </m:r>
          </m:den>
        </m:f>
      </m:oMath>
      <w:r>
        <w:t xml:space="preserve">,</w:t>
      </w:r>
      <w:r>
        <w:t xml:space="preserve"> </w:t>
      </w:r>
      <m:oMath>
        <m:r>
          <m:t>d</m:t>
        </m:r>
        <m:r>
          <m:rPr>
            <m:sty m:val="p"/>
          </m:rPr>
          <m:t>=</m:t>
        </m:r>
        <m:f>
          <m:fPr>
            <m:type m:val="lin"/>
          </m:fPr>
          <m:num>
            <m:r>
              <m:t>2</m:t>
            </m:r>
          </m:num>
          <m:den>
            <m:r>
              <m:t>3</m:t>
            </m:r>
          </m:den>
        </m:f>
        <m:r>
          <m:t>h</m:t>
        </m:r>
      </m:oMath>
      <w:r>
        <w:t xml:space="preserve">,</w:t>
      </w:r>
      <w:r>
        <w:t xml:space="preserve"> </w:t>
      </w:r>
      <m:oMath>
        <m:sSub>
          <m:e>
            <m:r>
              <m:t>z</m:t>
            </m:r>
          </m:e>
          <m:sub>
            <m:r>
              <m:t>0</m:t>
            </m:r>
          </m:sub>
        </m:sSub>
        <m:r>
          <m:rPr>
            <m:sty m:val="p"/>
          </m:rPr>
          <m:t>=</m:t>
        </m:r>
        <m:r>
          <m:t>h</m:t>
        </m:r>
        <m:r>
          <m:rPr>
            <m:sty m:val="p"/>
          </m:rPr>
          <m:t>/</m:t>
        </m:r>
        <m:r>
          <m:t>8</m:t>
        </m:r>
      </m:oMath>
      <w:r>
        <w:t xml:space="preserve"> </w:t>
      </w:r>
      <w:r>
        <w:t xml:space="preserve">(vegetation height from land-cover map); SEBAL/METRIC avoid needing</w:t>
      </w:r>
      <w:r>
        <w:t xml:space="preserve"> </w:t>
      </w:r>
      <m:oMath>
        <m:sSub>
          <m:e>
            <m:r>
              <m:t>T</m:t>
            </m:r>
          </m:e>
          <m:sub>
            <m:r>
              <m:t>a</m:t>
            </m:r>
          </m:sub>
        </m:sSub>
      </m:oMath>
      <w:r>
        <w:t xml:space="preserve"> </w:t>
      </w:r>
      <w:r>
        <w:t xml:space="preserve">by calibrating</w:t>
      </w:r>
      <w:r>
        <w:t xml:space="preserve"> </w:t>
      </w:r>
      <m:oMath>
        <m:r>
          <m:t>d</m:t>
        </m:r>
        <m:r>
          <m:t>T</m:t>
        </m:r>
        <m:r>
          <m:rPr>
            <m:sty m:val="p"/>
          </m:rPr>
          <m:t>=</m:t>
        </m:r>
        <m:r>
          <m:t>a</m:t>
        </m:r>
        <m:r>
          <m:rPr>
            <m:sty m:val="p"/>
          </m:rPr>
          <m:t>+</m:t>
        </m:r>
        <m:r>
          <m:t>b</m:t>
        </m:r>
        <m:sSub>
          <m:e>
            <m:r>
              <m:t>T</m:t>
            </m:r>
          </m:e>
          <m:sub>
            <m:r>
              <m:t>s</m:t>
            </m:r>
          </m:sub>
        </m:sSub>
      </m:oMath>
      <w:r>
        <w:t xml:space="preserve"> </w:t>
      </w:r>
      <w:r>
        <w:t xml:space="preserve">between</w:t>
      </w:r>
      <w:r>
        <w:t xml:space="preserve"> </w:t>
      </w:r>
      <w:r>
        <w:rPr>
          <w:bCs/>
          <w:b/>
        </w:rPr>
        <w:t xml:space="preserve">hot (dry, H = Rn − G)</w:t>
      </w:r>
      <w:r>
        <w:t xml:space="preserve"> </w:t>
      </w:r>
      <w:r>
        <w:t xml:space="preserve">and</w:t>
      </w:r>
      <w:r>
        <w:t xml:space="preserve"> </w:t>
      </w:r>
      <w:r>
        <w:rPr>
          <w:bCs/>
          <w:b/>
        </w:rPr>
        <w:t xml:space="preserve">cold (wet, H ≈ 0)</w:t>
      </w:r>
      <w:r>
        <w:t xml:space="preserve"> </w:t>
      </w:r>
      <w:r>
        <w:t xml:space="preserve">anchor pixels.</w:t>
      </w:r>
    </w:p>
    <w:p>
      <w:pPr>
        <w:pStyle w:val="Compact"/>
        <w:numPr>
          <w:ilvl w:val="0"/>
          <w:numId w:val="1214"/>
        </w:numPr>
      </w:pPr>
      <w:r>
        <w:rPr>
          <w:bCs/>
          <w:b/>
        </w:rPr>
        <w:t xml:space="preserve">Latent heat:</w:t>
      </w:r>
      <w:r>
        <w:t xml:space="preserve"> </w:t>
      </w:r>
      <m:oMath>
        <m:r>
          <m:t>L</m:t>
        </m:r>
        <m:r>
          <m:t>E</m:t>
        </m:r>
        <m:r>
          <m:rPr>
            <m:sty m:val="p"/>
          </m:rPr>
          <m:t>=</m:t>
        </m:r>
        <m:sSub>
          <m:e>
            <m:r>
              <m:t>R</m:t>
            </m:r>
          </m:e>
          <m:sub>
            <m:r>
              <m:t>n</m:t>
            </m:r>
          </m:sub>
        </m:sSub>
        <m:r>
          <m:rPr>
            <m:sty m:val="p"/>
          </m:rPr>
          <m:t>−</m:t>
        </m:r>
        <m:r>
          <m:t>H</m:t>
        </m:r>
        <m:r>
          <m:rPr>
            <m:sty m:val="p"/>
          </m:rPr>
          <m:t>−</m:t>
        </m:r>
        <m:r>
          <m:t>G</m:t>
        </m:r>
      </m:oMath>
      <w:r>
        <w:t xml:space="preserve"> </w:t>
      </w:r>
      <w:r>
        <w:t xml:space="preserve">(instantaneous).</w:t>
      </w:r>
    </w:p>
    <w:p>
      <w:pPr>
        <w:pStyle w:val="Compact"/>
        <w:numPr>
          <w:ilvl w:val="0"/>
          <w:numId w:val="1214"/>
        </w:numPr>
      </w:pPr>
      <w:r>
        <w:rPr>
          <w:bCs/>
          <w:b/>
        </w:rPr>
        <w:t xml:space="preserve">Evaporative fraction:</w:t>
      </w:r>
      <w:r>
        <w:t xml:space="preserve"> </w:t>
      </w:r>
      <m:oMath>
        <m:r>
          <m:t>Λ</m:t>
        </m:r>
        <m:r>
          <m:rPr>
            <m:sty m:val="p"/>
          </m:rPr>
          <m:t>=</m:t>
        </m:r>
        <m:f>
          <m:fPr>
            <m:type m:val="bar"/>
          </m:fPr>
          <m:num>
            <m:r>
              <m:t>L</m:t>
            </m:r>
            <m:r>
              <m:t>E</m:t>
            </m:r>
          </m:num>
          <m:den>
            <m:sSub>
              <m:e>
                <m:r>
                  <m:t>R</m:t>
                </m:r>
              </m:e>
              <m:sub>
                <m:r>
                  <m:t>n</m:t>
                </m:r>
              </m:sub>
            </m:sSub>
            <m:r>
              <m:rPr>
                <m:sty m:val="p"/>
              </m:rPr>
              <m:t>−</m:t>
            </m:r>
            <m:r>
              <m:t>G</m:t>
            </m:r>
          </m:den>
        </m:f>
      </m:oMath>
      <w:r>
        <w:t xml:space="preserve"> </w:t>
      </w:r>
      <w:r>
        <w:t xml:space="preserve">— nearly constant through the day, so</w:t>
      </w:r>
      <w:r>
        <w:t xml:space="preserve"> </w:t>
      </w:r>
      <m:oMath>
        <m:r>
          <m:t>E</m:t>
        </m:r>
        <m:sSub>
          <m:e>
            <m:r>
              <m:t>T</m:t>
            </m:r>
          </m:e>
          <m:sub>
            <m:r>
              <m:t>24</m:t>
            </m:r>
          </m:sub>
        </m:sSub>
        <m:r>
          <m:rPr>
            <m:sty m:val="p"/>
          </m:rPr>
          <m:t>=</m:t>
        </m:r>
        <m:r>
          <m:t>Λ</m:t>
        </m:r>
        <m:r>
          <m:t> </m:t>
        </m:r>
        <m:d>
          <m:dPr>
            <m:begChr m:val="("/>
            <m:endChr m:val=")"/>
            <m:sepChr m:val=""/>
            <m:grow/>
          </m:dPr>
          <m:e>
            <m:sSub>
              <m:e>
                <m:r>
                  <m:t>R</m:t>
                </m:r>
              </m:e>
              <m:sub>
                <m:r>
                  <m:t>n</m:t>
                </m:r>
                <m:r>
                  <m:rPr>
                    <m:sty m:val="p"/>
                  </m:rPr>
                  <m:t>,</m:t>
                </m:r>
                <m:r>
                  <m:t>24</m:t>
                </m:r>
              </m:sub>
            </m:sSub>
            <m:r>
              <m:rPr>
                <m:sty m:val="p"/>
              </m:rPr>
              <m:t>−</m:t>
            </m:r>
            <m:sSub>
              <m:e>
                <m:r>
                  <m:t>G</m:t>
                </m:r>
              </m:e>
              <m:sub>
                <m:r>
                  <m:t>24</m:t>
                </m:r>
              </m:sub>
            </m:sSub>
          </m:e>
        </m:d>
        <m:r>
          <m:rPr>
            <m:sty m:val="p"/>
          </m:rPr>
          <m:t>/</m:t>
        </m:r>
        <m:r>
          <m:t>λ</m:t>
        </m:r>
      </m:oMath>
      <w:r>
        <w:t xml:space="preserve">.</w:t>
      </w:r>
    </w:p>
    <w:p>
      <w:pPr>
        <w:pStyle w:val="Compact"/>
        <w:numPr>
          <w:ilvl w:val="0"/>
          <w:numId w:val="1214"/>
        </w:numPr>
      </w:pPr>
      <w:r>
        <w:t xml:space="preserve">Validate against lysimeters, EC towers or scintillometers; aggregate in time using reference ET fraction (</w:t>
      </w:r>
      <m:oMath>
        <m:r>
          <m:t>E</m:t>
        </m:r>
        <m:sSub>
          <m:e>
            <m:r>
              <m:t>T</m:t>
            </m:r>
          </m:e>
          <m:sub>
            <m:r>
              <m:t>r</m:t>
            </m:r>
          </m:sub>
        </m:sSub>
        <m:r>
          <m:t>F</m:t>
        </m:r>
        <m:r>
          <m:rPr>
            <m:sty m:val="p"/>
          </m:rPr>
          <m:t>=</m:t>
        </m:r>
        <m:r>
          <m:t>E</m:t>
        </m:r>
        <m:r>
          <m:t>T</m:t>
        </m:r>
        <m:r>
          <m:rPr>
            <m:sty m:val="p"/>
          </m:rPr>
          <m:t>/</m:t>
        </m:r>
        <m:r>
          <m:t>E</m:t>
        </m:r>
        <m:sSub>
          <m:e>
            <m:r>
              <m:t>T</m:t>
            </m:r>
          </m:e>
          <m:sub>
            <m:r>
              <m:t>r</m:t>
            </m:r>
          </m:sub>
        </m:sSub>
      </m:oMath>
      <w:r>
        <w:t xml:space="preserve"> </w:t>
      </w:r>
      <w:r>
        <w:t xml:space="preserve">in METRIC).</w:t>
      </w:r>
    </w:p>
    <w:p>
      <w:pPr>
        <w:pStyle w:val="CaptionedFigure"/>
      </w:pPr>
      <w:r>
        <w:drawing>
          <wp:inline>
            <wp:extent cx="5334000" cy="2867024"/>
            <wp:effectExtent b="0" l="0" r="0" t="0"/>
            <wp:docPr descr="Remote-sensing surface energy balance ET model" title="" id="99" name="Picture"/>
            <a:graphic>
              <a:graphicData uri="http://schemas.openxmlformats.org/drawingml/2006/picture">
                <pic:pic>
                  <pic:nvPicPr>
                    <pic:cNvPr descr="/tmp/claude-0/-home-user-sonu/ab07c29a-21cd-5a4a-9d2d-68ad72d07153/scratchpad/build/../flows/flow_020.png" id="100" name="Picture"/>
                    <pic:cNvPicPr>
                      <a:picLocks noChangeArrowheads="1" noChangeAspect="1"/>
                    </pic:cNvPicPr>
                  </pic:nvPicPr>
                  <pic:blipFill>
                    <a:blip r:embed="rId98"/>
                    <a:stretch>
                      <a:fillRect/>
                    </a:stretch>
                  </pic:blipFill>
                  <pic:spPr bwMode="auto">
                    <a:xfrm>
                      <a:off x="0" y="0"/>
                      <a:ext cx="5334000" cy="2867024"/>
                    </a:xfrm>
                    <a:prstGeom prst="rect">
                      <a:avLst/>
                    </a:prstGeom>
                    <a:noFill/>
                    <a:ln w="9525">
                      <a:noFill/>
                      <a:headEnd/>
                      <a:tailEnd/>
                    </a:ln>
                  </pic:spPr>
                </pic:pic>
              </a:graphicData>
            </a:graphic>
          </wp:inline>
        </w:drawing>
      </w:r>
    </w:p>
    <w:p>
      <w:pPr>
        <w:pStyle w:val="ImageCaption"/>
      </w:pPr>
      <w:r>
        <w:t xml:space="preserve">Remote-sensing surface energy balance ET model</w:t>
      </w:r>
    </w:p>
    <w:p>
      <w:pPr>
        <w:pStyle w:val="BodyText"/>
      </w:pPr>
      <w:r>
        <w:rPr>
          <w:bCs/>
          <w:b/>
        </w:rPr>
        <w:t xml:space="preserve">Case example (Doon Valley, IIRS):</w:t>
      </w:r>
      <w:r>
        <w:t xml:space="preserve"> </w:t>
      </w:r>
      <w:r>
        <w:t xml:space="preserve">Landsat TM optical and thermal bands with ground meteorological data produced regional maps of albedo, surface temperature, net radiation and daily ET, showing low ET over bare and urban land and high ET over forests and irrigated crops.</w:t>
      </w:r>
    </w:p>
    <w:p>
      <w:pPr>
        <w:pStyle w:val="BodyText"/>
      </w:pPr>
      <w:r>
        <w:rPr>
          <w:bCs/>
          <w:b/>
        </w:rPr>
        <w:t xml:space="preserve">Applications:</w:t>
      </w:r>
      <w:r>
        <w:t xml:space="preserve"> </w:t>
      </w:r>
      <w:r>
        <w:t xml:space="preserve">irrigation scheduling and performance of command areas (actual vs. potential ET), crop water productivity (yield/ET), agricultural drought (ET deficit indices such as ESI, ETDI), water accounting in river basins, validation of hydrological models, crop yield models (water-limited production).</w:t>
      </w:r>
    </w:p>
    <w:p>
      <w:pPr>
        <w:pStyle w:val="Heading3"/>
      </w:pPr>
      <w:r>
        <w:t xml:space="preserve">27.5.1 Likely interview questions</w:t>
      </w:r>
    </w:p>
    <w:p>
      <w:pPr>
        <w:pStyle w:val="FirstParagraph"/>
      </w:pPr>
      <w:r>
        <w:rPr>
          <w:bCs/>
          <w:b/>
        </w:rPr>
        <w:t xml:space="preserve">Q. Define ET₀ and its reference surface.</w:t>
      </w:r>
      <w:r>
        <w:t xml:space="preserve"> </w:t>
      </w:r>
      <w:r>
        <w:t xml:space="preserve">ET of hypothetical grass 0.12 m tall,</w:t>
      </w:r>
      <w:r>
        <w:t xml:space="preserve"> </w:t>
      </w:r>
      <m:oMath>
        <m:sSub>
          <m:e>
            <m:r>
              <m:t>r</m:t>
            </m:r>
          </m:e>
          <m:sub>
            <m:r>
              <m:t>s</m:t>
            </m:r>
          </m:sub>
        </m:sSub>
      </m:oMath>
      <w:r>
        <w:t xml:space="preserve"> </w:t>
      </w:r>
      <w:r>
        <w:t xml:space="preserve">= 70 s m⁻¹, albedo 0.23, well-watered; depends only on weather.</w:t>
      </w:r>
    </w:p>
    <w:p>
      <w:pPr>
        <w:pStyle w:val="BodyText"/>
      </w:pPr>
      <w:r>
        <w:rPr>
          <w:bCs/>
          <w:b/>
        </w:rPr>
        <w:t xml:space="preserve">Q. What is the crop coefficient and how does it vary through the season?</w:t>
      </w:r>
      <w:r>
        <w:t xml:space="preserve"> </w:t>
      </w:r>
      <w:r>
        <w:t xml:space="preserve">Ratio ETc/ET₀; low initial, rising during development, peak at mid-season (~1.05–1.25), declining at late season.</w:t>
      </w:r>
    </w:p>
    <w:p>
      <w:pPr>
        <w:pStyle w:val="BodyText"/>
      </w:pPr>
      <w:r>
        <w:rPr>
          <w:bCs/>
          <w:b/>
        </w:rPr>
        <w:t xml:space="preserve">Q. Name temperature-only and radiation-based ET₀ methods.</w:t>
      </w:r>
      <w:r>
        <w:t xml:space="preserve"> </w:t>
      </w:r>
      <w:r>
        <w:t xml:space="preserve">Hargreaves–Samani, Thornthwaite, Blaney–Criddle (temperature); Priestley–Taylor, radiation method (radiation).</w:t>
      </w:r>
    </w:p>
    <w:p>
      <w:pPr>
        <w:pStyle w:val="BodyText"/>
      </w:pPr>
      <w:r>
        <w:rPr>
          <w:bCs/>
          <w:b/>
        </w:rPr>
        <w:t xml:space="preserve">Q. How does SEBAL estimate H without air temperature?</w:t>
      </w:r>
      <w:r>
        <w:t xml:space="preserve"> </w:t>
      </w:r>
      <w:r>
        <w:t xml:space="preserve">It assumes a linear relation between near-surface temperature difference and Ts, calibrated with hot and cold anchor pixels.</w:t>
      </w:r>
    </w:p>
    <w:p>
      <w:pPr>
        <w:pStyle w:val="BodyText"/>
      </w:pPr>
      <w:r>
        <w:rPr>
          <w:bCs/>
          <w:b/>
        </w:rPr>
        <w:t xml:space="preserve">Q. Why is evaporative fraction used?</w:t>
      </w:r>
      <w:r>
        <w:t xml:space="preserve"> </w:t>
      </w:r>
      <w:r>
        <w:t xml:space="preserve">It stays nearly constant during the day, allowing a single satellite overpass to be scaled to daily ET.</w:t>
      </w:r>
    </w:p>
    <w:p>
      <w:pPr>
        <w:pStyle w:val="Heading2"/>
      </w:pPr>
      <w:r>
        <w:t xml:space="preserve">27.6 Psychrometrics and Evapotranspiration</w:t>
      </w:r>
    </w:p>
    <w:p>
      <w:pPr>
        <w:pStyle w:val="FirstParagraph"/>
      </w:pPr>
      <w:r>
        <w:rPr>
          <w:bCs/>
          <w:b/>
        </w:rPr>
        <w:t xml:space="preserve">Clausius–Clapeyron equation:</w:t>
      </w:r>
      <w:r>
        <w:t xml:space="preserve"> </w:t>
      </w:r>
      <w:r>
        <w:t xml:space="preserve">d(es)/dT = (λ es)/(Rv T²) — governs the exponential rise of saturation vapour pressure with temperature; Rv = 461.5 J kg⁻¹K⁻¹ (specific gas constant for water vapour), λ = latent heat of vaporisation.</w:t>
      </w:r>
    </w:p>
    <w:p>
      <w:pPr>
        <w:pStyle w:val="BodyText"/>
      </w:pPr>
      <w:r>
        <w:rPr>
          <w:bCs/>
          <w:b/>
        </w:rPr>
        <w:t xml:space="preserve">Latent heat of vaporisation (temperature dependence):</w:t>
      </w:r>
      <w:r>
        <w:t xml:space="preserve"> </w:t>
      </w:r>
      <w:r>
        <w:t xml:space="preserve">λ = 2.501 − 0.002361×T (MJ kg⁻¹, T in °C) — λ decreases slightly as temperature rises (less energy needed to vaporise already-more-energetic warm water molecules); commonly approximated as a constant 2.45 MJ kg⁻¹ at 20°C for FAO-56 daily-timestep calculations.</w:t>
      </w:r>
    </w:p>
    <w:p>
      <w:pPr>
        <w:pStyle w:val="BodyText"/>
      </w:pPr>
      <w:r>
        <w:rPr>
          <w:bCs/>
          <w:b/>
        </w:rPr>
        <w:t xml:space="preserve">Relative humidity:</w:t>
      </w:r>
      <w:r>
        <w:t xml:space="preserve"> </w:t>
      </w:r>
      <w:r>
        <w:t xml:space="preserve">RH = (ea/es) × 100% — ratio of actual to saturation vapour pressure at the same temperature.</w:t>
      </w:r>
    </w:p>
    <w:p>
      <w:pPr>
        <w:pStyle w:val="BodyText"/>
      </w:pPr>
      <w:r>
        <w:rPr>
          <w:bCs/>
          <w:b/>
        </w:rPr>
        <w:t xml:space="preserve">Dew point temperature (Td):</w:t>
      </w:r>
      <w:r>
        <w:t xml:space="preserve"> </w:t>
      </w:r>
      <w:r>
        <w:t xml:space="preserve">the temperature at which ea = es(Td); found by inverting the Tetens formula. Used to interpret psychrometer/hygrometer readings and IRGA/radiosonde humidity data.</w:t>
      </w:r>
    </w:p>
    <w:p>
      <w:pPr>
        <w:pStyle w:val="BodyText"/>
      </w:pPr>
      <w:r>
        <w:rPr>
          <w:bCs/>
          <w:b/>
        </w:rPr>
        <w:t xml:space="preserve">Vapour Pressure Deficit (VPD):</w:t>
      </w:r>
      <w:r>
        <w:t xml:space="preserve"> </w:t>
      </w:r>
      <w:r>
        <w:t xml:space="preserve">VPD = es − ea — the key atmospheric-demand driver of transpiration; widely used (alongside SIF, Chapter 2) as a physiological plant-stress indicator, since stomata close progressively as VPD rises beyond a species-specific threshold.</w:t>
      </w:r>
    </w:p>
    <w:p>
      <w:pPr>
        <w:pStyle w:val="BodyText"/>
      </w:pPr>
      <w:r>
        <w:rPr>
          <w:bCs/>
          <w:b/>
        </w:rPr>
        <w:t xml:space="preserve">Hargreaves–Samani equation</w:t>
      </w:r>
      <w:r>
        <w:t xml:space="preserve"> </w:t>
      </w:r>
      <w:r>
        <w:t xml:space="preserve">(a simpler ET0 alternative to Penman-Monteith when only temperature data are available): ET0 = 0.0023 × (Tmean+17.8) × (Tmax−Tmin)^0.5 × Ra, where Ra is extraterrestrial radiation (MJ m⁻²day⁻¹, computed astronomically from latitude and day-of-year) — useful where wind/humidity AWS data are missing, at some accuracy cost relative to full Penman–Monteith.</w:t>
      </w:r>
    </w:p>
    <w:p>
      <w:pPr>
        <w:pStyle w:val="BodyText"/>
      </w:pPr>
      <w:r>
        <w:rPr>
          <w:bCs/>
          <w:b/>
        </w:rPr>
        <w:t xml:space="preserve">Crop evapotranspiration under standard conditions:</w:t>
      </w:r>
      <w:r>
        <w:t xml:space="preserve"> </w:t>
      </w:r>
      <w:r>
        <w:t xml:space="preserve">ETc = Kc × ET0 — Kc is the crop coefficient, varying through four FAO-56 growth stages (initial, development, mid-season, late-season), each with its own tabulated Kc value (e.g., rice mid-season Kc ≈ 1.05–1.20, wheat mid-season Kc ≈ 1.10–1.15).</w:t>
      </w:r>
    </w:p>
    <w:p>
      <w:pPr>
        <w:pStyle w:val="BodyText"/>
      </w:pPr>
      <w:r>
        <w:rPr>
          <w:bCs/>
          <w:b/>
        </w:rPr>
        <w:t xml:space="preserve">Water balance / soil-moisture accounting equation:</w:t>
      </w:r>
      <w:r>
        <w:t xml:space="preserve"> </w:t>
      </w:r>
      <w:r>
        <w:t xml:space="preserve">ΔSW = P + I − ETc − RO − DP — change in stored soil water equals precipitation plus irrigation minus crop evapotranspiration minus runoff minus deep percolation; the fundamental accounting equation behind WRSI-type agricultural drought indices.</w:t>
      </w:r>
    </w:p>
    <w:p>
      <w:pPr>
        <w:pStyle w:val="Heading2"/>
      </w:pPr>
      <w:r>
        <w:t xml:space="preserve">27.7 FAO-56 Penman–Monteith Reference Evapotranspiration — Worked Example</w:t>
      </w:r>
    </w:p>
    <w:p>
      <w:pPr>
        <w:pStyle w:val="FirstParagraph"/>
      </w:pPr>
      <w:r>
        <w:rPr>
          <w:bCs/>
          <w:b/>
        </w:rPr>
        <w:t xml:space="preserve">Problem:</w:t>
      </w:r>
      <w:r>
        <w:t xml:space="preserve"> </w:t>
      </w:r>
      <w:r>
        <w:t xml:space="preserve">Compute daily ET0 given: mean temperature T = 30°C, net radiation Rn = 15 MJ m⁻² day⁻¹, soil heat flux G ≈ 0 (daily timestep approximation), wind speed at 2 m u2 = 2.0 m s⁻¹, actual vapour pressure ea = 1.6 kPa, atmospheric pressure P = 101.3 kPa.</w:t>
      </w:r>
    </w:p>
    <w:p>
      <w:pPr>
        <w:pStyle w:val="BodyText"/>
      </w:pPr>
      <w:r>
        <w:rPr>
          <w:bCs/>
          <w:b/>
        </w:rPr>
        <w:t xml:space="preserve">Step 1 — Saturation vapour pressure es.</w:t>
      </w:r>
      <w:r>
        <w:t xml:space="preserve"> </w:t>
      </w:r>
      <w:r>
        <w:t xml:space="preserve">es = 0.6108 × exp[17.27×30/(30+237.3)] = 0.6108 × exp[518.1/267.3] = 0.6108 × exp(1.938) = 0.6108 × 6.943 =</w:t>
      </w:r>
      <w:r>
        <w:t xml:space="preserve"> </w:t>
      </w:r>
      <w:r>
        <w:rPr>
          <w:bCs/>
          <w:b/>
        </w:rPr>
        <w:t xml:space="preserve">4.242 kPa</w:t>
      </w:r>
    </w:p>
    <w:p>
      <w:pPr>
        <w:pStyle w:val="BodyText"/>
      </w:pPr>
      <w:r>
        <w:rPr>
          <w:bCs/>
          <w:b/>
        </w:rPr>
        <w:t xml:space="preserve">Step 2 — Vapour pressure deficit.</w:t>
      </w:r>
      <w:r>
        <w:t xml:space="preserve"> </w:t>
      </w:r>
      <w:r>
        <w:t xml:space="preserve">es − ea = 4.242 − 1.6 =</w:t>
      </w:r>
      <w:r>
        <w:t xml:space="preserve"> </w:t>
      </w:r>
      <w:r>
        <w:rPr>
          <w:bCs/>
          <w:b/>
        </w:rPr>
        <w:t xml:space="preserve">2.642 kPa</w:t>
      </w:r>
    </w:p>
    <w:p>
      <w:pPr>
        <w:pStyle w:val="BodyText"/>
      </w:pPr>
      <w:r>
        <w:rPr>
          <w:bCs/>
          <w:b/>
        </w:rPr>
        <w:t xml:space="preserve">Step 3 — Slope of saturation vapour pressure curve, Δ.</w:t>
      </w:r>
      <w:r>
        <w:t xml:space="preserve"> </w:t>
      </w:r>
      <w:r>
        <w:t xml:space="preserve">Δ = 4098 × es / (T+237.3)² = 4098 × 4.242 / (267.3)² = 17384 / 71449 =</w:t>
      </w:r>
      <w:r>
        <w:t xml:space="preserve"> </w:t>
      </w:r>
      <w:r>
        <w:rPr>
          <w:bCs/>
          <w:b/>
        </w:rPr>
        <w:t xml:space="preserve">0.2433 kPa °C⁻¹</w:t>
      </w:r>
    </w:p>
    <w:p>
      <w:pPr>
        <w:pStyle w:val="BodyText"/>
      </w:pPr>
      <w:r>
        <w:rPr>
          <w:bCs/>
          <w:b/>
        </w:rPr>
        <w:t xml:space="preserve">Step 4 — Psychrometric constant γ</w:t>
      </w:r>
      <w:r>
        <w:t xml:space="preserve"> </w:t>
      </w:r>
      <w:r>
        <w:t xml:space="preserve">(using γ ≈ 0.665×10⁻³ × P): γ = 0.000665 × 101.3 =</w:t>
      </w:r>
      <w:r>
        <w:t xml:space="preserve"> </w:t>
      </w:r>
      <w:r>
        <w:rPr>
          <w:bCs/>
          <w:b/>
        </w:rPr>
        <w:t xml:space="preserve">0.0674 kPa °C⁻¹</w:t>
      </w:r>
    </w:p>
    <w:p>
      <w:pPr>
        <w:pStyle w:val="BodyText"/>
      </w:pPr>
      <w:r>
        <w:rPr>
          <w:bCs/>
          <w:b/>
        </w:rPr>
        <w:t xml:space="preserve">Step 5 — Apply the Penman–Monteith equation.</w:t>
      </w:r>
      <w:r>
        <w:t xml:space="preserve"> </w:t>
      </w:r>
      <w:r>
        <w:t xml:space="preserve">ET0 = [0.408×Δ×(Rn−G) + γ×(900/(T+273))×u2×(es−ea)] / [Δ + γ(1+0.34u2)]</w:t>
      </w:r>
    </w:p>
    <w:p>
      <w:pPr>
        <w:pStyle w:val="BodyText"/>
      </w:pPr>
      <w:r>
        <w:t xml:space="preserve">Numerator term 1: 0.408 × 0.2433 × 15 = 1.489 Numerator term 2: 0.0674 × (900/303) × 2.0 × 2.642 = 0.0674 × 2.9703 × 2.0 × 2.642 = 1.0575 Numerator total = 1.489 + 1.058 = 2.547</w:t>
      </w:r>
    </w:p>
    <w:p>
      <w:pPr>
        <w:pStyle w:val="BodyText"/>
      </w:pPr>
      <w:r>
        <w:t xml:space="preserve">Denominator: 0.2433 + 0.0674×(1+0.34×2.0) = 0.2433 + 0.0674×1.68 = 0.2433 + 0.1132 = 0.3565</w:t>
      </w:r>
    </w:p>
    <w:p>
      <w:pPr>
        <w:pStyle w:val="BodyText"/>
      </w:pPr>
      <w:r>
        <w:rPr>
          <w:bCs/>
          <w:b/>
        </w:rPr>
        <w:t xml:space="preserve">ET0 = 2.547 / 0.3565 ≈ 7.14 mm day⁻¹</w:t>
      </w:r>
    </w:p>
    <w:p>
      <w:pPr>
        <w:pStyle w:val="BodyText"/>
      </w:pPr>
      <w:r>
        <w:rPr>
          <w:bCs/>
          <w:b/>
        </w:rPr>
        <w:t xml:space="preserve">Interpretation:</w:t>
      </w:r>
      <w:r>
        <w:t xml:space="preserve"> </w:t>
      </w:r>
      <w:r>
        <w:t xml:space="preserve">~7 mm/day is a plausible reference-ET value for a hot (30°C), moderately dry, moderately windy day — consistent with peak-summer conditions in much of India, and the kind of value used to multiply by a crop coefficient Kc (e.g., Kc≈1.15 for peak-stage rice) to obtain crop water requirement.</w:t>
      </w:r>
    </w:p>
    <w:p>
      <w:pPr>
        <w:pStyle w:val="Heading2"/>
      </w:pPr>
      <w:r>
        <w:t xml:space="preserve">27.8 Evapotranspiration Estimation via Surface Energy Balance Models</w:t>
      </w:r>
    </w:p>
    <w:p>
      <w:pPr>
        <w:pStyle w:val="Heading3"/>
      </w:pPr>
      <w:r>
        <w:t xml:space="preserve">27.8.1 Conceptual Surface Energy Balance</w:t>
      </w:r>
    </w:p>
    <w:p>
      <w:pPr>
        <w:pStyle w:val="FirstParagraph"/>
      </w:pPr>
      <w:r>
        <w:t xml:space="preserve">The surface energy balance equation partitions net radiation into three flux terms:</w:t>
      </w:r>
    </w:p>
    <w:p>
      <w:pPr>
        <w:pStyle w:val="BodyText"/>
      </w:pPr>
      <w:r>
        <w:rPr>
          <w:bCs/>
          <w:b/>
        </w:rPr>
        <w:t xml:space="preserve">Rn = G + H + LE</w:t>
      </w:r>
    </w:p>
    <w:p>
      <w:pPr>
        <w:pStyle w:val="BodyText"/>
      </w:pPr>
      <w:r>
        <w:t xml:space="preserve">where</w:t>
      </w:r>
      <w:r>
        <w:t xml:space="preserve"> </w:t>
      </w:r>
      <w:r>
        <w:rPr>
          <w:bCs/>
          <w:b/>
        </w:rPr>
        <w:t xml:space="preserve">Rn</w:t>
      </w:r>
      <w:r>
        <w:t xml:space="preserve"> </w:t>
      </w:r>
      <w:r>
        <w:t xml:space="preserve">is net radiation (incoming shortwave and longwave minus outgoing/reflected shortwave and emitted longwave, W/m²),</w:t>
      </w:r>
      <w:r>
        <w:t xml:space="preserve"> </w:t>
      </w:r>
      <w:r>
        <w:rPr>
          <w:bCs/>
          <w:b/>
        </w:rPr>
        <w:t xml:space="preserve">G</w:t>
      </w:r>
      <w:r>
        <w:t xml:space="preserve"> </w:t>
      </w:r>
      <w:r>
        <w:t xml:space="preserve">is soil heat flux (conduction into/out of the soil),</w:t>
      </w:r>
      <w:r>
        <w:t xml:space="preserve"> </w:t>
      </w:r>
      <w:r>
        <w:rPr>
          <w:bCs/>
          <w:b/>
        </w:rPr>
        <w:t xml:space="preserve">H</w:t>
      </w:r>
      <w:r>
        <w:t xml:space="preserve"> </w:t>
      </w:r>
      <w:r>
        <w:t xml:space="preserve">is sensible heat flux (heat transferred to the atmosphere by convection, driving air temperature change), and</w:t>
      </w:r>
      <w:r>
        <w:t xml:space="preserve"> </w:t>
      </w:r>
      <w:r>
        <w:rPr>
          <w:bCs/>
          <w:b/>
        </w:rPr>
        <w:t xml:space="preserve">LE</w:t>
      </w:r>
      <w:r>
        <w:t xml:space="preserve"> </w:t>
      </w:r>
      <w:r>
        <w:t xml:space="preserve">is latent heat flux (energy consumed in evaporating/transpiring water — the term of interest, directly convertible to ET in mm using the latent heat of vaporization, ~2.45 MJ/kg). Since Rn and G can be estimated relatively directly from remote sensing (radiation balance components) and near-surface data, and H can be estimated from the temperature gradient between the surface and a reference height using aerodynamic resistance formulations,</w:t>
      </w:r>
      <w:r>
        <w:t xml:space="preserve"> </w:t>
      </w:r>
      <w:r>
        <w:rPr>
          <w:bCs/>
          <w:b/>
        </w:rPr>
        <w:t xml:space="preserve">LE (and hence ET) is typically retrieved as the residual of the energy balance equation</w:t>
      </w:r>
      <w:r>
        <w:t xml:space="preserve">: LE = Rn − G − H.</w:t>
      </w:r>
    </w:p>
    <w:p>
      <w:pPr>
        <w:pStyle w:val="Heading3"/>
      </w:pPr>
      <w:r>
        <w:t xml:space="preserve">27.8.2 SEBAL (Surface Energy Balance Algorithm for Land)</w:t>
      </w:r>
    </w:p>
    <w:p>
      <w:pPr>
        <w:pStyle w:val="FirstParagraph"/>
      </w:pPr>
      <w:r>
        <w:t xml:space="preserve">Developed by Bastiaanssen et al. (1998), SEBAL estimates all energy balance components using satellite-derived surface albedo, NDVI/LAI, and land surface temperature, combined with minimal ground meteorological data. Its distinguishing feature is the use of two anchor pixels within the image — a</w:t>
      </w:r>
      <w:r>
        <w:t xml:space="preserve"> </w:t>
      </w:r>
      <w:r>
        <w:t xml:space="preserve">“</w:t>
      </w:r>
      <w:r>
        <w:t xml:space="preserve">hot/dry</w:t>
      </w:r>
      <w:r>
        <w:t xml:space="preserve">”</w:t>
      </w:r>
      <w:r>
        <w:t xml:space="preserve"> </w:t>
      </w:r>
      <w:r>
        <w:t xml:space="preserve">pixel (bare, dry soil where LE ≈ 0 and H accounts for nearly all available energy) and a</w:t>
      </w:r>
      <w:r>
        <w:t xml:space="preserve"> </w:t>
      </w:r>
      <w:r>
        <w:t xml:space="preserve">“</w:t>
      </w:r>
      <w:r>
        <w:t xml:space="preserve">cold/wet</w:t>
      </w:r>
      <w:r>
        <w:t xml:space="preserve">”</w:t>
      </w:r>
      <w:r>
        <w:t xml:space="preserve"> </w:t>
      </w:r>
      <w:r>
        <w:t xml:space="preserve">pixel (well-watered, full-cover vegetation where H is minimal and LE is near-potential) — to calibrate an empirical linear relationship between the near-surface temperature gradient (dT) and land surface temperature (LST) for computing sensible heat flux (H) across the scene without needing absolute air temperature calibration. This self-calibration makes SEBAL relatively insensitive to LST absolute bias, a major practical advantage.</w:t>
      </w:r>
    </w:p>
    <w:p>
      <w:pPr>
        <w:pStyle w:val="Heading3"/>
      </w:pPr>
      <w:r>
        <w:t xml:space="preserve">27.8.3 METRIC (Mapping EvapoTranspiration at high Resolution with Internalized Calibration)</w:t>
      </w:r>
    </w:p>
    <w:p>
      <w:pPr>
        <w:pStyle w:val="FirstParagraph"/>
      </w:pPr>
      <w:r>
        <w:t xml:space="preserve">METRIC (Allen et al., 2007) is a refinement of SEBAL adapted for agricultural applications, most notably using Landsat-resolution imagery combined with hourly/daily reference ET (ETr, computed from ground weather stations via the ASCE-standardized Penman-Monteith equation) to calibrate the cold-pixel LE to represent near-potential/reference ET rather than zero sensible heat, improving accuracy over agricultural landscapes with actively growing, well-irrigated crops. METRIC computes an instantaneous ET fraction (ETrF = ETinst/ETr, analogous to a crop coefficient) at the satellite overpass time, which is then extrapolated to daily/seasonal ET using the reference ET time series from ground stations, enabling seasonal water-use accounting for irrigation districts — a widely used application in the western United States and increasingly in Indian canal command area water-accounting studies.</w:t>
      </w:r>
    </w:p>
    <w:p>
      <w:pPr>
        <w:pStyle w:val="Heading3"/>
      </w:pPr>
      <w:r>
        <w:t xml:space="preserve">27.8.4 SEBS (Surface Energy Balance System)</w:t>
      </w:r>
    </w:p>
    <w:p>
      <w:pPr>
        <w:pStyle w:val="FirstParagraph"/>
      </w:pPr>
      <w:r>
        <w:t xml:space="preserve">SEBS (Su, 2002) differs by using physically-based (rather than purely empirical anchor-pixel) formulations for roughness length for heat transfer and by explicitly computing the ET as a fraction between the actual sensible heat flux and two limiting cases: the fully dry limit (LE = 0, all available energy as H) and the fully wet limit (H = 0, all available energy as LE, computed via the Penman-Monteith wet-limit formulation). SEBS thus produces an</w:t>
      </w:r>
      <w:r>
        <w:t xml:space="preserve"> </w:t>
      </w:r>
      <w:r>
        <w:t xml:space="preserve">“</w:t>
      </w:r>
      <w:r>
        <w:t xml:space="preserve">evaporative fraction</w:t>
      </w:r>
      <w:r>
        <w:t xml:space="preserve">”</w:t>
      </w:r>
      <w:r>
        <w:t xml:space="preserve"> </w:t>
      </w:r>
      <w:r>
        <w:t xml:space="preserve">without requiring extreme pixel selection within the specific scene, making it somewhat more robust for heterogeneous or partly cloud-obscured images, though it depends more heavily on accurate roughness and atmospheric boundary-layer parameterizations.</w:t>
      </w:r>
    </w:p>
    <w:p>
      <w:pPr>
        <w:pStyle w:val="Heading3"/>
      </w:pPr>
      <w:r>
        <w:t xml:space="preserve">27.8.5 Comparative Notes</w:t>
      </w:r>
    </w:p>
    <w:p>
      <w:pPr>
        <w:pStyle w:val="FirstParagraph"/>
      </w:pPr>
      <w:r>
        <w:t xml:space="preserve">All three models (SEBAL, METRIC, SEBS) are single-source (treating the surface as one uniform temperature source, without separate soil and canopy temperature partitioning), in contrast to two-source energy balance (TSEB) models (Norman et al., 1995; Kustas &amp; Anderson) that explicitly separate soil and vegetation temperature and flux contributions, generally improving accuracy over partial-canopy/row crops and mixed pixels. Comparative studies generally find comparable performance among SEBAL, METRIC, and SEBS at daily-to-seasonal timescales (RMSE typically 0.5–1.5 mm/day against eddy covariance/lysimeter data), with model choice often driven by data availability (ground meteorological network density) and calibration complexity rather than intrinsic superiority of one algorithm.</w:t>
      </w:r>
    </w:p>
    <w:p>
      <w:pPr>
        <w:pStyle w:val="Heading2"/>
      </w:pPr>
      <w:r>
        <w:t xml:space="preserve">27.9 Soil-Plant-Atmosphere Water Balance</w:t>
      </w:r>
    </w:p>
    <w:p>
      <w:pPr>
        <w:pStyle w:val="FirstParagraph"/>
      </w:pPr>
      <w:r>
        <w:t xml:space="preserve">The daily/weekly soil water balance equation, central to irrigation scheduling models (and to satellite/model-based soil moisture accounting), is:</w:t>
      </w:r>
    </w:p>
    <w:p>
      <w:pPr>
        <w:pStyle w:val="BodyText"/>
      </w:pPr>
      <w:r>
        <w:rPr>
          <w:iCs/>
          <w:i/>
        </w:rPr>
        <w:t xml:space="preserve">ΔSW = P + I − ET − RO − D</w:t>
      </w:r>
    </w:p>
    <w:p>
      <w:pPr>
        <w:numPr>
          <w:ilvl w:val="0"/>
          <w:numId w:val="1215"/>
        </w:numPr>
      </w:pPr>
      <w:r>
        <w:t xml:space="preserve">ΔSW = change in soil water storage</w:t>
      </w:r>
    </w:p>
    <w:p>
      <w:pPr>
        <w:numPr>
          <w:ilvl w:val="0"/>
          <w:numId w:val="1215"/>
        </w:numPr>
      </w:pPr>
      <w:r>
        <w:t xml:space="preserve">P = precipitation; I = irrigation input</w:t>
      </w:r>
    </w:p>
    <w:p>
      <w:pPr>
        <w:numPr>
          <w:ilvl w:val="0"/>
          <w:numId w:val="1215"/>
        </w:numPr>
      </w:pPr>
      <w:r>
        <w:t xml:space="preserve">ET = actual evapotranspiration (crop water use)</w:t>
      </w:r>
    </w:p>
    <w:p>
      <w:pPr>
        <w:numPr>
          <w:ilvl w:val="0"/>
          <w:numId w:val="1215"/>
        </w:numPr>
      </w:pPr>
      <w:r>
        <w:t xml:space="preserve">RO = surface runoff</w:t>
      </w:r>
    </w:p>
    <w:p>
      <w:pPr>
        <w:numPr>
          <w:ilvl w:val="0"/>
          <w:numId w:val="1215"/>
        </w:numPr>
      </w:pPr>
      <w:r>
        <w:t xml:space="preserve">D = deep drainage/percolation below the root zone</w:t>
      </w:r>
    </w:p>
    <w:p>
      <w:pPr>
        <w:pStyle w:val="FirstParagraph"/>
      </w:pPr>
      <w:r>
        <w:t xml:space="preserve">Operational irrigation-scheduling and drought early-warning tools track the Crop Water Stress Index (CWSI), computed from canopy-minus-air temperature differences (thermal remote sensing), and the Soil Moisture Deficit/Anomaly, increasingly derived from satellite passive-microwave sensors (e.g., SMAP) or SAR backscatter, in addition to the classical water-balance bookkeeping approach.</w:t>
      </w:r>
    </w:p>
    <w:p>
      <w:pPr>
        <w:pStyle w:val="Heading1"/>
      </w:pPr>
      <w:r>
        <w:t xml:space="preserve">Chapter 28. Heat Units, Thermal Time and Light Use Efficiency</w:t>
      </w:r>
    </w:p>
    <w:p>
      <w:pPr>
        <w:pStyle w:val="Heading2"/>
      </w:pPr>
      <w:r>
        <w:t xml:space="preserve">28.1 Why Thermal Time?</w:t>
      </w:r>
    </w:p>
    <w:p>
      <w:pPr>
        <w:pStyle w:val="FirstParagraph"/>
      </w:pPr>
      <w:r>
        <w:t xml:space="preserve">Plant development (germination, leaf appearance, flowering, maturity) proceeds faster at higher temperature (within limits). Calendar days are therefore a poor measure of development across seasons and locations;</w:t>
      </w:r>
      <w:r>
        <w:t xml:space="preserve"> </w:t>
      </w:r>
      <w:r>
        <w:rPr>
          <w:bCs/>
          <w:b/>
        </w:rPr>
        <w:t xml:space="preserve">thermal time</w:t>
      </w:r>
      <w:r>
        <w:t xml:space="preserve"> </w:t>
      </w:r>
      <w:r>
        <w:t xml:space="preserve">— temperature accumulated above a base — is much more conservative. Réaumur (1735) first noted that the sum of daily temperatures over a growth period was nearly constant.</w:t>
      </w:r>
    </w:p>
    <w:p>
      <w:pPr>
        <w:pStyle w:val="Heading2"/>
      </w:pPr>
      <w:r>
        <w:t xml:space="preserve">28.2 Cardinal Temperatures</w:t>
      </w:r>
    </w:p>
    <w:p>
      <w:pPr>
        <w:pStyle w:val="FirstParagraph"/>
      </w:pPr>
      <w:r>
        <w:t xml:space="preserve">Every crop has three</w:t>
      </w:r>
      <w:r>
        <w:t xml:space="preserve"> </w:t>
      </w:r>
      <w:r>
        <w:rPr>
          <w:bCs/>
          <w:b/>
        </w:rPr>
        <w:t xml:space="preserve">cardinal temperatures</w:t>
      </w:r>
      <w:r>
        <w:t xml:space="preserve">: base (minimum,</w:t>
      </w:r>
      <w:r>
        <w:t xml:space="preserve"> </w:t>
      </w:r>
      <m:oMath>
        <m:sSub>
          <m:e>
            <m:r>
              <m:t>T</m:t>
            </m:r>
          </m:e>
          <m:sub>
            <m:r>
              <m:t>b</m:t>
            </m:r>
          </m:sub>
        </m:sSub>
      </m:oMath>
      <w:r>
        <w:t xml:space="preserve">), optimum (</w:t>
      </w:r>
      <m:oMath>
        <m:sSub>
          <m:e>
            <m:r>
              <m:t>T</m:t>
            </m:r>
          </m:e>
          <m:sub>
            <m:r>
              <m:t>o</m:t>
            </m:r>
            <m:r>
              <m:t>p</m:t>
            </m:r>
            <m:r>
              <m:t>t</m:t>
            </m:r>
          </m:sub>
        </m:sSub>
      </m:oMath>
      <w:r>
        <w:t xml:space="preserve">) and maximum (ceiling,</w:t>
      </w:r>
      <w:r>
        <w:t xml:space="preserve"> </w:t>
      </w:r>
      <m:oMath>
        <m:sSub>
          <m:e>
            <m:r>
              <m:t>T</m:t>
            </m:r>
          </m:e>
          <m:sub>
            <m:r>
              <m:t>m</m:t>
            </m:r>
            <m:r>
              <m:t>a</m:t>
            </m:r>
            <m:r>
              <m:t>x</m:t>
            </m:r>
          </m:sub>
        </m:sSub>
      </m:oMath>
      <w:r>
        <w:t xml:space="preserve">), beyond which development stops.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Crop</w:t>
            </w:r>
          </w:p>
        </w:tc>
        <w:tc>
          <w:tcPr/>
          <w:p>
            <w:pPr>
              <w:pStyle w:val="Compact"/>
              <w:jc w:val="left"/>
            </w:pPr>
            <m:oMath>
              <m:sSub>
                <m:e>
                  <m:r>
                    <m:t>T</m:t>
                  </m:r>
                </m:e>
                <m:sub>
                  <m:r>
                    <m:t>b</m:t>
                  </m:r>
                </m:sub>
              </m:sSub>
            </m:oMath>
            <w:r>
              <w:t xml:space="preserve"> </w:t>
            </w:r>
            <w:r>
              <w:t xml:space="preserve">(°C)</w:t>
            </w:r>
          </w:p>
        </w:tc>
        <w:tc>
          <w:tcPr/>
          <w:p>
            <w:pPr>
              <w:pStyle w:val="Compact"/>
              <w:jc w:val="left"/>
            </w:pPr>
            <m:oMath>
              <m:sSub>
                <m:e>
                  <m:r>
                    <m:t>T</m:t>
                  </m:r>
                </m:e>
                <m:sub>
                  <m:r>
                    <m:t>o</m:t>
                  </m:r>
                  <m:r>
                    <m:t>p</m:t>
                  </m:r>
                  <m:r>
                    <m:t>t</m:t>
                  </m:r>
                </m:sub>
              </m:sSub>
            </m:oMath>
            <w:r>
              <w:t xml:space="preserve"> </w:t>
            </w:r>
            <w:r>
              <w:t xml:space="preserve">(°C)</w:t>
            </w:r>
          </w:p>
        </w:tc>
        <w:tc>
          <w:tcPr/>
          <w:p>
            <w:pPr>
              <w:pStyle w:val="Compact"/>
              <w:jc w:val="left"/>
            </w:pPr>
            <m:oMath>
              <m:sSub>
                <m:e>
                  <m:r>
                    <m:t>T</m:t>
                  </m:r>
                </m:e>
                <m:sub>
                  <m:r>
                    <m:t>m</m:t>
                  </m:r>
                  <m:r>
                    <m:t>a</m:t>
                  </m:r>
                  <m:r>
                    <m:t>x</m:t>
                  </m:r>
                </m:sub>
              </m:sSub>
            </m:oMath>
            <w:r>
              <w:t xml:space="preserve"> </w:t>
            </w:r>
            <w:r>
              <w:t xml:space="preserve">(°C)</w:t>
            </w:r>
          </w:p>
        </w:tc>
      </w:tr>
      <w:tr>
        <w:tc>
          <w:tcPr/>
          <w:p>
            <w:pPr>
              <w:pStyle w:val="Compact"/>
              <w:jc w:val="left"/>
            </w:pPr>
            <w:r>
              <w:t xml:space="preserve">Wheat, barley, mustard, pea, chickpea</w:t>
            </w:r>
          </w:p>
        </w:tc>
        <w:tc>
          <w:tcPr/>
          <w:p>
            <w:pPr>
              <w:pStyle w:val="Compact"/>
              <w:jc w:val="left"/>
            </w:pPr>
            <w:r>
              <w:rPr>
                <w:bCs/>
                <w:b/>
              </w:rPr>
              <w:t xml:space="preserve">0–5</w:t>
            </w:r>
            <w:r>
              <w:t xml:space="preserve"> </w:t>
            </w:r>
            <w:r>
              <w:t xml:space="preserve">(commonly 4.5–5)</w:t>
            </w:r>
          </w:p>
        </w:tc>
        <w:tc>
          <w:tcPr/>
          <w:p>
            <w:pPr>
              <w:pStyle w:val="Compact"/>
              <w:jc w:val="left"/>
            </w:pPr>
            <w:r>
              <w:t xml:space="preserve">20–25</w:t>
            </w:r>
          </w:p>
        </w:tc>
        <w:tc>
          <w:tcPr/>
          <w:p>
            <w:pPr>
              <w:pStyle w:val="Compact"/>
              <w:jc w:val="left"/>
            </w:pPr>
            <w:r>
              <w:t xml:space="preserve">30–35</w:t>
            </w:r>
          </w:p>
        </w:tc>
      </w:tr>
      <w:tr>
        <w:tc>
          <w:tcPr/>
          <w:p>
            <w:pPr>
              <w:pStyle w:val="Compact"/>
              <w:jc w:val="left"/>
            </w:pPr>
            <w:r>
              <w:t xml:space="preserve">Potato</w:t>
            </w:r>
          </w:p>
        </w:tc>
        <w:tc>
          <w:tcPr/>
          <w:p>
            <w:pPr>
              <w:pStyle w:val="Compact"/>
              <w:jc w:val="left"/>
            </w:pPr>
            <w:r>
              <w:t xml:space="preserve">2–7</w:t>
            </w:r>
          </w:p>
        </w:tc>
        <w:tc>
          <w:tcPr/>
          <w:p>
            <w:pPr>
              <w:pStyle w:val="Compact"/>
              <w:jc w:val="left"/>
            </w:pPr>
            <w:r>
              <w:t xml:space="preserve">15–20</w:t>
            </w:r>
          </w:p>
        </w:tc>
        <w:tc>
          <w:tcPr/>
          <w:p>
            <w:pPr>
              <w:pStyle w:val="Compact"/>
              <w:jc w:val="left"/>
            </w:pPr>
            <w:r>
              <w:t xml:space="preserve">30</w:t>
            </w:r>
          </w:p>
        </w:tc>
      </w:tr>
      <w:tr>
        <w:tc>
          <w:tcPr/>
          <w:p>
            <w:pPr>
              <w:pStyle w:val="Compact"/>
              <w:jc w:val="left"/>
            </w:pPr>
            <w:r>
              <w:t xml:space="preserve">Rice</w:t>
            </w:r>
          </w:p>
        </w:tc>
        <w:tc>
          <w:tcPr/>
          <w:p>
            <w:pPr>
              <w:pStyle w:val="Compact"/>
              <w:jc w:val="left"/>
            </w:pPr>
            <w:r>
              <w:rPr>
                <w:bCs/>
                <w:b/>
              </w:rPr>
              <w:t xml:space="preserve">10</w:t>
            </w:r>
          </w:p>
        </w:tc>
        <w:tc>
          <w:tcPr/>
          <w:p>
            <w:pPr>
              <w:pStyle w:val="Compact"/>
              <w:jc w:val="left"/>
            </w:pPr>
            <w:r>
              <w:t xml:space="preserve">25–30</w:t>
            </w:r>
          </w:p>
        </w:tc>
        <w:tc>
          <w:tcPr/>
          <w:p>
            <w:pPr>
              <w:pStyle w:val="Compact"/>
              <w:jc w:val="left"/>
            </w:pPr>
            <w:r>
              <w:t xml:space="preserve">40</w:t>
            </w:r>
          </w:p>
        </w:tc>
      </w:tr>
      <w:tr>
        <w:tc>
          <w:tcPr/>
          <w:p>
            <w:pPr>
              <w:pStyle w:val="Compact"/>
              <w:jc w:val="left"/>
            </w:pPr>
            <w:r>
              <w:t xml:space="preserve">Maize, sorghum</w:t>
            </w:r>
          </w:p>
        </w:tc>
        <w:tc>
          <w:tcPr/>
          <w:p>
            <w:pPr>
              <w:pStyle w:val="Compact"/>
              <w:jc w:val="left"/>
            </w:pPr>
            <w:r>
              <w:rPr>
                <w:bCs/>
                <w:b/>
              </w:rPr>
              <w:t xml:space="preserve">8–10</w:t>
            </w:r>
          </w:p>
        </w:tc>
        <w:tc>
          <w:tcPr/>
          <w:p>
            <w:pPr>
              <w:pStyle w:val="Compact"/>
              <w:jc w:val="left"/>
            </w:pPr>
            <w:r>
              <w:t xml:space="preserve">30–33</w:t>
            </w:r>
          </w:p>
        </w:tc>
        <w:tc>
          <w:tcPr/>
          <w:p>
            <w:pPr>
              <w:pStyle w:val="Compact"/>
              <w:jc w:val="left"/>
            </w:pPr>
            <w:r>
              <w:t xml:space="preserve">40–44</w:t>
            </w:r>
          </w:p>
        </w:tc>
      </w:tr>
      <w:tr>
        <w:tc>
          <w:tcPr/>
          <w:p>
            <w:pPr>
              <w:pStyle w:val="Compact"/>
              <w:jc w:val="left"/>
            </w:pPr>
            <w:r>
              <w:t xml:space="preserve">Cotton</w:t>
            </w:r>
          </w:p>
        </w:tc>
        <w:tc>
          <w:tcPr/>
          <w:p>
            <w:pPr>
              <w:pStyle w:val="Compact"/>
              <w:jc w:val="left"/>
            </w:pPr>
            <w:r>
              <w:t xml:space="preserve">12–15.5</w:t>
            </w:r>
          </w:p>
        </w:tc>
        <w:tc>
          <w:tcPr/>
          <w:p>
            <w:pPr>
              <w:pStyle w:val="Compact"/>
              <w:jc w:val="left"/>
            </w:pPr>
            <w:r>
              <w:t xml:space="preserve">25–30</w:t>
            </w:r>
          </w:p>
        </w:tc>
        <w:tc>
          <w:tcPr/>
          <w:p>
            <w:pPr>
              <w:pStyle w:val="Compact"/>
              <w:jc w:val="left"/>
            </w:pPr>
            <w:r>
              <w:t xml:space="preserve">37–40</w:t>
            </w:r>
          </w:p>
        </w:tc>
      </w:tr>
      <w:tr>
        <w:tc>
          <w:tcPr/>
          <w:p>
            <w:pPr>
              <w:pStyle w:val="Compact"/>
              <w:jc w:val="left"/>
            </w:pPr>
            <w:r>
              <w:t xml:space="preserve">Groundnut, soybean</w:t>
            </w:r>
          </w:p>
        </w:tc>
        <w:tc>
          <w:tcPr/>
          <w:p>
            <w:pPr>
              <w:pStyle w:val="Compact"/>
              <w:jc w:val="left"/>
            </w:pPr>
            <w:r>
              <w:t xml:space="preserve">10</w:t>
            </w:r>
          </w:p>
        </w:tc>
        <w:tc>
          <w:tcPr/>
          <w:p>
            <w:pPr>
              <w:pStyle w:val="Compact"/>
              <w:jc w:val="left"/>
            </w:pPr>
            <w:r>
              <w:t xml:space="preserve">28–30</w:t>
            </w:r>
          </w:p>
        </w:tc>
        <w:tc>
          <w:tcPr/>
          <w:p>
            <w:pPr>
              <w:pStyle w:val="Compact"/>
              <w:jc w:val="left"/>
            </w:pPr>
            <w:r>
              <w:t xml:space="preserve">40</w:t>
            </w:r>
          </w:p>
        </w:tc>
      </w:tr>
      <w:tr>
        <w:tc>
          <w:tcPr/>
          <w:p>
            <w:pPr>
              <w:pStyle w:val="Compact"/>
              <w:jc w:val="left"/>
            </w:pPr>
            <w:r>
              <w:t xml:space="preserve">Pearl millet</w:t>
            </w:r>
          </w:p>
        </w:tc>
        <w:tc>
          <w:tcPr/>
          <w:p>
            <w:pPr>
              <w:pStyle w:val="Compact"/>
              <w:jc w:val="left"/>
            </w:pPr>
            <w:r>
              <w:t xml:space="preserve">10–12</w:t>
            </w:r>
          </w:p>
        </w:tc>
        <w:tc>
          <w:tcPr/>
          <w:p>
            <w:pPr>
              <w:pStyle w:val="Compact"/>
              <w:jc w:val="left"/>
            </w:pPr>
            <w:r>
              <w:t xml:space="preserve">30–35</w:t>
            </w:r>
          </w:p>
        </w:tc>
        <w:tc>
          <w:tcPr/>
          <w:p>
            <w:pPr>
              <w:pStyle w:val="Compact"/>
              <w:jc w:val="left"/>
            </w:pPr>
            <w:r>
              <w:t xml:space="preserve">45</w:t>
            </w:r>
          </w:p>
        </w:tc>
      </w:tr>
    </w:tbl>
    <w:p>
      <w:pPr>
        <w:pStyle w:val="Heading2"/>
      </w:pPr>
      <w:r>
        <w:t xml:space="preserve">28.3 Heat Unit Indices</w:t>
      </w:r>
    </w:p>
    <w:p>
      <w:pPr>
        <w:pStyle w:val="FirstParagraph"/>
      </w:pPr>
      <w:r>
        <w:rPr>
          <w:bCs/>
          <w:b/>
        </w:rPr>
        <w:t xml:space="preserve">Growing degree days (GDD) / heat units</w:t>
      </w:r>
      <w:r>
        <w:t xml:space="preserve"> </w:t>
      </w:r>
      <w:r>
        <w:t xml:space="preserve">(calculation methods and worked example are in the following sections):</w:t>
      </w:r>
    </w:p>
    <w:p>
      <w:pPr>
        <w:pStyle w:val="BodyText"/>
      </w:pPr>
      <m:oMathPara>
        <m:oMathParaPr>
          <m:jc m:val="center"/>
        </m:oMathParaPr>
        <m:oMath>
          <m:r>
            <m:t>G</m:t>
          </m:r>
          <m:r>
            <m:t>D</m:t>
          </m:r>
          <m:r>
            <m:t>D</m:t>
          </m:r>
          <m:r>
            <m:rPr>
              <m:sty m:val="p"/>
            </m:rPr>
            <m:t>=</m:t>
          </m:r>
          <m:r>
            <m:rPr>
              <m:sty m:val="p"/>
            </m:rPr>
            <m:t>∑</m:t>
          </m:r>
          <m:d>
            <m:dPr>
              <m:begChr m:val="("/>
              <m:endChr m:val=")"/>
              <m:sepChr m:val=""/>
              <m:grow/>
            </m:dPr>
            <m:e>
              <m:f>
                <m:fPr>
                  <m:type m:val="bar"/>
                </m:fPr>
                <m:num>
                  <m:sSub>
                    <m:e>
                      <m:r>
                        <m:t>T</m:t>
                      </m:r>
                    </m:e>
                    <m:sub>
                      <m:r>
                        <m:t>m</m:t>
                      </m:r>
                      <m:r>
                        <m:t>a</m:t>
                      </m:r>
                      <m:r>
                        <m:t>x</m:t>
                      </m:r>
                    </m:sub>
                  </m:sSub>
                  <m:r>
                    <m:rPr>
                      <m:sty m:val="p"/>
                    </m:rPr>
                    <m:t>+</m:t>
                  </m:r>
                  <m:sSub>
                    <m:e>
                      <m:r>
                        <m:t>T</m:t>
                      </m:r>
                    </m:e>
                    <m:sub>
                      <m:r>
                        <m:t>m</m:t>
                      </m:r>
                      <m:r>
                        <m:t>i</m:t>
                      </m:r>
                      <m:r>
                        <m:t>n</m:t>
                      </m:r>
                    </m:sub>
                  </m:sSub>
                </m:num>
                <m:den>
                  <m:r>
                    <m:t>2</m:t>
                  </m:r>
                </m:den>
              </m:f>
              <m:r>
                <m:rPr>
                  <m:sty m:val="p"/>
                </m:rPr>
                <m:t>−</m:t>
              </m:r>
              <m:sSub>
                <m:e>
                  <m:r>
                    <m:t>T</m:t>
                  </m:r>
                </m:e>
                <m:sub>
                  <m:r>
                    <m:t>b</m:t>
                  </m:r>
                </m:sub>
              </m:sSub>
            </m:e>
          </m:d>
          <m:r>
            <m:rPr>
              <m:sty m:val="p"/>
            </m:rPr>
            <m:t>,</m:t>
          </m:r>
          <m:r>
            <m:t> </m:t>
          </m:r>
          <m:r>
            <m:rPr>
              <m:nor/>
              <m:sty m:val="p"/>
            </m:rPr>
            <m:t>negative daily values set to 0; often </m:t>
          </m:r>
          <m:sSub>
            <m:e>
              <m:r>
                <m:t>T</m:t>
              </m:r>
            </m:e>
            <m:sub>
              <m:r>
                <m:t>m</m:t>
              </m:r>
              <m:r>
                <m:t>a</m:t>
              </m:r>
              <m:r>
                <m:t>x</m:t>
              </m:r>
            </m:sub>
          </m:sSub>
          <m:r>
            <m:rPr>
              <m:nor/>
              <m:sty m:val="p"/>
            </m:rPr>
            <m:t> capped at an upper threshold</m:t>
          </m:r>
        </m:oMath>
      </m:oMathPara>
    </w:p>
    <w:p>
      <w:pPr>
        <w:pStyle w:val="FirstParagraph"/>
      </w:pPr>
      <w:r>
        <w:t xml:space="preserve">Variants: simple averaging; modified (substitute</w:t>
      </w:r>
      <w:r>
        <w:t xml:space="preserve"> </w:t>
      </w:r>
      <m:oMath>
        <m:sSub>
          <m:e>
            <m:r>
              <m:t>T</m:t>
            </m:r>
          </m:e>
          <m:sub>
            <m:r>
              <m:t>b</m:t>
            </m:r>
          </m:sub>
        </m:sSub>
      </m:oMath>
      <w:r>
        <w:t xml:space="preserve"> </w:t>
      </w:r>
      <w:r>
        <w:t xml:space="preserve">when</w:t>
      </w:r>
      <w:r>
        <w:t xml:space="preserve"> </w:t>
      </w:r>
      <m:oMath>
        <m:sSub>
          <m:e>
            <m:r>
              <m:t>T</m:t>
            </m:r>
          </m:e>
          <m:sub>
            <m:r>
              <m:t>m</m:t>
            </m:r>
            <m:r>
              <m:t>i</m:t>
            </m:r>
            <m:r>
              <m:t>n</m:t>
            </m:r>
          </m:sub>
        </m:sSub>
        <m:r>
          <m:rPr>
            <m:sty m:val="p"/>
          </m:rPr>
          <m:t>&lt;</m:t>
        </m:r>
        <m:sSub>
          <m:e>
            <m:r>
              <m:t>T</m:t>
            </m:r>
          </m:e>
          <m:sub>
            <m:r>
              <m:t>b</m:t>
            </m:r>
          </m:sub>
        </m:sSub>
      </m:oMath>
      <w:r>
        <w:t xml:space="preserve">, cap</w:t>
      </w:r>
      <w:r>
        <w:t xml:space="preserve"> </w:t>
      </w:r>
      <m:oMath>
        <m:sSub>
          <m:e>
            <m:r>
              <m:t>T</m:t>
            </m:r>
          </m:e>
          <m:sub>
            <m:r>
              <m:t>m</m:t>
            </m:r>
            <m:r>
              <m:t>a</m:t>
            </m:r>
            <m:r>
              <m:t>x</m:t>
            </m:r>
          </m:sub>
        </m:sSub>
      </m:oMath>
      <w:r>
        <w:t xml:space="preserve"> </w:t>
      </w:r>
      <w:r>
        <w:t xml:space="preserve">at upper threshold — e.g., the 86/50 °F maize method); single and double</w:t>
      </w:r>
      <w:r>
        <w:t xml:space="preserve"> </w:t>
      </w:r>
      <w:r>
        <w:rPr>
          <w:bCs/>
          <w:b/>
        </w:rPr>
        <w:t xml:space="preserve">sine methods</w:t>
      </w:r>
      <w:r>
        <w:t xml:space="preserve"> </w:t>
      </w:r>
      <w:r>
        <w:t xml:space="preserve">(better when temperatures cross thresholds); hourly integration.</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Index</w:t>
            </w:r>
          </w:p>
        </w:tc>
        <w:tc>
          <w:tcPr/>
          <w:p>
            <w:pPr>
              <w:pStyle w:val="Compact"/>
              <w:jc w:val="left"/>
            </w:pPr>
            <w:r>
              <w:t xml:space="preserve">Formula</w:t>
            </w:r>
          </w:p>
        </w:tc>
        <w:tc>
          <w:tcPr/>
          <w:p>
            <w:pPr>
              <w:pStyle w:val="Compact"/>
              <w:jc w:val="left"/>
            </w:pPr>
            <w:r>
              <w:t xml:space="preserve">Use</w:t>
            </w:r>
          </w:p>
        </w:tc>
      </w:tr>
      <w:tr>
        <w:tc>
          <w:tcPr/>
          <w:p>
            <w:pPr>
              <w:pStyle w:val="Compact"/>
              <w:jc w:val="left"/>
            </w:pPr>
            <w:r>
              <w:rPr>
                <w:bCs/>
                <w:b/>
              </w:rPr>
              <w:t xml:space="preserve">Photothermal units (PTU)</w:t>
            </w:r>
          </w:p>
        </w:tc>
        <w:tc>
          <w:tcPr/>
          <w:p>
            <w:pPr>
              <w:pStyle w:val="Compact"/>
              <w:jc w:val="left"/>
            </w:pPr>
            <m:oMath>
              <m:r>
                <m:t>P</m:t>
              </m:r>
              <m:r>
                <m:t>T</m:t>
              </m:r>
              <m:r>
                <m:t>U</m:t>
              </m:r>
              <m:r>
                <m:rPr>
                  <m:sty m:val="p"/>
                </m:rPr>
                <m:t>=</m:t>
              </m:r>
              <m:r>
                <m:rPr>
                  <m:sty m:val="p"/>
                </m:rPr>
                <m:t>∑</m:t>
              </m:r>
              <m:d>
                <m:dPr>
                  <m:begChr m:val="("/>
                  <m:endChr m:val=")"/>
                  <m:sepChr m:val=""/>
                  <m:grow/>
                </m:dPr>
                <m:e>
                  <m:r>
                    <m:t>G</m:t>
                  </m:r>
                  <m:r>
                    <m:t>D</m:t>
                  </m:r>
                  <m:sSub>
                    <m:e>
                      <m:r>
                        <m:t>D</m:t>
                      </m:r>
                    </m:e>
                    <m:sub>
                      <m:r>
                        <m:t>i</m:t>
                      </m:r>
                    </m:sub>
                  </m:sSub>
                  <m:r>
                    <m:rPr>
                      <m:sty m:val="p"/>
                    </m:rPr>
                    <m:t>×</m:t>
                  </m:r>
                  <m:sSub>
                    <m:e>
                      <m:r>
                        <m:t>N</m:t>
                      </m:r>
                    </m:e>
                    <m:sub>
                      <m:r>
                        <m:t>i</m:t>
                      </m:r>
                    </m:sub>
                  </m:sSub>
                </m:e>
              </m:d>
            </m:oMath>
            <w:r>
              <w:t xml:space="preserve">, N = day length (h)</w:t>
            </w:r>
          </w:p>
        </w:tc>
        <w:tc>
          <w:tcPr/>
          <w:p>
            <w:pPr>
              <w:pStyle w:val="Compact"/>
              <w:jc w:val="left"/>
            </w:pPr>
            <w:r>
              <w:t xml:space="preserve">Photoperiod-sensitive crops (rice, soybean, mustard) — combines temperature and day length</w:t>
            </w:r>
          </w:p>
        </w:tc>
      </w:tr>
      <w:tr>
        <w:tc>
          <w:tcPr/>
          <w:p>
            <w:pPr>
              <w:pStyle w:val="Compact"/>
              <w:jc w:val="left"/>
            </w:pPr>
            <w:r>
              <w:rPr>
                <w:bCs/>
                <w:b/>
              </w:rPr>
              <w:t xml:space="preserve">Heliothermal units (HTU)</w:t>
            </w:r>
          </w:p>
        </w:tc>
        <w:tc>
          <w:tcPr/>
          <w:p>
            <w:pPr>
              <w:pStyle w:val="Compact"/>
              <w:jc w:val="left"/>
            </w:pPr>
            <m:oMath>
              <m:r>
                <m:t>H</m:t>
              </m:r>
              <m:r>
                <m:t>T</m:t>
              </m:r>
              <m:r>
                <m:t>U</m:t>
              </m:r>
              <m:r>
                <m:rPr>
                  <m:sty m:val="p"/>
                </m:rPr>
                <m:t>=</m:t>
              </m:r>
              <m:r>
                <m:rPr>
                  <m:sty m:val="p"/>
                </m:rPr>
                <m:t>∑</m:t>
              </m:r>
              <m:d>
                <m:dPr>
                  <m:begChr m:val="("/>
                  <m:endChr m:val=")"/>
                  <m:sepChr m:val=""/>
                  <m:grow/>
                </m:dPr>
                <m:e>
                  <m:r>
                    <m:t>G</m:t>
                  </m:r>
                  <m:r>
                    <m:t>D</m:t>
                  </m:r>
                  <m:sSub>
                    <m:e>
                      <m:r>
                        <m:t>D</m:t>
                      </m:r>
                    </m:e>
                    <m:sub>
                      <m:r>
                        <m:t>i</m:t>
                      </m:r>
                    </m:sub>
                  </m:sSub>
                  <m:r>
                    <m:rPr>
                      <m:sty m:val="p"/>
                    </m:rPr>
                    <m:t>×</m:t>
                  </m:r>
                  <m:sSub>
                    <m:e>
                      <m:r>
                        <m:t>n</m:t>
                      </m:r>
                    </m:e>
                    <m:sub>
                      <m:r>
                        <m:t>i</m:t>
                      </m:r>
                    </m:sub>
                  </m:sSub>
                </m:e>
              </m:d>
            </m:oMath>
            <w:r>
              <w:t xml:space="preserve">, n = actual bright sunshine hours</w:t>
            </w:r>
          </w:p>
        </w:tc>
        <w:tc>
          <w:tcPr/>
          <w:p>
            <w:pPr>
              <w:pStyle w:val="Compact"/>
              <w:jc w:val="left"/>
            </w:pPr>
            <w:r>
              <w:t xml:space="preserve">Accounts for cloudiness/radiation</w:t>
            </w:r>
          </w:p>
        </w:tc>
      </w:tr>
      <w:tr>
        <w:tc>
          <w:tcPr/>
          <w:p>
            <w:pPr>
              <w:pStyle w:val="Compact"/>
              <w:jc w:val="left"/>
            </w:pPr>
            <w:r>
              <w:rPr>
                <w:bCs/>
                <w:b/>
              </w:rPr>
              <w:t xml:space="preserve">Photothermal index (PTI)</w:t>
            </w:r>
          </w:p>
        </w:tc>
        <w:tc>
          <w:tcPr/>
          <w:p>
            <w:pPr>
              <w:pStyle w:val="Compact"/>
              <w:jc w:val="left"/>
            </w:pPr>
            <m:oMath>
              <m:r>
                <m:t>P</m:t>
              </m:r>
              <m:r>
                <m:t>T</m:t>
              </m:r>
              <m:r>
                <m:t>I</m:t>
              </m:r>
              <m:r>
                <m:rPr>
                  <m:sty m:val="p"/>
                </m:rPr>
                <m:t>=</m:t>
              </m:r>
              <m:r>
                <m:t>G</m:t>
              </m:r>
              <m:r>
                <m:t>D</m:t>
              </m:r>
              <m:r>
                <m:t>D</m:t>
              </m:r>
              <m:r>
                <m:rPr>
                  <m:sty m:val="p"/>
                </m:rPr>
                <m:t>/</m:t>
              </m:r>
              <m:r>
                <m:rPr>
                  <m:nor/>
                  <m:sty m:val="p"/>
                </m:rPr>
                <m:t>days taken for a phenophase</m:t>
              </m:r>
            </m:oMath>
          </w:p>
        </w:tc>
        <w:tc>
          <w:tcPr/>
          <w:p>
            <w:pPr>
              <w:pStyle w:val="Compact"/>
              <w:jc w:val="left"/>
            </w:pPr>
            <w:r>
              <w:t xml:space="preserve">Rate of thermal accumulation per day</w:t>
            </w:r>
          </w:p>
        </w:tc>
      </w:tr>
      <w:tr>
        <w:tc>
          <w:tcPr/>
          <w:p>
            <w:pPr>
              <w:pStyle w:val="Compact"/>
              <w:jc w:val="left"/>
            </w:pPr>
            <w:r>
              <w:rPr>
                <w:bCs/>
                <w:b/>
              </w:rPr>
              <w:t xml:space="preserve">Heat use efficiency (HUE)</w:t>
            </w:r>
          </w:p>
        </w:tc>
        <w:tc>
          <w:tcPr/>
          <w:p>
            <w:pPr>
              <w:pStyle w:val="Compact"/>
              <w:jc w:val="left"/>
            </w:pPr>
            <m:oMath>
              <m:r>
                <m:t>H</m:t>
              </m:r>
              <m:r>
                <m:t>U</m:t>
              </m:r>
              <m:r>
                <m:t>E</m:t>
              </m:r>
              <m:r>
                <m:rPr>
                  <m:sty m:val="p"/>
                </m:rPr>
                <m:t>=</m:t>
              </m:r>
              <m:f>
                <m:fPr>
                  <m:type m:val="bar"/>
                </m:fPr>
                <m:num>
                  <m:r>
                    <m:rPr>
                      <m:nor/>
                      <m:sty m:val="p"/>
                    </m:rPr>
                    <m:t>yield or biomass</m:t>
                  </m:r>
                </m:num>
                <m:den>
                  <m:r>
                    <m:rPr>
                      <m:sty m:val="p"/>
                    </m:rPr>
                    <m:t>∑</m:t>
                  </m:r>
                  <m:r>
                    <m:t>G</m:t>
                  </m:r>
                  <m:r>
                    <m:t>D</m:t>
                  </m:r>
                  <m:r>
                    <m:t>D</m:t>
                  </m:r>
                </m:den>
              </m:f>
            </m:oMath>
            <w:r>
              <w:t xml:space="preserve"> </w:t>
            </w:r>
            <w:r>
              <w:t xml:space="preserve">(kg ha⁻¹ °C⁻¹ day⁻¹)</w:t>
            </w:r>
          </w:p>
        </w:tc>
        <w:tc>
          <w:tcPr/>
          <w:p>
            <w:pPr>
              <w:pStyle w:val="Compact"/>
              <w:jc w:val="left"/>
            </w:pPr>
            <w:r>
              <w:t xml:space="preserve">Compares sowing dates, varieties, environments</w:t>
            </w:r>
          </w:p>
        </w:tc>
      </w:tr>
      <w:tr>
        <w:tc>
          <w:tcPr/>
          <w:p>
            <w:pPr>
              <w:pStyle w:val="Compact"/>
              <w:jc w:val="left"/>
            </w:pPr>
            <w:r>
              <w:rPr>
                <w:bCs/>
                <w:b/>
              </w:rPr>
              <w:t xml:space="preserve">Helio-thermal use efficiency, PTU-use efficiency</w:t>
            </w:r>
          </w:p>
        </w:tc>
        <w:tc>
          <w:tcPr/>
          <w:p>
            <w:pPr>
              <w:pStyle w:val="Compact"/>
              <w:jc w:val="left"/>
            </w:pPr>
            <w:r>
              <w:t xml:space="preserve">yield / HTU, yield / PTU</w:t>
            </w:r>
          </w:p>
        </w:tc>
        <w:tc>
          <w:tcPr/>
          <w:p>
            <w:pPr>
              <w:pStyle w:val="Compact"/>
              <w:jc w:val="left"/>
            </w:pPr>
            <w:r>
              <w:t xml:space="preserve">Ditto</w:t>
            </w:r>
          </w:p>
        </w:tc>
      </w:tr>
      <w:tr>
        <w:tc>
          <w:tcPr/>
          <w:p>
            <w:pPr>
              <w:pStyle w:val="Compact"/>
              <w:jc w:val="left"/>
            </w:pPr>
            <w:r>
              <w:rPr>
                <w:bCs/>
                <w:b/>
              </w:rPr>
              <w:t xml:space="preserve">Thermal time to phenophase</w:t>
            </w:r>
          </w:p>
        </w:tc>
        <w:tc>
          <w:tcPr/>
          <w:p>
            <w:pPr>
              <w:pStyle w:val="Compact"/>
              <w:jc w:val="left"/>
            </w:pPr>
            <w:r>
              <w:t xml:space="preserve">e.g., wheat ~ 1500–1700 °C·day to maturity (Tb 5 °C)</w:t>
            </w:r>
          </w:p>
        </w:tc>
        <w:tc>
          <w:tcPr/>
          <w:p>
            <w:pPr>
              <w:pStyle w:val="Compact"/>
              <w:jc w:val="left"/>
            </w:pPr>
            <w:r>
              <w:t xml:space="preserve">Phenology prediction</w:t>
            </w:r>
          </w:p>
        </w:tc>
      </w:tr>
      <w:tr>
        <w:tc>
          <w:tcPr/>
          <w:p>
            <w:pPr>
              <w:pStyle w:val="Compact"/>
              <w:jc w:val="left"/>
            </w:pPr>
            <w:r>
              <w:rPr>
                <w:bCs/>
                <w:b/>
              </w:rPr>
              <w:t xml:space="preserve">Phyllochron</w:t>
            </w:r>
          </w:p>
        </w:tc>
        <w:tc>
          <w:tcPr/>
          <w:p>
            <w:pPr>
              <w:pStyle w:val="Compact"/>
              <w:jc w:val="left"/>
            </w:pPr>
            <w:r>
              <w:t xml:space="preserve">Thermal time between appearance of successive leaves (wheat ~ 90–110 °C·day)</w:t>
            </w:r>
          </w:p>
        </w:tc>
        <w:tc>
          <w:tcPr/>
          <w:p>
            <w:pPr>
              <w:pStyle w:val="Compact"/>
              <w:jc w:val="left"/>
            </w:pPr>
            <w:r>
              <w:t xml:space="preserve">Leaf development in crop models</w:t>
            </w:r>
          </w:p>
        </w:tc>
      </w:tr>
      <w:tr>
        <w:tc>
          <w:tcPr/>
          <w:p>
            <w:pPr>
              <w:pStyle w:val="Compact"/>
              <w:jc w:val="left"/>
            </w:pPr>
            <w:r>
              <w:rPr>
                <w:bCs/>
                <w:b/>
              </w:rPr>
              <w:t xml:space="preserve">Vernalisation days, chilling units (CU)</w:t>
            </w:r>
          </w:p>
        </w:tc>
        <w:tc>
          <w:tcPr/>
          <w:p>
            <w:pPr>
              <w:pStyle w:val="Compact"/>
              <w:jc w:val="left"/>
            </w:pPr>
            <w:r>
              <w:t xml:space="preserve">Hours/days within cold range (e.g., 0–7.2 °C; Utah model weights)</w:t>
            </w:r>
          </w:p>
        </w:tc>
        <w:tc>
          <w:tcPr/>
          <w:p>
            <w:pPr>
              <w:pStyle w:val="Compact"/>
              <w:jc w:val="left"/>
            </w:pPr>
            <w:r>
              <w:t xml:space="preserve">Temperate fruits (apple, peach), winter wheat</w:t>
            </w:r>
          </w:p>
        </w:tc>
      </w:tr>
      <w:tr>
        <w:tc>
          <w:tcPr/>
          <w:p>
            <w:pPr>
              <w:pStyle w:val="Compact"/>
              <w:jc w:val="left"/>
            </w:pPr>
            <w:r>
              <w:rPr>
                <w:bCs/>
                <w:b/>
              </w:rPr>
              <w:t xml:space="preserve">Crop heat units (CHU)</w:t>
            </w:r>
          </w:p>
        </w:tc>
        <w:tc>
          <w:tcPr/>
          <w:p>
            <w:pPr>
              <w:pStyle w:val="Compact"/>
              <w:jc w:val="left"/>
            </w:pPr>
            <w:r>
              <w:t xml:space="preserve">Non-linear maize index (Canada)</w:t>
            </w:r>
          </w:p>
        </w:tc>
        <w:tc>
          <w:tcPr/>
          <w:p>
            <w:pPr>
              <w:pStyle w:val="Compact"/>
              <w:jc w:val="left"/>
            </w:pPr>
            <w:r>
              <w:t xml:space="preserve">Hybrid maturity zoning</w:t>
            </w:r>
          </w:p>
        </w:tc>
      </w:tr>
    </w:tbl>
    <w:p>
      <w:pPr>
        <w:pStyle w:val="BodyText"/>
      </w:pPr>
      <w:r>
        <w:rPr>
          <w:bCs/>
          <w:b/>
        </w:rPr>
        <w:t xml:space="preserve">Assumptions and limitations of the GDD concept:</w:t>
      </w:r>
      <w:r>
        <w:t xml:space="preserve"> </w:t>
      </w:r>
      <w:r>
        <w:t xml:space="preserve">linear response between base and optimum (actual response curvilinear); same base temperature for all stages (not true); ignores photoperiod, vernalisation, moisture and nutrient stress; daily mean may not reflect diurnal temperature effects; above-optimum temperatures reduce rate (handled by capping).</w:t>
      </w:r>
    </w:p>
    <w:p>
      <w:pPr>
        <w:pStyle w:val="Heading2"/>
      </w:pPr>
      <w:r>
        <w:t xml:space="preserve">28.4 Applications of Heat Units</w:t>
      </w:r>
    </w:p>
    <w:p>
      <w:pPr>
        <w:pStyle w:val="Compact"/>
        <w:numPr>
          <w:ilvl w:val="0"/>
          <w:numId w:val="1216"/>
        </w:numPr>
      </w:pPr>
      <w:r>
        <w:rPr>
          <w:bCs/>
          <w:b/>
        </w:rPr>
        <w:t xml:space="preserve">Phenology prediction:</w:t>
      </w:r>
      <w:r>
        <w:t xml:space="preserve"> </w:t>
      </w:r>
      <w:r>
        <w:t xml:space="preserve">dates of flowering and maturity for planning irrigation, spraying and harvest; in crop simulation models (DSSAT, InfoCrop, WOFOST use thermal time with photoperiod modifiers).</w:t>
      </w:r>
    </w:p>
    <w:p>
      <w:pPr>
        <w:pStyle w:val="Compact"/>
        <w:numPr>
          <w:ilvl w:val="0"/>
          <w:numId w:val="1216"/>
        </w:numPr>
      </w:pPr>
      <w:r>
        <w:rPr>
          <w:bCs/>
          <w:b/>
        </w:rPr>
        <w:t xml:space="preserve">Sowing-date and variety selection:</w:t>
      </w:r>
      <w:r>
        <w:t xml:space="preserve"> </w:t>
      </w:r>
      <w:r>
        <w:t xml:space="preserve">matching crop thermal requirements with available season (e.g., delayed wheat sowing in rice–wheat systems reduces GDD available for grain filling → terminal heat).</w:t>
      </w:r>
    </w:p>
    <w:p>
      <w:pPr>
        <w:pStyle w:val="Compact"/>
        <w:numPr>
          <w:ilvl w:val="0"/>
          <w:numId w:val="1216"/>
        </w:numPr>
      </w:pPr>
      <w:r>
        <w:rPr>
          <w:bCs/>
          <w:b/>
        </w:rPr>
        <w:t xml:space="preserve">Agro-climatic zoning:</w:t>
      </w:r>
      <w:r>
        <w:t xml:space="preserve"> </w:t>
      </w:r>
      <w:r>
        <w:t xml:space="preserve">mapping thermal regimes and suitability (e.g., maize hybrid maturity zones).</w:t>
      </w:r>
    </w:p>
    <w:p>
      <w:pPr>
        <w:pStyle w:val="Compact"/>
        <w:numPr>
          <w:ilvl w:val="0"/>
          <w:numId w:val="1216"/>
        </w:numPr>
      </w:pPr>
      <w:r>
        <w:rPr>
          <w:bCs/>
          <w:b/>
        </w:rPr>
        <w:t xml:space="preserve">Insect pest forecasting:</w:t>
      </w:r>
      <w:r>
        <w:t xml:space="preserve"> </w:t>
      </w:r>
      <w:r>
        <w:t xml:space="preserve">insects are poikilotherms;</w:t>
      </w:r>
      <w:r>
        <w:t xml:space="preserve"> </w:t>
      </w:r>
      <w:r>
        <w:rPr>
          <w:bCs/>
          <w:b/>
        </w:rPr>
        <w:t xml:space="preserve">degree-day models</w:t>
      </w:r>
      <w:r>
        <w:t xml:space="preserve"> </w:t>
      </w:r>
      <w:r>
        <w:t xml:space="preserve">predict egg hatch, generations and spray timing (e.g.,</w:t>
      </w:r>
      <w:r>
        <w:t xml:space="preserve"> </w:t>
      </w:r>
      <w:r>
        <w:rPr>
          <w:iCs/>
          <w:i/>
        </w:rPr>
        <w:t xml:space="preserve">Helicoverpa</w:t>
      </w:r>
      <w:r>
        <w:t xml:space="preserve">, codling moth, aphids).</w:t>
      </w:r>
    </w:p>
    <w:p>
      <w:pPr>
        <w:pStyle w:val="Compact"/>
        <w:numPr>
          <w:ilvl w:val="0"/>
          <w:numId w:val="1216"/>
        </w:numPr>
      </w:pPr>
      <w:r>
        <w:rPr>
          <w:bCs/>
          <w:b/>
        </w:rPr>
        <w:t xml:space="preserve">Climate change impact:</w:t>
      </w:r>
      <w:r>
        <w:t xml:space="preserve"> </w:t>
      </w:r>
      <w:r>
        <w:t xml:space="preserve">warming shortens crop duration (faster GDD accumulation) — reducing radiation interception and yield unless longer-duration cultivars are used.</w:t>
      </w:r>
    </w:p>
    <w:p>
      <w:pPr>
        <w:pStyle w:val="Compact"/>
        <w:numPr>
          <w:ilvl w:val="0"/>
          <w:numId w:val="1216"/>
        </w:numPr>
      </w:pPr>
      <w:r>
        <w:rPr>
          <w:bCs/>
          <w:b/>
        </w:rPr>
        <w:t xml:space="preserve">Yield forecasting:</w:t>
      </w:r>
      <w:r>
        <w:t xml:space="preserve"> </w:t>
      </w:r>
      <w:r>
        <w:t xml:space="preserve">agromet regression models use GDD/HTU per phase (e.g., soybean models with maximum/minimum temperature, RH, sunshine, GDD and HTU per phase giving R² 0.8–0.99).</w:t>
      </w:r>
    </w:p>
    <w:p>
      <w:pPr>
        <w:pStyle w:val="Compact"/>
        <w:numPr>
          <w:ilvl w:val="0"/>
          <w:numId w:val="1216"/>
        </w:numPr>
      </w:pPr>
      <w:r>
        <w:rPr>
          <w:bCs/>
          <w:b/>
        </w:rPr>
        <w:t xml:space="preserve">Remote sensing linkage:</w:t>
      </w:r>
      <w:r>
        <w:t xml:space="preserve"> </w:t>
      </w:r>
      <w:r>
        <w:t xml:space="preserve">NDVI or SAR time profiles are often plotted against thermal time (rather than calendar days) to normalise phenology across regions; satellite LST can substitute air temperature for GDD in data-sparse areas.</w:t>
      </w:r>
    </w:p>
    <w:p>
      <w:pPr>
        <w:pStyle w:val="Heading2"/>
      </w:pPr>
      <w:r>
        <w:t xml:space="preserve">28.5 Light Use Efficiency (Radiation Use Efficiency)</w:t>
      </w:r>
    </w:p>
    <w:p>
      <w:pPr>
        <w:pStyle w:val="FirstParagraph"/>
      </w:pPr>
      <w:r>
        <w:rPr>
          <w:bCs/>
          <w:b/>
        </w:rPr>
        <w:t xml:space="preserve">Monteith (1972, 1977)</w:t>
      </w:r>
      <w:r>
        <w:t xml:space="preserve"> </w:t>
      </w:r>
      <w:r>
        <w:t xml:space="preserve">showed that crop biomass accumulation is proportional to the photosynthetically active radiation</w:t>
      </w:r>
      <w:r>
        <w:t xml:space="preserve"> </w:t>
      </w:r>
      <w:r>
        <w:rPr>
          <w:bCs/>
          <w:b/>
        </w:rPr>
        <w:t xml:space="preserve">intercepted/absorbed</w:t>
      </w:r>
      <w:r>
        <w:t xml:space="preserve"> </w:t>
      </w:r>
      <w:r>
        <w:t xml:space="preserve">by the canopy:</w:t>
      </w:r>
    </w:p>
    <w:p>
      <w:pPr>
        <w:pStyle w:val="BodyText"/>
      </w:pPr>
      <m:oMathPara>
        <m:oMathParaPr>
          <m:jc m:val="center"/>
        </m:oMathParaPr>
        <m:oMath>
          <m:r>
            <m:t>W</m:t>
          </m:r>
          <m:r>
            <m:rPr>
              <m:sty m:val="p"/>
            </m:rPr>
            <m:t>=</m:t>
          </m:r>
          <m:sSub>
            <m:e>
              <m:r>
                <m:t>ε</m:t>
              </m:r>
            </m:e>
            <m:sub>
              <m:r>
                <m:t>b</m:t>
              </m:r>
            </m:sub>
          </m:sSub>
          <m:r>
            <m:rPr>
              <m:sty m:val="p"/>
            </m:rPr>
            <m:t>∑</m:t>
          </m:r>
          <m:d>
            <m:dPr>
              <m:begChr m:val="("/>
              <m:endChr m:val=")"/>
              <m:sepChr m:val=""/>
              <m:grow/>
            </m:dPr>
            <m:e>
              <m:sSub>
                <m:e>
                  <m:r>
                    <m:t>f</m:t>
                  </m:r>
                </m:e>
                <m:sub>
                  <m:r>
                    <m:t>A</m:t>
                  </m:r>
                  <m:r>
                    <m:t>P</m:t>
                  </m:r>
                  <m:r>
                    <m:t>A</m:t>
                  </m:r>
                  <m:r>
                    <m:t>R</m:t>
                  </m:r>
                </m:sub>
              </m:sSub>
              <m:r>
                <m:rPr>
                  <m:sty m:val="p"/>
                </m:rPr>
                <m:t>×</m:t>
              </m:r>
              <m:r>
                <m:t>P</m:t>
              </m:r>
              <m:r>
                <m:t>A</m:t>
              </m:r>
              <m:r>
                <m:t>R</m:t>
              </m:r>
            </m:e>
          </m:d>
          <m:r>
            <m:t>  </m:t>
          </m:r>
          <m:r>
            <m:rPr>
              <m:nor/>
              <m:sty m:val="p"/>
            </m:rPr>
            <m:t>(biomass)</m:t>
          </m:r>
          <m:r>
            <m:rPr>
              <m:sty m:val="p"/>
            </m:rPr>
            <m:t>,</m:t>
          </m:r>
          <m:r>
            <m:t>  </m:t>
          </m:r>
          <m:r>
            <m:t>Y</m:t>
          </m:r>
          <m:r>
            <m:rPr>
              <m:sty m:val="p"/>
            </m:rPr>
            <m:t>=</m:t>
          </m:r>
          <m:r>
            <m:t>H</m:t>
          </m:r>
          <m:r>
            <m:t>I</m:t>
          </m:r>
          <m:r>
            <m:rPr>
              <m:sty m:val="p"/>
            </m:rPr>
            <m:t>×</m:t>
          </m:r>
          <m:r>
            <m:t>W</m:t>
          </m:r>
        </m:oMath>
      </m:oMathPara>
    </w:p>
    <w:p>
      <w:pPr>
        <w:pStyle w:val="FirstParagraph"/>
      </w:pPr>
      <m:oMath>
        <m:sSub>
          <m:e>
            <m:r>
              <m:t>ε</m:t>
            </m:r>
          </m:e>
          <m:sub>
            <m:r>
              <m:t>b</m:t>
            </m:r>
          </m:sub>
        </m:sSub>
      </m:oMath>
      <w:r>
        <w:t xml:space="preserve"> </w:t>
      </w:r>
      <w:r>
        <w:t xml:space="preserve">=</w:t>
      </w:r>
      <w:r>
        <w:t xml:space="preserve"> </w:t>
      </w:r>
      <w:r>
        <w:rPr>
          <w:bCs/>
          <w:b/>
        </w:rPr>
        <w:t xml:space="preserve">radiation (light) use efficiency, RUE/LUE</w:t>
      </w:r>
      <w:r>
        <w:t xml:space="preserve"> </w:t>
      </w:r>
      <w:r>
        <w:t xml:space="preserve">(g MJ⁻¹ of IPAR/APAR),</w:t>
      </w:r>
      <w:r>
        <w:t xml:space="preserve"> </w:t>
      </w:r>
      <m:oMath>
        <m:r>
          <m:t>H</m:t>
        </m:r>
        <m:r>
          <m:t>I</m:t>
        </m:r>
      </m:oMath>
      <w:r>
        <w:t xml:space="preserve"> </w:t>
      </w:r>
      <w:r>
        <w:t xml:space="preserve">= harvest index. The detailed model and remote sensing implementation are given later in this chapter. Typical RUE (above-ground biomass per MJ intercepted PAR, unstressed):</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Crop group</w:t>
            </w:r>
          </w:p>
        </w:tc>
        <w:tc>
          <w:tcPr/>
          <w:p>
            <w:pPr>
              <w:pStyle w:val="Compact"/>
              <w:jc w:val="left"/>
            </w:pPr>
            <w:r>
              <w:t xml:space="preserve">RUE (g MJ⁻¹ IPAR)</w:t>
            </w:r>
          </w:p>
        </w:tc>
      </w:tr>
      <w:tr>
        <w:tc>
          <w:tcPr/>
          <w:p>
            <w:pPr>
              <w:pStyle w:val="Compact"/>
              <w:jc w:val="left"/>
            </w:pPr>
            <w:r>
              <w:t xml:space="preserve">C₃ cereals (wheat, rice, barley)</w:t>
            </w:r>
          </w:p>
        </w:tc>
        <w:tc>
          <w:tcPr/>
          <w:p>
            <w:pPr>
              <w:pStyle w:val="Compact"/>
              <w:jc w:val="left"/>
            </w:pPr>
            <w:r>
              <w:t xml:space="preserve">2.2–3.0</w:t>
            </w:r>
          </w:p>
        </w:tc>
      </w:tr>
      <w:tr>
        <w:tc>
          <w:tcPr/>
          <w:p>
            <w:pPr>
              <w:pStyle w:val="Compact"/>
              <w:jc w:val="left"/>
            </w:pPr>
            <w:r>
              <w:t xml:space="preserve">C₄ crops (maize, sorghum, sugarcane, pearl millet)</w:t>
            </w:r>
          </w:p>
        </w:tc>
        <w:tc>
          <w:tcPr/>
          <w:p>
            <w:pPr>
              <w:pStyle w:val="Compact"/>
              <w:jc w:val="left"/>
            </w:pPr>
            <w:r>
              <w:t xml:space="preserve">3.3–4.0</w:t>
            </w:r>
          </w:p>
        </w:tc>
      </w:tr>
      <w:tr>
        <w:tc>
          <w:tcPr/>
          <w:p>
            <w:pPr>
              <w:pStyle w:val="Compact"/>
              <w:jc w:val="left"/>
            </w:pPr>
            <w:r>
              <w:t xml:space="preserve">Grain legumes (soybean, groundnut, chickpea)</w:t>
            </w:r>
          </w:p>
        </w:tc>
        <w:tc>
          <w:tcPr/>
          <w:p>
            <w:pPr>
              <w:pStyle w:val="Compact"/>
              <w:jc w:val="left"/>
            </w:pPr>
            <w:r>
              <w:t xml:space="preserve">1.8–2.4 (energy-rich seeds)</w:t>
            </w:r>
          </w:p>
        </w:tc>
      </w:tr>
      <w:tr>
        <w:tc>
          <w:tcPr/>
          <w:p>
            <w:pPr>
              <w:pStyle w:val="Compact"/>
              <w:jc w:val="left"/>
            </w:pPr>
            <w:r>
              <w:t xml:space="preserve">Oilseeds</w:t>
            </w:r>
          </w:p>
        </w:tc>
        <w:tc>
          <w:tcPr/>
          <w:p>
            <w:pPr>
              <w:pStyle w:val="Compact"/>
              <w:jc w:val="left"/>
            </w:pPr>
            <w:r>
              <w:t xml:space="preserve">1.6–2.4</w:t>
            </w:r>
          </w:p>
        </w:tc>
      </w:tr>
      <w:tr>
        <w:tc>
          <w:tcPr/>
          <w:p>
            <w:pPr>
              <w:pStyle w:val="Compact"/>
              <w:jc w:val="left"/>
            </w:pPr>
            <w:r>
              <w:t xml:space="preserve">Root/tuber (potato)</w:t>
            </w:r>
          </w:p>
        </w:tc>
        <w:tc>
          <w:tcPr/>
          <w:p>
            <w:pPr>
              <w:pStyle w:val="Compact"/>
              <w:jc w:val="left"/>
            </w:pPr>
            <w:r>
              <w:t xml:space="preserve">2.5–3.0</w:t>
            </w:r>
          </w:p>
        </w:tc>
      </w:tr>
    </w:tbl>
    <w:p>
      <w:pPr>
        <w:pStyle w:val="BodyText"/>
      </w:pPr>
      <w:r>
        <w:t xml:space="preserve">(Per MJ of total global radiation values are roughly half these.)</w:t>
      </w:r>
      <w:r>
        <w:t xml:space="preserve"> </w:t>
      </w:r>
      <w:r>
        <w:rPr>
          <w:bCs/>
          <w:b/>
        </w:rPr>
        <w:t xml:space="preserve">C₄ crops have higher RUE</w:t>
      </w:r>
      <w:r>
        <w:t xml:space="preserve"> </w:t>
      </w:r>
      <w:r>
        <w:t xml:space="preserve">(no photorespiration, CO₂-concentrating mechanism, higher light saturation).</w:t>
      </w:r>
    </w:p>
    <w:p>
      <w:pPr>
        <w:pStyle w:val="BodyText"/>
      </w:pPr>
      <w:r>
        <w:rPr>
          <w:bCs/>
          <w:b/>
        </w:rPr>
        <w:t xml:space="preserve">Actual LUE</w:t>
      </w:r>
      <w:r>
        <w:t xml:space="preserve"> </w:t>
      </w:r>
      <w:r>
        <w:t xml:space="preserve">is reduced by stresses:</w:t>
      </w:r>
      <w:r>
        <w:t xml:space="preserve"> </w:t>
      </w:r>
      <m:oMath>
        <m:r>
          <m:t>ε</m:t>
        </m:r>
        <m:r>
          <m:rPr>
            <m:sty m:val="p"/>
          </m:rPr>
          <m:t>=</m:t>
        </m:r>
        <m:sSub>
          <m:e>
            <m:r>
              <m:t>ε</m:t>
            </m:r>
          </m:e>
          <m:sub>
            <m:r>
              <m:t>m</m:t>
            </m:r>
            <m:r>
              <m:t>a</m:t>
            </m:r>
            <m:r>
              <m:t>x</m:t>
            </m:r>
          </m:sub>
        </m:sSub>
        <m:r>
          <m:rPr>
            <m:sty m:val="p"/>
          </m:rPr>
          <m:t>×</m:t>
        </m:r>
        <m:r>
          <m:t>f</m:t>
        </m:r>
        <m:d>
          <m:dPr>
            <m:begChr m:val="("/>
            <m:endChr m:val=")"/>
            <m:sepChr m:val=""/>
            <m:grow/>
          </m:dPr>
          <m:e>
            <m:r>
              <m:t>T</m:t>
            </m:r>
          </m:e>
        </m:d>
        <m:r>
          <m:rPr>
            <m:sty m:val="p"/>
          </m:rPr>
          <m:t>×</m:t>
        </m:r>
        <m:r>
          <m:t>f</m:t>
        </m:r>
        <m:d>
          <m:dPr>
            <m:begChr m:val="("/>
            <m:endChr m:val=")"/>
            <m:sepChr m:val=""/>
            <m:grow/>
          </m:dPr>
          <m:e>
            <m:r>
              <m:t>W</m:t>
            </m:r>
          </m:e>
        </m:d>
        <m:r>
          <m:rPr>
            <m:sty m:val="p"/>
          </m:rPr>
          <m:t>×</m:t>
        </m:r>
        <m:r>
          <m:t>f</m:t>
        </m:r>
        <m:d>
          <m:dPr>
            <m:begChr m:val="("/>
            <m:endChr m:val=")"/>
            <m:sepChr m:val=""/>
            <m:grow/>
          </m:dPr>
          <m:e>
            <m:r>
              <m:t>N</m:t>
            </m:r>
          </m:e>
        </m:d>
        <m:r>
          <m:rPr>
            <m:sty m:val="p"/>
          </m:rPr>
          <m:t>…</m:t>
        </m:r>
      </m:oMath>
      <w:r>
        <w:t xml:space="preserve"> </w:t>
      </w:r>
      <w:r>
        <w:t xml:space="preserve">(temperature, water, nutrient scalars) — the structure of CASA, MOD17 and VPM models. Satellite</w:t>
      </w:r>
      <w:r>
        <w:t xml:space="preserve"> </w:t>
      </w:r>
      <w:r>
        <w:rPr>
          <w:bCs/>
          <w:b/>
        </w:rPr>
        <w:t xml:space="preserve">fAPAR</w:t>
      </w:r>
      <w:r>
        <w:t xml:space="preserve"> </w:t>
      </w:r>
      <w:r>
        <w:t xml:space="preserve">comes from NDVI/EVI (e.g.,</w:t>
      </w:r>
      <w:r>
        <w:t xml:space="preserve"> </w:t>
      </w:r>
      <m:oMath>
        <m:sSub>
          <m:e>
            <m:r>
              <m:t>f</m:t>
            </m:r>
          </m:e>
          <m:sub>
            <m:r>
              <m:t>A</m:t>
            </m:r>
            <m:r>
              <m:t>P</m:t>
            </m:r>
            <m:r>
              <m:t>A</m:t>
            </m:r>
            <m:r>
              <m:t>R</m:t>
            </m:r>
          </m:sub>
        </m:sSub>
        <m:r>
          <m:rPr>
            <m:sty m:val="p"/>
          </m:rPr>
          <m:t>=</m:t>
        </m:r>
        <m:r>
          <m:t>1.222</m:t>
        </m:r>
        <m:r>
          <m:t> </m:t>
        </m:r>
        <m:r>
          <m:t>N</m:t>
        </m:r>
        <m:r>
          <m:t>D</m:t>
        </m:r>
        <m:r>
          <m:t>V</m:t>
        </m:r>
        <m:r>
          <m:t>I</m:t>
        </m:r>
        <m:r>
          <m:rPr>
            <m:sty m:val="p"/>
          </m:rPr>
          <m:t>−</m:t>
        </m:r>
        <m:r>
          <m:t>0.1914</m:t>
        </m:r>
      </m:oMath>
      <w:r>
        <w:t xml:space="preserve">, or</w:t>
      </w:r>
      <w:r>
        <w:t xml:space="preserve"> </w:t>
      </w:r>
      <m:oMath>
        <m:sSub>
          <m:e>
            <m:r>
              <m:t>f</m:t>
            </m:r>
          </m:e>
          <m:sub>
            <m:r>
              <m:t>A</m:t>
            </m:r>
            <m:r>
              <m:t>P</m:t>
            </m:r>
            <m:r>
              <m:t>A</m:t>
            </m:r>
            <m:r>
              <m:t>R</m:t>
            </m:r>
          </m:sub>
        </m:sSub>
        <m:r>
          <m:rPr>
            <m:sty m:val="p"/>
          </m:rPr>
          <m:t>=</m:t>
        </m:r>
        <m:r>
          <m:t>W</m:t>
        </m:r>
        <m:r>
          <m:t>D</m:t>
        </m:r>
        <m:r>
          <m:t>V</m:t>
        </m:r>
        <m:r>
          <m:t>I</m:t>
        </m:r>
        <m:r>
          <m:rPr>
            <m:sty m:val="p"/>
          </m:rPr>
          <m:t>×</m:t>
        </m:r>
        <m:sSub>
          <m:e>
            <m:r>
              <m:t>f</m:t>
            </m:r>
          </m:e>
          <m:sub>
            <m:r>
              <m:t>A</m:t>
            </m:r>
            <m:r>
              <m:t>P</m:t>
            </m:r>
            <m:r>
              <m:t>A</m:t>
            </m:r>
            <m:r>
              <m:t>R</m:t>
            </m:r>
            <m:r>
              <m:rPr>
                <m:sty m:val="p"/>
              </m:rPr>
              <m:t>,</m:t>
            </m:r>
            <m:r>
              <m:rPr>
                <m:sty m:val="p"/>
              </m:rPr>
              <m:t>∞</m:t>
            </m:r>
          </m:sub>
        </m:sSub>
        <m:r>
          <m:rPr>
            <m:sty m:val="p"/>
          </m:rPr>
          <m:t>/</m:t>
        </m:r>
        <m:r>
          <m:t>W</m:t>
        </m:r>
        <m:r>
          <m:t>D</m:t>
        </m:r>
        <m:r>
          <m:t>V</m:t>
        </m:r>
        <m:sSub>
          <m:e>
            <m:r>
              <m:t>I</m:t>
            </m:r>
          </m:e>
          <m:sub>
            <m:r>
              <m:rPr>
                <m:sty m:val="p"/>
              </m:rPr>
              <m:t>∞</m:t>
            </m:r>
          </m:sub>
        </m:sSub>
      </m:oMath>
      <w:r>
        <w:t xml:space="preserve"> </w:t>
      </w:r>
      <w:r>
        <w:t xml:space="preserve">to reduce soil effects), and LAI from</w:t>
      </w:r>
      <w:r>
        <w:t xml:space="preserve"> </w:t>
      </w:r>
      <m:oMath>
        <m:r>
          <m:t>L</m:t>
        </m:r>
        <m:r>
          <m:t>A</m:t>
        </m:r>
        <m:r>
          <m:t>I</m:t>
        </m:r>
        <m:r>
          <m:rPr>
            <m:sty m:val="p"/>
          </m:rPr>
          <m:t>=</m:t>
        </m:r>
        <m:r>
          <m:rPr>
            <m:sty m:val="p"/>
          </m:rPr>
          <m:t>−</m:t>
        </m:r>
        <m:f>
          <m:fPr>
            <m:type m:val="bar"/>
          </m:fPr>
          <m:num>
            <m:r>
              <m:t>1</m:t>
            </m:r>
          </m:num>
          <m:den>
            <m:r>
              <m:t>K</m:t>
            </m:r>
          </m:den>
        </m:f>
        <m:r>
          <m:rPr>
            <m:sty m:val="p"/>
          </m:rPr>
          <m:t>ln</m:t>
        </m:r>
        <m:r>
          <m:t>​</m:t>
        </m:r>
        <m:d>
          <m:dPr>
            <m:begChr m:val="("/>
            <m:endChr m:val=")"/>
            <m:sepChr m:val=""/>
            <m:grow/>
          </m:dPr>
          <m:e>
            <m:r>
              <m:t>1</m:t>
            </m:r>
            <m:r>
              <m:rPr>
                <m:sty m:val="p"/>
              </m:rPr>
              <m:t>−</m:t>
            </m:r>
            <m:f>
              <m:fPr>
                <m:type m:val="bar"/>
              </m:fPr>
              <m:num>
                <m:sSub>
                  <m:e>
                    <m:r>
                      <m:t>f</m:t>
                    </m:r>
                  </m:e>
                  <m:sub>
                    <m:r>
                      <m:t>A</m:t>
                    </m:r>
                    <m:r>
                      <m:t>P</m:t>
                    </m:r>
                    <m:r>
                      <m:t>A</m:t>
                    </m:r>
                    <m:r>
                      <m:t>R</m:t>
                    </m:r>
                  </m:sub>
                </m:sSub>
              </m:num>
              <m:den>
                <m:sSub>
                  <m:e>
                    <m:r>
                      <m:t>f</m:t>
                    </m:r>
                  </m:e>
                  <m:sub>
                    <m:r>
                      <m:t>A</m:t>
                    </m:r>
                    <m:r>
                      <m:t>P</m:t>
                    </m:r>
                    <m:r>
                      <m:t>A</m:t>
                    </m:r>
                    <m:r>
                      <m:t>R</m:t>
                    </m:r>
                    <m:r>
                      <m:rPr>
                        <m:sty m:val="p"/>
                      </m:rPr>
                      <m:t>,</m:t>
                    </m:r>
                    <m:r>
                      <m:rPr>
                        <m:sty m:val="p"/>
                      </m:rPr>
                      <m:t>∞</m:t>
                    </m:r>
                  </m:sub>
                </m:sSub>
              </m:den>
            </m:f>
          </m:e>
        </m:d>
      </m:oMath>
      <w:r>
        <w:t xml:space="preserve">.</w:t>
      </w:r>
    </w:p>
    <w:p>
      <w:pPr>
        <w:pStyle w:val="BodyText"/>
      </w:pPr>
      <w:r>
        <w:rPr>
          <w:bCs/>
          <w:b/>
        </w:rPr>
        <w:t xml:space="preserve">Integrated NDVI ≈ cumulative APAR:</w:t>
      </w:r>
      <w:r>
        <w:t xml:space="preserve"> </w:t>
      </w:r>
      <w:r>
        <w:t xml:space="preserve">temporal sums of NDVI correlate linearly with seasonal gross production and above-ground biomass (Sahel studies), the basis of simple satellite productivity and yield indicators.</w:t>
      </w:r>
    </w:p>
    <w:p>
      <w:pPr>
        <w:pStyle w:val="BodyText"/>
      </w:pPr>
      <w:r>
        <w:rPr>
          <w:bCs/>
          <w:b/>
        </w:rPr>
        <w:t xml:space="preserve">Applications of LUE:</w:t>
      </w:r>
      <w:r>
        <w:t xml:space="preserve"> </w:t>
      </w:r>
      <w:r>
        <w:t xml:space="preserve">semi-physical yield models (FASAL), GPP/NPP mapping (MOD17, VPM, CASA), carbon accounting, comparing genotypes and management (plant density, row orientation), estimating potential yield (radiation-limited).</w:t>
      </w:r>
    </w:p>
    <w:p>
      <w:pPr>
        <w:pStyle w:val="CaptionedFigure"/>
      </w:pPr>
      <w:r>
        <w:drawing>
          <wp:inline>
            <wp:extent cx="5334000" cy="2987039"/>
            <wp:effectExtent b="0" l="0" r="0" t="0"/>
            <wp:docPr descr="From heat units and light to yield — the semi-physical chain" title="" id="102" name="Picture"/>
            <a:graphic>
              <a:graphicData uri="http://schemas.openxmlformats.org/drawingml/2006/picture">
                <pic:pic>
                  <pic:nvPicPr>
                    <pic:cNvPr descr="/tmp/claude-0/-home-user-sonu/ab07c29a-21cd-5a4a-9d2d-68ad72d07153/scratchpad/build/../flows/flow_021.png" id="103" name="Picture"/>
                    <pic:cNvPicPr>
                      <a:picLocks noChangeArrowheads="1" noChangeAspect="1"/>
                    </pic:cNvPicPr>
                  </pic:nvPicPr>
                  <pic:blipFill>
                    <a:blip r:embed="rId101"/>
                    <a:stretch>
                      <a:fillRect/>
                    </a:stretch>
                  </pic:blipFill>
                  <pic:spPr bwMode="auto">
                    <a:xfrm>
                      <a:off x="0" y="0"/>
                      <a:ext cx="5334000" cy="2987039"/>
                    </a:xfrm>
                    <a:prstGeom prst="rect">
                      <a:avLst/>
                    </a:prstGeom>
                    <a:noFill/>
                    <a:ln w="9525">
                      <a:noFill/>
                      <a:headEnd/>
                      <a:tailEnd/>
                    </a:ln>
                  </pic:spPr>
                </pic:pic>
              </a:graphicData>
            </a:graphic>
          </wp:inline>
        </w:drawing>
      </w:r>
    </w:p>
    <w:p>
      <w:pPr>
        <w:pStyle w:val="ImageCaption"/>
      </w:pPr>
      <w:r>
        <w:t xml:space="preserve">From heat units and light to yield — the semi-physical chain</w:t>
      </w:r>
    </w:p>
    <w:p>
      <w:pPr>
        <w:pStyle w:val="Heading3"/>
      </w:pPr>
      <w:r>
        <w:t xml:space="preserve">28.5.1 Likely interview questions</w:t>
      </w:r>
    </w:p>
    <w:p>
      <w:pPr>
        <w:pStyle w:val="FirstParagraph"/>
      </w:pPr>
      <w:r>
        <w:rPr>
          <w:bCs/>
          <w:b/>
        </w:rPr>
        <w:t xml:space="preserve">Q. Define GDD and give base temperatures of wheat and rice.</w:t>
      </w:r>
      <w:r>
        <w:t xml:space="preserve"> </w:t>
      </w:r>
      <w:r>
        <w:t xml:space="preserve">Sum of daily mean temperature above base; wheat ≈ 5 °C (0–5), rice ≈ 10 °C.</w:t>
      </w:r>
    </w:p>
    <w:p>
      <w:pPr>
        <w:pStyle w:val="BodyText"/>
      </w:pPr>
      <w:r>
        <w:rPr>
          <w:bCs/>
          <w:b/>
        </w:rPr>
        <w:t xml:space="preserve">Q. Distinguish PTU and HTU.</w:t>
      </w:r>
      <w:r>
        <w:t xml:space="preserve"> </w:t>
      </w:r>
      <w:r>
        <w:t xml:space="preserve">PTU = GDD × day length (photoperiod); HTU = GDD × actual sunshine hours (radiation/cloudiness).</w:t>
      </w:r>
    </w:p>
    <w:p>
      <w:pPr>
        <w:pStyle w:val="BodyText"/>
      </w:pPr>
      <w:r>
        <w:rPr>
          <w:bCs/>
          <w:b/>
        </w:rPr>
        <w:t xml:space="preserve">Q. What is heat use efficiency?</w:t>
      </w:r>
      <w:r>
        <w:t xml:space="preserve"> </w:t>
      </w:r>
      <w:r>
        <w:t xml:space="preserve">Yield (or biomass) per degree-day accumulated.</w:t>
      </w:r>
    </w:p>
    <w:p>
      <w:pPr>
        <w:pStyle w:val="BodyText"/>
      </w:pPr>
      <w:r>
        <w:rPr>
          <w:bCs/>
          <w:b/>
        </w:rPr>
        <w:t xml:space="preserve">Q. Why do C₄ crops have higher RUE?</w:t>
      </w:r>
      <w:r>
        <w:t xml:space="preserve"> </w:t>
      </w:r>
      <w:r>
        <w:t xml:space="preserve">CO₂-concentrating mechanism eliminates photorespiration and raises light saturation.</w:t>
      </w:r>
    </w:p>
    <w:p>
      <w:pPr>
        <w:pStyle w:val="BodyText"/>
      </w:pPr>
      <w:r>
        <w:rPr>
          <w:bCs/>
          <w:b/>
        </w:rPr>
        <w:t xml:space="preserve">Q. How is fAPAR obtained from satellites?</w:t>
      </w:r>
      <w:r>
        <w:t xml:space="preserve"> </w:t>
      </w:r>
      <w:r>
        <w:t xml:space="preserve">From NDVI/EVI (near-linear relations) or by inverting canopy RT models; LAI follows from Beer’s law.</w:t>
      </w:r>
    </w:p>
    <w:p>
      <w:pPr>
        <w:pStyle w:val="Heading2"/>
      </w:pPr>
      <w:r>
        <w:t xml:space="preserve">28.6 Growing Degree-Days and Crop Phenology Modelling</w:t>
      </w:r>
    </w:p>
    <w:p>
      <w:pPr>
        <w:pStyle w:val="FirstParagraph"/>
      </w:pPr>
      <w:r>
        <w:rPr>
          <w:bCs/>
          <w:b/>
        </w:rPr>
        <w:t xml:space="preserve">Growing Degree-Days (GDD), also called thermal time or heat units:</w:t>
      </w:r>
      <w:r>
        <w:t xml:space="preserve"> </w:t>
      </w:r>
      <w:r>
        <w:t xml:space="preserve">GDD = Σ [(Tmax+Tmin)/2 − Tbase], summed daily over the growing season, where Tbase is the crop-specific base temperature below which development effectively ceases (e.g., ~10°C for cotton, ~4–5°C for wheat) — GDD accumulation, not calendar days, is the physiologically correct clock for crop phenological development (sowing, emergence, flowering, maturity), since development rate is itself temperature-dependent; FASAL/crop-simulation models use GDD-based phenology sub-models to correctly time the crop-growth-stage-specific Kc values and the crop-stage-specific vegetation-index predictors used in yield-regression models, and GDD is the standard variable underlying sowing-date-inference and crop-calendar mapping referenced in the mustard-aphid case study.</w:t>
      </w:r>
    </w:p>
    <w:p>
      <w:pPr>
        <w:pStyle w:val="BodyText"/>
      </w:pPr>
      <w:r>
        <w:rPr>
          <w:bCs/>
          <w:b/>
        </w:rPr>
        <w:t xml:space="preserve">Radiation Use Efficiency (RUE) concept:</w:t>
      </w:r>
      <w:r>
        <w:t xml:space="preserve"> </w:t>
      </w:r>
      <w:r>
        <w:t xml:space="preserve">Biomass accumulation is commonly modelled as ΔBiomass = RUE × APAR, where APAR (Absorbed Photosynthetically Active Radiation) = fAPAR × PAR (fAPAR, the fraction of incident PAR absorbed by the canopy, is itself commonly estimated from NDVI via an empirical linear relationship) and RUE (g biomass per MJ APAR) is a crop- and often growth-stage- and stress-condition-specific efficiency coefficient — the same conceptual GPP = APAR × LUE framework introduced for SIF-informed GPP modelling in the relevant chapter, here applied at the whole-crop biomass/yield level rather than the instantaneous photosynthetic-flux level, and the core mechanistic link between remotely sensed NDVI/fAPAR time series and the semi-physical crop-simulation-model component of FASAL yield forecasting.</w:t>
      </w:r>
    </w:p>
    <w:p>
      <w:pPr>
        <w:pStyle w:val="Heading2"/>
      </w:pPr>
      <w:r>
        <w:t xml:space="preserve">28.7 Growing Degree-Days — Computing Accumulated Thermal Time</w:t>
      </w:r>
    </w:p>
    <w:p>
      <w:pPr>
        <w:pStyle w:val="FirstParagraph"/>
      </w:pPr>
      <w:r>
        <w:rPr>
          <w:bCs/>
          <w:b/>
        </w:rPr>
        <w:t xml:space="preserve">Problem:</w:t>
      </w:r>
      <w:r>
        <w:t xml:space="preserve"> </w:t>
      </w:r>
      <w:r>
        <w:t xml:space="preserve">For a wheat crop with base temperature Tbase = 5°C, compute the accumulated GDD over a five-day period with the following daily maximum/minimum temperatures (°C): Day 1: 22/8; Day 2: 24/9; Day 3: 20/6; Day 4: 26/11; Day 5: 18/4.</w:t>
      </w:r>
    </w:p>
    <w:p>
      <w:pPr>
        <w:pStyle w:val="BodyText"/>
      </w:pPr>
      <w:r>
        <w:rPr>
          <w:bCs/>
          <w:b/>
        </w:rPr>
        <w:t xml:space="preserve">Step 1 — Compute daily mean temperature and daily GDD contribution</w:t>
      </w:r>
      <w:r>
        <w:t xml:space="preserve"> </w:t>
      </w:r>
      <w:r>
        <w:t xml:space="preserve">(GDDday = max(0, (Tmax+Tmin)/2 − Tbase)): Day 1: (22+8)/2 − 5 = 15 − 5 = 10.0 Day 2: (24+9)/2 − 5 = 16.5 − 5 = 11.5 Day 3: (20+6)/2 − 5 = 13 − 5 = 8.0 Day 4: (26+11)/2 − 5 = 18.5 − 5 = 13.5 Day 5: (18+4)/2 − 5 = 11 − 5 = 6.0</w:t>
      </w:r>
    </w:p>
    <w:p>
      <w:pPr>
        <w:pStyle w:val="BodyText"/>
      </w:pPr>
      <w:r>
        <w:rPr>
          <w:bCs/>
          <w:b/>
        </w:rPr>
        <w:t xml:space="preserve">Step 2 — Sum.</w:t>
      </w:r>
      <w:r>
        <w:t xml:space="preserve"> </w:t>
      </w:r>
      <w:r>
        <w:t xml:space="preserve">Total GDD = 10.0+11.5+8.0+13.5+6.0 =</w:t>
      </w:r>
      <w:r>
        <w:t xml:space="preserve"> </w:t>
      </w:r>
      <w:r>
        <w:rPr>
          <w:bCs/>
          <w:b/>
        </w:rPr>
        <w:t xml:space="preserve">49.0 GDD</w:t>
      </w:r>
      <w:r>
        <w:t xml:space="preserve"> </w:t>
      </w:r>
      <w:r>
        <w:t xml:space="preserve">accumulated over the five-day window.</w:t>
      </w:r>
    </w:p>
    <w:p>
      <w:pPr>
        <w:pStyle w:val="BodyText"/>
      </w:pPr>
      <w:r>
        <w:rPr>
          <w:bCs/>
          <w:b/>
        </w:rPr>
        <w:t xml:space="preserve">Interpretation:</w:t>
      </w:r>
      <w:r>
        <w:t xml:space="preserve"> </w:t>
      </w:r>
      <w:r>
        <w:t xml:space="preserve">if, say, the wheat variety in question requires ~120 GDD from sowing to emergence, this five-day window alone would represent roughly 40% of the way to emergence — illustrating how a crop-simulation model tracks phenological progress using accumulated thermal time rather than simple elapsed calendar days, and why a cooler week (lower daily GDD contribution) measurably delays the simulated emergence date relative to a warmer week, even over the identical five calendar days.</w:t>
      </w:r>
    </w:p>
    <w:p>
      <w:pPr>
        <w:pStyle w:val="Heading2"/>
      </w:pPr>
      <w:r>
        <w:t xml:space="preserve">28.8 Chilling Units / Chill Hours</w:t>
      </w:r>
    </w:p>
    <w:p>
      <w:pPr>
        <w:pStyle w:val="FirstParagraph"/>
      </w:pPr>
      <w:r>
        <w:t xml:space="preserve">For temperate and sub-tropical fruit crops (apple, peach, plum, temperate stone fruit grown in the Himalayan/hill states), winter dormancy release and subsequent uniform flowering depend on accumulated exposure to low (but above-freezing) temperatures — quantified as Chilling Units or Chill Hours, e.g., the number of hours with temperature between 0–7.2 °C accumulated during the dormancy period (various models such as the Utah Model apply differential weighting, even negative weighting for excessively warm hours that can negate accumulated chill).</w:t>
      </w:r>
    </w:p>
    <w:p>
      <w:pPr>
        <w:pStyle w:val="Heading2"/>
      </w:pPr>
      <w:r>
        <w:t xml:space="preserve">28.9 Radiation Use Efficiency (RUE) and Monteith’s Biomass Accumulation Approach</w:t>
      </w:r>
    </w:p>
    <w:p>
      <w:pPr>
        <w:pStyle w:val="FirstParagraph"/>
      </w:pPr>
      <w:r>
        <w:t xml:space="preserve">A large share of crop growth models — including CropSyst and SAFY, and, more generally, the conceptual basis for relating satellite-observed FAPAR to biomass — rest on</w:t>
      </w:r>
      <w:r>
        <w:t xml:space="preserve"> </w:t>
      </w:r>
      <w:r>
        <w:rPr>
          <w:bCs/>
          <w:b/>
        </w:rPr>
        <w:t xml:space="preserve">Monteith’s Radiation Use Efficiency (RUE) concept</w:t>
      </w:r>
      <w:r>
        <w:t xml:space="preserve">, originally formulated by John Monteith (1972, 1977) from studies of temperate crop and forest productivity.</w:t>
      </w:r>
    </w:p>
    <w:p>
      <w:pPr>
        <w:pStyle w:val="Heading3"/>
      </w:pPr>
      <w:r>
        <w:t xml:space="preserve">28.9.1 The Monteith Equation</w:t>
      </w:r>
    </w:p>
    <w:p>
      <w:pPr>
        <w:pStyle w:val="FirstParagraph"/>
      </w:pPr>
      <w:r>
        <w:t xml:space="preserve">Monteith proposed that above-ground (or total) dry-matter production over a period can be approximated as the product of three multiplicative terms:</w:t>
      </w:r>
    </w:p>
    <w:p>
      <w:pPr>
        <w:pStyle w:val="BodyText"/>
      </w:pPr>
      <w:r>
        <w:rPr>
          <w:bCs/>
          <w:b/>
        </w:rPr>
        <w:t xml:space="preserve">B = Σ (PAR × fAPAR × ε)</w:t>
      </w:r>
    </w:p>
    <w:p>
      <w:pPr>
        <w:pStyle w:val="BodyText"/>
      </w:pPr>
      <w:r>
        <w:t xml:space="preserve">where: -</w:t>
      </w:r>
      <w:r>
        <w:t xml:space="preserve"> </w:t>
      </w:r>
      <w:r>
        <w:rPr>
          <w:bCs/>
          <w:b/>
        </w:rPr>
        <w:t xml:space="preserve">PAR</w:t>
      </w:r>
      <w:r>
        <w:t xml:space="preserve"> </w:t>
      </w:r>
      <w:r>
        <w:t xml:space="preserve">is incident photosynthetically active radiation (roughly 45–50% of incoming shortwave solar radiation), -</w:t>
      </w:r>
      <w:r>
        <w:t xml:space="preserve"> </w:t>
      </w:r>
      <w:r>
        <w:rPr>
          <w:bCs/>
          <w:b/>
        </w:rPr>
        <w:t xml:space="preserve">fAPAR</w:t>
      </w:r>
      <w:r>
        <w:t xml:space="preserve"> </w:t>
      </w:r>
      <w:r>
        <w:t xml:space="preserve">(or fIPAR) is the fraction of PAR absorbed (or intercepted) by the green canopy — itself a function of leaf area index (LAI) via a Beer–Lambert-type light extinction law, fAPAR = 1 − exp(−k·LAI), where k is a canopy extinction coefficient dependent on leaf angle/architecture — and -</w:t>
      </w:r>
      <w:r>
        <w:t xml:space="preserve"> </w:t>
      </w:r>
      <w:r>
        <w:rPr>
          <w:bCs/>
          <w:b/>
        </w:rPr>
        <w:t xml:space="preserve">ε</w:t>
      </w:r>
      <w:r>
        <w:t xml:space="preserve"> </w:t>
      </w:r>
      <w:r>
        <w:t xml:space="preserve">is the radiation use efficiency, i.e., the dry matter (grams) produced per unit of absorbed PAR (MJ), typically expressed in g DM MJ⁻¹.</w:t>
      </w:r>
    </w:p>
    <w:p>
      <w:pPr>
        <w:pStyle w:val="BodyText"/>
      </w:pPr>
      <w:r>
        <w:t xml:space="preserve">Summed (integrated) over the growing season, this gives total accumulated biomass, which is then converted to economic (grain) yield via the</w:t>
      </w:r>
      <w:r>
        <w:t xml:space="preserve"> </w:t>
      </w:r>
      <w:r>
        <w:rPr>
          <w:bCs/>
          <w:b/>
        </w:rPr>
        <w:t xml:space="preserve">harvest index (HI)</w:t>
      </w:r>
      <w:r>
        <w:t xml:space="preserve">:</w:t>
      </w:r>
      <w:r>
        <w:t xml:space="preserve"> </w:t>
      </w:r>
      <w:r>
        <w:rPr>
          <w:bCs/>
          <w:b/>
        </w:rPr>
        <w:t xml:space="preserve">Yield = B × HI</w:t>
      </w:r>
      <w:r>
        <w:t xml:space="preserve">.</w:t>
      </w:r>
    </w:p>
    <w:p>
      <w:pPr>
        <w:pStyle w:val="Heading3"/>
      </w:pPr>
      <w:r>
        <w:t xml:space="preserve">28.9.2 Why RUE Is Central to Remote-Sensing-Based Yield Modelling</w:t>
      </w:r>
    </w:p>
    <w:p>
      <w:pPr>
        <w:pStyle w:val="FirstParagraph"/>
      </w:pPr>
      <w:r>
        <w:t xml:space="preserve">The RUE formulation is attractive for satellite-based approaches because</w:t>
      </w:r>
      <w:r>
        <w:t xml:space="preserve"> </w:t>
      </w:r>
      <w:r>
        <w:rPr>
          <w:bCs/>
          <w:b/>
        </w:rPr>
        <w:t xml:space="preserve">fAPAR (or, closely related, LAI) is a quantity that can be directly retrieved from optical remote sensing</w:t>
      </w:r>
      <w:r>
        <w:t xml:space="preserve"> </w:t>
      </w:r>
      <w:r>
        <w:t xml:space="preserve">— via empirical relationships with vegetation indices (NDVI, EVI) or via physically based radiative-transfer-model inversion (e.g., using PROSAIL-type canopy reflectance models, as used to generate operational products like MODIS/Sentinel FAPAR-LAI, or Copernicus Global Land Service products). This means the first two terms of Monteith’s equation (PAR from meteorological data/satellite-derived surface radiation products, and fAPAR from optical satellite retrievals) can be obtained largely from observations, leaving RUE (ε) as a relatively conservative, crop-species-dependent parameter (with well-documented literature ranges, e.g., roughly 1.4–1.9 g MJ⁻¹ for C3 cereals like wheat under non-stressed conditions and higher values, roughly 2.5–3.5+ g MJ⁻¹, for C4 crops like maize and sugarcane, though actual ε is reduced by water, temperature, and nutrient stress). This is precisely the physiological logic underlying MOD17-type global Gross/Net Primary Productivity products and the SAFY-type crop yield models: satellite-observed canopy status (fAPAR/LAI) drives the light-interception term directly, while a simplified, largely literature-derived ε handles the conversion efficiency, dramatically reducing the calibration burden relative to full photosynthesis-based models like DSSAT.</w:t>
      </w:r>
    </w:p>
    <w:p>
      <w:pPr>
        <w:pStyle w:val="Heading3"/>
      </w:pPr>
      <w:r>
        <w:t xml:space="preserve">28.9.3 Limitations of the RUE Concept</w:t>
      </w:r>
    </w:p>
    <w:p>
      <w:pPr>
        <w:pStyle w:val="FirstParagraph"/>
      </w:pPr>
      <w:r>
        <w:t xml:space="preserve">RUE is not strictly constant — it varies with crop phenological stage (generally higher during vegetative/pre-anthesis growth and lower during senescence), with diffuse vs. direct radiation fraction (diffuse light is used more efficiently by canopies because it penetrates more uniformly and reduces upper-canopy light saturation), with atmospheric CO₂ concentration, and — critically for yield forecasting — with water, temperature, and nutrient stress, which most simple RUE-based models handle via empirical stress-reduction multipliers rather than mechanistic photosynthesis-stomatal-conductance coupling. This is one reason RUE-based models like SAFY, while excellent for real-time remote-sensing-driven monitoring, are less diagnostic of the</w:t>
      </w:r>
      <w:r>
        <w:t xml:space="preserve"> </w:t>
      </w:r>
      <w:r>
        <w:rPr>
          <w:iCs/>
          <w:i/>
        </w:rPr>
        <w:t xml:space="preserve">physiological cause</w:t>
      </w:r>
      <w:r>
        <w:t xml:space="preserve"> </w:t>
      </w:r>
      <w:r>
        <w:t xml:space="preserve">of a yield anomaly than fully mechanistic models like CERES.</w:t>
      </w:r>
    </w:p>
    <w:p>
      <w:pPr>
        <w:pStyle w:val="Heading2"/>
      </w:pPr>
      <w:r>
        <w:t xml:space="preserve">28.10 Crop-Weather Calendars and Phenological Staging</w:t>
      </w:r>
    </w:p>
    <w:p>
      <w:pPr>
        <w:pStyle w:val="FirstParagraph"/>
      </w:pPr>
      <w:r>
        <w:t xml:space="preserve">A crop-weather calendar tabulates, for each major crop and agro-climatic zone, the normal sowing window, duration of each phenological stage (vegetative, reproductive, ripening), critical stages of weather sensitivity (e.g., flowering stage sensitivity to heat/cold in wheat and rice; boll-development sensitivity to excess rain in cotton), and the corresponding weather-based advisory actions. This is the operational template used in GKMS bulletins to tailor advisories: e.g., an advisory for wheat at the grain-filling stage will flag any forecast of temperature &gt; 34–35 °C or hot, dry wind (loo) as a terminal heat-stress risk requiring light irrigation.</w:t>
      </w:r>
    </w:p>
    <w:p>
      <w:pPr>
        <w:pStyle w:val="Heading2"/>
      </w:pPr>
      <w:r>
        <w:t xml:space="preserve">28.11 Other Commonly Used Agromet Indices</w:t>
      </w:r>
    </w:p>
    <w:tbl>
      <w:tblPr>
        <w:tblStyle w:val="Table"/>
        <w:tblW w:type="pct" w:w="4967"/>
        <w:jc w:val="left"/>
        <w:tblLook w:firstRow="1" w:lastRow="0" w:firstColumn="0" w:lastColumn="0" w:noHBand="0" w:noVBand="0" w:val="0020"/>
      </w:tblPr>
      <w:tblGrid>
        <w:gridCol w:w="1610"/>
        <w:gridCol w:w="2745"/>
        <w:gridCol w:w="3511"/>
      </w:tblGrid>
      <w:tr>
        <w:trPr>
          <w:tblHeader w:val="true"/>
        </w:trPr>
        <w:tc>
          <w:tcPr/>
          <w:p>
            <w:pPr>
              <w:pStyle w:val="Compact"/>
              <w:jc w:val="left"/>
            </w:pPr>
            <w:r>
              <w:rPr>
                <w:bCs/>
                <w:b/>
              </w:rPr>
              <w:t xml:space="preserve">Index</w:t>
            </w:r>
          </w:p>
        </w:tc>
        <w:tc>
          <w:tcPr/>
          <w:p>
            <w:pPr>
              <w:pStyle w:val="Compact"/>
              <w:jc w:val="left"/>
            </w:pPr>
            <w:r>
              <w:rPr>
                <w:bCs/>
                <w:b/>
              </w:rPr>
              <w:t xml:space="preserve">Purpose</w:t>
            </w:r>
          </w:p>
        </w:tc>
        <w:tc>
          <w:tcPr/>
          <w:p>
            <w:pPr>
              <w:pStyle w:val="Compact"/>
              <w:jc w:val="left"/>
            </w:pPr>
            <w:r>
              <w:rPr>
                <w:bCs/>
                <w:b/>
              </w:rPr>
              <w:t xml:space="preserve">Key Concept</w:t>
            </w:r>
          </w:p>
        </w:tc>
      </w:tr>
      <w:tr>
        <w:tc>
          <w:tcPr/>
          <w:p>
            <w:pPr>
              <w:pStyle w:val="Compact"/>
              <w:jc w:val="left"/>
            </w:pPr>
            <w:r>
              <w:t xml:space="preserve">Standardized Precipitation Index (SPI)</w:t>
            </w:r>
          </w:p>
        </w:tc>
        <w:tc>
          <w:tcPr/>
          <w:p>
            <w:pPr>
              <w:pStyle w:val="Compact"/>
              <w:jc w:val="left"/>
            </w:pPr>
            <w:r>
              <w:t xml:space="preserve">Meteorological drought monitoring at multiple timescales (1, 3, 6, 12 months)</w:t>
            </w:r>
          </w:p>
        </w:tc>
        <w:tc>
          <w:tcPr/>
          <w:p>
            <w:pPr>
              <w:pStyle w:val="Compact"/>
              <w:jc w:val="left"/>
            </w:pPr>
            <w:r>
              <w:t xml:space="preserve">Rainfall of a period fitted to a Gamma distribution, transformed to a standard normal (z-score) deviate</w:t>
            </w:r>
          </w:p>
        </w:tc>
      </w:tr>
      <w:tr>
        <w:tc>
          <w:tcPr/>
          <w:p>
            <w:pPr>
              <w:pStyle w:val="Compact"/>
              <w:jc w:val="left"/>
            </w:pPr>
            <w:r>
              <w:t xml:space="preserve">Palmer Drought Severity Index (PDSI)</w:t>
            </w:r>
          </w:p>
        </w:tc>
        <w:tc>
          <w:tcPr/>
          <w:p>
            <w:pPr>
              <w:pStyle w:val="Compact"/>
              <w:jc w:val="left"/>
            </w:pPr>
            <w:r>
              <w:t xml:space="preserve">Soil-moisture-based drought severity</w:t>
            </w:r>
          </w:p>
        </w:tc>
        <w:tc>
          <w:tcPr/>
          <w:p>
            <w:pPr>
              <w:pStyle w:val="Compact"/>
              <w:jc w:val="left"/>
            </w:pPr>
            <w:r>
              <w:t xml:space="preserve">Water-balance accounting using precipitation, ET, runoff, recharge</w:t>
            </w:r>
          </w:p>
        </w:tc>
      </w:tr>
      <w:tr>
        <w:tc>
          <w:tcPr/>
          <w:p>
            <w:pPr>
              <w:pStyle w:val="Compact"/>
              <w:jc w:val="left"/>
            </w:pPr>
            <w:r>
              <w:t xml:space="preserve">Standardized Precipitation Evapotranspiration Index (SPEI)</w:t>
            </w:r>
          </w:p>
        </w:tc>
        <w:tc>
          <w:tcPr/>
          <w:p>
            <w:pPr>
              <w:pStyle w:val="Compact"/>
              <w:jc w:val="left"/>
            </w:pPr>
            <w:r>
              <w:t xml:space="preserve">Drought monitoring incorporating both P and PET (temperature sensitivity)</w:t>
            </w:r>
          </w:p>
        </w:tc>
        <w:tc>
          <w:tcPr/>
          <w:p>
            <w:pPr>
              <w:pStyle w:val="Compact"/>
              <w:jc w:val="left"/>
            </w:pPr>
            <w:r>
              <w:t xml:space="preserve">Like SPI but on the water balance (P − PET) series</w:t>
            </w:r>
          </w:p>
        </w:tc>
      </w:tr>
      <w:tr>
        <w:tc>
          <w:tcPr/>
          <w:p>
            <w:pPr>
              <w:pStyle w:val="Compact"/>
              <w:jc w:val="left"/>
            </w:pPr>
            <w:r>
              <w:t xml:space="preserve">Effective Rainfall</w:t>
            </w:r>
          </w:p>
        </w:tc>
        <w:tc>
          <w:tcPr/>
          <w:p>
            <w:pPr>
              <w:pStyle w:val="Compact"/>
              <w:jc w:val="left"/>
            </w:pPr>
            <w:r>
              <w:t xml:space="preserve">Irrigation planning — the portion of rainfall usable by the crop (excludes runoff/deep percolation)</w:t>
            </w:r>
          </w:p>
        </w:tc>
        <w:tc>
          <w:tcPr/>
          <w:p>
            <w:pPr>
              <w:pStyle w:val="Compact"/>
              <w:jc w:val="left"/>
            </w:pPr>
            <w:r>
              <w:t xml:space="preserve">Empirical formulae (e.g., USDA-SCS method) as a function of total rainfall</w:t>
            </w:r>
          </w:p>
        </w:tc>
      </w:tr>
      <w:tr>
        <w:tc>
          <w:tcPr/>
          <w:p>
            <w:pPr>
              <w:pStyle w:val="Compact"/>
              <w:jc w:val="left"/>
            </w:pPr>
            <w:r>
              <w:t xml:space="preserve">Length of Growing Period (LGP)</w:t>
            </w:r>
          </w:p>
        </w:tc>
        <w:tc>
          <w:tcPr/>
          <w:p>
            <w:pPr>
              <w:pStyle w:val="Compact"/>
              <w:jc w:val="left"/>
            </w:pPr>
            <w:r>
              <w:t xml:space="preserve">Agro-ecological zonation</w:t>
            </w:r>
          </w:p>
        </w:tc>
        <w:tc>
          <w:tcPr/>
          <w:p>
            <w:pPr>
              <w:pStyle w:val="Compact"/>
              <w:jc w:val="left"/>
            </w:pPr>
            <w:r>
              <w:t xml:space="preserve">No. of days when moisture and temperature both permit crop growth (P ≥ 0.5 PET, T above a threshold)</w:t>
            </w:r>
          </w:p>
        </w:tc>
      </w:tr>
      <w:tr>
        <w:tc>
          <w:tcPr/>
          <w:p>
            <w:pPr>
              <w:pStyle w:val="Compact"/>
              <w:jc w:val="left"/>
            </w:pPr>
            <w:r>
              <w:t xml:space="preserve">Heat Wave / Cold Wave Criteria (IMD)</w:t>
            </w:r>
          </w:p>
        </w:tc>
        <w:tc>
          <w:tcPr/>
          <w:p>
            <w:pPr>
              <w:pStyle w:val="Compact"/>
              <w:jc w:val="left"/>
            </w:pPr>
            <w:r>
              <w:t xml:space="preserve">Extreme temperature warnings</w:t>
            </w:r>
          </w:p>
        </w:tc>
        <w:tc>
          <w:tcPr/>
          <w:p>
            <w:pPr>
              <w:pStyle w:val="Compact"/>
              <w:jc w:val="left"/>
            </w:pPr>
            <w:r>
              <w:t xml:space="preserve">Departure from normal Tmax/Tmin by defined thresholds (e.g., ≥4.5–6.4°C departure = heat wave; ≥45°C absolute = severe heat wave)</w:t>
            </w:r>
          </w:p>
        </w:tc>
      </w:tr>
    </w:tbl>
    <w:p>
      <w:pPr>
        <w:pStyle w:val="Heading2"/>
      </w:pPr>
      <w:r>
        <w:t xml:space="preserve">28.12 Worked Examples</w:t>
      </w:r>
    </w:p>
    <w:p>
      <w:pPr>
        <w:pStyle w:val="FirstParagraph"/>
      </w:pPr>
      <w:r>
        <w:t xml:space="preserve">These illustrative calculations show how the equations above are applied in practice — useful both for building intuition and for interview discussion.</w:t>
      </w:r>
    </w:p>
    <w:p>
      <w:pPr>
        <w:pStyle w:val="Heading3"/>
      </w:pPr>
      <w:r>
        <w:t xml:space="preserve">28.12.1 Example 1: Growing Degree Days for Wheat</w:t>
      </w:r>
    </w:p>
    <w:p>
      <w:pPr>
        <w:pStyle w:val="FirstParagraph"/>
      </w:pPr>
      <w:r>
        <w:t xml:space="preserve">Suppose on a given day Tmax = 24°C and Tmin = 10°C, and the base temperature for wheat is Tbase = 5°C.</w:t>
      </w:r>
    </w:p>
    <w:p>
      <w:pPr>
        <w:pStyle w:val="BodyText"/>
      </w:pPr>
      <w:r>
        <w:rPr>
          <w:iCs/>
          <w:i/>
        </w:rPr>
        <w:t xml:space="preserve">GDD = [(24 + 10)/2] − 5 = 17 − 5 = 12 day·°C</w:t>
      </w:r>
    </w:p>
    <w:p>
      <w:pPr>
        <w:pStyle w:val="BodyText"/>
      </w:pPr>
      <w:r>
        <w:t xml:space="preserve">If wheat requires approximately 130 GDD from sowing to the crown-root-initiation stage, and the field accumulates an average of ~11–13 GDD per day under normal winter conditions, that stage would be reached roughly 10–12 days after sowing — an estimate an AMFU agrometeorologist would refine daily as actual temperatures are recorded, and would use to time the first irrigation (a well-established critical stage for wheat).</w:t>
      </w:r>
    </w:p>
    <w:p>
      <w:pPr>
        <w:pStyle w:val="Heading3"/>
      </w:pPr>
      <w:r>
        <w:t xml:space="preserve">28.12.2 Example 2: Moisture Adequacy Index</w:t>
      </w:r>
    </w:p>
    <w:p>
      <w:pPr>
        <w:pStyle w:val="FirstParagraph"/>
      </w:pPr>
      <w:r>
        <w:t xml:space="preserve">For a standard week, suppose total rainfall P = 35 mm and potential evapotranspiration PET = 50 mm.</w:t>
      </w:r>
    </w:p>
    <w:p>
      <w:pPr>
        <w:pStyle w:val="BodyText"/>
      </w:pPr>
      <w:r>
        <w:rPr>
          <w:iCs/>
          <w:i/>
        </w:rPr>
        <w:t xml:space="preserve">MAI = P / PET = 35 / 50 = 0.70</w:t>
      </w:r>
    </w:p>
    <w:p>
      <w:pPr>
        <w:pStyle w:val="BodyText"/>
      </w:pPr>
      <w:r>
        <w:t xml:space="preserve">An MAI of 0.70 falls in the 'moderate moisture stress' band (0.50–0.75), signalling that an agromet advisory for that week should flag developing water stress and, where feasible, recommend supplemental irrigation for moisture-sensitive crop stages, even though rainfall alone might appear unremarkable at first glance.</w:t>
      </w:r>
    </w:p>
    <w:p>
      <w:pPr>
        <w:pStyle w:val="Heading3"/>
      </w:pPr>
      <w:r>
        <w:t xml:space="preserve">28.12.3 Example 3: Simple Water Balance</w:t>
      </w:r>
    </w:p>
    <w:p>
      <w:pPr>
        <w:pStyle w:val="FirstParagraph"/>
      </w:pPr>
      <w:r>
        <w:t xml:space="preserve">Over a week, a rainfed plot receives P = 40 mm rainfall, has no irrigation (I = 0), loses ET = 32 mm to evapotranspiration, RO = 5 mm to runoff, and D = 2 mm to deep percolation.</w:t>
      </w:r>
    </w:p>
    <w:p>
      <w:pPr>
        <w:pStyle w:val="BodyText"/>
      </w:pPr>
      <w:r>
        <w:rPr>
          <w:iCs/>
          <w:i/>
        </w:rPr>
        <w:t xml:space="preserve">ΔSW = P + I − ET − RO − D = 40 + 0 − 32 − 5 − 2 = +1 mm</w:t>
      </w:r>
    </w:p>
    <w:p>
      <w:pPr>
        <w:pStyle w:val="BodyText"/>
      </w:pPr>
      <w:r>
        <w:t xml:space="preserve">The near-zero net change indicates the soil water store is essentially steady that week — rainfall input is almost exactly balanced by crop water use and losses, a condition an irrigation advisory would describe as 'adequate, no action needed', distinct from a week showing a large negative ΔSW that would trigger an irrigation recommendation.</w:t>
      </w:r>
    </w:p>
    <w:p>
      <w:pPr>
        <w:pStyle w:val="Heading1"/>
      </w:pPr>
      <w:r>
        <w:t xml:space="preserve">Chapter 29. Satellite Retrieval of Agrometeorological Parameters</w:t>
      </w:r>
    </w:p>
    <w:p>
      <w:pPr>
        <w:pStyle w:val="Heading2"/>
      </w:pPr>
      <w:r>
        <w:t xml:space="preserve">29.1 Why Retrieve Agrometeorological Parameters from Satellites?</w:t>
      </w:r>
    </w:p>
    <w:p>
      <w:pPr>
        <w:pStyle w:val="FirstParagraph"/>
      </w:pPr>
      <w:r>
        <w:t xml:space="preserve">Ground networks in Asia-Pacific are too sparse to represent the high spatial variability of climate, and station data often do not reach a central point in real time. Satellite-derived parameters offer:</w:t>
      </w:r>
    </w:p>
    <w:p>
      <w:pPr>
        <w:pStyle w:val="Compact"/>
        <w:numPr>
          <w:ilvl w:val="0"/>
          <w:numId w:val="1217"/>
        </w:numPr>
      </w:pPr>
      <w:r>
        <w:rPr>
          <w:bCs/>
          <w:b/>
        </w:rPr>
        <w:t xml:space="preserve">spatial detail</w:t>
      </w:r>
      <w:r>
        <w:t xml:space="preserve"> </w:t>
      </w:r>
      <w:r>
        <w:t xml:space="preserve">(50 m to 5 km) far finer than synoptic station spacing (~100 km) or local networks (10–50 km);</w:t>
      </w:r>
    </w:p>
    <w:p>
      <w:pPr>
        <w:pStyle w:val="Compact"/>
        <w:numPr>
          <w:ilvl w:val="0"/>
          <w:numId w:val="1217"/>
        </w:numPr>
      </w:pPr>
      <w:r>
        <w:rPr>
          <w:bCs/>
          <w:b/>
        </w:rPr>
        <w:t xml:space="preserve">high frequency</w:t>
      </w:r>
      <w:r>
        <w:t xml:space="preserve"> </w:t>
      </w:r>
      <w:r>
        <w:t xml:space="preserve">(every 15–30 min from geostationary satellites);</w:t>
      </w:r>
    </w:p>
    <w:p>
      <w:pPr>
        <w:pStyle w:val="Compact"/>
        <w:numPr>
          <w:ilvl w:val="0"/>
          <w:numId w:val="1217"/>
        </w:numPr>
      </w:pPr>
      <w:r>
        <w:rPr>
          <w:bCs/>
          <w:b/>
        </w:rPr>
        <w:t xml:space="preserve">surface properties</w:t>
      </w:r>
      <w:r>
        <w:t xml:space="preserve"> </w:t>
      </w:r>
      <w:r>
        <w:t xml:space="preserve">(skin temperature, albedo, surface wetness) rather than screen-level air-mass properties;</w:t>
      </w:r>
    </w:p>
    <w:p>
      <w:pPr>
        <w:pStyle w:val="Compact"/>
        <w:numPr>
          <w:ilvl w:val="0"/>
          <w:numId w:val="1217"/>
        </w:numPr>
      </w:pPr>
      <w:r>
        <w:t xml:space="preserve">regular, repetitive, synoptic coverage and permanent archives for baselines.</w:t>
      </w:r>
    </w:p>
    <w:p>
      <w:pPr>
        <w:pStyle w:val="FirstParagraph"/>
      </w:pPr>
      <w:r>
        <w:t xml:space="preserve">Parameters of interest:</w:t>
      </w:r>
      <w:r>
        <w:t xml:space="preserve"> </w:t>
      </w:r>
      <w:r>
        <w:rPr>
          <w:bCs/>
          <w:b/>
        </w:rPr>
        <w:t xml:space="preserve">clouds, rainfall, soil moisture, solar radiation, surface (skin) temperature, shelter (air) temperature and humidity, temperature/humidity profiles, albedo, evapotranspiration and APAR</w:t>
      </w:r>
      <w:r>
        <w:t xml:space="preserve">.</w:t>
      </w:r>
    </w:p>
    <w:p>
      <w:pPr>
        <w:pStyle w:val="Heading2"/>
      </w:pPr>
      <w:r>
        <w:t xml:space="preserve">29.2 Clouds: Interpreting Satellite Imagery</w:t>
      </w:r>
    </w:p>
    <w:p>
      <w:pPr>
        <w:pStyle w:val="FirstParagraph"/>
      </w:pPr>
      <w:r>
        <w:t xml:space="preserve">Six characteristics guide interpretation:</w:t>
      </w:r>
      <w:r>
        <w:t xml:space="preserve"> </w:t>
      </w:r>
      <w:r>
        <w:rPr>
          <w:bCs/>
          <w:b/>
        </w:rPr>
        <w:t xml:space="preserve">brightness</w:t>
      </w:r>
      <w:r>
        <w:t xml:space="preserve"> </w:t>
      </w:r>
      <w:r>
        <w:t xml:space="preserve">(albedo in VIS; temperature in IR),</w:t>
      </w:r>
      <w:r>
        <w:t xml:space="preserve"> </w:t>
      </w:r>
      <w:r>
        <w:rPr>
          <w:bCs/>
          <w:b/>
        </w:rPr>
        <w:t xml:space="preserve">pattern</w:t>
      </w:r>
      <w:r>
        <w:t xml:space="preserve"> </w:t>
      </w:r>
      <w:r>
        <w:t xml:space="preserve">(lines, bands, waves, spirals),</w:t>
      </w:r>
      <w:r>
        <w:t xml:space="preserve"> </w:t>
      </w:r>
      <w:r>
        <w:rPr>
          <w:bCs/>
          <w:b/>
        </w:rPr>
        <w:t xml:space="preserve">structure</w:t>
      </w:r>
      <w:r>
        <w:t xml:space="preserve"> </w:t>
      </w:r>
      <w:r>
        <w:t xml:space="preserve">(shadows in VIS; cloud-top temperature in IR reveals vertical structure),</w:t>
      </w:r>
      <w:r>
        <w:t xml:space="preserve"> </w:t>
      </w:r>
      <w:r>
        <w:rPr>
          <w:bCs/>
          <w:b/>
        </w:rPr>
        <w:t xml:space="preserve">texture</w:t>
      </w:r>
      <w:r>
        <w:t xml:space="preserve"> </w:t>
      </w:r>
      <w:r>
        <w:t xml:space="preserve">(smooth stratiform vs. lumpy cumuliform),</w:t>
      </w:r>
      <w:r>
        <w:t xml:space="preserve"> </w:t>
      </w:r>
      <w:r>
        <w:rPr>
          <w:bCs/>
          <w:b/>
        </w:rPr>
        <w:t xml:space="preserve">shape</w:t>
      </w:r>
      <w:r>
        <w:t xml:space="preserve"> </w:t>
      </w:r>
      <w:r>
        <w:t xml:space="preserve">(rounded, straight, scalloped, curved) and</w:t>
      </w:r>
      <w:r>
        <w:t xml:space="preserve"> </w:t>
      </w:r>
      <w:r>
        <w:rPr>
          <w:bCs/>
          <w:b/>
        </w:rPr>
        <w:t xml:space="preserve">size</w:t>
      </w:r>
      <w:r>
        <w:t xml:space="preserve"> </w:t>
      </w:r>
      <w:r>
        <w:t xml:space="preserve">(indicating system scale). Interpret in sequence (time continuity), with knowledge of time of day, season and local features (e.g., the Tibetan Plateau appears cold and bright in night-time IR).</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Imagery</w:t>
            </w:r>
          </w:p>
        </w:tc>
        <w:tc>
          <w:tcPr/>
          <w:p>
            <w:pPr>
              <w:pStyle w:val="Compact"/>
              <w:jc w:val="left"/>
            </w:pPr>
            <w:r>
              <w:t xml:space="preserve">What it shows</w:t>
            </w:r>
          </w:p>
        </w:tc>
        <w:tc>
          <w:tcPr/>
          <w:p>
            <w:pPr>
              <w:pStyle w:val="Compact"/>
              <w:jc w:val="left"/>
            </w:pPr>
            <w:r>
              <w:t xml:space="preserve">Strengths</w:t>
            </w:r>
          </w:p>
        </w:tc>
        <w:tc>
          <w:tcPr/>
          <w:p>
            <w:pPr>
              <w:pStyle w:val="Compact"/>
              <w:jc w:val="left"/>
            </w:pPr>
            <w:r>
              <w:t xml:space="preserve">Limitations</w:t>
            </w:r>
          </w:p>
        </w:tc>
      </w:tr>
      <w:tr>
        <w:tc>
          <w:tcPr/>
          <w:p>
            <w:pPr>
              <w:pStyle w:val="Compact"/>
              <w:jc w:val="left"/>
            </w:pPr>
            <w:r>
              <w:rPr>
                <w:bCs/>
                <w:b/>
              </w:rPr>
              <w:t xml:space="preserve">Visible (0.4–1.1 µm)</w:t>
            </w:r>
          </w:p>
        </w:tc>
        <w:tc>
          <w:tcPr/>
          <w:p>
            <w:pPr>
              <w:pStyle w:val="Compact"/>
              <w:jc w:val="left"/>
            </w:pPr>
            <w:r>
              <w:t xml:space="preserve">Reflected sunlight — cloud albedo depends on depth, water/ice content, droplet size</w:t>
            </w:r>
          </w:p>
        </w:tc>
        <w:tc>
          <w:tcPr/>
          <w:p>
            <w:pPr>
              <w:pStyle w:val="Compact"/>
              <w:jc w:val="left"/>
            </w:pPr>
            <w:r>
              <w:t xml:space="preserve">Texture, cloud vs. land vs. sea, shadows reveal heights; Cb tops and snow white, sea black</w:t>
            </w:r>
          </w:p>
        </w:tc>
        <w:tc>
          <w:tcPr/>
          <w:p>
            <w:pPr>
              <w:pStyle w:val="Compact"/>
              <w:jc w:val="left"/>
            </w:pPr>
            <w:r>
              <w:t xml:space="preserve">No night imagery; thin cirrus underestimated over dark surfaces, overestimated over bright deserts; sub-pixel Cu appear grey</w:t>
            </w:r>
          </w:p>
        </w:tc>
      </w:tr>
      <w:tr>
        <w:tc>
          <w:tcPr/>
          <w:p>
            <w:pPr>
              <w:pStyle w:val="Compact"/>
              <w:jc w:val="left"/>
            </w:pPr>
            <w:r>
              <w:rPr>
                <w:bCs/>
                <w:b/>
              </w:rPr>
              <w:t xml:space="preserve">Thermal IR (10.5–12.5 µm)</w:t>
            </w:r>
          </w:p>
        </w:tc>
        <w:tc>
          <w:tcPr/>
          <w:p>
            <w:pPr>
              <w:pStyle w:val="Compact"/>
              <w:jc w:val="left"/>
            </w:pPr>
            <w:r>
              <w:t xml:space="preserve">Emitted radiation → temperature; cold = white</w:t>
            </w:r>
          </w:p>
        </w:tc>
        <w:tc>
          <w:tcPr/>
          <w:p>
            <w:pPr>
              <w:pStyle w:val="Compact"/>
              <w:jc w:val="left"/>
            </w:pPr>
            <w:r>
              <w:t xml:space="preserve">Day and night; contrast between cloud heights; thin cirrus visible; coastlines by land–sea temperature contrast</w:t>
            </w:r>
          </w:p>
        </w:tc>
        <w:tc>
          <w:tcPr/>
          <w:p>
            <w:pPr>
              <w:pStyle w:val="Compact"/>
              <w:jc w:val="left"/>
            </w:pPr>
            <w:r>
              <w:t xml:space="preserve">Low cloud and fog hard to see at night (similar to surface temperature); poorer texture</w:t>
            </w:r>
          </w:p>
        </w:tc>
      </w:tr>
      <w:tr>
        <w:tc>
          <w:tcPr/>
          <w:p>
            <w:pPr>
              <w:pStyle w:val="Compact"/>
              <w:jc w:val="left"/>
            </w:pPr>
            <w:r>
              <w:rPr>
                <w:bCs/>
                <w:b/>
              </w:rPr>
              <w:t xml:space="preserve">Water vapour (6.3–7.1 µm)</w:t>
            </w:r>
          </w:p>
        </w:tc>
        <w:tc>
          <w:tcPr/>
          <w:p>
            <w:pPr>
              <w:pStyle w:val="Compact"/>
              <w:jc w:val="left"/>
            </w:pPr>
            <w:r>
              <w:t xml:space="preserve">Emission from upper-troposphere moisture (300–600 hPa) — moist = cold/bright, dry = warm/dark</w:t>
            </w:r>
          </w:p>
        </w:tc>
        <w:tc>
          <w:tcPr/>
          <w:p>
            <w:pPr>
              <w:pStyle w:val="Compact"/>
              <w:jc w:val="left"/>
            </w:pPr>
            <w:r>
              <w:t xml:space="preserve">Mid/upper-level flow, jet streams (sharp moisture gradient), troughs, subsidence, moisture plumes (heavy rain); WV acts as a passive tracer</w:t>
            </w:r>
          </w:p>
        </w:tc>
        <w:tc>
          <w:tcPr/>
          <w:p>
            <w:pPr>
              <w:pStyle w:val="Compact"/>
              <w:jc w:val="left"/>
            </w:pPr>
            <w:r>
              <w:t xml:space="preserve">No information on low-level moisture</w:t>
            </w:r>
          </w:p>
        </w:tc>
      </w:tr>
      <w:tr>
        <w:tc>
          <w:tcPr/>
          <w:p>
            <w:pPr>
              <w:pStyle w:val="Compact"/>
              <w:jc w:val="left"/>
            </w:pPr>
            <w:r>
              <w:rPr>
                <w:bCs/>
                <w:b/>
              </w:rPr>
              <w:t xml:space="preserve">3.7 µm (MIR)</w:t>
            </w:r>
          </w:p>
        </w:tc>
        <w:tc>
          <w:tcPr/>
          <w:p>
            <w:pPr>
              <w:pStyle w:val="Compact"/>
              <w:jc w:val="left"/>
            </w:pPr>
            <w:r>
              <w:t xml:space="preserve">Mixed reflected + emitted</w:t>
            </w:r>
          </w:p>
        </w:tc>
        <w:tc>
          <w:tcPr/>
          <w:p>
            <w:pPr>
              <w:pStyle w:val="Compact"/>
              <w:jc w:val="left"/>
            </w:pPr>
            <w:r>
              <w:t xml:space="preserve">Night fog/low cloud (with 11 µm), fires, cloud phase</w:t>
            </w:r>
          </w:p>
        </w:tc>
        <w:tc>
          <w:tcPr/>
          <w:p>
            <w:pPr>
              <w:pStyle w:val="Compact"/>
              <w:jc w:val="left"/>
            </w:pPr>
            <w:r>
              <w:t xml:space="preserve">Solar contamination by day</w:t>
            </w:r>
          </w:p>
        </w:tc>
      </w:tr>
      <w:tr>
        <w:tc>
          <w:tcPr/>
          <w:p>
            <w:pPr>
              <w:pStyle w:val="Compact"/>
              <w:jc w:val="left"/>
            </w:pPr>
            <w:r>
              <w:rPr>
                <w:bCs/>
                <w:b/>
              </w:rPr>
              <w:t xml:space="preserve">Microwave (SSM/I, TMI)</w:t>
            </w:r>
          </w:p>
        </w:tc>
        <w:tc>
          <w:tcPr/>
          <w:p>
            <w:pPr>
              <w:pStyle w:val="Compact"/>
              <w:jc w:val="left"/>
            </w:pPr>
            <w:r>
              <w:t xml:space="preserve">Emission/scattering by water and ice</w:t>
            </w:r>
          </w:p>
        </w:tc>
        <w:tc>
          <w:tcPr/>
          <w:p>
            <w:pPr>
              <w:pStyle w:val="Compact"/>
              <w:jc w:val="left"/>
            </w:pPr>
            <w:r>
              <w:t xml:space="preserve">Sees through cirrus; rain, cloud liquid water, precipitable water, cyclone eye structure (85 GHz)</w:t>
            </w:r>
          </w:p>
        </w:tc>
        <w:tc>
          <w:tcPr/>
          <w:p>
            <w:pPr>
              <w:pStyle w:val="Compact"/>
              <w:jc w:val="left"/>
            </w:pPr>
            <w:r>
              <w:t xml:space="preserve">Coarse resolution; mostly over oceans</w:t>
            </w:r>
          </w:p>
        </w:tc>
      </w:tr>
    </w:tbl>
    <w:p>
      <w:pPr>
        <w:pStyle w:val="Heading2"/>
      </w:pPr>
      <w:r>
        <w:t xml:space="preserve">29.3 Rainfall Estimation</w:t>
      </w:r>
    </w:p>
    <w:p>
      <w:pPr>
        <w:pStyle w:val="FirstParagraph"/>
      </w:pPr>
      <w:r>
        <w:rPr>
          <w:bCs/>
          <w:b/>
        </w:rPr>
        <w:t xml:space="preserve">VIS/IR (indirect, inferential) techniques</w:t>
      </w:r>
      <w:r>
        <w:t xml:space="preserve"> </w:t>
      </w:r>
      <w:r>
        <w:t xml:space="preserve">— sensors see cloud tops, not rain:</w:t>
      </w:r>
    </w:p>
    <w:p>
      <w:pPr>
        <w:pStyle w:val="Compact"/>
        <w:numPr>
          <w:ilvl w:val="0"/>
          <w:numId w:val="1218"/>
        </w:numPr>
      </w:pPr>
      <w:r>
        <w:rPr>
          <w:bCs/>
          <w:b/>
        </w:rPr>
        <w:t xml:space="preserve">Cloud indexing:</w:t>
      </w:r>
      <w:r>
        <w:t xml:space="preserve"> </w:t>
      </w:r>
      <w:r>
        <w:t xml:space="preserve">assign a rain rate to each cloud type; e.g.,</w:t>
      </w:r>
      <w:r>
        <w:t xml:space="preserve"> </w:t>
      </w:r>
      <w:r>
        <w:rPr>
          <w:bCs/>
          <w:b/>
        </w:rPr>
        <w:t xml:space="preserve">GOES Precipitation Index (Arkin)</w:t>
      </w:r>
      <w:r>
        <w:t xml:space="preserve"> </w:t>
      </w:r>
      <w:r>
        <w:t xml:space="preserve">— 3 mm h⁻¹ for each pixel colder than 235 K (−38 °C) over a 2.5° box; Bristol</w:t>
      </w:r>
      <w:r>
        <w:t xml:space="preserve"> </w:t>
      </w:r>
      <w:r>
        <w:t xml:space="preserve">“</w:t>
      </w:r>
      <w:r>
        <w:t xml:space="preserve">rain-day</w:t>
      </w:r>
      <w:r>
        <w:t xml:space="preserve">”</w:t>
      </w:r>
      <w:r>
        <w:t xml:space="preserve"> </w:t>
      </w:r>
      <w:r>
        <w:t xml:space="preserve">methods.</w:t>
      </w:r>
    </w:p>
    <w:p>
      <w:pPr>
        <w:pStyle w:val="Compact"/>
        <w:numPr>
          <w:ilvl w:val="0"/>
          <w:numId w:val="1218"/>
        </w:numPr>
      </w:pPr>
      <w:r>
        <w:rPr>
          <w:bCs/>
          <w:b/>
        </w:rPr>
        <w:t xml:space="preserve">Bi-spectral methods:</w:t>
      </w:r>
      <w:r>
        <w:t xml:space="preserve"> </w:t>
      </w:r>
      <w:r>
        <w:t xml:space="preserve">cold</w:t>
      </w:r>
      <w:r>
        <w:t xml:space="preserve"> </w:t>
      </w:r>
      <w:r>
        <w:rPr>
          <w:bCs/>
          <w:b/>
        </w:rPr>
        <w:t xml:space="preserve">and</w:t>
      </w:r>
      <w:r>
        <w:t xml:space="preserve"> </w:t>
      </w:r>
      <w:r>
        <w:t xml:space="preserve">bright clouds (Cb) → high rain probability; cold-dull (thin cirrus) or bright-warm (stratus) → low.</w:t>
      </w:r>
    </w:p>
    <w:p>
      <w:pPr>
        <w:pStyle w:val="Compact"/>
        <w:numPr>
          <w:ilvl w:val="0"/>
          <w:numId w:val="1218"/>
        </w:numPr>
      </w:pPr>
      <w:r>
        <w:rPr>
          <w:bCs/>
          <w:b/>
        </w:rPr>
        <w:t xml:space="preserve">Life-history methods:</w:t>
      </w:r>
      <w:r>
        <w:t xml:space="preserve"> </w:t>
      </w:r>
      <w:r>
        <w:t xml:space="preserve">rain depends on the stage of convective cloud growth (e.g., Griffith–Woodley) — need geostationary sequences.</w:t>
      </w:r>
    </w:p>
    <w:p>
      <w:pPr>
        <w:pStyle w:val="Compact"/>
        <w:numPr>
          <w:ilvl w:val="0"/>
          <w:numId w:val="1218"/>
        </w:numPr>
      </w:pPr>
      <w:r>
        <w:rPr>
          <w:bCs/>
          <w:b/>
        </w:rPr>
        <w:t xml:space="preserve">Cloud-model methods:</w:t>
      </w:r>
      <w:r>
        <w:t xml:space="preserve"> </w:t>
      </w:r>
      <w:r>
        <w:t xml:space="preserve">physical convective parameterisations relating cloud-top temperature to rain rate and area (e.g., Convective–Stratiform Technique).</w:t>
      </w:r>
    </w:p>
    <w:p>
      <w:pPr>
        <w:pStyle w:val="Compact"/>
        <w:numPr>
          <w:ilvl w:val="0"/>
          <w:numId w:val="1218"/>
        </w:numPr>
      </w:pPr>
      <w:r>
        <w:t xml:space="preserve">Operational examples: INSAT</w:t>
      </w:r>
      <w:r>
        <w:t xml:space="preserve"> </w:t>
      </w:r>
      <w:r>
        <w:rPr>
          <w:bCs/>
          <w:b/>
        </w:rPr>
        <w:t xml:space="preserve">Hydro-Estimator</w:t>
      </w:r>
      <w:r>
        <w:t xml:space="preserve">, IMSRA (see INSAT products), Arkin-type QPE at IMD. Accuracy improves with averaging (daily → monthly).</w:t>
      </w:r>
    </w:p>
    <w:p>
      <w:pPr>
        <w:pStyle w:val="FirstParagraph"/>
      </w:pPr>
      <w:r>
        <w:rPr>
          <w:bCs/>
          <w:b/>
        </w:rPr>
        <w:t xml:space="preserve">Microwave (direct) techniques:</w:t>
      </w:r>
    </w:p>
    <w:p>
      <w:pPr>
        <w:pStyle w:val="Compact"/>
        <w:numPr>
          <w:ilvl w:val="0"/>
          <w:numId w:val="1219"/>
        </w:numPr>
      </w:pPr>
      <w:r>
        <w:rPr>
          <w:bCs/>
          <w:b/>
        </w:rPr>
        <w:t xml:space="preserve">Emission (low frequency, ~19 GHz):</w:t>
      </w:r>
      <w:r>
        <w:t xml:space="preserve"> </w:t>
      </w:r>
      <w:r>
        <w:t xml:space="preserve">rain layers emit, raising</w:t>
      </w:r>
      <w:r>
        <w:t xml:space="preserve"> </w:t>
      </w:r>
      <m:oMath>
        <m:sSub>
          <m:e>
            <m:r>
              <m:t>T</m:t>
            </m:r>
          </m:e>
          <m:sub>
            <m:r>
              <m:t>B</m:t>
            </m:r>
          </m:sub>
        </m:sSub>
      </m:oMath>
      <w:r>
        <w:t xml:space="preserve"> </w:t>
      </w:r>
      <w:r>
        <w:t xml:space="preserve">above the cold, low-emissivity ocean background → works only over oceans.</w:t>
      </w:r>
    </w:p>
    <w:p>
      <w:pPr>
        <w:pStyle w:val="Compact"/>
        <w:numPr>
          <w:ilvl w:val="0"/>
          <w:numId w:val="1219"/>
        </w:numPr>
      </w:pPr>
      <w:r>
        <w:rPr>
          <w:bCs/>
          <w:b/>
        </w:rPr>
        <w:t xml:space="preserve">Scattering (high frequency, ~85 GHz):</w:t>
      </w:r>
      <w:r>
        <w:t xml:space="preserve"> </w:t>
      </w:r>
      <w:r>
        <w:t xml:space="preserve">ice and large drops scatter upwelling radiation, lowering</w:t>
      </w:r>
      <w:r>
        <w:t xml:space="preserve"> </w:t>
      </w:r>
      <m:oMath>
        <m:sSub>
          <m:e>
            <m:r>
              <m:t>T</m:t>
            </m:r>
          </m:e>
          <m:sub>
            <m:r>
              <m:t>B</m:t>
            </m:r>
          </m:sub>
        </m:sSub>
      </m:oMath>
      <w:r>
        <w:t xml:space="preserve"> </w:t>
      </w:r>
      <w:r>
        <w:t xml:space="preserve">→ works over land and ocean.</w:t>
      </w:r>
    </w:p>
    <w:p>
      <w:pPr>
        <w:pStyle w:val="Compact"/>
        <w:numPr>
          <w:ilvl w:val="0"/>
          <w:numId w:val="1219"/>
        </w:numPr>
      </w:pPr>
      <w:r>
        <w:rPr>
          <w:bCs/>
          <w:b/>
        </w:rPr>
        <w:t xml:space="preserve">Active radar:</w:t>
      </w:r>
      <w:r>
        <w:t xml:space="preserve"> </w:t>
      </w:r>
      <w:r>
        <w:t xml:space="preserve">TRMM PR (13.8 GHz) and GPM DPR give 3-D rain structure.</w:t>
      </w:r>
    </w:p>
    <w:p>
      <w:pPr>
        <w:pStyle w:val="Compact"/>
        <w:numPr>
          <w:ilvl w:val="0"/>
          <w:numId w:val="1219"/>
        </w:numPr>
      </w:pPr>
      <w:r>
        <w:t xml:space="preserve">Merged products combine MW accuracy with IR frequency: GPM</w:t>
      </w:r>
      <w:r>
        <w:t xml:space="preserve"> </w:t>
      </w:r>
      <w:r>
        <w:rPr>
          <w:bCs/>
          <w:b/>
        </w:rPr>
        <w:t xml:space="preserve">IMERG</w:t>
      </w:r>
      <w:r>
        <w:t xml:space="preserve">, CMORPH, GSMaP, and IMD–NCMRWF merged gauge–satellite rainfall.</w:t>
      </w:r>
    </w:p>
    <w:p>
      <w:pPr>
        <w:pStyle w:val="Heading2"/>
      </w:pPr>
      <w:r>
        <w:t xml:space="preserve">29.4 Soil Moisture</w:t>
      </w:r>
    </w:p>
    <w:p>
      <w:pPr>
        <w:pStyle w:val="FirstParagraph"/>
      </w:pPr>
      <w:r>
        <w:t xml:space="preserve">Only</w:t>
      </w:r>
      <w:r>
        <w:t xml:space="preserve"> </w:t>
      </w:r>
      <w:r>
        <w:rPr>
          <w:bCs/>
          <w:b/>
        </w:rPr>
        <w:t xml:space="preserve">microwaves</w:t>
      </w:r>
      <w:r>
        <w:t xml:space="preserve"> </w:t>
      </w:r>
      <w:r>
        <w:t xml:space="preserve">quantitatively measure soil moisture under varied cover. Two soil properties matter:</w:t>
      </w:r>
    </w:p>
    <w:p>
      <w:pPr>
        <w:pStyle w:val="Compact"/>
        <w:numPr>
          <w:ilvl w:val="0"/>
          <w:numId w:val="1220"/>
        </w:numPr>
      </w:pPr>
      <w:r>
        <w:rPr>
          <w:bCs/>
          <w:b/>
        </w:rPr>
        <w:t xml:space="preserve">Dielectric constant</w:t>
      </w:r>
      <w:r>
        <w:t xml:space="preserve"> </w:t>
      </w:r>
      <w:r>
        <w:t xml:space="preserve">(ratio of a material’s capacitance to that of vacuum): dry soils/rocks 3–16, moist soils 30–60 (strongly with water), water ~80. Higher dielectric → lower emissivity (passive) and higher back-scatter (active). With a known</w:t>
      </w:r>
      <w:r>
        <w:t xml:space="preserve"> </w:t>
      </w:r>
      <w:r>
        <w:t xml:space="preserve">“</w:t>
      </w:r>
      <w:r>
        <w:t xml:space="preserve">normal</w:t>
      </w:r>
      <w:r>
        <w:t xml:space="preserve">”</w:t>
      </w:r>
      <w:r>
        <w:t xml:space="preserve"> </w:t>
      </w:r>
      <w:r>
        <w:t xml:space="preserve">emittance for a location, changes indicate soil-moisture change — an</w:t>
      </w:r>
      <w:r>
        <w:t xml:space="preserve"> </w:t>
      </w:r>
      <w:r>
        <w:rPr>
          <w:bCs/>
          <w:b/>
        </w:rPr>
        <w:t xml:space="preserve">Antecedent Precipitation Index (API)</w:t>
      </w:r>
      <w:r>
        <w:t xml:space="preserve"> </w:t>
      </w:r>
      <w:r>
        <w:t xml:space="preserve">proxy.</w:t>
      </w:r>
    </w:p>
    <w:p>
      <w:pPr>
        <w:pStyle w:val="Compact"/>
        <w:numPr>
          <w:ilvl w:val="0"/>
          <w:numId w:val="1220"/>
        </w:numPr>
      </w:pPr>
      <w:r>
        <w:rPr>
          <w:bCs/>
          <w:b/>
        </w:rPr>
        <w:t xml:space="preserve">Surface roughness:</w:t>
      </w:r>
      <w:r>
        <w:t xml:space="preserve"> </w:t>
      </w:r>
      <w:r>
        <w:t xml:space="preserve">relative to wavelength and incidence angle (e.g., an irregularity height of 0.5 cm looks smooth to Ka band, intermediate to X and rough to L) — multi-band radar composites give roughness signatures.</w:t>
      </w:r>
    </w:p>
    <w:p>
      <w:pPr>
        <w:pStyle w:val="FirstParagraph"/>
      </w:pPr>
      <w:r>
        <w:t xml:space="preserve">Optical/thermal proxies:</w:t>
      </w:r>
      <w:r>
        <w:t xml:space="preserve"> </w:t>
      </w:r>
      <w:r>
        <w:rPr>
          <w:bCs/>
          <w:b/>
        </w:rPr>
        <w:t xml:space="preserve">thermal inertia</w:t>
      </w:r>
      <w:r>
        <w:t xml:space="preserve"> </w:t>
      </w:r>
      <w:r>
        <w:t xml:space="preserve">(day–night temperature range), the</w:t>
      </w:r>
      <w:r>
        <w:t xml:space="preserve"> </w:t>
      </w:r>
      <w:r>
        <w:rPr>
          <w:bCs/>
          <w:b/>
        </w:rPr>
        <w:t xml:space="preserve">LST–NDVI triangle (TVDI)</w:t>
      </w:r>
      <w:r>
        <w:t xml:space="preserve">, SWIR moisture indices.</w:t>
      </w:r>
    </w:p>
    <w:p>
      <w:pPr>
        <w:pStyle w:val="Heading2"/>
      </w:pPr>
      <w:r>
        <w:t xml:space="preserve">29.5 Solar Radiation</w:t>
      </w:r>
    </w:p>
    <w:p>
      <w:pPr>
        <w:pStyle w:val="FirstParagraph"/>
      </w:pPr>
      <w:r>
        <w:t xml:space="preserve">A satellite measuring solar energy reflected by the earth–atmosphere system constrains how much was absorbed at the surface; knowing surface albedo yields downwelling radiation (important over snow and deserts).</w:t>
      </w:r>
    </w:p>
    <w:p>
      <w:pPr>
        <w:pStyle w:val="Compact"/>
        <w:numPr>
          <w:ilvl w:val="0"/>
          <w:numId w:val="1221"/>
        </w:numPr>
      </w:pPr>
      <w:r>
        <w:rPr>
          <w:bCs/>
          <w:b/>
        </w:rPr>
        <w:t xml:space="preserve">Statistical (regression) methods</w:t>
      </w:r>
      <w:r>
        <w:t xml:space="preserve"> </w:t>
      </w:r>
      <w:r>
        <w:t xml:space="preserve">(e.g., Tarpley, 1979, GOES VIS): cloud amount per location → separate regressions for clear, partly cloudy and overcast; accuracy ~10%, 30% and 50% respectively; hourly estimates (0800–1600 LST) summed to daily insolation. Need coincident pyranometer data for calibration — the usual operational choice.</w:t>
      </w:r>
    </w:p>
    <w:p>
      <w:pPr>
        <w:pStyle w:val="Compact"/>
        <w:numPr>
          <w:ilvl w:val="0"/>
          <w:numId w:val="1221"/>
        </w:numPr>
      </w:pPr>
      <w:r>
        <w:rPr>
          <w:bCs/>
          <w:b/>
        </w:rPr>
        <w:t xml:space="preserve">Physical methods</w:t>
      </w:r>
      <w:r>
        <w:t xml:space="preserve"> </w:t>
      </w:r>
      <w:r>
        <w:t xml:space="preserve">(Moser &amp; Raschke; Pinker &amp; Ewing): radiative transfer with atmospheric profiles, cloudiness and water vapour — more accurate, more complex.</w:t>
      </w:r>
    </w:p>
    <w:p>
      <w:pPr>
        <w:pStyle w:val="Compact"/>
        <w:numPr>
          <w:ilvl w:val="0"/>
          <w:numId w:val="1221"/>
        </w:numPr>
      </w:pPr>
      <w:r>
        <w:t xml:space="preserve">INSAT-3D/3DR provide operational</w:t>
      </w:r>
      <w:r>
        <w:t xml:space="preserve"> </w:t>
      </w:r>
      <w:r>
        <w:rPr>
          <w:bCs/>
          <w:b/>
        </w:rPr>
        <w:t xml:space="preserve">insolation</w:t>
      </w:r>
      <w:r>
        <w:t xml:space="preserve"> </w:t>
      </w:r>
      <w:r>
        <w:t xml:space="preserve">products used as PAR input for LUE yield models.</w:t>
      </w:r>
    </w:p>
    <w:p>
      <w:pPr>
        <w:pStyle w:val="Heading2"/>
      </w:pPr>
      <w:r>
        <w:t xml:space="preserve">29.6 Surface (Skin) Temperature and Shelter Temperature</w:t>
      </w:r>
    </w:p>
    <w:p>
      <w:pPr>
        <w:pStyle w:val="FirstParagraph"/>
      </w:pPr>
      <w:r>
        <w:rPr>
          <w:bCs/>
          <w:b/>
        </w:rPr>
        <w:t xml:space="preserve">Land surface temperature (LST)</w:t>
      </w:r>
      <w:r>
        <w:t xml:space="preserve"> </w:t>
      </w:r>
      <w:r>
        <w:t xml:space="preserve">— kinetic temperature of soil + canopy surface. Uses: surface energy balance, local climate vs. topography and land use,</w:t>
      </w:r>
      <w:r>
        <w:t xml:space="preserve"> </w:t>
      </w:r>
      <w:r>
        <w:rPr>
          <w:bCs/>
          <w:b/>
        </w:rPr>
        <w:t xml:space="preserve">frost/cold-episode mapping</w:t>
      </w:r>
      <w:r>
        <w:t xml:space="preserve"> </w:t>
      </w:r>
      <w:r>
        <w:t xml:space="preserve">(night passes), thermal sums for crop development, ET and crop stress (canopy minus air temperature).</w:t>
      </w:r>
    </w:p>
    <w:p>
      <w:pPr>
        <w:pStyle w:val="BodyText"/>
      </w:pPr>
      <w:r>
        <w:rPr>
          <w:bCs/>
          <w:b/>
        </w:rPr>
        <w:t xml:space="preserve">Retrieval steps (AVHRR example):</w:t>
      </w:r>
    </w:p>
    <w:p>
      <w:pPr>
        <w:pStyle w:val="Compact"/>
        <w:numPr>
          <w:ilvl w:val="0"/>
          <w:numId w:val="1222"/>
        </w:numPr>
      </w:pPr>
      <w:r>
        <w:t xml:space="preserve">Calibrate channels 4 and 5 to radiance; compute</w:t>
      </w:r>
      <w:r>
        <w:t xml:space="preserve"> </w:t>
      </w:r>
      <w:r>
        <w:rPr>
          <w:bCs/>
          <w:b/>
        </w:rPr>
        <w:t xml:space="preserve">brightness temperature</w:t>
      </w:r>
      <w:r>
        <w:t xml:space="preserve"> </w:t>
      </w:r>
      <w:r>
        <w:t xml:space="preserve">by inverse Planck (wavenumber form):</w:t>
      </w:r>
      <w:r>
        <w:t xml:space="preserve"> </w:t>
      </w:r>
      <m:oMath>
        <m:sSub>
          <m:e>
            <m:r>
              <m:t>T</m:t>
            </m:r>
          </m:e>
          <m:sub>
            <m:r>
              <m:t>B</m:t>
            </m:r>
          </m:sub>
        </m:sSub>
        <m:r>
          <m:rPr>
            <m:sty m:val="p"/>
          </m:rPr>
          <m:t>=</m:t>
        </m:r>
        <m:f>
          <m:fPr>
            <m:type m:val="bar"/>
          </m:fPr>
          <m:num>
            <m:sSub>
              <m:e>
                <m:r>
                  <m:t>C</m:t>
                </m:r>
              </m:e>
              <m:sub>
                <m:r>
                  <m:t>2</m:t>
                </m:r>
              </m:sub>
            </m:sSub>
            <m:r>
              <m:t>ν</m:t>
            </m:r>
          </m:num>
          <m:den>
            <m:r>
              <m:rPr>
                <m:sty m:val="p"/>
              </m:rPr>
              <m:t>ln</m:t>
            </m:r>
            <m:d>
              <m:dPr>
                <m:begChr m:val="("/>
                <m:endChr m:val=")"/>
                <m:sepChr m:val=""/>
                <m:grow/>
              </m:dPr>
              <m:e>
                <m:r>
                  <m:t>1</m:t>
                </m:r>
                <m:r>
                  <m:rPr>
                    <m:sty m:val="p"/>
                  </m:rPr>
                  <m:t>+</m:t>
                </m:r>
                <m:sSub>
                  <m:e>
                    <m:r>
                      <m:t>C</m:t>
                    </m:r>
                  </m:e>
                  <m:sub>
                    <m:r>
                      <m:t>1</m:t>
                    </m:r>
                  </m:sub>
                </m:sSub>
                <m:sSup>
                  <m:e>
                    <m:r>
                      <m:t>ν</m:t>
                    </m:r>
                  </m:e>
                  <m:sup>
                    <m:r>
                      <m:t>3</m:t>
                    </m:r>
                  </m:sup>
                </m:sSup>
                <m:r>
                  <m:rPr>
                    <m:sty m:val="p"/>
                  </m:rPr>
                  <m:t>/</m:t>
                </m:r>
                <m:r>
                  <m:t>E</m:t>
                </m:r>
              </m:e>
            </m:d>
          </m:den>
        </m:f>
      </m:oMath>
      <w:r>
        <w:t xml:space="preserve">.</w:t>
      </w:r>
    </w:p>
    <w:p>
      <w:pPr>
        <w:pStyle w:val="Compact"/>
        <w:numPr>
          <w:ilvl w:val="0"/>
          <w:numId w:val="1222"/>
        </w:numPr>
      </w:pPr>
      <w:r>
        <w:t xml:space="preserve">Estimate</w:t>
      </w:r>
      <w:r>
        <w:t xml:space="preserve"> </w:t>
      </w:r>
      <w:r>
        <w:rPr>
          <w:bCs/>
          <w:b/>
        </w:rPr>
        <w:t xml:space="preserve">emissivity</w:t>
      </w:r>
      <w:r>
        <w:t xml:space="preserve"> </w:t>
      </w:r>
      <w:r>
        <w:t xml:space="preserve">from NDVI:</w:t>
      </w:r>
      <w:r>
        <w:t xml:space="preserve"> </w:t>
      </w:r>
      <m:oMath>
        <m:r>
          <m:t>ε</m:t>
        </m:r>
        <m:r>
          <m:rPr>
            <m:sty m:val="p"/>
          </m:rPr>
          <m:t>=</m:t>
        </m:r>
        <m:r>
          <m:t>1.0094</m:t>
        </m:r>
        <m:r>
          <m:rPr>
            <m:sty m:val="p"/>
          </m:rPr>
          <m:t>+</m:t>
        </m:r>
        <m:r>
          <m:t>0.047</m:t>
        </m:r>
        <m:r>
          <m:rPr>
            <m:sty m:val="p"/>
          </m:rPr>
          <m:t>ln</m:t>
        </m:r>
        <m:d>
          <m:dPr>
            <m:begChr m:val="("/>
            <m:endChr m:val=")"/>
            <m:sepChr m:val=""/>
            <m:grow/>
          </m:dPr>
          <m:e>
            <m:r>
              <m:t>N</m:t>
            </m:r>
            <m:r>
              <m:t>D</m:t>
            </m:r>
            <m:r>
              <m:t>V</m:t>
            </m:r>
            <m:r>
              <m:t>I</m:t>
            </m:r>
          </m:e>
        </m:d>
      </m:oMath>
      <w:r>
        <w:t xml:space="preserve"> </w:t>
      </w:r>
      <w:r>
        <w:t xml:space="preserve">(van de Griend &amp; Owe, 1993) or from vegetation proportion</w:t>
      </w:r>
      <w:r>
        <w:t xml:space="preserve"> </w:t>
      </w:r>
      <m:oMath>
        <m:sSub>
          <m:e>
            <m:r>
              <m:t>P</m:t>
            </m:r>
          </m:e>
          <m:sub>
            <m:r>
              <m:t>v</m:t>
            </m:r>
          </m:sub>
        </m:sSub>
      </m:oMath>
      <w:r>
        <w:t xml:space="preserve">:</w:t>
      </w:r>
      <w:r>
        <w:t xml:space="preserve"> </w:t>
      </w:r>
      <m:oMath>
        <m:r>
          <m:t>ε</m:t>
        </m:r>
        <m:r>
          <m:rPr>
            <m:sty m:val="p"/>
          </m:rPr>
          <m:t>=</m:t>
        </m:r>
        <m:sSub>
          <m:e>
            <m:r>
              <m:t>ε</m:t>
            </m:r>
          </m:e>
          <m:sub>
            <m:r>
              <m:t>v</m:t>
            </m:r>
          </m:sub>
        </m:sSub>
        <m:sSub>
          <m:e>
            <m:r>
              <m:t>P</m:t>
            </m:r>
          </m:e>
          <m:sub>
            <m:r>
              <m:t>v</m:t>
            </m:r>
          </m:sub>
        </m:sSub>
        <m:r>
          <m:rPr>
            <m:sty m:val="p"/>
          </m:rPr>
          <m:t>+</m:t>
        </m:r>
        <m:sSub>
          <m:e>
            <m:r>
              <m:t>ε</m:t>
            </m:r>
          </m:e>
          <m:sub>
            <m:r>
              <m:t>s</m:t>
            </m:r>
          </m:sub>
        </m:sSub>
        <m:d>
          <m:dPr>
            <m:begChr m:val="("/>
            <m:endChr m:val=")"/>
            <m:sepChr m:val=""/>
            <m:grow/>
          </m:dPr>
          <m:e>
            <m:r>
              <m:t>1</m:t>
            </m:r>
            <m:r>
              <m:rPr>
                <m:sty m:val="p"/>
              </m:rPr>
              <m:t>−</m:t>
            </m:r>
            <m:sSub>
              <m:e>
                <m:r>
                  <m:t>P</m:t>
                </m:r>
              </m:e>
              <m:sub>
                <m:r>
                  <m:t>v</m:t>
                </m:r>
              </m:sub>
            </m:sSub>
          </m:e>
        </m:d>
        <m:r>
          <m:rPr>
            <m:sty m:val="p"/>
          </m:rPr>
          <m:t>+</m:t>
        </m:r>
        <m:r>
          <m:t>d</m:t>
        </m:r>
        <m:r>
          <m:t>ε</m:t>
        </m:r>
      </m:oMath>
      <w:r>
        <w:t xml:space="preserve"> </w:t>
      </w:r>
      <w:r>
        <w:t xml:space="preserve">with</w:t>
      </w:r>
      <w:r>
        <w:t xml:space="preserve"> </w:t>
      </w:r>
      <m:oMath>
        <m:sSub>
          <m:e>
            <m:r>
              <m:t>P</m:t>
            </m:r>
          </m:e>
          <m:sub>
            <m:r>
              <m:t>v</m:t>
            </m:r>
          </m:sub>
        </m:sSub>
      </m:oMath>
      <w:r>
        <w:t xml:space="preserve"> </w:t>
      </w:r>
      <w:r>
        <w:t xml:space="preserve">from NDVI of pure soil and vegetation (Valor &amp; Caselles, 1996).</w:t>
      </w:r>
    </w:p>
    <w:p>
      <w:pPr>
        <w:pStyle w:val="Compact"/>
        <w:numPr>
          <w:ilvl w:val="0"/>
          <w:numId w:val="1222"/>
        </w:numPr>
      </w:pPr>
      <w:r>
        <w:t xml:space="preserve">Apply a</w:t>
      </w:r>
      <w:r>
        <w:t xml:space="preserve"> </w:t>
      </w:r>
      <w:r>
        <w:rPr>
          <w:bCs/>
          <w:b/>
        </w:rPr>
        <w:t xml:space="preserve">split-window</w:t>
      </w:r>
      <w:r>
        <w:t xml:space="preserve"> </w:t>
      </w:r>
      <w:r>
        <w:t xml:space="preserve">algorithm (differential water-vapour absorption between 11 and 12 µm), e.g., Becker &amp; Li (1990):</w:t>
      </w:r>
    </w:p>
    <w:p>
      <w:pPr>
        <w:pStyle w:val="FirstParagraph"/>
      </w:pPr>
      <m:oMathPara>
        <m:oMathParaPr>
          <m:jc m:val="center"/>
        </m:oMathParaPr>
        <m:oMath>
          <m:sSub>
            <m:e>
              <m:r>
                <m:t>T</m:t>
              </m:r>
            </m:e>
            <m:sub>
              <m:r>
                <m:t>s</m:t>
              </m:r>
            </m:sub>
          </m:sSub>
          <m:r>
            <m:rPr>
              <m:sty m:val="p"/>
            </m:rPr>
            <m:t>=</m:t>
          </m:r>
          <m:r>
            <m:t>A</m:t>
          </m:r>
          <m:r>
            <m:rPr>
              <m:sty m:val="p"/>
            </m:rPr>
            <m:t>+</m:t>
          </m:r>
          <m:r>
            <m:t>B</m:t>
          </m:r>
          <m:r>
            <m:t> </m:t>
          </m:r>
          <m:f>
            <m:fPr>
              <m:type m:val="bar"/>
            </m:fPr>
            <m:num>
              <m:sSub>
                <m:e>
                  <m:r>
                    <m:t>T</m:t>
                  </m:r>
                </m:e>
                <m:sub>
                  <m:r>
                    <m:t>4</m:t>
                  </m:r>
                </m:sub>
              </m:sSub>
              <m:r>
                <m:rPr>
                  <m:sty m:val="p"/>
                </m:rPr>
                <m:t>+</m:t>
              </m:r>
              <m:sSub>
                <m:e>
                  <m:r>
                    <m:t>T</m:t>
                  </m:r>
                </m:e>
                <m:sub>
                  <m:r>
                    <m:t>5</m:t>
                  </m:r>
                </m:sub>
              </m:sSub>
            </m:num>
            <m:den>
              <m:r>
                <m:t>2</m:t>
              </m:r>
            </m:den>
          </m:f>
          <m:r>
            <m:rPr>
              <m:sty m:val="p"/>
            </m:rPr>
            <m:t>+</m:t>
          </m:r>
          <m:r>
            <m:t>C</m:t>
          </m:r>
          <m:r>
            <m:t> </m:t>
          </m:r>
          <m:f>
            <m:fPr>
              <m:type m:val="bar"/>
            </m:fPr>
            <m:num>
              <m:sSub>
                <m:e>
                  <m:r>
                    <m:t>T</m:t>
                  </m:r>
                </m:e>
                <m:sub>
                  <m:r>
                    <m:t>4</m:t>
                  </m:r>
                </m:sub>
              </m:sSub>
              <m:r>
                <m:rPr>
                  <m:sty m:val="p"/>
                </m:rPr>
                <m:t>−</m:t>
              </m:r>
              <m:sSub>
                <m:e>
                  <m:r>
                    <m:t>T</m:t>
                  </m:r>
                </m:e>
                <m:sub>
                  <m:r>
                    <m:t>5</m:t>
                  </m:r>
                </m:sub>
              </m:sSub>
            </m:num>
            <m:den>
              <m:r>
                <m:t>2</m:t>
              </m:r>
            </m:den>
          </m:f>
        </m:oMath>
      </m:oMathPara>
    </w:p>
    <w:p>
      <w:pPr>
        <w:pStyle w:val="FirstParagraph"/>
      </w:pPr>
      <w:r>
        <w:t xml:space="preserve">with</w:t>
      </w:r>
      <w:r>
        <w:t xml:space="preserve"> </w:t>
      </w:r>
      <m:oMath>
        <m:r>
          <m:t>A</m:t>
        </m:r>
        <m:r>
          <m:rPr>
            <m:sty m:val="p"/>
          </m:rPr>
          <m:t>=</m:t>
        </m:r>
        <m:r>
          <m:t>1.274</m:t>
        </m:r>
      </m:oMath>
      <w:r>
        <w:t xml:space="preserve">,</w:t>
      </w:r>
      <w:r>
        <w:t xml:space="preserve"> </w:t>
      </w:r>
      <m:oMath>
        <m:r>
          <m:t>B</m:t>
        </m:r>
        <m:r>
          <m:rPr>
            <m:sty m:val="p"/>
          </m:rPr>
          <m:t>=</m:t>
        </m:r>
        <m:r>
          <m:t>1</m:t>
        </m:r>
        <m:r>
          <m:rPr>
            <m:sty m:val="p"/>
          </m:rPr>
          <m:t>+</m:t>
        </m:r>
        <m:r>
          <m:t>0.15616</m:t>
        </m:r>
        <m:f>
          <m:fPr>
            <m:type m:val="bar"/>
          </m:fPr>
          <m:num>
            <m:r>
              <m:t>1</m:t>
            </m:r>
            <m:r>
              <m:rPr>
                <m:sty m:val="p"/>
              </m:rPr>
              <m:t>−</m:t>
            </m:r>
            <m:r>
              <m:t>ε</m:t>
            </m:r>
          </m:num>
          <m:den>
            <m:r>
              <m:t>ε</m:t>
            </m:r>
          </m:den>
        </m:f>
        <m:r>
          <m:rPr>
            <m:sty m:val="p"/>
          </m:rPr>
          <m:t>−</m:t>
        </m:r>
        <m:r>
          <m:t>0.482</m:t>
        </m:r>
        <m:f>
          <m:fPr>
            <m:type m:val="bar"/>
          </m:fPr>
          <m:num>
            <m:r>
              <m:t>Δ</m:t>
            </m:r>
            <m:r>
              <m:t>ε</m:t>
            </m:r>
          </m:num>
          <m:den>
            <m:sSup>
              <m:e>
                <m:r>
                  <m:t>ε</m:t>
                </m:r>
              </m:e>
              <m:sup>
                <m:r>
                  <m:t>2</m:t>
                </m:r>
              </m:sup>
            </m:sSup>
          </m:den>
        </m:f>
      </m:oMath>
      <w:r>
        <w:t xml:space="preserve">,</w:t>
      </w:r>
      <w:r>
        <w:t xml:space="preserve"> </w:t>
      </w:r>
      <m:oMath>
        <m:r>
          <m:t>C</m:t>
        </m:r>
        <m:r>
          <m:rPr>
            <m:sty m:val="p"/>
          </m:rPr>
          <m:t>=</m:t>
        </m:r>
        <m:r>
          <m:t>6.26</m:t>
        </m:r>
        <m:r>
          <m:rPr>
            <m:sty m:val="p"/>
          </m:rPr>
          <m:t>+</m:t>
        </m:r>
        <m:r>
          <m:t>3.98</m:t>
        </m:r>
        <m:f>
          <m:fPr>
            <m:type m:val="bar"/>
          </m:fPr>
          <m:num>
            <m:r>
              <m:t>1</m:t>
            </m:r>
            <m:r>
              <m:rPr>
                <m:sty m:val="p"/>
              </m:rPr>
              <m:t>−</m:t>
            </m:r>
            <m:r>
              <m:t>ε</m:t>
            </m:r>
          </m:num>
          <m:den>
            <m:r>
              <m:t>ε</m:t>
            </m:r>
          </m:den>
        </m:f>
        <m:r>
          <m:rPr>
            <m:sty m:val="p"/>
          </m:rPr>
          <m:t>+</m:t>
        </m:r>
        <m:r>
          <m:t>38.33</m:t>
        </m:r>
        <m:f>
          <m:fPr>
            <m:type m:val="bar"/>
          </m:fPr>
          <m:num>
            <m:r>
              <m:t>Δ</m:t>
            </m:r>
            <m:r>
              <m:t>ε</m:t>
            </m:r>
          </m:num>
          <m:den>
            <m:sSup>
              <m:e>
                <m:r>
                  <m:t>ε</m:t>
                </m:r>
              </m:e>
              <m:sup>
                <m:r>
                  <m:t>2</m:t>
                </m:r>
              </m:sup>
            </m:sSup>
          </m:den>
        </m:f>
      </m:oMath>
      <w:r>
        <w:t xml:space="preserve">.</w:t>
      </w:r>
    </w:p>
    <w:p>
      <w:pPr>
        <w:pStyle w:val="BodyText"/>
      </w:pPr>
      <w:r>
        <w:t xml:space="preserve">Single-channel inversion (Landsat):</w:t>
      </w:r>
      <w:r>
        <w:t xml:space="preserve"> </w:t>
      </w:r>
      <m:oMath>
        <m:sSub>
          <m:e>
            <m:r>
              <m:t>T</m:t>
            </m:r>
          </m:e>
          <m:sub>
            <m:r>
              <m:t>s</m:t>
            </m:r>
          </m:sub>
        </m:sSub>
        <m:r>
          <m:rPr>
            <m:sty m:val="p"/>
          </m:rPr>
          <m:t>=</m:t>
        </m:r>
        <m:f>
          <m:fPr>
            <m:type m:val="bar"/>
          </m:fPr>
          <m:num>
            <m:sSub>
              <m:e>
                <m:r>
                  <m:t>C</m:t>
                </m:r>
              </m:e>
              <m:sub>
                <m:r>
                  <m:t>2</m:t>
                </m:r>
              </m:sub>
            </m:sSub>
          </m:num>
          <m:den>
            <m:r>
              <m:t>λ</m:t>
            </m:r>
            <m:r>
              <m:rPr>
                <m:sty m:val="p"/>
              </m:rPr>
              <m:t>ln</m:t>
            </m:r>
            <m:r>
              <m:t>​</m:t>
            </m:r>
            <m:d>
              <m:dPr>
                <m:begChr m:val="("/>
                <m:endChr m:val=")"/>
                <m:sepChr m:val=""/>
                <m:grow/>
              </m:dPr>
              <m:e>
                <m:f>
                  <m:fPr>
                    <m:type m:val="bar"/>
                  </m:fPr>
                  <m:num>
                    <m:r>
                      <m:t>ε</m:t>
                    </m:r>
                    <m:sSub>
                      <m:e>
                        <m:r>
                          <m:t>C</m:t>
                        </m:r>
                      </m:e>
                      <m:sub>
                        <m:r>
                          <m:t>1</m:t>
                        </m:r>
                      </m:sub>
                    </m:sSub>
                    <m:sSup>
                      <m:e>
                        <m:r>
                          <m:t>λ</m:t>
                        </m:r>
                      </m:e>
                      <m:sup>
                        <m:r>
                          <m:rPr>
                            <m:sty m:val="p"/>
                          </m:rPr>
                          <m:t>−</m:t>
                        </m:r>
                        <m:r>
                          <m:t>5</m:t>
                        </m:r>
                      </m:sup>
                    </m:sSup>
                  </m:num>
                  <m:den>
                    <m:r>
                      <m:t>π</m:t>
                    </m:r>
                    <m:sSub>
                      <m:e>
                        <m:r>
                          <m:t>L</m:t>
                        </m:r>
                      </m:e>
                      <m:sub>
                        <m:r>
                          <m:t>λ</m:t>
                        </m:r>
                      </m:sub>
                    </m:sSub>
                  </m:den>
                </m:f>
                <m:r>
                  <m:rPr>
                    <m:sty m:val="p"/>
                  </m:rPr>
                  <m:t>+</m:t>
                </m:r>
                <m:r>
                  <m:t>1</m:t>
                </m:r>
              </m:e>
            </m:d>
          </m:den>
        </m:f>
      </m:oMath>
      <w:r>
        <w:t xml:space="preserve">. Accuracy over vegetated land ~2–3 °C (errors from water vapour and emissivity); clouds block IR retrieval.</w:t>
      </w:r>
    </w:p>
    <w:p>
      <w:pPr>
        <w:pStyle w:val="BodyText"/>
      </w:pPr>
      <w:r>
        <w:t xml:space="preserve">Satellite skin temperature equals crop canopy temperature only when the pixel is fully vegetated; mixed pixels complicate interpretation.</w:t>
      </w:r>
    </w:p>
    <w:p>
      <w:pPr>
        <w:pStyle w:val="BodyText"/>
      </w:pPr>
      <w:r>
        <w:rPr>
          <w:bCs/>
          <w:b/>
        </w:rPr>
        <w:t xml:space="preserve">Shelter (2 m air) temperature</w:t>
      </w:r>
      <w:r>
        <w:t xml:space="preserve"> </w:t>
      </w:r>
      <w:r>
        <w:t xml:space="preserve">is estimated from</w:t>
      </w:r>
      <w:r>
        <w:t xml:space="preserve"> </w:t>
      </w:r>
      <w:r>
        <w:rPr>
          <w:bCs/>
          <w:b/>
        </w:rPr>
        <w:t xml:space="preserve">sounder</w:t>
      </w:r>
      <w:r>
        <w:t xml:space="preserve"> </w:t>
      </w:r>
      <w:r>
        <w:t xml:space="preserve">data (TOVS) by regression with collocated station observations — accuracy ~2 °C, with a winter night-time warm bias of 1–2 °C due to surface inversions.</w:t>
      </w:r>
      <w:r>
        <w:t xml:space="preserve"> </w:t>
      </w:r>
      <w:r>
        <w:rPr>
          <w:bCs/>
          <w:b/>
        </w:rPr>
        <w:t xml:space="preserve">Freeze forecasting:</w:t>
      </w:r>
      <w:r>
        <w:t xml:space="preserve"> </w:t>
      </w:r>
      <w:r>
        <w:t xml:space="preserve">GOES IR loops track the progression of the freeze line, allowing farmers to protect crops only when necessary.</w:t>
      </w:r>
    </w:p>
    <w:p>
      <w:pPr>
        <w:pStyle w:val="Heading2"/>
      </w:pPr>
      <w:r>
        <w:t xml:space="preserve">29.7 Temperature and Humidity Profiles (Sounding)</w:t>
      </w:r>
    </w:p>
    <w:p>
      <w:pPr>
        <w:pStyle w:val="FirstParagraph"/>
      </w:pPr>
      <w:r>
        <w:rPr>
          <w:bCs/>
          <w:b/>
        </w:rPr>
        <w:t xml:space="preserve">Principle:</w:t>
      </w:r>
      <w:r>
        <w:t xml:space="preserve"> </w:t>
      </w:r>
      <w:r>
        <w:t xml:space="preserve">use absorption bands of a</w:t>
      </w:r>
      <w:r>
        <w:t xml:space="preserve"> </w:t>
      </w:r>
      <w:r>
        <w:rPr>
          <w:bCs/>
          <w:b/>
        </w:rPr>
        <w:t xml:space="preserve">uniformly mixed gas</w:t>
      </w:r>
      <w:r>
        <w:t xml:space="preserve"> </w:t>
      </w:r>
      <w:r>
        <w:t xml:space="preserve">(CO₂ at 15 and 4.3 µm; O₂ at 50–60 GHz). At strongly absorbed wavelengths radiation reaching the satellite originates high in the atmosphere; at weakly absorbed wavelengths it comes from near the surface; intermediate wavelengths sample intermediate layers (each channel has a</w:t>
      </w:r>
      <w:r>
        <w:t xml:space="preserve"> </w:t>
      </w:r>
      <w:r>
        <w:rPr>
          <w:bCs/>
          <w:b/>
        </w:rPr>
        <w:t xml:space="preserve">weighting function</w:t>
      </w:r>
      <w:r>
        <w:t xml:space="preserve"> </w:t>
      </w:r>
      <w:r>
        <w:t xml:space="preserve">peaking at a particular height). Since emitted radiance depends on layer temperature, inverting radiances in several channels gives the</w:t>
      </w:r>
      <w:r>
        <w:t xml:space="preserve"> </w:t>
      </w:r>
      <w:r>
        <w:rPr>
          <w:bCs/>
          <w:b/>
        </w:rPr>
        <w:t xml:space="preserve">temperature profile</w:t>
      </w:r>
      <w:r>
        <w:t xml:space="preserve">.</w:t>
      </w:r>
      <w:r>
        <w:t xml:space="preserve"> </w:t>
      </w:r>
      <w:r>
        <w:rPr>
          <w:bCs/>
          <w:b/>
        </w:rPr>
        <w:t xml:space="preserve">Humidity profiles</w:t>
      </w:r>
      <w:r>
        <w:t xml:space="preserve"> </w:t>
      </w:r>
      <w:r>
        <w:t xml:space="preserve">use water-vapour bands (6.3 µm IR; 183 GHz MW) but also need the temperature profile, because water vapour is not uniformly mixed and changes phase. Instruments: HIRS/TOVS, AMSU-A/B, AIRS, IASI, INSAT-3D sounder (18 IR + 1 VIS channels).</w:t>
      </w:r>
    </w:p>
    <w:p>
      <w:pPr>
        <w:pStyle w:val="Heading2"/>
      </w:pPr>
      <w:r>
        <w:t xml:space="preserve">29.8 Albedo, ET and APAR</w:t>
      </w:r>
    </w:p>
    <w:p>
      <w:pPr>
        <w:pStyle w:val="Compact"/>
        <w:numPr>
          <w:ilvl w:val="0"/>
          <w:numId w:val="1223"/>
        </w:numPr>
      </w:pPr>
      <w:r>
        <w:rPr>
          <w:bCs/>
          <w:b/>
        </w:rPr>
        <w:t xml:space="preserve">Surface albedo</w:t>
      </w:r>
      <w:r>
        <w:t xml:space="preserve"> </w:t>
      </w:r>
      <w:r>
        <w:t xml:space="preserve">from integrated narrowband reflectances (detailed in the radiation chapter) — e.g., albedo maps of the Doon Valley (Landsat TM) and the Himalaya (AVHRR).</w:t>
      </w:r>
    </w:p>
    <w:p>
      <w:pPr>
        <w:pStyle w:val="Compact"/>
        <w:numPr>
          <w:ilvl w:val="0"/>
          <w:numId w:val="1223"/>
        </w:numPr>
      </w:pPr>
      <w:r>
        <w:rPr>
          <w:bCs/>
          <w:b/>
        </w:rPr>
        <w:t xml:space="preserve">Evapotranspiration</w:t>
      </w:r>
      <w:r>
        <w:t xml:space="preserve"> </w:t>
      </w:r>
      <w:r>
        <w:t xml:space="preserve">from the surface energy balance with LST and albedo (see ET chapter).</w:t>
      </w:r>
    </w:p>
    <w:p>
      <w:pPr>
        <w:pStyle w:val="Compact"/>
        <w:numPr>
          <w:ilvl w:val="0"/>
          <w:numId w:val="1223"/>
        </w:numPr>
      </w:pPr>
      <w:r>
        <w:rPr>
          <w:bCs/>
          <w:b/>
        </w:rPr>
        <w:t xml:space="preserve">APAR</w:t>
      </w:r>
      <w:r>
        <w:t xml:space="preserve"> </w:t>
      </w:r>
      <w:r>
        <w:t xml:space="preserve">= fPAR × PAR, with fPAR from NDVI/WDVI; APAR is linear in NDVI and curvilinear in LAI; cumulative APAR predicts crop productivity (e.g., wheat APAR maps from IRS-WiFS over UP).</w:t>
      </w:r>
    </w:p>
    <w:p>
      <w:pPr>
        <w:pStyle w:val="Heading2"/>
      </w:pPr>
      <w:r>
        <w:t xml:space="preserve">29.9 Other Observations of the Earth’s Surface</w:t>
      </w:r>
    </w:p>
    <w:p>
      <w:pPr>
        <w:pStyle w:val="Compact"/>
        <w:numPr>
          <w:ilvl w:val="0"/>
          <w:numId w:val="1224"/>
        </w:numPr>
      </w:pPr>
      <w:r>
        <w:rPr>
          <w:bCs/>
          <w:b/>
        </w:rPr>
        <w:t xml:space="preserve">Deserts</w:t>
      </w:r>
      <w:r>
        <w:t xml:space="preserve"> </w:t>
      </w:r>
      <w:r>
        <w:t xml:space="preserve">appear brightest (sparse vegetation, red/yellow soils); dense forests dark in VIS; IR contrasts modified by low-level moisture.</w:t>
      </w:r>
    </w:p>
    <w:p>
      <w:pPr>
        <w:pStyle w:val="Compact"/>
        <w:numPr>
          <w:ilvl w:val="0"/>
          <w:numId w:val="1224"/>
        </w:numPr>
      </w:pPr>
      <w:r>
        <w:rPr>
          <w:bCs/>
          <w:b/>
        </w:rPr>
        <w:t xml:space="preserve">Snow:</w:t>
      </w:r>
      <w:r>
        <w:t xml:space="preserve"> </w:t>
      </w:r>
      <w:r>
        <w:t xml:space="preserve">white in VIS (patchy under forests); in IR whiter at night as snow cools faster; light snow on mountain tops more visible in VIS than IR.</w:t>
      </w:r>
    </w:p>
    <w:p>
      <w:pPr>
        <w:pStyle w:val="Compact"/>
        <w:numPr>
          <w:ilvl w:val="0"/>
          <w:numId w:val="1224"/>
        </w:numPr>
      </w:pPr>
      <w:r>
        <w:rPr>
          <w:bCs/>
          <w:b/>
        </w:rPr>
        <w:t xml:space="preserve">Dust and haze:</w:t>
      </w:r>
      <w:r>
        <w:t xml:space="preserve"> </w:t>
      </w:r>
      <w:r>
        <w:t xml:space="preserve">dull, hazy, filmy appearance in VIS (like thin cirrostratus), better seen in the blue/visible channel (haze scatters short wavelengths); dust visible in IR only if deep and of large particles (&gt;15 µm).</w:t>
      </w:r>
    </w:p>
    <w:p>
      <w:pPr>
        <w:pStyle w:val="Compact"/>
        <w:numPr>
          <w:ilvl w:val="0"/>
          <w:numId w:val="1224"/>
        </w:numPr>
      </w:pPr>
      <w:r>
        <w:rPr>
          <w:bCs/>
          <w:b/>
        </w:rPr>
        <w:t xml:space="preserve">Forest fires:</w:t>
      </w:r>
      <w:r>
        <w:t xml:space="preserve"> </w:t>
      </w:r>
      <w:r>
        <w:t xml:space="preserve">smoke plumes in VIS; hot spots in 3.7 µm; detection depends on fire intensity, size, resolution and cloud cover. Weather satellites also help track locust swarms and volcanic ash.</w:t>
      </w:r>
    </w:p>
    <w:p>
      <w:pPr>
        <w:pStyle w:val="CaptionedFigure"/>
      </w:pPr>
      <w:r>
        <w:drawing>
          <wp:inline>
            <wp:extent cx="5334000" cy="2266949"/>
            <wp:effectExtent b="0" l="0" r="0" t="0"/>
            <wp:docPr descr="Satellite agromet parameter retrieval — sensors to products" title="" id="105" name="Picture"/>
            <a:graphic>
              <a:graphicData uri="http://schemas.openxmlformats.org/drawingml/2006/picture">
                <pic:pic>
                  <pic:nvPicPr>
                    <pic:cNvPr descr="/tmp/claude-0/-home-user-sonu/ab07c29a-21cd-5a4a-9d2d-68ad72d07153/scratchpad/build/../flows/flow_022.png" id="106" name="Picture"/>
                    <pic:cNvPicPr>
                      <a:picLocks noChangeArrowheads="1" noChangeAspect="1"/>
                    </pic:cNvPicPr>
                  </pic:nvPicPr>
                  <pic:blipFill>
                    <a:blip r:embed="rId104"/>
                    <a:stretch>
                      <a:fillRect/>
                    </a:stretch>
                  </pic:blipFill>
                  <pic:spPr bwMode="auto">
                    <a:xfrm>
                      <a:off x="0" y="0"/>
                      <a:ext cx="5334000" cy="2266949"/>
                    </a:xfrm>
                    <a:prstGeom prst="rect">
                      <a:avLst/>
                    </a:prstGeom>
                    <a:noFill/>
                    <a:ln w="9525">
                      <a:noFill/>
                      <a:headEnd/>
                      <a:tailEnd/>
                    </a:ln>
                  </pic:spPr>
                </pic:pic>
              </a:graphicData>
            </a:graphic>
          </wp:inline>
        </w:drawing>
      </w:r>
    </w:p>
    <w:p>
      <w:pPr>
        <w:pStyle w:val="ImageCaption"/>
      </w:pPr>
      <w:r>
        <w:t xml:space="preserve">Satellite agromet parameter retrieval — sensors to products</w:t>
      </w:r>
    </w:p>
    <w:p>
      <w:pPr>
        <w:pStyle w:val="Heading3"/>
      </w:pPr>
      <w:r>
        <w:t xml:space="preserve">29.9.1 Likely interview questions</w:t>
      </w:r>
    </w:p>
    <w:p>
      <w:pPr>
        <w:pStyle w:val="FirstParagraph"/>
      </w:pPr>
      <w:r>
        <w:rPr>
          <w:bCs/>
          <w:b/>
        </w:rPr>
        <w:t xml:space="preserve">Q. Why are VIS/IR rainfall estimates called inferential?</w:t>
      </w:r>
      <w:r>
        <w:t xml:space="preserve"> </w:t>
      </w:r>
      <w:r>
        <w:t xml:space="preserve">They observe cloud tops (brightness/temperature), not raindrops; rain is inferred statistically.</w:t>
      </w:r>
    </w:p>
    <w:p>
      <w:pPr>
        <w:pStyle w:val="BodyText"/>
      </w:pPr>
      <w:r>
        <w:rPr>
          <w:bCs/>
          <w:b/>
        </w:rPr>
        <w:t xml:space="preserve">Q. Why do emission-based MW rain algorithms work only over oceans?</w:t>
      </w:r>
      <w:r>
        <w:t xml:space="preserve"> </w:t>
      </w:r>
      <w:r>
        <w:t xml:space="preserve">They need a cold, uniform, low-emissivity background; land emissivity is high and variable.</w:t>
      </w:r>
    </w:p>
    <w:p>
      <w:pPr>
        <w:pStyle w:val="BodyText"/>
      </w:pPr>
      <w:r>
        <w:rPr>
          <w:bCs/>
          <w:b/>
        </w:rPr>
        <w:t xml:space="preserve">Q. Explain the split-window technique.</w:t>
      </w:r>
      <w:r>
        <w:t xml:space="preserve"> </w:t>
      </w:r>
      <w:r>
        <w:t xml:space="preserve">The 11 and 12 µm channels are absorbed differently by water vapour; their difference corrects the atmospheric effect when combining brightness temperatures.</w:t>
      </w:r>
    </w:p>
    <w:p>
      <w:pPr>
        <w:pStyle w:val="BodyText"/>
      </w:pPr>
      <w:r>
        <w:rPr>
          <w:bCs/>
          <w:b/>
        </w:rPr>
        <w:t xml:space="preserve">Q. How is emissivity estimated for LST retrieval?</w:t>
      </w:r>
      <w:r>
        <w:t xml:space="preserve"> </w:t>
      </w:r>
      <w:r>
        <w:t xml:space="preserve">From NDVI or vegetation fraction (e.g., ε = 1.0094 + 0.047 ln NDVI; or NDVI-threshold mixing).</w:t>
      </w:r>
    </w:p>
    <w:p>
      <w:pPr>
        <w:pStyle w:val="BodyText"/>
      </w:pPr>
      <w:r>
        <w:rPr>
          <w:bCs/>
          <w:b/>
        </w:rPr>
        <w:t xml:space="preserve">Q. How does a sounder retrieve temperature profiles?</w:t>
      </w:r>
      <w:r>
        <w:t xml:space="preserve"> </w:t>
      </w:r>
      <w:r>
        <w:t xml:space="preserve">Channels at different absorption strengths in CO₂/O₂ bands have weighting functions peaking at different heights; radiances are inverted for layer temperatures.</w:t>
      </w:r>
    </w:p>
    <w:p>
      <w:pPr>
        <w:pStyle w:val="Heading2"/>
      </w:pPr>
      <w:r>
        <w:t xml:space="preserve">29.10 The Retrieval Philosophy — Physical and AI/ML-based Approaches</w:t>
      </w:r>
    </w:p>
    <w:p>
      <w:pPr>
        <w:pStyle w:val="FirstParagraph"/>
      </w:pPr>
      <w:r>
        <w:t xml:space="preserve">SAC develops geophysical-parameter retrieval algorithms for both</w:t>
      </w:r>
      <w:r>
        <w:t xml:space="preserve"> </w:t>
      </w:r>
      <w:r>
        <w:rPr>
          <w:bCs/>
          <w:b/>
        </w:rPr>
        <w:t xml:space="preserve">atmospheric parameters</w:t>
      </w:r>
      <w:r>
        <w:t xml:space="preserve"> </w:t>
      </w:r>
      <w:r>
        <w:t xml:space="preserve">(vertical temperature/humidity profiles, winds, rainfall, fog, outgoing longwave radiation, upper-tropospheric humidity) from geostationary (INSAT-3D/3DR) and polar-orbiting satellites, using two broad methodological families that are frequently combined in an operational algorithm:</w:t>
      </w:r>
    </w:p>
    <w:p>
      <w:pPr>
        <w:pStyle w:val="Compact"/>
        <w:numPr>
          <w:ilvl w:val="0"/>
          <w:numId w:val="1225"/>
        </w:numPr>
      </w:pPr>
      <w:r>
        <w:rPr>
          <w:bCs/>
          <w:b/>
        </w:rPr>
        <w:t xml:space="preserve">Physical (radiative-transfer-based) retrieval:</w:t>
      </w:r>
      <w:r>
        <w:t xml:space="preserve"> </w:t>
      </w:r>
      <w:r>
        <w:t xml:space="preserve">forward radiative-transfer models (e.g., RTTOV-class fast radiative-transfer models) simulate top-of-atmosphere radiance/brightness temperature for a given atmospheric state (temperature/humidity/trace-gas profile, surface properties); the retrieval</w:t>
      </w:r>
      <w:r>
        <w:t xml:space="preserve"> </w:t>
      </w:r>
      <w:r>
        <w:rPr>
          <w:bCs/>
          <w:b/>
        </w:rPr>
        <w:t xml:space="preserve">inverts</w:t>
      </w:r>
      <w:r>
        <w:t xml:space="preserve"> </w:t>
      </w:r>
      <w:r>
        <w:t xml:space="preserve">this forward model — typically via an iterative optimal-estimation (Bayesian) scheme minimising the difference between observed and simulated radiances, constrained by a background/first-guess atmospheric state (from a numerical weather prediction model) and its associated uncertainty — to solve for the atmospheric state most consistent with the observed multi-channel radiances.</w:t>
      </w:r>
    </w:p>
    <w:p>
      <w:pPr>
        <w:pStyle w:val="Compact"/>
        <w:numPr>
          <w:ilvl w:val="0"/>
          <w:numId w:val="1225"/>
        </w:numPr>
      </w:pPr>
      <w:r>
        <w:rPr>
          <w:bCs/>
          <w:b/>
        </w:rPr>
        <w:t xml:space="preserve">AI/ML-based retrieval:</w:t>
      </w:r>
      <w:r>
        <w:t xml:space="preserve"> </w:t>
      </w:r>
      <w:r>
        <w:t xml:space="preserve">statistical/machine-learning models (regression, neural networks, and more recently deep-learning architectures) are trained on large paired datasets of satellite radiance/brightness-temperature observations and coincident</w:t>
      </w:r>
      <w:r>
        <w:t xml:space="preserve"> </w:t>
      </w:r>
      <w:r>
        <w:t xml:space="preserve">“</w:t>
      </w:r>
      <w:r>
        <w:t xml:space="preserve">truth</w:t>
      </w:r>
      <w:r>
        <w:t xml:space="preserve">”</w:t>
      </w:r>
      <w:r>
        <w:t xml:space="preserve"> </w:t>
      </w:r>
      <w:r>
        <w:t xml:space="preserve">(radiosonde profiles, ground rain-gauge/radar rainfall, model reanalysis fields), learning an empirical mapping from observed radiance to the geophysical parameter without explicitly solving the radiative-transfer inverse problem — increasingly used operationally where physical retrieval is computationally expensive, where the forward model is poorly constrained (e.g., rainfall, fog, which are strongly influenced by sub-pixel-scale and microphysical processes not well captured by a simple radiative-transfer inversion), or as an ensemble/bias-correction layer atop a physically-retrieved first-guess.</w:t>
      </w:r>
    </w:p>
    <w:p>
      <w:pPr>
        <w:pStyle w:val="Heading2"/>
      </w:pPr>
      <w:r>
        <w:t xml:space="preserve">29.11 INSAT-3D/3DR Imager-Derived Products</w:t>
      </w:r>
    </w:p>
    <w:p>
      <w:pPr>
        <w:pStyle w:val="Heading3"/>
      </w:pPr>
      <w:r>
        <w:t xml:space="preserve">29.11.1 Outgoing Longwave Radiation (OLR)</w:t>
      </w:r>
    </w:p>
    <w:p>
      <w:pPr>
        <w:pStyle w:val="FirstParagraph"/>
      </w:pPr>
      <w:r>
        <w:t xml:space="preserve">OLR — the total longwave (thermal-infrared) radiative flux emitted by the Earth-atmosphere system to space, integrated over the full thermal-infrared spectrum — is retrieved from the Imager’s narrow-band thermal-infrared channel(s) (principally the ~10.8 µm TIR-1 window channel) using an empirical/statistical</w:t>
      </w:r>
      <w:r>
        <w:t xml:space="preserve"> </w:t>
      </w:r>
      <w:r>
        <w:rPr>
          <w:bCs/>
          <w:b/>
        </w:rPr>
        <w:t xml:space="preserve">narrowband-to-broadband regression</w:t>
      </w:r>
      <w:r>
        <w:t xml:space="preserve"> </w:t>
      </w:r>
      <w:r>
        <w:t xml:space="preserve">relating the narrow window-channel brightness temperature (and, in refined algorithms, additional channels/scene-type information to account for atmospheric-window transmission and cloud-top-height effects) to the true broadband OLR flux, the regression coefficients derived/calibrated against collocated broadband OLR measurements from dedicated radiation-budget instruments (e.g., CERES) or radiative-transfer-model simulations across a representative range of atmospheric/cloud conditions. Low OLR values indicate high, cold cloud tops (deep convection, e.g., over an active monsoon depression or a developing cyclone), while high OLR values indicate clear-sky or low-cloud conditions with a warm emitting surface/cloud-top — making OLR a key operational indicator of convective activity and, over longer time averages, a proxy for regional convective/monsoon activity used in seasonal monsoon-monitoring analysis.</w:t>
      </w:r>
    </w:p>
    <w:p>
      <w:pPr>
        <w:pStyle w:val="Heading3"/>
      </w:pPr>
      <w:r>
        <w:t xml:space="preserve">29.11.2 Rainfall — the Hydro-Estimator technique</w:t>
      </w:r>
    </w:p>
    <w:p>
      <w:pPr>
        <w:pStyle w:val="FirstParagraph"/>
      </w:pPr>
      <w:r>
        <w:t xml:space="preserve">The INSAT-3D/3DR</w:t>
      </w:r>
      <w:r>
        <w:t xml:space="preserve"> </w:t>
      </w:r>
      <w:r>
        <w:rPr>
          <w:bCs/>
          <w:b/>
        </w:rPr>
        <w:t xml:space="preserve">Hydro-Estimator</w:t>
      </w:r>
      <w:r>
        <w:t xml:space="preserve"> </w:t>
      </w:r>
      <w:r>
        <w:t xml:space="preserve">rainfall algorithm (adapted from the NOAA/NESDIS Hydro-Estimator technique) estimates rainfall rate primarily from the</w:t>
      </w:r>
      <w:r>
        <w:t xml:space="preserve"> </w:t>
      </w:r>
      <w:r>
        <w:rPr>
          <w:bCs/>
          <w:b/>
        </w:rPr>
        <w:t xml:space="preserve">infrared cloud-top brightness temperature</w:t>
      </w:r>
      <w:r>
        <w:t xml:space="preserve"> </w:t>
      </w:r>
      <w:r>
        <w:t xml:space="preserve">(with the physical rationale that colder, higher cloud tops are statistically associated with deeper, more vigorous convection and hence heavier rainfall), refined through a set of</w:t>
      </w:r>
      <w:r>
        <w:t xml:space="preserve"> </w:t>
      </w:r>
      <w:r>
        <w:rPr>
          <w:bCs/>
          <w:b/>
        </w:rPr>
        <w:t xml:space="preserve">environmental/moisture correction factors</w:t>
      </w:r>
      <w:r>
        <w:t xml:space="preserve"> </w:t>
      </w:r>
      <w:r>
        <w:t xml:space="preserve">— including total precipitable water, relative humidity, and an orographic (terrain-forced-uplift enhancement) correction — that adjust the basic IR-brightness-temperature-to-rain-rate relationship for known systematic biases (e.g., pure IR-based rainfall algorithms tend to overestimate rainfall from cold, non-precipitating cirrus anvils and underestimate rainfall from warm-topped but efficient shallow/orographic precipitation systems, both corrected via these auxiliary terms). The output is a continuously updated (near-hourly, tied to the Imager’s repeat cycle) gridded rainfall-rate/rainfall-accumulation product, valuable in India for real-time flood-forecasting input, given its far higher temporal frequency than any ground rain-gauge network and its ability, as a satellite-IR-based technique, to provide estimates over data-sparse regions (the Indian Ocean, and gauge-sparse hill/forest terrain) where ground observations are absent.</w:t>
      </w:r>
    </w:p>
    <w:p>
      <w:pPr>
        <w:pStyle w:val="Heading3"/>
      </w:pPr>
      <w:r>
        <w:t xml:space="preserve">29.11.3 Fog detection</w:t>
      </w:r>
    </w:p>
    <w:p>
      <w:pPr>
        <w:pStyle w:val="FirstParagraph"/>
      </w:pPr>
      <w:r>
        <w:t xml:space="preserve">Fog (and low stratus cloud) is detected primarily using the</w:t>
      </w:r>
      <w:r>
        <w:t xml:space="preserve"> </w:t>
      </w:r>
      <w:r>
        <w:rPr>
          <w:bCs/>
          <w:b/>
        </w:rPr>
        <w:t xml:space="preserve">brightness-temperature difference between the mid-wave-infrared (~3.9 µm) and thermal-infrared (~10.8 µm) channels</w:t>
      </w:r>
      <w:r>
        <w:t xml:space="preserve"> </w:t>
      </w:r>
      <w:r>
        <w:t xml:space="preserve">— a technique exploiting the fact that small water droplets characteristic of fog/low cloud have a distinctly different emissivity behaviour at these two wavelengths (lower emissivity at 3.9 µm than at 10.8 µm for small-droplet water clouds) compared to bare land surface (near-unity emissivity at both), producing a characteristic negative brightness-temperature-difference (T3.9 − T10.8) signature at night (when the 3.9 µm channel is purely thermal-emission-based, with no solar-reflectance contamination) that is diagnostic of fog presence — the standard</w:t>
      </w:r>
      <w:r>
        <w:t xml:space="preserve"> </w:t>
      </w:r>
      <w:r>
        <w:t xml:space="preserve">“</w:t>
      </w:r>
      <w:r>
        <w:t xml:space="preserve">fog product</w:t>
      </w:r>
      <w:r>
        <w:t xml:space="preserve">”</w:t>
      </w:r>
      <w:r>
        <w:t xml:space="preserve"> </w:t>
      </w:r>
      <w:r>
        <w:t xml:space="preserve">technique used operationally for INSAT-3D/3DR’s pre-dawn/early-morning north-Indian winter fog monitoring, critical for aviation and road/rail-transport advisories.</w:t>
      </w:r>
    </w:p>
    <w:p>
      <w:pPr>
        <w:pStyle w:val="Heading3"/>
      </w:pPr>
      <w:r>
        <w:t xml:space="preserve">29.11.4 Snow cover</w:t>
      </w:r>
    </w:p>
    <w:p>
      <w:pPr>
        <w:pStyle w:val="FirstParagraph"/>
      </w:pPr>
      <w:r>
        <w:t xml:space="preserve">Snow-cover mapping uses a combination of</w:t>
      </w:r>
      <w:r>
        <w:t xml:space="preserve"> </w:t>
      </w:r>
      <w:r>
        <w:rPr>
          <w:bCs/>
          <w:b/>
        </w:rPr>
        <w:t xml:space="preserve">high visible-band reflectance</w:t>
      </w:r>
      <w:r>
        <w:t xml:space="preserve"> </w:t>
      </w:r>
      <w:r>
        <w:t xml:space="preserve">(snow is highly reflective in the visible, distinguishing it from most other land cover except cloud) together with</w:t>
      </w:r>
      <w:r>
        <w:t xml:space="preserve"> </w:t>
      </w:r>
      <w:r>
        <w:rPr>
          <w:bCs/>
          <w:b/>
        </w:rPr>
        <w:t xml:space="preserve">low thermal-infrared brightness temperature</w:t>
      </w:r>
      <w:r>
        <w:t xml:space="preserve"> </w:t>
      </w:r>
      <w:r>
        <w:t xml:space="preserve">(snow surface is cold) and, where available, a shortwave-infrared band exploiting snow’s characteristically</w:t>
      </w:r>
      <w:r>
        <w:t xml:space="preserve"> </w:t>
      </w:r>
      <w:r>
        <w:rPr>
          <w:bCs/>
          <w:b/>
        </w:rPr>
        <w:t xml:space="preserve">low SWIR reflectance</w:t>
      </w:r>
      <w:r>
        <w:t xml:space="preserve"> </w:t>
      </w:r>
      <w:r>
        <w:t xml:space="preserve">(unlike cloud, which remains highly reflective in the SWIR) — the visible-high/SWIR-low signature is the standard discriminator separating snow from spectrally similar bright cloud, analogous in logic to the internationally standard Normalized Difference Snow Index (NDSI) approach used with MODIS-class multispectral data.</w:t>
      </w:r>
    </w:p>
    <w:p>
      <w:pPr>
        <w:pStyle w:val="Heading3"/>
      </w:pPr>
      <w:r>
        <w:t xml:space="preserve">29.11.5 Cloud mask</w:t>
      </w:r>
    </w:p>
    <w:p>
      <w:pPr>
        <w:pStyle w:val="FirstParagraph"/>
      </w:pPr>
      <w:r>
        <w:t xml:space="preserve">The cloud-mask algorithm applies a sequence of</w:t>
      </w:r>
      <w:r>
        <w:t xml:space="preserve"> </w:t>
      </w:r>
      <w:r>
        <w:rPr>
          <w:bCs/>
          <w:b/>
        </w:rPr>
        <w:t xml:space="preserve">multi-spectral threshold tests</w:t>
      </w:r>
      <w:r>
        <w:t xml:space="preserve"> </w:t>
      </w:r>
      <w:r>
        <w:t xml:space="preserve">(visible reflectance threshold — clouds generally brighter than most underlying surfaces except snow/desert; thermal-infrared brightness-temperature threshold — clouds generally colder than the surface; and, where available, brightness-temperature-difference tests between window/absorption channels sensitive to cloud-top height and phase) to classify each pixel as clear, partly cloudy, or cloudy, forming the essential first-stage gating product on which most other geophysical retrievals (which require either clear-sky pixels — e.g., LST, AOD — or explicitly cloud-affected pixels — e.g., OLR, rainfall) depend.</w:t>
      </w:r>
    </w:p>
    <w:p>
      <w:pPr>
        <w:pStyle w:val="Heading3"/>
      </w:pPr>
      <w:r>
        <w:t xml:space="preserve">29.11.6 Upper Tropospheric Humidity (UTH)</w:t>
      </w:r>
    </w:p>
    <w:p>
      <w:pPr>
        <w:pStyle w:val="FirstParagraph"/>
      </w:pPr>
      <w:r>
        <w:t xml:space="preserve">UTH is retrieved from the water-vapour absorption channel (~6.8 µm) of the Imager (and, with finer vertical discrimination, from the Sounder’s multiple water-vapour-sensitive channels), exploiting the fact that radiance observed in this strongly water-vapour-absorbing channel originates predominantly from the upper troposphere (roughly 200–500 hPa, since radiation from lower/moister layers is absorbed before reaching the satellite) — the observed 6.8 µm brightness temperature is therefore a direct, if vertically-weighted, indicator of upper-tropospheric moisture content, retrieved via a radiative-transfer-based (or statistically regressed) relationship between brightness temperature and a defined UTH quantity (relative humidity averaged over a standard upper-tropospheric layer/weighting function) — a key input to monitoring upper-level moisture transport relevant to monsoon-system evolution and deep-convection potential.</w:t>
      </w:r>
    </w:p>
    <w:p>
      <w:pPr>
        <w:pStyle w:val="Heading3"/>
      </w:pPr>
      <w:r>
        <w:t xml:space="preserve">29.11.7 Sea Surface Temperature (SST)</w:t>
      </w:r>
    </w:p>
    <w:p>
      <w:pPr>
        <w:pStyle w:val="FirstParagraph"/>
      </w:pPr>
      <w:r>
        <w:t xml:space="preserve">SST is retrieved using a</w:t>
      </w:r>
      <w:r>
        <w:t xml:space="preserve"> </w:t>
      </w:r>
      <w:r>
        <w:rPr>
          <w:bCs/>
          <w:b/>
        </w:rPr>
        <w:t xml:space="preserve">split-window algorithm</w:t>
      </w:r>
      <w:r>
        <w:t xml:space="preserve">, exploiting the differential atmospheric-water-vapour absorption between two closely spaced thermal-infrared window channels (here, the Imager’s TIR-1 ~10.8 µm and TIR-2 ~12.0 µm channels) — since water vapour absorbs more strongly at 12.0 µm than at 10.8 µm, the brightness-temperature difference between the two channels scales with total atmospheric water-vapour path, allowing an empirical/physical split-window regression of the form SST = a·T10.8 + b·(T10.8−T12.0) + c to correct the raw (atmospherically-attenuated) window-channel brightness temperature back to the true sea-surface skin temperature, with regression coefficients (a, b, c) tuned/validated against in-situ buoy and ship SST measurements.</w:t>
      </w:r>
    </w:p>
    <w:p>
      <w:pPr>
        <w:pStyle w:val="Heading3"/>
      </w:pPr>
      <w:r>
        <w:t xml:space="preserve">29.11.8 Geo-Physical Parameters (Point and Gridded)</w:t>
      </w:r>
    </w:p>
    <w:p>
      <w:pPr>
        <w:pStyle w:val="FirstParagraph"/>
      </w:pPr>
      <w:r>
        <w:t xml:space="preserve">INSAT-3D/3DR’s operational product suite additionally includes</w:t>
      </w:r>
      <w:r>
        <w:t xml:space="preserve"> </w:t>
      </w:r>
      <w:r>
        <w:rPr>
          <w:bCs/>
          <w:b/>
        </w:rPr>
        <w:t xml:space="preserve">“</w:t>
      </w:r>
      <w:r>
        <w:rPr>
          <w:bCs/>
          <w:b/>
        </w:rPr>
        <w:t xml:space="preserve">Geo-Physical Parameters (Point)</w:t>
      </w:r>
      <w:r>
        <w:rPr>
          <w:bCs/>
          <w:b/>
        </w:rPr>
        <w:t xml:space="preserve">”</w:t>
      </w:r>
      <w:r>
        <w:t xml:space="preserve"> </w:t>
      </w:r>
      <w:r>
        <w:t xml:space="preserve">— discrete-location retrievals (e.g., at specific sounding/validation sites) of surface and atmospheric meteorological parameters — and</w:t>
      </w:r>
      <w:r>
        <w:t xml:space="preserve"> </w:t>
      </w:r>
      <w:r>
        <w:rPr>
          <w:bCs/>
          <w:b/>
        </w:rPr>
        <w:t xml:space="preserve">“</w:t>
      </w:r>
      <w:r>
        <w:rPr>
          <w:bCs/>
          <w:b/>
        </w:rPr>
        <w:t xml:space="preserve">Geo-Physical Parameters (Gridded)</w:t>
      </w:r>
      <w:r>
        <w:rPr>
          <w:bCs/>
          <w:b/>
        </w:rPr>
        <w:t xml:space="preserve">”</w:t>
      </w:r>
      <w:r>
        <w:t xml:space="preserve"> </w:t>
      </w:r>
      <w:r>
        <w:t xml:space="preserve">— the same class of parameters mapped onto a regular spatial grid for synoptic/NWP-assimilation use, encompassing surface wind, temperature, humidity and related derived fields.</w:t>
      </w:r>
    </w:p>
    <w:p>
      <w:pPr>
        <w:pStyle w:val="Heading3"/>
      </w:pPr>
      <w:r>
        <w:t xml:space="preserve">29.11.9 Aerosol Optical Depth (AOD)</w:t>
      </w:r>
    </w:p>
    <w:p>
      <w:pPr>
        <w:pStyle w:val="FirstParagraph"/>
      </w:pPr>
      <w:r>
        <w:t xml:space="preserve">Satellite AOD retrieval (as opposed to the ground-based sunphotometer AOD of the relevant chapter, Section 1.8.1) inverts the</w:t>
      </w:r>
      <w:r>
        <w:t xml:space="preserve"> </w:t>
      </w:r>
      <w:r>
        <w:rPr>
          <w:bCs/>
          <w:b/>
        </w:rPr>
        <w:t xml:space="preserve">top-of-atmosphere reflectance enhancement caused by aerosol scattering</w:t>
      </w:r>
      <w:r>
        <w:t xml:space="preserve"> </w:t>
      </w:r>
      <w:r>
        <w:t xml:space="preserve">over a surface of known/assumed reflectance, using a radiative-transfer look-up-table approach: for a set of candidate AOD values, radiative-transfer simulations predict the corresponding top-of-atmosphere reflectance (given assumed aerosol optical properties/type and surface reflectance); the AOD value whose simulated reflectance best matches the observed satellite reflectance is selected as the retrieved AOD — critically dependent on accurate surface-reflectance characterisation (harder over bright land surfaces, where aerosol-induced reflectance enhancement is a smaller fractional signal, than over dark vegetated surfaces or ocean).</w:t>
      </w:r>
    </w:p>
    <w:p>
      <w:pPr>
        <w:pStyle w:val="Heading3"/>
      </w:pPr>
      <w:r>
        <w:t xml:space="preserve">29.11.10 Fire and Smoke</w:t>
      </w:r>
    </w:p>
    <w:p>
      <w:pPr>
        <w:pStyle w:val="FirstParagraph"/>
      </w:pPr>
      <w:r>
        <w:t xml:space="preserve">The</w:t>
      </w:r>
      <w:r>
        <w:t xml:space="preserve"> </w:t>
      </w:r>
      <w:r>
        <w:rPr>
          <w:bCs/>
          <w:b/>
        </w:rPr>
        <w:t xml:space="preserve">Fire</w:t>
      </w:r>
      <w:r>
        <w:t xml:space="preserve"> </w:t>
      </w:r>
      <w:r>
        <w:t xml:space="preserve">product applies the contextual thermal-anomaly detection algorithm described in the relevant chapter to INSAT-3D/3DR’s mid-infrared and thermal-infrared Imager channels, exploiting the satellite’s continuous geostationary vantage to detect and track the diurnal evolution of fire activity (including agricultural residue burning and forest fires) at higher temporal frequency than any polar-orbiting sensor. The</w:t>
      </w:r>
      <w:r>
        <w:t xml:space="preserve"> </w:t>
      </w:r>
      <w:r>
        <w:rPr>
          <w:bCs/>
          <w:b/>
        </w:rPr>
        <w:t xml:space="preserve">Smoke</w:t>
      </w:r>
      <w:r>
        <w:t xml:space="preserve"> </w:t>
      </w:r>
      <w:r>
        <w:t xml:space="preserve">product detects aerosol/smoke-plume presence and, qualitatively, transport direction, using visible-band reflectance texture/enhancement and, where quantified, an AOD-type retrieval specifically tuned to biomass-burning-aerosol optical properties.</w:t>
      </w:r>
    </w:p>
    <w:p>
      <w:pPr>
        <w:pStyle w:val="Heading3"/>
      </w:pPr>
      <w:r>
        <w:t xml:space="preserve">29.11.11 Atmospheric Motion Vectors (AMV)</w:t>
      </w:r>
    </w:p>
    <w:p>
      <w:pPr>
        <w:pStyle w:val="FirstParagraph"/>
      </w:pPr>
      <w:r>
        <w:t xml:space="preserve">AMVs — wind estimates derived by tracking the displacement of identifiable cloud or water-vapour features between successive satellite images — are computed by: (i) selecting a</w:t>
      </w:r>
      <w:r>
        <w:t xml:space="preserve"> </w:t>
      </w:r>
      <w:r>
        <w:rPr>
          <w:bCs/>
          <w:b/>
        </w:rPr>
        <w:t xml:space="preserve">target feature</w:t>
      </w:r>
      <w:r>
        <w:t xml:space="preserve"> </w:t>
      </w:r>
      <w:r>
        <w:t xml:space="preserve">(a distinctive cloud element or water-vapour-gradient feature) in an image at time t1; (ii) performing a</w:t>
      </w:r>
      <w:r>
        <w:t xml:space="preserve"> </w:t>
      </w:r>
      <w:r>
        <w:rPr>
          <w:bCs/>
          <w:b/>
        </w:rPr>
        <w:t xml:space="preserve">cross-correlation search</w:t>
      </w:r>
      <w:r>
        <w:t xml:space="preserve"> </w:t>
      </w:r>
      <w:r>
        <w:t xml:space="preserve">for the best-matching feature pattern within a defined search area in the subsequent image at time t2 (typically 15–30 minutes later for INSAT-3D/3DR’s rapid-scan capability); (iii) computing the wind vector as the displacement distance divided by the elapsed time; (iv) assigning a</w:t>
      </w:r>
      <w:r>
        <w:t xml:space="preserve"> </w:t>
      </w:r>
      <w:r>
        <w:rPr>
          <w:bCs/>
          <w:b/>
        </w:rPr>
        <w:t xml:space="preserve">height</w:t>
      </w:r>
      <w:r>
        <w:t xml:space="preserve"> </w:t>
      </w:r>
      <w:r>
        <w:t xml:space="preserve">to the derived wind vector, most critically, via the cloud-top or water-vapour-feature’s brightness temperature converted to a pressure-level height using a reference atmospheric temperature profile (from NWP model output) — the height-assignment step is the single largest source of AMV error/uncertainty, since a wind vector is only meaningful once correctly attributed to its originating atmospheric level. AMVs are a major operational input to numerical weather prediction data assimilation, particularly valuable over the data-sparse tropical oceans where radiosonde wind observations are essentially absent.</w:t>
      </w:r>
    </w:p>
    <w:p>
      <w:pPr>
        <w:pStyle w:val="Heading2"/>
      </w:pPr>
      <w:r>
        <w:t xml:space="preserve">29.12 INSAT-3D Sounder Products</w:t>
      </w:r>
    </w:p>
    <w:p>
      <w:pPr>
        <w:pStyle w:val="FirstParagraph"/>
      </w:pPr>
      <w:r>
        <w:t xml:space="preserve">The 19-channel Sounder provides higher vertical resolution than the Imager’s broader window channels, retrieving:</w:t>
      </w:r>
    </w:p>
    <w:p>
      <w:pPr>
        <w:pStyle w:val="Compact"/>
        <w:numPr>
          <w:ilvl w:val="0"/>
          <w:numId w:val="1226"/>
        </w:numPr>
      </w:pPr>
      <w:r>
        <w:rPr>
          <w:bCs/>
          <w:b/>
        </w:rPr>
        <w:t xml:space="preserve">Vertical profiles of temperature and humidity</w:t>
      </w:r>
      <w:r>
        <w:t xml:space="preserve"> </w:t>
      </w:r>
      <w:r>
        <w:t xml:space="preserve">— via physical (radiative-transfer inversion) or statistical regression retrieval using the full multi-channel Sounder radiance set, each channel’s weighting function peaking at a different atmospheric pressure level, so that the ensemble of channel radiances collectively constrains the vertical profile shape.</w:t>
      </w:r>
    </w:p>
    <w:p>
      <w:pPr>
        <w:pStyle w:val="Compact"/>
        <w:numPr>
          <w:ilvl w:val="0"/>
          <w:numId w:val="1226"/>
        </w:numPr>
      </w:pPr>
      <w:r>
        <w:rPr>
          <w:bCs/>
          <w:b/>
        </w:rPr>
        <w:t xml:space="preserve">Surface skin temperature</w:t>
      </w:r>
      <w:r>
        <w:t xml:space="preserve"> </w:t>
      </w:r>
      <w:r>
        <w:t xml:space="preserve">and</w:t>
      </w:r>
      <w:r>
        <w:t xml:space="preserve"> </w:t>
      </w:r>
      <w:r>
        <w:rPr>
          <w:bCs/>
          <w:b/>
        </w:rPr>
        <w:t xml:space="preserve">total column ozone</w:t>
      </w:r>
      <w:r>
        <w:t xml:space="preserve"> </w:t>
      </w:r>
      <w:r>
        <w:t xml:space="preserve">— from window and ozone-absorption-sensitive Sounder channels respectively.</w:t>
      </w:r>
    </w:p>
    <w:p>
      <w:pPr>
        <w:pStyle w:val="Compact"/>
        <w:numPr>
          <w:ilvl w:val="0"/>
          <w:numId w:val="1226"/>
        </w:numPr>
      </w:pPr>
      <w:r>
        <w:rPr>
          <w:bCs/>
          <w:b/>
        </w:rPr>
        <w:t xml:space="preserve">Derived products:</w:t>
      </w:r>
      <w:r>
        <w:t xml:space="preserve"> </w:t>
      </w:r>
      <w:r>
        <w:rPr>
          <w:bCs/>
          <w:b/>
        </w:rPr>
        <w:t xml:space="preserve">geopotential height</w:t>
      </w:r>
      <w:r>
        <w:t xml:space="preserve"> </w:t>
      </w:r>
      <w:r>
        <w:t xml:space="preserve">(from the hydrostatically-integrated temperature profile);</w:t>
      </w:r>
      <w:r>
        <w:t xml:space="preserve"> </w:t>
      </w:r>
      <w:r>
        <w:rPr>
          <w:bCs/>
          <w:b/>
        </w:rPr>
        <w:t xml:space="preserve">layer and total precipitable water</w:t>
      </w:r>
      <w:r>
        <w:t xml:space="preserve"> </w:t>
      </w:r>
      <w:r>
        <w:t xml:space="preserve">(integrated from the humidity profile); the</w:t>
      </w:r>
      <w:r>
        <w:t xml:space="preserve"> </w:t>
      </w:r>
      <w:r>
        <w:rPr>
          <w:bCs/>
          <w:b/>
        </w:rPr>
        <w:t xml:space="preserve">Lifted Index</w:t>
      </w:r>
      <w:r>
        <w:t xml:space="preserve"> </w:t>
      </w:r>
      <w:r>
        <w:t xml:space="preserve">(a standard atmospheric-instability/severe-weather indicator, computing the temperature difference between a parcel lifted dry/moist-adiabatically from near the surface to 500 hPa and the actual environmental temperature at 500 hPa — strongly negative values indicating high convective instability); the</w:t>
      </w:r>
      <w:r>
        <w:t xml:space="preserve"> </w:t>
      </w:r>
      <w:r>
        <w:rPr>
          <w:bCs/>
          <w:b/>
        </w:rPr>
        <w:t xml:space="preserve">Dry Microburst Index</w:t>
      </w:r>
      <w:r>
        <w:t xml:space="preserve"> </w:t>
      </w:r>
      <w:r>
        <w:t xml:space="preserve">and</w:t>
      </w:r>
      <w:r>
        <w:t xml:space="preserve"> </w:t>
      </w:r>
      <w:r>
        <w:rPr>
          <w:bCs/>
          <w:b/>
        </w:rPr>
        <w:t xml:space="preserve">Maximum Vertical Theta-e Differential</w:t>
      </w:r>
      <w:r>
        <w:t xml:space="preserve"> </w:t>
      </w:r>
      <w:r>
        <w:t xml:space="preserve">(both severe-convective-weather/downburst-risk indicators derived from the vertical profile of equivalent potential temperature, θe, whose sharp mid-level decrease with height signals downdraft/microburst potential); and the</w:t>
      </w:r>
      <w:r>
        <w:t xml:space="preserve"> </w:t>
      </w:r>
      <w:r>
        <w:rPr>
          <w:bCs/>
          <w:b/>
        </w:rPr>
        <w:t xml:space="preserve">Wind Index</w:t>
      </w:r>
      <w:r>
        <w:t xml:space="preserve"> </w:t>
      </w:r>
      <w:r>
        <w:t xml:space="preserve">(an empirical downburst-potential index combining thermodynamic profile parameters).</w:t>
      </w:r>
    </w:p>
    <w:p>
      <w:pPr>
        <w:pStyle w:val="Heading2"/>
      </w:pPr>
      <w:r>
        <w:t xml:space="preserve">29.13 Atmospheric Science Laboratory (NRSC, Shadnagar) — Ground-Truth Instrumentation</w:t>
      </w:r>
    </w:p>
    <w:p>
      <w:pPr>
        <w:pStyle w:val="FirstParagraph"/>
      </w:pPr>
      <w:r>
        <w:t xml:space="preserve">SAC/NRSC operates a dedicated, 24×7 ground-based</w:t>
      </w:r>
      <w:r>
        <w:t xml:space="preserve"> </w:t>
      </w:r>
      <w:r>
        <w:rPr>
          <w:bCs/>
          <w:b/>
        </w:rPr>
        <w:t xml:space="preserve">Atmospheric Science Laboratory</w:t>
      </w:r>
      <w:r>
        <w:t xml:space="preserve"> </w:t>
      </w:r>
      <w:r>
        <w:t xml:space="preserve">at Shadnagar, generating the in-situ validation dataset against which the satellite retrievals above are calibrated and verified:</w:t>
      </w:r>
    </w:p>
    <w:p>
      <w:pPr>
        <w:pStyle w:val="Compact"/>
        <w:numPr>
          <w:ilvl w:val="0"/>
          <w:numId w:val="1227"/>
        </w:numPr>
      </w:pPr>
      <w:r>
        <w:rPr>
          <w:bCs/>
          <w:b/>
        </w:rPr>
        <w:t xml:space="preserve">Net radiometer and pyranometer</w:t>
      </w:r>
      <w:r>
        <w:t xml:space="preserve"> </w:t>
      </w:r>
      <w:r>
        <w:t xml:space="preserve">— incoming/outgoing shortwave and longwave radiation.</w:t>
      </w:r>
    </w:p>
    <w:p>
      <w:pPr>
        <w:pStyle w:val="Compact"/>
        <w:numPr>
          <w:ilvl w:val="0"/>
          <w:numId w:val="1227"/>
        </w:numPr>
      </w:pPr>
      <w:r>
        <w:rPr>
          <w:bCs/>
          <w:b/>
        </w:rPr>
        <w:t xml:space="preserve">CIMEL Sunphotometer</w:t>
      </w:r>
      <w:r>
        <w:t xml:space="preserve"> </w:t>
      </w:r>
      <w:r>
        <w:t xml:space="preserve">(AERONET network node),</w:t>
      </w:r>
      <w:r>
        <w:t xml:space="preserve"> </w:t>
      </w:r>
      <w:r>
        <w:rPr>
          <w:bCs/>
          <w:b/>
        </w:rPr>
        <w:t xml:space="preserve">Multiwavelength radiometer</w:t>
      </w:r>
      <w:r>
        <w:t xml:space="preserve">,</w:t>
      </w:r>
      <w:r>
        <w:t xml:space="preserve"> </w:t>
      </w:r>
      <w:r>
        <w:rPr>
          <w:bCs/>
          <w:b/>
        </w:rPr>
        <w:t xml:space="preserve">Aethalometer</w:t>
      </w:r>
      <w:r>
        <w:t xml:space="preserve"> </w:t>
      </w:r>
      <w:r>
        <w:t xml:space="preserve">(measures black-carbon aerosol concentration via the rate of optical-attenuation change of light transmitted through aerosol continuously collected on a filter tape) and</w:t>
      </w:r>
      <w:r>
        <w:t xml:space="preserve"> </w:t>
      </w:r>
      <w:r>
        <w:rPr>
          <w:bCs/>
          <w:b/>
        </w:rPr>
        <w:t xml:space="preserve">Nephelometer</w:t>
      </w:r>
      <w:r>
        <w:t xml:space="preserve"> </w:t>
      </w:r>
      <w:r>
        <w:t xml:space="preserve">(measures aerosol light-scattering coefficient, used with the aethalometer’s absorption coefficient to characterise aerosol single-scattering albedo) — comprehensive aerosol optical-property characterisation.</w:t>
      </w:r>
    </w:p>
    <w:p>
      <w:pPr>
        <w:pStyle w:val="Compact"/>
        <w:numPr>
          <w:ilvl w:val="0"/>
          <w:numId w:val="1227"/>
        </w:numPr>
      </w:pPr>
      <w:r>
        <w:rPr>
          <w:bCs/>
          <w:b/>
        </w:rPr>
        <w:t xml:space="preserve">Trace-gas analysers</w:t>
      </w:r>
      <w:r>
        <w:t xml:space="preserve"> </w:t>
      </w:r>
      <w:r>
        <w:t xml:space="preserve">for surface O3, NOx, SOx and CO, and a</w:t>
      </w:r>
      <w:r>
        <w:t xml:space="preserve"> </w:t>
      </w:r>
      <w:r>
        <w:rPr>
          <w:bCs/>
          <w:b/>
        </w:rPr>
        <w:t xml:space="preserve">high-precision Greenhouse Gas Analyser</w:t>
      </w:r>
      <w:r>
        <w:t xml:space="preserve"> </w:t>
      </w:r>
      <w:r>
        <w:t xml:space="preserve">for CO2 — continuous surface air-quality/GHG monitoring.</w:t>
      </w:r>
    </w:p>
    <w:p>
      <w:pPr>
        <w:pStyle w:val="Compact"/>
        <w:numPr>
          <w:ilvl w:val="0"/>
          <w:numId w:val="1227"/>
        </w:numPr>
      </w:pPr>
      <w:r>
        <w:rPr>
          <w:bCs/>
          <w:b/>
        </w:rPr>
        <w:t xml:space="preserve">Ground-based Fourier Transform Infrared spectrometer (FTIR)</w:t>
      </w:r>
      <w:r>
        <w:t xml:space="preserve"> </w:t>
      </w:r>
      <w:r>
        <w:t xml:space="preserve">— retrieves atmospheric</w:t>
      </w:r>
      <w:r>
        <w:t xml:space="preserve"> </w:t>
      </w:r>
      <w:r>
        <w:rPr>
          <w:bCs/>
          <w:b/>
        </w:rPr>
        <w:t xml:space="preserve">columnar trace-gas concentrations</w:t>
      </w:r>
      <w:r>
        <w:t xml:space="preserve"> </w:t>
      </w:r>
      <w:r>
        <w:t xml:space="preserve">on clear-sky days by measuring high-spectral-resolution absorption of direct solar infrared radiation as it passes through the atmospheric column, with each trace gas’s characteristic absorption-line pattern allowing simultaneous multi-species column retrieval.</w:t>
      </w:r>
    </w:p>
    <w:p>
      <w:pPr>
        <w:pStyle w:val="Compact"/>
        <w:numPr>
          <w:ilvl w:val="0"/>
          <w:numId w:val="1227"/>
        </w:numPr>
      </w:pPr>
      <w:r>
        <w:rPr>
          <w:bCs/>
          <w:b/>
        </w:rPr>
        <w:t xml:space="preserve">Microtops handheld sunphotometer</w:t>
      </w:r>
      <w:r>
        <w:t xml:space="preserve"> </w:t>
      </w:r>
      <w:r>
        <w:t xml:space="preserve">— columnar ozone, AOD, precipitable water vapour, for campaign/mobile validation.</w:t>
      </w:r>
    </w:p>
    <w:p>
      <w:pPr>
        <w:pStyle w:val="Compact"/>
        <w:numPr>
          <w:ilvl w:val="0"/>
          <w:numId w:val="1227"/>
        </w:numPr>
      </w:pPr>
      <w:r>
        <w:rPr>
          <w:bCs/>
          <w:b/>
        </w:rPr>
        <w:t xml:space="preserve">Automatic Weather Station (AWS)</w:t>
      </w:r>
      <w:r>
        <w:t xml:space="preserve"> </w:t>
      </w:r>
      <w:r>
        <w:t xml:space="preserve">— continuous surface meteorological parameters, providing the essential meteorological context for interpreting all the above atmospheric-composition measurements.</w:t>
      </w:r>
    </w:p>
    <w:p>
      <w:pPr>
        <w:pStyle w:val="Heading2"/>
      </w:pPr>
      <w:r>
        <w:t xml:space="preserve">29.14 NICES — National Information System for Climate and Environment Studies</w:t>
      </w:r>
    </w:p>
    <w:p>
      <w:pPr>
        <w:pStyle w:val="FirstParagraph"/>
      </w:pPr>
      <w:r>
        <w:rPr>
          <w:bCs/>
          <w:b/>
        </w:rPr>
        <w:t xml:space="preserve">NICES</w:t>
      </w:r>
      <w:r>
        <w:t xml:space="preserve"> </w:t>
      </w:r>
      <w:r>
        <w:t xml:space="preserve">is ISRO’s programme framework dedicated to using satellite remote sensing (and the ground-validation network above) for systematic, long-term studies of climate and environmental change, encompassing atmospheric composition/aerosol/trace-gas trend monitoring, radiation-budget studies, land-atmosphere carbon and water flux research, and the broader terrestrial/vegetation/hydrology product generation described in the relevant chapter (Terrestrial Products) — providing the scientific/data backbone linking SAC’s individual instrument/satellite product streams into an integrated national climate-and-environment information system, and a natural point of reference for an interview question asking how ISRO’s disparate atmospheric, land and ocean satellite products are institutionally and scientifically integrated.</w:t>
      </w:r>
    </w:p>
    <w:p>
      <w:pPr>
        <w:pStyle w:val="Heading2"/>
      </w:pPr>
      <w:r>
        <w:t xml:space="preserve">29.15 MOSDAC — Meteorological and Oceanographic Satellite Data Archival Centre</w:t>
      </w:r>
    </w:p>
    <w:p>
      <w:pPr>
        <w:pStyle w:val="FirstParagraph"/>
      </w:pPr>
      <w:r>
        <w:t xml:space="preserve">MOSDAC, operated by SAC (ISRO) at Ahmedabad, is India's central archival, processing and dissemination hub for meteorological and oceanographic satellite data. It ingests raw data from INSAT-3D/3DR/3DS, SCATSAT-1, Oceansat, Megha-Tropiques and other missions; generates Level-1 (calibrated radiance), Level-2 (geophysical parameter retrievals such as rainfall, SST, winds, soil moisture, snow cover) and Level-3/4 (gridded, merged, and derived value-added) products; and distributes them to user agencies (IMD, NCMRWF, IITM, state departments, researchers) via an open data portal. For an SAC agrometeorologist, MOSDAC is the operational gateway through which satellite-derived rainfall, land-surface temperature, outgoing longwave radiation (OLR), and vegetation products reach agricultural applications.</w:t>
      </w:r>
    </w:p>
    <w:p>
      <w:pPr>
        <w:pStyle w:val="Heading2"/>
      </w:pPr>
      <w:r>
        <w:t xml:space="preserve">29.16 Satellite-Based Rainfall Estimation</w:t>
      </w:r>
    </w:p>
    <w:p>
      <w:pPr>
        <w:pStyle w:val="FirstParagraph"/>
      </w:pPr>
      <w:r>
        <w:t xml:space="preserve">Rainfall is the single most important agromet variable, yet rain-gauge networks are sparse, especially over hills, forests, and the ocean. Satellite rainfall estimation techniques infer precipitation indirectly from radiometric signatures.</w:t>
      </w:r>
    </w:p>
    <w:p>
      <w:pPr>
        <w:pStyle w:val="Heading3"/>
      </w:pPr>
      <w:r>
        <w:t xml:space="preserve">29.16.1 Cloud-Top (Infrared) Techniques</w:t>
      </w:r>
    </w:p>
    <w:p>
      <w:pPr>
        <w:pStyle w:val="FirstParagraph"/>
      </w:pPr>
      <w:r>
        <w:t xml:space="preserve">IR-window brightness temperature (Tb) of cloud tops is used as a proxy for convective intensity, on the empirical premise that colder, higher cloud tops are associated with vigorous convection and heavier rain. The classical GOES Precipitation Index (GPI) and its regional adaptations assign a fixed rain rate (e.g., 3 mm/hr) to any pixel colder than a threshold (e.g., 235 K), integrated over the observation period. India's operational INSAT Multi-Spectral Rainfall Algorithm (IMSRA) improves on this by combining IR (window/split-window) with water-vapour and, where available, microwave-derived rain rates through a multiple-regression/statistical merging approach, recalibrated against ground-based radar and rain-gauge data, and has been progressively refined using INSAT-3D's higher-resolution imager and sounder.</w:t>
      </w:r>
    </w:p>
    <w:p>
      <w:pPr>
        <w:pStyle w:val="BodyText"/>
      </w:pPr>
      <w:r>
        <w:rPr>
          <w:iCs/>
          <w:i/>
        </w:rPr>
        <w:t xml:space="preserve">R (mm/hr) = f(Tb_IR, Tb_WV, cloud growth rate, ancillary microwave rain rate)</w:t>
      </w:r>
    </w:p>
    <w:p>
      <w:pPr>
        <w:pStyle w:val="Heading3"/>
      </w:pPr>
      <w:r>
        <w:t xml:space="preserve">29.16.2 Passive Microwave Techniques</w:t>
      </w:r>
    </w:p>
    <w:p>
      <w:pPr>
        <w:pStyle w:val="FirstParagraph"/>
      </w:pPr>
      <w:r>
        <w:t xml:space="preserve">Microwave radiometers (e.g., on Megha-Tropiques' MADRAS, or GPM's GMI) directly sense scattering/emission by hydrometeors and ice particles within clouds, giving a physically more direct rainfall estimate than IR, but at coarser temporal sampling (only when a low-earth-orbit satellite passes overhead) and coarser spatial resolution. Operational systems (e.g., GPM IMERG — Integrated Multi-satellitE Retrievals for GPM) blend microwave estimates (used to calibrate) with more frequent IR estimates (used to fill gaps) plus gauge-based bias correction, producing merged, high-frequency, near-global rainfall products widely used in agromet monitoring.</w:t>
      </w:r>
    </w:p>
    <w:p>
      <w:pPr>
        <w:pStyle w:val="Heading3"/>
      </w:pPr>
      <w:r>
        <w:t xml:space="preserve">29.16.3 Weather Radar (Doppler Weather Radar, DWR)</w:t>
      </w:r>
    </w:p>
    <w:p>
      <w:pPr>
        <w:pStyle w:val="FirstParagraph"/>
      </w:pPr>
      <w:r>
        <w:t xml:space="preserve">IMD operates a nationwide DWR network (S-band and C-band) providing 3D reflectivity, from which rainfall rate is estimated via the empirical Z–R (reflectivity–rain rate) relationship:</w:t>
      </w:r>
    </w:p>
    <w:p>
      <w:pPr>
        <w:pStyle w:val="BodyText"/>
      </w:pPr>
      <w:r>
        <w:rPr>
          <w:iCs/>
          <w:i/>
        </w:rPr>
        <w:t xml:space="preserve">Z = A·Rᵇ (commonly Z = 200R^1.6, the Marshall–Palmer relation, with regional recalibration)</w:t>
      </w:r>
    </w:p>
    <w:p>
      <w:pPr>
        <w:pStyle w:val="BodyText"/>
      </w:pPr>
      <w:r>
        <w:t xml:space="preserve">where Z is radar reflectivity factor (mm⁶/m³) and R is rain rate (mm/hr). DWR additionally measures Doppler radial velocity (used to detect rotation/mesocyclones in severe storms and to derive wind profiles) and, in dual-polarisation radars, differential reflectivity and specific differential phase, which improve hydrometeor classification (rain vs. hail vs. graupel) — directly useful for hailstorm damage warnings to farmers.</w:t>
      </w:r>
    </w:p>
    <w:p>
      <w:pPr>
        <w:pStyle w:val="Heading1"/>
      </w:pPr>
      <w:r>
        <w:t xml:space="preserve">Chapter 30. Weather Forecasting and Monsoon Prediction</w:t>
      </w:r>
    </w:p>
    <w:p>
      <w:pPr>
        <w:pStyle w:val="Heading2"/>
      </w:pPr>
      <w:r>
        <w:t xml:space="preserve">30.1 Definition and Timescales of Forecasting</w:t>
      </w:r>
    </w:p>
    <w:p>
      <w:pPr>
        <w:pStyle w:val="FirstParagraph"/>
      </w:pPr>
      <w:r>
        <w:t xml:space="preserve">Weather forecasting is the application of science and technology to predict the state of the atmosphere for a future time at a given location. Forecasts are classified by lead time because the dominant physics, the data sources, and the appropriate technique all change with the forecast horizon.</w:t>
      </w:r>
    </w:p>
    <w:tbl>
      <w:tblPr>
        <w:tblStyle w:val="Table"/>
        <w:tblW w:type="pct" w:w="4949"/>
        <w:jc w:val="left"/>
        <w:tblLook w:firstRow="1" w:lastRow="0" w:firstColumn="0" w:lastColumn="0" w:noHBand="0" w:noVBand="0" w:val="0020"/>
      </w:tblPr>
      <w:tblGrid>
        <w:gridCol w:w="1584"/>
        <w:gridCol w:w="1218"/>
        <w:gridCol w:w="1624"/>
        <w:gridCol w:w="3411"/>
      </w:tblGrid>
      <w:tr>
        <w:trPr>
          <w:tblHeader w:val="true"/>
        </w:trPr>
        <w:tc>
          <w:tcPr/>
          <w:p>
            <w:pPr>
              <w:pStyle w:val="Compact"/>
              <w:jc w:val="left"/>
            </w:pPr>
            <w:r>
              <w:rPr>
                <w:bCs/>
                <w:b/>
              </w:rPr>
              <w:t xml:space="preserve">Category</w:t>
            </w:r>
          </w:p>
        </w:tc>
        <w:tc>
          <w:tcPr/>
          <w:p>
            <w:pPr>
              <w:pStyle w:val="Compact"/>
              <w:jc w:val="left"/>
            </w:pPr>
            <w:r>
              <w:rPr>
                <w:bCs/>
                <w:b/>
              </w:rPr>
              <w:t xml:space="preserve">Lead Time</w:t>
            </w:r>
          </w:p>
        </w:tc>
        <w:tc>
          <w:tcPr/>
          <w:p>
            <w:pPr>
              <w:pStyle w:val="Compact"/>
              <w:jc w:val="left"/>
            </w:pPr>
            <w:r>
              <w:rPr>
                <w:bCs/>
                <w:b/>
              </w:rPr>
              <w:t xml:space="preserve">Dominant Technique</w:t>
            </w:r>
          </w:p>
        </w:tc>
        <w:tc>
          <w:tcPr/>
          <w:p>
            <w:pPr>
              <w:pStyle w:val="Compact"/>
              <w:jc w:val="left"/>
            </w:pPr>
            <w:r>
              <w:rPr>
                <w:bCs/>
                <w:b/>
              </w:rPr>
              <w:t xml:space="preserve">Typical Agromet Use</w:t>
            </w:r>
          </w:p>
        </w:tc>
      </w:tr>
      <w:tr>
        <w:tc>
          <w:tcPr/>
          <w:p>
            <w:pPr>
              <w:pStyle w:val="Compact"/>
              <w:jc w:val="left"/>
            </w:pPr>
            <w:r>
              <w:t xml:space="preserve">Now-casting</w:t>
            </w:r>
          </w:p>
        </w:tc>
        <w:tc>
          <w:tcPr/>
          <w:p>
            <w:pPr>
              <w:pStyle w:val="Compact"/>
              <w:jc w:val="left"/>
            </w:pPr>
            <w:r>
              <w:t xml:space="preserve">0–6 hours</w:t>
            </w:r>
          </w:p>
        </w:tc>
        <w:tc>
          <w:tcPr/>
          <w:p>
            <w:pPr>
              <w:pStyle w:val="Compact"/>
              <w:jc w:val="left"/>
            </w:pPr>
            <w:r>
              <w:t xml:space="preserve">Radar/satellite extrapolation</w:t>
            </w:r>
          </w:p>
        </w:tc>
        <w:tc>
          <w:tcPr/>
          <w:p>
            <w:pPr>
              <w:pStyle w:val="Compact"/>
              <w:jc w:val="left"/>
            </w:pPr>
            <w:r>
              <w:t xml:space="preserve">Thunderstorm, hail, lightning, gale warnings for immediate field operation safety</w:t>
            </w:r>
          </w:p>
        </w:tc>
      </w:tr>
      <w:tr>
        <w:tc>
          <w:tcPr/>
          <w:p>
            <w:pPr>
              <w:pStyle w:val="Compact"/>
              <w:jc w:val="left"/>
            </w:pPr>
            <w:r>
              <w:t xml:space="preserve">Very Short Range Forecast (VSRF)</w:t>
            </w:r>
          </w:p>
        </w:tc>
        <w:tc>
          <w:tcPr/>
          <w:p>
            <w:pPr>
              <w:pStyle w:val="Compact"/>
              <w:jc w:val="left"/>
            </w:pPr>
            <w:r>
              <w:t xml:space="preserve">6–72 hours (up to 3 days)</w:t>
            </w:r>
          </w:p>
        </w:tc>
        <w:tc>
          <w:tcPr/>
          <w:p>
            <w:pPr>
              <w:pStyle w:val="Compact"/>
              <w:jc w:val="left"/>
            </w:pPr>
            <w:r>
              <w:t xml:space="preserve">NWP + nowcasting blend</w:t>
            </w:r>
          </w:p>
        </w:tc>
        <w:tc>
          <w:tcPr/>
          <w:p>
            <w:pPr>
              <w:pStyle w:val="Compact"/>
              <w:jc w:val="left"/>
            </w:pPr>
            <w:r>
              <w:t xml:space="preserve">Spraying/irrigation scheduling, harvest timing</w:t>
            </w:r>
          </w:p>
        </w:tc>
      </w:tr>
      <w:tr>
        <w:tc>
          <w:tcPr/>
          <w:p>
            <w:pPr>
              <w:pStyle w:val="Compact"/>
              <w:jc w:val="left"/>
            </w:pPr>
            <w:r>
              <w:t xml:space="preserve">Short Range Forecast (SRF)</w:t>
            </w:r>
          </w:p>
        </w:tc>
        <w:tc>
          <w:tcPr/>
          <w:p>
            <w:pPr>
              <w:pStyle w:val="Compact"/>
              <w:jc w:val="left"/>
            </w:pPr>
            <w:r>
              <w:t xml:space="preserve">Up to 3 days</w:t>
            </w:r>
          </w:p>
        </w:tc>
        <w:tc>
          <w:tcPr/>
          <w:p>
            <w:pPr>
              <w:pStyle w:val="Compact"/>
              <w:jc w:val="left"/>
            </w:pPr>
            <w:r>
              <w:t xml:space="preserve">Synoptic + NWP</w:t>
            </w:r>
          </w:p>
        </w:tc>
        <w:tc>
          <w:tcPr/>
          <w:p>
            <w:pPr>
              <w:pStyle w:val="Compact"/>
              <w:jc w:val="left"/>
            </w:pPr>
            <w:r>
              <w:t xml:space="preserve">GKMS block/district bulletins</w:t>
            </w:r>
          </w:p>
        </w:tc>
      </w:tr>
      <w:tr>
        <w:tc>
          <w:tcPr/>
          <w:p>
            <w:pPr>
              <w:pStyle w:val="Compact"/>
              <w:jc w:val="left"/>
            </w:pPr>
            <w:r>
              <w:t xml:space="preserve">Medium Range Forecast (MRF)</w:t>
            </w:r>
          </w:p>
        </w:tc>
        <w:tc>
          <w:tcPr/>
          <w:p>
            <w:pPr>
              <w:pStyle w:val="Compact"/>
              <w:jc w:val="left"/>
            </w:pPr>
            <w:r>
              <w:t xml:space="preserve">3–10 days</w:t>
            </w:r>
          </w:p>
        </w:tc>
        <w:tc>
          <w:tcPr/>
          <w:p>
            <w:pPr>
              <w:pStyle w:val="Compact"/>
              <w:jc w:val="left"/>
            </w:pPr>
            <w:r>
              <w:t xml:space="preserve">Global NWP (deterministic + ensemble)</w:t>
            </w:r>
          </w:p>
        </w:tc>
        <w:tc>
          <w:tcPr/>
          <w:p>
            <w:pPr>
              <w:pStyle w:val="Compact"/>
              <w:jc w:val="left"/>
            </w:pPr>
            <w:r>
              <w:t xml:space="preserve">5-day agromet advisory bulletins (Tue/Fri)</w:t>
            </w:r>
          </w:p>
        </w:tc>
      </w:tr>
      <w:tr>
        <w:tc>
          <w:tcPr/>
          <w:p>
            <w:pPr>
              <w:pStyle w:val="Compact"/>
              <w:jc w:val="left"/>
            </w:pPr>
            <w:r>
              <w:t xml:space="preserve">Extended Range Forecast (ERF)</w:t>
            </w:r>
          </w:p>
        </w:tc>
        <w:tc>
          <w:tcPr/>
          <w:p>
            <w:pPr>
              <w:pStyle w:val="Compact"/>
              <w:jc w:val="left"/>
            </w:pPr>
            <w:r>
              <w:t xml:space="preserve">10–30 days (pentad/weekly)</w:t>
            </w:r>
          </w:p>
        </w:tc>
        <w:tc>
          <w:tcPr/>
          <w:p>
            <w:pPr>
              <w:pStyle w:val="Compact"/>
              <w:jc w:val="left"/>
            </w:pPr>
            <w:r>
              <w:t xml:space="preserve">Coupled ocean–atmosphere models, MME</w:t>
            </w:r>
          </w:p>
        </w:tc>
        <w:tc>
          <w:tcPr/>
          <w:p>
            <w:pPr>
              <w:pStyle w:val="Compact"/>
              <w:jc w:val="left"/>
            </w:pPr>
            <w:r>
              <w:t xml:space="preserve">Monsoon active/break spells, contingency planning</w:t>
            </w:r>
          </w:p>
        </w:tc>
      </w:tr>
      <w:tr>
        <w:tc>
          <w:tcPr/>
          <w:p>
            <w:pPr>
              <w:pStyle w:val="Compact"/>
              <w:jc w:val="left"/>
            </w:pPr>
            <w:r>
              <w:t xml:space="preserve">Long Range / Seasonal Forecast (LRF)</w:t>
            </w:r>
          </w:p>
        </w:tc>
        <w:tc>
          <w:tcPr/>
          <w:p>
            <w:pPr>
              <w:pStyle w:val="Compact"/>
              <w:jc w:val="left"/>
            </w:pPr>
            <w:r>
              <w:t xml:space="preserve">1 month to a season</w:t>
            </w:r>
          </w:p>
        </w:tc>
        <w:tc>
          <w:tcPr/>
          <w:p>
            <w:pPr>
              <w:pStyle w:val="Compact"/>
              <w:jc w:val="left"/>
            </w:pPr>
            <w:r>
              <w:t xml:space="preserve">Statistical + dynamical ensembles</w:t>
            </w:r>
          </w:p>
        </w:tc>
        <w:tc>
          <w:tcPr/>
          <w:p>
            <w:pPr>
              <w:pStyle w:val="Compact"/>
              <w:jc w:val="left"/>
            </w:pPr>
            <w:r>
              <w:t xml:space="preserve">Southwest/Northeast monsoon seasonal outlook, sowing strategy</w:t>
            </w:r>
          </w:p>
        </w:tc>
      </w:tr>
      <w:tr>
        <w:tc>
          <w:tcPr/>
          <w:p>
            <w:pPr>
              <w:pStyle w:val="Compact"/>
              <w:jc w:val="left"/>
            </w:pPr>
            <w:r>
              <w:t xml:space="preserve">Climate Prediction / Projection</w:t>
            </w:r>
          </w:p>
        </w:tc>
        <w:tc>
          <w:tcPr/>
          <w:p>
            <w:pPr>
              <w:pStyle w:val="Compact"/>
              <w:jc w:val="left"/>
            </w:pPr>
            <w:r>
              <w:t xml:space="preserve">Season to decades</w:t>
            </w:r>
          </w:p>
        </w:tc>
        <w:tc>
          <w:tcPr/>
          <w:p>
            <w:pPr>
              <w:pStyle w:val="Compact"/>
              <w:jc w:val="left"/>
            </w:pPr>
            <w:r>
              <w:t xml:space="preserve">GCMs/RCMs, climate scenarios</w:t>
            </w:r>
          </w:p>
        </w:tc>
        <w:tc>
          <w:tcPr/>
          <w:p>
            <w:pPr>
              <w:pStyle w:val="Compact"/>
              <w:jc w:val="left"/>
            </w:pPr>
            <w:r>
              <w:t xml:space="preserve">Agro-climatic zonation, climate-resilient agriculture planning</w:t>
            </w:r>
          </w:p>
        </w:tc>
      </w:tr>
    </w:tbl>
    <w:p>
      <w:pPr>
        <w:pStyle w:val="Heading2"/>
      </w:pPr>
      <w:r>
        <w:t xml:space="preserve">30.2 Classical (Conventional) Forecasting Methods</w:t>
      </w:r>
    </w:p>
    <w:p>
      <w:pPr>
        <w:pStyle w:val="Heading3"/>
      </w:pPr>
      <w:r>
        <w:t xml:space="preserve">30.2.1 Persistence Method</w:t>
      </w:r>
    </w:p>
    <w:p>
      <w:pPr>
        <w:pStyle w:val="FirstParagraph"/>
      </w:pPr>
      <w:r>
        <w:t xml:space="preserve">The simplest technique: it assumes tomorrow's weather will be the same as today's (or that an anomaly will persist). Mathematically, the forecast value F(t+1) = O(t), where O(t) is the observed value at time t. It has genuine skill only for very short lead times (a few hours) or for highly persistent variables like drought/soil moisture status, and is commonly used as a 'no-skill' baseline against which other techniques are verified (skill score = 1 − MSE(model)/MSE(persistence)).</w:t>
      </w:r>
    </w:p>
    <w:p>
      <w:pPr>
        <w:pStyle w:val="Heading3"/>
      </w:pPr>
      <w:r>
        <w:t xml:space="preserve">30.2.2 Climatology / Analog Method</w:t>
      </w:r>
    </w:p>
    <w:p>
      <w:pPr>
        <w:pStyle w:val="FirstParagraph"/>
      </w:pPr>
      <w:r>
        <w:t xml:space="preserve">The climatological method forecasts the long-term average (normal) value for that date/location, useful for very long lead times where dynamical skill is unavailable. The analog method searches the historical record for past atmospheric states (e.g., a similar 500 hPa pattern, similar ENSO/IOD phase) that closely resemble the current state, and assumes the future evolution will resemble what followed those analogous historical situations. Analog reasoning underlies part of India's seasonal monsoon outlook process, where past years with similar boundary conditions (El Niño/La Niña, Indian Ocean Dipole) are examined.</w:t>
      </w:r>
    </w:p>
    <w:p>
      <w:pPr>
        <w:pStyle w:val="Heading3"/>
      </w:pPr>
      <w:r>
        <w:t xml:space="preserve">30.2.3 Synoptic (Weather-Chart) Method</w:t>
      </w:r>
    </w:p>
    <w:p>
      <w:pPr>
        <w:pStyle w:val="FirstParagraph"/>
      </w:pPr>
      <w:r>
        <w:t xml:space="preserve">The traditional method practiced by IMD forecasters: surface and upper-air observations (from AWS, radiosondes, ships, buoys, aircraft) are plotted on synoptic charts, isobars/isotherms are drawn, and systems such as low-pressure areas, depressions, western disturbances, troughs and ridges are identified and tracked. Forecasters apply established rules of thumb (steering-flow analogy, Norwegian cyclone model of frontal development, barotropic/baroclinic instability indicators) to extrapolate the movement and intensification of these systems. Though largely superseded by NWP guidance for the actual prediction, synoptic analysis remains essential for interpreting and correcting model output ("man–machine mix") and for identifying mesoscale features NWP may miss, such as local convective triggers relevant to hailstorms.</w:t>
      </w:r>
    </w:p>
    <w:p>
      <w:pPr>
        <w:pStyle w:val="Heading2"/>
      </w:pPr>
      <w:r>
        <w:t xml:space="preserve">30.3 Statistical Forecasting Methods</w:t>
      </w:r>
    </w:p>
    <w:p>
      <w:pPr>
        <w:pStyle w:val="FirstParagraph"/>
      </w:pPr>
      <w:r>
        <w:t xml:space="preserve">Statistical methods relate a predictand (the weather variable to be forecast, e.g., seasonal monsoon rainfall) to a set of predictors (antecedent atmospheric/oceanic conditions) using historical relationships, without explicitly solving the physical equations of motion.</w:t>
      </w:r>
    </w:p>
    <w:p>
      <w:pPr>
        <w:numPr>
          <w:ilvl w:val="0"/>
          <w:numId w:val="1228"/>
        </w:numPr>
      </w:pPr>
      <w:r>
        <w:t xml:space="preserve">Multiple Linear Regression (MR): Y = a₀ + a₁X₁ + a₂X₂ + ... + aₙXₙ + ε, where Y is the predictand (e.g., all-India summer monsoon rainfall as % of Long Period Average) and Xᵢ are standardised predictors (e.g., Nino3.4 SST, Equatorial Indian Ocean Oscillation index, North Atlantic sea-level pressure, Eurasian snow cover). Coefficients aᵢ are estimated by least squares on a training period.</w:t>
      </w:r>
    </w:p>
    <w:p>
      <w:pPr>
        <w:numPr>
          <w:ilvl w:val="0"/>
          <w:numId w:val="1228"/>
        </w:numPr>
      </w:pPr>
      <w:r>
        <w:t xml:space="preserve">Projection Pursuit Regression (PPR): A non-linear/non-parametric extension that finds low-dimensional projections of the predictor set that best explain the predictand, relaxing the linearity assumption of MR; used by IMD alongside MR in its ensemble forecasting system.</w:t>
      </w:r>
    </w:p>
    <w:p>
      <w:pPr>
        <w:numPr>
          <w:ilvl w:val="0"/>
          <w:numId w:val="1228"/>
        </w:numPr>
      </w:pPr>
      <w:r>
        <w:t xml:space="preserve">Model Output Statistics (MOS): A statistical post-processing technique that regresses NWP model output against observed station values to correct systematic bias and downscale coarse model grids to point forecasts (e.g., station-level maximum/minimum temperature).</w:t>
      </w:r>
    </w:p>
    <w:p>
      <w:pPr>
        <w:numPr>
          <w:ilvl w:val="0"/>
          <w:numId w:val="1228"/>
        </w:numPr>
      </w:pPr>
      <w:r>
        <w:t xml:space="preserve">Principal Component / Canonical Correlation Analysis (CCA): Used to reduce dimensionality of gridded predictor fields (e.g., global SST anomalies) before relating them statistically to the predictand field (e.g., regional rainfall).</w:t>
      </w:r>
    </w:p>
    <w:p>
      <w:pPr>
        <w:numPr>
          <w:ilvl w:val="0"/>
          <w:numId w:val="1228"/>
        </w:numPr>
      </w:pPr>
      <w:r>
        <w:t xml:space="preserve">Markov Chain / Stochastic Weather Generators: Model rainfall occurrence as a stochastic process (e.g., a two-state first-order Markov chain for wet/dry day sequences) — useful for generating daily weather series for crop-simulation model inputs and dry/wet spell probability analysis in agromet advisories.</w:t>
      </w:r>
    </w:p>
    <w:p>
      <w:pPr>
        <w:pStyle w:val="FirstParagraph"/>
      </w:pPr>
      <w:r>
        <w:t xml:space="preserve">Statistical methods are computationally cheap, provide long lead times (months), and work well when robust, physically-explainable teleconnections exist (e.g., ENSO–monsoon relationship). Their key limitation is non-stationarity: statistical relationships derived from the past may break down as the climate system evolves, requiring periodic re-calibration (as IMD has done multiple times: 1988, 2003, 2007, and updated multi-model ensemble systems thereafter).</w:t>
      </w:r>
    </w:p>
    <w:p>
      <w:pPr>
        <w:pStyle w:val="Heading2"/>
      </w:pPr>
      <w:r>
        <w:t xml:space="preserve">30.4 Numerical Weather Prediction (NWP)</w:t>
      </w:r>
    </w:p>
    <w:p>
      <w:pPr>
        <w:pStyle w:val="FirstParagraph"/>
      </w:pPr>
      <w:r>
        <w:t xml:space="preserve">NWP is the current backbone of operational forecasting: it numerically integrates the governing equations of atmospheric motion and thermodynamics forward in time from an observed initial state (analysis) to produce a future state (forecast).</w:t>
      </w:r>
    </w:p>
    <w:p>
      <w:pPr>
        <w:pStyle w:val="Heading3"/>
      </w:pPr>
      <w:r>
        <w:t xml:space="preserve">30.4.1 The Governing (Primitive) Equations</w:t>
      </w:r>
    </w:p>
    <w:p>
      <w:pPr>
        <w:pStyle w:val="FirstParagraph"/>
      </w:pPr>
      <w:r>
        <w:t xml:space="preserve">NWP models solve a set of coupled non-linear partial differential equations describing conservation of momentum, mass, energy and moisture on a rotating sphere:</w:t>
      </w:r>
    </w:p>
    <w:p>
      <w:pPr>
        <w:pStyle w:val="Compact"/>
        <w:numPr>
          <w:ilvl w:val="0"/>
          <w:numId w:val="1229"/>
        </w:numPr>
      </w:pPr>
      <w:r>
        <w:t xml:space="preserve">Horizontal momentum (equation of motion), incorporating pressure-gradient force, Coriolis force, gravity and friction:</w:t>
      </w:r>
    </w:p>
    <w:p>
      <w:pPr>
        <w:pStyle w:val="FirstParagraph"/>
      </w:pPr>
      <w:r>
        <w:rPr>
          <w:iCs/>
          <w:i/>
        </w:rPr>
        <w:t xml:space="preserve">dV/dt = −(1/ρ)∇p − 2Ω×V + g + F</w:t>
      </w:r>
    </w:p>
    <w:p>
      <w:pPr>
        <w:pStyle w:val="Compact"/>
        <w:numPr>
          <w:ilvl w:val="0"/>
          <w:numId w:val="1230"/>
        </w:numPr>
      </w:pPr>
      <w:r>
        <w:t xml:space="preserve">Continuity equation (conservation of mass):</w:t>
      </w:r>
    </w:p>
    <w:p>
      <w:pPr>
        <w:pStyle w:val="FirstParagraph"/>
      </w:pPr>
      <w:r>
        <w:rPr>
          <w:iCs/>
          <w:i/>
        </w:rPr>
        <w:t xml:space="preserve">∂ρ/∂t + ∇·(ρV) = 0</w:t>
      </w:r>
    </w:p>
    <w:p>
      <w:pPr>
        <w:pStyle w:val="Compact"/>
        <w:numPr>
          <w:ilvl w:val="0"/>
          <w:numId w:val="1231"/>
        </w:numPr>
      </w:pPr>
      <w:r>
        <w:t xml:space="preserve">Thermodynamic energy equation (first law of thermodynamics):</w:t>
      </w:r>
    </w:p>
    <w:p>
      <w:pPr>
        <w:pStyle w:val="FirstParagraph"/>
      </w:pPr>
      <w:r>
        <w:rPr>
          <w:iCs/>
          <w:i/>
        </w:rPr>
        <w:t xml:space="preserve">dT/dt = (1/cp)(dQ/dt) + (RT/cp·p)(dp/dt)</w:t>
      </w:r>
    </w:p>
    <w:p>
      <w:pPr>
        <w:pStyle w:val="Compact"/>
        <w:numPr>
          <w:ilvl w:val="0"/>
          <w:numId w:val="1232"/>
        </w:numPr>
      </w:pPr>
      <w:r>
        <w:t xml:space="preserve">Moisture continuity equation:</w:t>
      </w:r>
    </w:p>
    <w:p>
      <w:pPr>
        <w:pStyle w:val="FirstParagraph"/>
      </w:pPr>
      <w:r>
        <w:rPr>
          <w:iCs/>
          <w:i/>
        </w:rPr>
        <w:t xml:space="preserve">dq/dt = E − C (evaporation minus condensation, plus advection/diffusion)</w:t>
      </w:r>
    </w:p>
    <w:p>
      <w:pPr>
        <w:pStyle w:val="Compact"/>
        <w:numPr>
          <w:ilvl w:val="0"/>
          <w:numId w:val="1233"/>
        </w:numPr>
      </w:pPr>
      <w:r>
        <w:t xml:space="preserve">Hydrostatic approximation (used in most large-scale models in place of the full vertical momentum equation):</w:t>
      </w:r>
    </w:p>
    <w:p>
      <w:pPr>
        <w:pStyle w:val="FirstParagraph"/>
      </w:pPr>
      <w:r>
        <w:rPr>
          <w:iCs/>
          <w:i/>
        </w:rPr>
        <w:t xml:space="preserve">∂p/∂z = −ρg</w:t>
      </w:r>
    </w:p>
    <w:p>
      <w:pPr>
        <w:pStyle w:val="Compact"/>
        <w:numPr>
          <w:ilvl w:val="0"/>
          <w:numId w:val="1234"/>
        </w:numPr>
      </w:pPr>
      <w:r>
        <w:t xml:space="preserve">Equation of state (ideal gas law), closing the system:</w:t>
      </w:r>
    </w:p>
    <w:p>
      <w:pPr>
        <w:pStyle w:val="FirstParagraph"/>
      </w:pPr>
      <w:r>
        <w:rPr>
          <w:iCs/>
          <w:i/>
        </w:rPr>
        <w:t xml:space="preserve">p = ρRT</w:t>
      </w:r>
    </w:p>
    <w:p>
      <w:pPr>
        <w:pStyle w:val="BodyText"/>
      </w:pPr>
      <w:r>
        <w:t xml:space="preserve">These primitive equations have no closed-form analytical solution for realistic atmospheric flow, so they are discretised in space (grid-point or spectral representation) and time (finite-difference time-stepping) and solved iteratively on supercomputers. Sub-grid processes that cannot be resolved directly — cumulus convection, boundary-layer turbulence, cloud microphysics, radiation — are represented through parameterisation schemes.</w:t>
      </w:r>
    </w:p>
    <w:p>
      <w:pPr>
        <w:pStyle w:val="Heading3"/>
      </w:pPr>
      <w:r>
        <w:t xml:space="preserve">30.4.2 NWP Workflow</w:t>
      </w:r>
    </w:p>
    <w:p>
      <w:pPr>
        <w:numPr>
          <w:ilvl w:val="0"/>
          <w:numId w:val="1235"/>
        </w:numPr>
      </w:pPr>
      <w:r>
        <w:t xml:space="preserve">1. Observation collection: surface synoptic observations, radiosondes/pilot balloons, AWS/ARG networks, aircraft (AMDAR), ships and buoys, and — critically — satellite radiances, winds, and retrieved profiles (from INSAT sounders, polar orbiters, GPM, scatterometers).</w:t>
      </w:r>
    </w:p>
    <w:p>
      <w:pPr>
        <w:numPr>
          <w:ilvl w:val="0"/>
          <w:numId w:val="1235"/>
        </w:numPr>
      </w:pPr>
      <w:r>
        <w:t xml:space="preserve">2. Data assimilation: observations are blended with a short-range background ("first guess") forecast using techniques such as 3D-Var, 4D-Var, or Ensemble Kalman Filter (EnKF)/Hybrid assimilation, producing the best estimate of the current atmospheric state (the "analysis") that minimises a cost function balancing observation error and background error covariances.</w:t>
      </w:r>
    </w:p>
    <w:p>
      <w:pPr>
        <w:numPr>
          <w:ilvl w:val="0"/>
          <w:numId w:val="1235"/>
        </w:numPr>
      </w:pPr>
      <w:r>
        <w:t xml:space="preserve">3. Model integration: the primitive equations are integrated forward from the analysis using the model's dynamical core (spectral or grid-point) and physics parameterisations, on a defined horizontal resolution and vertical levels.</w:t>
      </w:r>
    </w:p>
    <w:p>
      <w:pPr>
        <w:numPr>
          <w:ilvl w:val="0"/>
          <w:numId w:val="1235"/>
        </w:numPr>
      </w:pPr>
      <w:r>
        <w:t xml:space="preserve">4. Post-processing: raw model output is bias-corrected (MOS), downscaled to station/district level, and converted into derived products (rainfall category, heat index, agromet parameters).</w:t>
      </w:r>
    </w:p>
    <w:p>
      <w:pPr>
        <w:numPr>
          <w:ilvl w:val="0"/>
          <w:numId w:val="1235"/>
        </w:numPr>
      </w:pPr>
      <w:r>
        <w:t xml:space="preserve">5. Verification: forecasts are compared against observations using skill scores (RMSE, Heidke Skill Score, ROC, Brier Score) to monitor and improve model performance.</w:t>
      </w:r>
    </w:p>
    <w:p>
      <w:pPr>
        <w:pStyle w:val="Heading3"/>
      </w:pPr>
      <w:r>
        <w:t xml:space="preserve">30.4.3 Operational NWP Models Relevant to India</w:t>
      </w:r>
    </w:p>
    <w:tbl>
      <w:tblPr>
        <w:tblStyle w:val="Table"/>
        <w:tblW w:type="pct" w:w="4948"/>
        <w:jc w:val="left"/>
        <w:tblLook w:firstRow="1" w:lastRow="0" w:firstColumn="0" w:lastColumn="0" w:noHBand="0" w:noVBand="0" w:val="0020"/>
      </w:tblPr>
      <w:tblGrid>
        <w:gridCol w:w="1632"/>
        <w:gridCol w:w="2204"/>
        <w:gridCol w:w="1347"/>
        <w:gridCol w:w="2653"/>
      </w:tblGrid>
      <w:tr>
        <w:trPr>
          <w:tblHeader w:val="true"/>
        </w:trPr>
        <w:tc>
          <w:tcPr/>
          <w:p>
            <w:pPr>
              <w:pStyle w:val="Compact"/>
              <w:jc w:val="left"/>
            </w:pPr>
            <w:r>
              <w:rPr>
                <w:bCs/>
                <w:b/>
              </w:rPr>
              <w:t xml:space="preserve">Model</w:t>
            </w:r>
          </w:p>
        </w:tc>
        <w:tc>
          <w:tcPr/>
          <w:p>
            <w:pPr>
              <w:pStyle w:val="Compact"/>
              <w:jc w:val="left"/>
            </w:pPr>
            <w:r>
              <w:rPr>
                <w:bCs/>
                <w:b/>
              </w:rPr>
              <w:t xml:space="preserve">Type/Centre</w:t>
            </w:r>
          </w:p>
        </w:tc>
        <w:tc>
          <w:tcPr/>
          <w:p>
            <w:pPr>
              <w:pStyle w:val="Compact"/>
              <w:jc w:val="left"/>
            </w:pPr>
            <w:r>
              <w:rPr>
                <w:bCs/>
                <w:b/>
              </w:rPr>
              <w:t xml:space="preserve">Resolution (approx.)</w:t>
            </w:r>
          </w:p>
        </w:tc>
        <w:tc>
          <w:tcPr/>
          <w:p>
            <w:pPr>
              <w:pStyle w:val="Compact"/>
              <w:jc w:val="left"/>
            </w:pPr>
            <w:r>
              <w:rPr>
                <w:bCs/>
                <w:b/>
              </w:rPr>
              <w:t xml:space="preserve">Use</w:t>
            </w:r>
          </w:p>
        </w:tc>
      </w:tr>
      <w:tr>
        <w:tc>
          <w:tcPr/>
          <w:p>
            <w:pPr>
              <w:pStyle w:val="Compact"/>
              <w:jc w:val="left"/>
            </w:pPr>
            <w:r>
              <w:t xml:space="preserve">GFS (T1534/T1282)</w:t>
            </w:r>
          </w:p>
        </w:tc>
        <w:tc>
          <w:tcPr/>
          <w:p>
            <w:pPr>
              <w:pStyle w:val="Compact"/>
              <w:jc w:val="left"/>
            </w:pPr>
            <w:r>
              <w:t xml:space="preserve">IMD, adapted from NCEP</w:t>
            </w:r>
          </w:p>
        </w:tc>
        <w:tc>
          <w:tcPr/>
          <w:p>
            <w:pPr>
              <w:pStyle w:val="Compact"/>
              <w:jc w:val="left"/>
            </w:pPr>
            <w:r>
              <w:t xml:space="preserve">~12.5 km global</w:t>
            </w:r>
          </w:p>
        </w:tc>
        <w:tc>
          <w:tcPr/>
          <w:p>
            <w:pPr>
              <w:pStyle w:val="Compact"/>
              <w:jc w:val="left"/>
            </w:pPr>
            <w:r>
              <w:t xml:space="preserve">Global medium-range guidance</w:t>
            </w:r>
          </w:p>
        </w:tc>
      </w:tr>
      <w:tr>
        <w:tc>
          <w:tcPr/>
          <w:p>
            <w:pPr>
              <w:pStyle w:val="Compact"/>
              <w:jc w:val="left"/>
            </w:pPr>
            <w:r>
              <w:t xml:space="preserve">Unified Model (UM)</w:t>
            </w:r>
          </w:p>
        </w:tc>
        <w:tc>
          <w:tcPr/>
          <w:p>
            <w:pPr>
              <w:pStyle w:val="Compact"/>
              <w:jc w:val="left"/>
            </w:pPr>
            <w:r>
              <w:t xml:space="preserve">NCMRWF (UK Met Office core)</w:t>
            </w:r>
          </w:p>
        </w:tc>
        <w:tc>
          <w:tcPr/>
          <w:p>
            <w:pPr>
              <w:pStyle w:val="Compact"/>
              <w:jc w:val="left"/>
            </w:pPr>
            <w:r>
              <w:t xml:space="preserve">~12 km regional, 17 km global</w:t>
            </w:r>
          </w:p>
        </w:tc>
        <w:tc>
          <w:tcPr/>
          <w:p>
            <w:pPr>
              <w:pStyle w:val="Compact"/>
              <w:jc w:val="left"/>
            </w:pPr>
            <w:r>
              <w:t xml:space="preserve">Operational medium-range forecasts for India</w:t>
            </w:r>
          </w:p>
        </w:tc>
      </w:tr>
      <w:tr>
        <w:tc>
          <w:tcPr/>
          <w:p>
            <w:pPr>
              <w:pStyle w:val="Compact"/>
              <w:jc w:val="left"/>
            </w:pPr>
            <w:r>
              <w:t xml:space="preserve">WRF (Weather Research &amp; Forecasting)</w:t>
            </w:r>
          </w:p>
        </w:tc>
        <w:tc>
          <w:tcPr/>
          <w:p>
            <w:pPr>
              <w:pStyle w:val="Compact"/>
              <w:jc w:val="left"/>
            </w:pPr>
            <w:r>
              <w:t xml:space="preserve">IMD/IITM, mesoscale</w:t>
            </w:r>
          </w:p>
        </w:tc>
        <w:tc>
          <w:tcPr/>
          <w:p>
            <w:pPr>
              <w:pStyle w:val="Compact"/>
              <w:jc w:val="left"/>
            </w:pPr>
            <w:r>
              <w:t xml:space="preserve">1–9 km</w:t>
            </w:r>
          </w:p>
        </w:tc>
        <w:tc>
          <w:tcPr/>
          <w:p>
            <w:pPr>
              <w:pStyle w:val="Compact"/>
              <w:jc w:val="left"/>
            </w:pPr>
            <w:r>
              <w:t xml:space="preserve">High-resolution short-range, cyclone, heavy-rainfall forecasts</w:t>
            </w:r>
          </w:p>
        </w:tc>
      </w:tr>
      <w:tr>
        <w:tc>
          <w:tcPr/>
          <w:p>
            <w:pPr>
              <w:pStyle w:val="Compact"/>
              <w:jc w:val="left"/>
            </w:pPr>
            <w:r>
              <w:t xml:space="preserve">Regional/Convection-permitting models</w:t>
            </w:r>
          </w:p>
        </w:tc>
        <w:tc>
          <w:tcPr/>
          <w:p>
            <w:pPr>
              <w:pStyle w:val="Compact"/>
              <w:jc w:val="left"/>
            </w:pPr>
            <w:r>
              <w:t xml:space="preserve">IMD Regional Centres</w:t>
            </w:r>
          </w:p>
        </w:tc>
        <w:tc>
          <w:tcPr/>
          <w:p>
            <w:pPr>
              <w:pStyle w:val="Compact"/>
              <w:jc w:val="left"/>
            </w:pPr>
            <w:r>
              <w:t xml:space="preserve">1–3 km</w:t>
            </w:r>
          </w:p>
        </w:tc>
        <w:tc>
          <w:tcPr/>
          <w:p>
            <w:pPr>
              <w:pStyle w:val="Compact"/>
              <w:jc w:val="left"/>
            </w:pPr>
            <w:r>
              <w:t xml:space="preserve">Nowcasting support, thunderstorm/hail forecasting</w:t>
            </w:r>
          </w:p>
        </w:tc>
      </w:tr>
      <w:tr>
        <w:tc>
          <w:tcPr/>
          <w:p>
            <w:pPr>
              <w:pStyle w:val="Compact"/>
              <w:jc w:val="left"/>
            </w:pPr>
            <w:r>
              <w:t xml:space="preserve">CFS (Climate Forecast System)</w:t>
            </w:r>
          </w:p>
        </w:tc>
        <w:tc>
          <w:tcPr/>
          <w:p>
            <w:pPr>
              <w:pStyle w:val="Compact"/>
              <w:jc w:val="left"/>
            </w:pPr>
            <w:r>
              <w:t xml:space="preserve">IITM Monsoon Mission, coupled ocean-atmosphere-land</w:t>
            </w:r>
          </w:p>
        </w:tc>
        <w:tc>
          <w:tcPr/>
          <w:p>
            <w:pPr>
              <w:pStyle w:val="Compact"/>
              <w:jc w:val="left"/>
            </w:pPr>
            <w:r>
              <w:t xml:space="preserve">~38–100 km</w:t>
            </w:r>
          </w:p>
        </w:tc>
        <w:tc>
          <w:tcPr/>
          <w:p>
            <w:pPr>
              <w:pStyle w:val="Compact"/>
              <w:jc w:val="left"/>
            </w:pPr>
            <w:r>
              <w:t xml:space="preserve">Extended range and seasonal monsoon forecasting</w:t>
            </w:r>
          </w:p>
        </w:tc>
      </w:tr>
    </w:tbl>
    <w:p>
      <w:pPr>
        <w:pStyle w:val="Heading2"/>
      </w:pPr>
      <w:r>
        <w:t xml:space="preserve">30.5 Ensemble Forecasting and Multi-Model Ensemble (MME)</w:t>
      </w:r>
    </w:p>
    <w:p>
      <w:pPr>
        <w:pStyle w:val="FirstParagraph"/>
      </w:pPr>
      <w:r>
        <w:t xml:space="preserve">Because the atmosphere is a chaotic system exhibiting sensitive dependence on initial conditions (the "butterfly effect", formalised by Edward Lorenz), a single deterministic NWP run diverges rapidly from truth beyond a few days. Ensemble forecasting runs the model many times with slightly perturbed initial conditions (and/or perturbed physics, or multiple different models altogether) to sample this uncertainty. The spread of the ensemble members gives a quantitative, probabilistic measure of forecast confidence rather than a single deterministic number.</w:t>
      </w:r>
    </w:p>
    <w:p>
      <w:pPr>
        <w:numPr>
          <w:ilvl w:val="0"/>
          <w:numId w:val="1236"/>
        </w:numPr>
      </w:pPr>
      <w:r>
        <w:t xml:space="preserve">Ensemble mean: the average of all member forecasts, generally more skilful than any single deterministic run for longer lead times because unpredictable, uncorrelated errors partly cancel.</w:t>
      </w:r>
    </w:p>
    <w:p>
      <w:pPr>
        <w:numPr>
          <w:ilvl w:val="0"/>
          <w:numId w:val="1236"/>
        </w:numPr>
      </w:pPr>
      <w:r>
        <w:t xml:space="preserve">Probability of exceedance: e.g., "70% of ensemble members predict rainfall &gt; 64.5 mm", used to issue probabilistic rainfall/heat-wave warnings.</w:t>
      </w:r>
    </w:p>
    <w:p>
      <w:pPr>
        <w:numPr>
          <w:ilvl w:val="0"/>
          <w:numId w:val="1236"/>
        </w:numPr>
      </w:pPr>
      <w:r>
        <w:t xml:space="preserve">Multi-Model Ensemble (MME): combines forecasts from several independent NWP/coupled-model centres (e.g., IMD, NCEP-CFSv2, ECMWF, UKMO, JMA) — IMD's operational extended-range forecast system explicitly uses an MME approach, since different models have different, partly-independent error characteristics, so combining them further reduces net forecast error.</w:t>
      </w:r>
    </w:p>
    <w:p>
      <w:pPr>
        <w:pStyle w:val="FirstParagraph"/>
      </w:pPr>
      <w:r>
        <w:t xml:space="preserve">IMD's operational MME framework generates extended-range (weeks 1–4) and seasonal forecasts by combining the dynamical CFSv2-based ensembles with statistical guidance, weighted by each component's historical skill.</w:t>
      </w:r>
    </w:p>
    <w:p>
      <w:pPr>
        <w:pStyle w:val="Heading2"/>
      </w:pPr>
      <w:r>
        <w:t xml:space="preserve">30.6 Now-casting: Concepts and Algorithms</w:t>
      </w:r>
    </w:p>
    <w:p>
      <w:pPr>
        <w:pStyle w:val="FirstParagraph"/>
      </w:pPr>
      <w:r>
        <w:t xml:space="preserve">Nowcasting targets the 0–3/0–6 hour range, dominated by convective phenomena (thunderstorms, hail, squalls, lightning) that evolve too fast for coarse-resolution NWP but are directly observable by radar and geostationary satellite.</w:t>
      </w:r>
    </w:p>
    <w:p>
      <w:pPr>
        <w:numPr>
          <w:ilvl w:val="0"/>
          <w:numId w:val="1237"/>
        </w:numPr>
      </w:pPr>
      <w:r>
        <w:t xml:space="preserve">Radar-based extrapolation: Doppler Weather Radar (DWR) reflectivity and radial velocity fields are used to identify convective cells; cell centroids are tracked between successive scans (typically every 10 minutes) and their motion vector is linearly extrapolated forward ("advection nowcasting") — algorithms such as TITAN (Thunderstorm Identification, Tracking, Analysis and Nowcasting) and SCIT (Storm Cell Identification and Tracking) are widely used.</w:t>
      </w:r>
    </w:p>
    <w:p>
      <w:pPr>
        <w:numPr>
          <w:ilvl w:val="0"/>
          <w:numId w:val="1237"/>
        </w:numPr>
      </w:pPr>
      <w:r>
        <w:t xml:space="preserve">Satellite-based nowcasting: INSAT-3D/3DR rapid-scan imagery (5–15 min cadence) tracks cloud-top brightness temperature evolution to infer convective initiation and intensification; cloud-top cooling rate is a key predictor of imminent severe weather.</w:t>
      </w:r>
    </w:p>
    <w:p>
      <w:pPr>
        <w:numPr>
          <w:ilvl w:val="0"/>
          <w:numId w:val="1237"/>
        </w:numPr>
      </w:pPr>
      <w:r>
        <w:t xml:space="preserve">Blending: operational nowcasting systems (e.g., IMD's Integrated Nowcast System, NCMRWF's SWFDP-linked tools) blend radar, satellite, lightning-detection network data, and very short-range NWP to issue District/Block-level "Nowcast" warnings (valid 3 hours) for thunderstorms, hail, gusty winds and lightning — directly relevant to protecting standing crops and farm operations.</w:t>
      </w:r>
    </w:p>
    <w:p>
      <w:pPr>
        <w:numPr>
          <w:ilvl w:val="0"/>
          <w:numId w:val="1237"/>
        </w:numPr>
      </w:pPr>
      <w:r>
        <w:t xml:space="preserve">Lightning Detection Networks: ground-based sensors (e.g., the Lightning Location Network under the National Lightning Location Network, NLLN) detect cloud-to-ground strikes in real time, feeding lightning-safety advisories (the "Damini" app disseminates these to farmers).</w:t>
      </w:r>
    </w:p>
    <w:p>
      <w:pPr>
        <w:pStyle w:val="Heading2"/>
      </w:pPr>
      <w:r>
        <w:t xml:space="preserve">30.7 Emerging Approaches: AI/ML in Weather Forecasting</w:t>
      </w:r>
    </w:p>
    <w:p>
      <w:pPr>
        <w:pStyle w:val="FirstParagraph"/>
      </w:pPr>
      <w:r>
        <w:t xml:space="preserve">Machine learning and deep learning are increasingly used across the forecasting chain: convolutional and recurrent neural networks (and more recently transformer-based foundation models) for radar/satellite nowcasting (e.g., precipitation nowcasting via optical-flow + deep learning hybrids); ML-based post-processing/bias correction of NWP output; ML emulators of full NWP models (e.g., graph neural network-based global forecast models) that can generate medium-range forecasts orders of magnitude faster than physics-based NWP once trained; and ML-based crop-yield and pest-outbreak prediction using weather and satellite vegetation-index time series as features. For an ISRO-SAC context, ML is particularly relevant for automated feature extraction from INSAT/other satellite imagery (cloud classification, rainfall retrieval, crop classification) and for downscaling coarse model/satellite products to field scale.</w:t>
      </w:r>
    </w:p>
    <w:p>
      <w:pPr>
        <w:pStyle w:val="Heading2"/>
      </w:pPr>
      <w:r>
        <w:t xml:space="preserve">30.8 Forecast Verification — Key Metrics</w:t>
      </w:r>
    </w:p>
    <w:tbl>
      <w:tblPr>
        <w:tblStyle w:val="Table"/>
        <w:tblW w:type="pct" w:w="4944"/>
        <w:jc w:val="left"/>
        <w:tblLook w:firstRow="1" w:lastRow="0" w:firstColumn="0" w:lastColumn="0" w:noHBand="0" w:noVBand="0" w:val="0020"/>
      </w:tblPr>
      <w:tblGrid>
        <w:gridCol w:w="2610"/>
        <w:gridCol w:w="2079"/>
        <w:gridCol w:w="3141"/>
      </w:tblGrid>
      <w:tr>
        <w:trPr>
          <w:tblHeader w:val="true"/>
        </w:trPr>
        <w:tc>
          <w:tcPr/>
          <w:p>
            <w:pPr>
              <w:pStyle w:val="Compact"/>
              <w:jc w:val="left"/>
            </w:pPr>
            <w:r>
              <w:rPr>
                <w:bCs/>
                <w:b/>
              </w:rPr>
              <w:t xml:space="preserve">Metric</w:t>
            </w:r>
          </w:p>
        </w:tc>
        <w:tc>
          <w:tcPr/>
          <w:p>
            <w:pPr>
              <w:pStyle w:val="Compact"/>
              <w:jc w:val="left"/>
            </w:pPr>
            <w:r>
              <w:rPr>
                <w:bCs/>
                <w:b/>
              </w:rPr>
              <w:t xml:space="preserve">Applies To</w:t>
            </w:r>
          </w:p>
        </w:tc>
        <w:tc>
          <w:tcPr/>
          <w:p>
            <w:pPr>
              <w:pStyle w:val="Compact"/>
              <w:jc w:val="left"/>
            </w:pPr>
            <w:r>
              <w:rPr>
                <w:bCs/>
                <w:b/>
              </w:rPr>
              <w:t xml:space="preserve">Formula / Concept</w:t>
            </w:r>
          </w:p>
        </w:tc>
      </w:tr>
      <w:tr>
        <w:tc>
          <w:tcPr/>
          <w:p>
            <w:pPr>
              <w:pStyle w:val="Compact"/>
              <w:jc w:val="left"/>
            </w:pPr>
            <w:r>
              <w:t xml:space="preserve">Mean Absolute Error (MAE)</w:t>
            </w:r>
          </w:p>
        </w:tc>
        <w:tc>
          <w:tcPr/>
          <w:p>
            <w:pPr>
              <w:pStyle w:val="Compact"/>
              <w:jc w:val="left"/>
            </w:pPr>
            <w:r>
              <w:t xml:space="preserve">Continuous variables (temp, rainfall amount)</w:t>
            </w:r>
          </w:p>
        </w:tc>
        <w:tc>
          <w:tcPr/>
          <w:p>
            <w:pPr>
              <w:pStyle w:val="Compact"/>
              <w:jc w:val="left"/>
            </w:pPr>
            <w:r>
              <w:t xml:space="preserve">Average of |forecast − observed|</w:t>
            </w:r>
          </w:p>
        </w:tc>
      </w:tr>
      <w:tr>
        <w:tc>
          <w:tcPr/>
          <w:p>
            <w:pPr>
              <w:pStyle w:val="Compact"/>
              <w:jc w:val="left"/>
            </w:pPr>
            <w:r>
              <w:t xml:space="preserve">Root Mean Square Error (RMSE)</w:t>
            </w:r>
          </w:p>
        </w:tc>
        <w:tc>
          <w:tcPr/>
          <w:p>
            <w:pPr>
              <w:pStyle w:val="Compact"/>
              <w:jc w:val="left"/>
            </w:pPr>
            <w:r>
              <w:t xml:space="preserve">Continuous variables</w:t>
            </w:r>
          </w:p>
        </w:tc>
        <w:tc>
          <w:tcPr/>
          <w:p>
            <w:pPr>
              <w:pStyle w:val="Compact"/>
              <w:jc w:val="left"/>
            </w:pPr>
            <w:r>
              <w:t xml:space="preserve">√[Σ(F−O)²/n] — penalises large errors more</w:t>
            </w:r>
          </w:p>
        </w:tc>
      </w:tr>
      <w:tr>
        <w:tc>
          <w:tcPr/>
          <w:p>
            <w:pPr>
              <w:pStyle w:val="Compact"/>
              <w:jc w:val="left"/>
            </w:pPr>
            <w:r>
              <w:t xml:space="preserve">Heidke Skill Score (HSS)</w:t>
            </w:r>
          </w:p>
        </w:tc>
        <w:tc>
          <w:tcPr/>
          <w:p>
            <w:pPr>
              <w:pStyle w:val="Compact"/>
              <w:jc w:val="left"/>
            </w:pPr>
            <w:r>
              <w:t xml:space="preserve">Categorical (rain/no-rain, category)</w:t>
            </w:r>
          </w:p>
        </w:tc>
        <w:tc>
          <w:tcPr/>
          <w:p>
            <w:pPr>
              <w:pStyle w:val="Compact"/>
              <w:jc w:val="left"/>
            </w:pPr>
            <w:r>
              <w:t xml:space="preserve">Skill relative to random-chance forecast</w:t>
            </w:r>
          </w:p>
        </w:tc>
      </w:tr>
      <w:tr>
        <w:tc>
          <w:tcPr/>
          <w:p>
            <w:pPr>
              <w:pStyle w:val="Compact"/>
              <w:jc w:val="left"/>
            </w:pPr>
            <w:r>
              <w:t xml:space="preserve">Probability of Detection (POD) / False Alarm Ratio (FAR)</w:t>
            </w:r>
          </w:p>
        </w:tc>
        <w:tc>
          <w:tcPr/>
          <w:p>
            <w:pPr>
              <w:pStyle w:val="Compact"/>
              <w:jc w:val="left"/>
            </w:pPr>
            <w:r>
              <w:t xml:space="preserve">Event forecasts (e.g., heavy rain, cyclone)</w:t>
            </w:r>
          </w:p>
        </w:tc>
        <w:tc>
          <w:tcPr/>
          <w:p>
            <w:pPr>
              <w:pStyle w:val="Compact"/>
              <w:jc w:val="left"/>
            </w:pPr>
            <w:r>
              <w:t xml:space="preserve">Contingency-table based; POD = Hits/(Hits+Misses)</w:t>
            </w:r>
          </w:p>
        </w:tc>
      </w:tr>
      <w:tr>
        <w:tc>
          <w:tcPr/>
          <w:p>
            <w:pPr>
              <w:pStyle w:val="Compact"/>
              <w:jc w:val="left"/>
            </w:pPr>
            <w:r>
              <w:t xml:space="preserve">Brier Score</w:t>
            </w:r>
          </w:p>
        </w:tc>
        <w:tc>
          <w:tcPr/>
          <w:p>
            <w:pPr>
              <w:pStyle w:val="Compact"/>
              <w:jc w:val="left"/>
            </w:pPr>
            <w:r>
              <w:t xml:space="preserve">Probabilistic forecasts</w:t>
            </w:r>
          </w:p>
        </w:tc>
        <w:tc>
          <w:tcPr/>
          <w:p>
            <w:pPr>
              <w:pStyle w:val="Compact"/>
              <w:jc w:val="left"/>
            </w:pPr>
            <w:r>
              <w:t xml:space="preserve">Mean squared error of probability forecast vs. binary outcome</w:t>
            </w:r>
          </w:p>
        </w:tc>
      </w:tr>
      <w:tr>
        <w:tc>
          <w:tcPr/>
          <w:p>
            <w:pPr>
              <w:pStyle w:val="Compact"/>
              <w:jc w:val="left"/>
            </w:pPr>
            <w:r>
              <w:t xml:space="preserve">Anomaly Correlation Coefficient (ACC)</w:t>
            </w:r>
          </w:p>
        </w:tc>
        <w:tc>
          <w:tcPr/>
          <w:p>
            <w:pPr>
              <w:pStyle w:val="Compact"/>
              <w:jc w:val="left"/>
            </w:pPr>
            <w:r>
              <w:t xml:space="preserve">Spatial fields (e.g., 500 hPa height)</w:t>
            </w:r>
          </w:p>
        </w:tc>
        <w:tc>
          <w:tcPr/>
          <w:p>
            <w:pPr>
              <w:pStyle w:val="Compact"/>
              <w:jc w:val="left"/>
            </w:pPr>
            <w:r>
              <w:t xml:space="preserve">Correlation between forecast and observed anomalies from climatology</w:t>
            </w:r>
          </w:p>
        </w:tc>
      </w:tr>
    </w:tbl>
    <w:p>
      <w:pPr>
        <w:pStyle w:val="Heading2"/>
      </w:pPr>
      <w:r>
        <w:t xml:space="preserve">30.9 Numerical Weather Prediction Centres in India — Institutional Detail</w:t>
      </w:r>
    </w:p>
    <w:p>
      <w:pPr>
        <w:numPr>
          <w:ilvl w:val="0"/>
          <w:numId w:val="1238"/>
        </w:numPr>
      </w:pPr>
      <w:r>
        <w:t xml:space="preserve">NCMRWF (National Centre for Medium Range Weather Forecasting), Noida: operates the Unified Model (UM, adapted from the UK Met Office) for global and regional deterministic and ensemble medium-range prediction, and runs India's operational data assimilation system ingesting a wide range of conventional and satellite observations.</w:t>
      </w:r>
    </w:p>
    <w:p>
      <w:pPr>
        <w:numPr>
          <w:ilvl w:val="0"/>
          <w:numId w:val="1238"/>
        </w:numPr>
      </w:pPr>
      <w:r>
        <w:t xml:space="preserve">IITM (Indian Institute of Tropical Meteorology), Pune: home to the Monsoon Mission programme, developing and improving coupled ocean-atmosphere seasonal/extended-range prediction systems and high-resolution mesoscale models for the Indian region, with strong research focus on monsoon dynamics, tropical cyclones, and air quality.</w:t>
      </w:r>
    </w:p>
    <w:p>
      <w:pPr>
        <w:numPr>
          <w:ilvl w:val="0"/>
          <w:numId w:val="1238"/>
        </w:numPr>
      </w:pPr>
      <w:r>
        <w:t xml:space="preserve">IMD (India Meteorological Department): the national operational forecasting and warning agency across all timescales, with Regional/Meteorological Centres, RSMC-Cyclone (New Delhi), and Agromet Division running GKMS.</w:t>
      </w:r>
    </w:p>
    <w:p>
      <w:pPr>
        <w:numPr>
          <w:ilvl w:val="0"/>
          <w:numId w:val="1238"/>
        </w:numPr>
      </w:pPr>
      <w:r>
        <w:t xml:space="preserve">Indian Institute of Science and other academic/research centres: contribute to climate modelling, extreme-event attribution, and downscaling research feeding into applied agromet science.</w:t>
      </w:r>
    </w:p>
    <w:p>
      <w:pPr>
        <w:pStyle w:val="Heading2"/>
      </w:pPr>
      <w:r>
        <w:t xml:space="preserve">30.10 IITM — Research and Modelling Backbone</w:t>
      </w:r>
    </w:p>
    <w:p>
      <w:pPr>
        <w:pStyle w:val="FirstParagraph"/>
      </w:pPr>
      <w:r>
        <w:t xml:space="preserve">The Indian Institute of Tropical Meteorology (Pune), under the Ministry of Earth Sciences, functions as the principal research institution underpinning the monsoon and high-impact-weather science that feeds into operational forecasting skill relevant to agromet services. Its contributions include the development and refinement of high-resolution regional NWP configurations, monsoon-mission research on intraseasonal oscillations (MJO/BSISO) that govern active/break monsoon spells critical to sowing-window advisories, seasonal and extended-range forecasting systems, and climate-change impact studies on Indian agriculture (e.g. shifting onset dates, rainfall variability). While IITM does not itself issue farmer-facing advisories, its improved dynamical forecasts and process understanding of monsoon variability directly raise the skill and lead-time of the district-level forecasts that IMD's GKMS network converts into agronomic advisories, and its research supports the crop-weather relationships used in yield and risk modelling.</w:t>
      </w:r>
    </w:p>
    <w:p>
      <w:pPr>
        <w:pStyle w:val="Heading2"/>
      </w:pPr>
      <w:r>
        <w:t xml:space="preserve">30.11 Satellites in Operational Weather Forecasting (IMD Practice)</w:t>
      </w:r>
    </w:p>
    <w:p>
      <w:pPr>
        <w:pStyle w:val="FirstParagraph"/>
      </w:pPr>
      <w:r>
        <w:t xml:space="preserve">Since TIROS-1 (1960), satellite observations have transformed forecasting, especially over the data-sparse tropics and oceans. Their advantages: synoptic view linking processes of different scales; frequent geostationary looks (continuous monitoring) plus twice-daily polar coverage; spatially averaged values suited to models; uniform calibration (no inter-instrument differences as in ground networks); filling gaps over oceans and remote land; and</w:t>
      </w:r>
      <w:r>
        <w:t xml:space="preserve"> </w:t>
      </w:r>
      <w:r>
        <w:rPr>
          <w:bCs/>
          <w:b/>
        </w:rPr>
        <w:t xml:space="preserve">new variables</w:t>
      </w:r>
      <w:r>
        <w:t xml:space="preserve"> </w:t>
      </w:r>
      <w:r>
        <w:t xml:space="preserve">unobtainable otherwise (skin SST, ocean wind stress, cloud liquid water, radiation budget, aerosols); simultaneous multi-sensor views revealing inter-relationships (e.g., SST and deep convection).</w:t>
      </w:r>
    </w:p>
    <w:p>
      <w:pPr>
        <w:pStyle w:val="BodyText"/>
      </w:pPr>
      <w:r>
        <w:t xml:space="preserve">Satellite imagery is used (a) as an analysis tool in data-sparse regions, (b) as a direct aid to</w:t>
      </w:r>
      <w:r>
        <w:t xml:space="preserve"> </w:t>
      </w:r>
      <w:r>
        <w:rPr>
          <w:bCs/>
          <w:b/>
        </w:rPr>
        <w:t xml:space="preserve">short-range (6–12 h) forecasts</w:t>
      </w:r>
      <w:r>
        <w:t xml:space="preserve"> </w:t>
      </w:r>
      <w:r>
        <w:t xml:space="preserve">of cloud, rain and floods, (c) as</w:t>
      </w:r>
      <w:r>
        <w:t xml:space="preserve"> </w:t>
      </w:r>
      <w:r>
        <w:rPr>
          <w:bCs/>
          <w:b/>
        </w:rPr>
        <w:t xml:space="preserve">NWP input</w:t>
      </w:r>
      <w:r>
        <w:t xml:space="preserve"> </w:t>
      </w:r>
      <w:r>
        <w:t xml:space="preserve">for initial conditions and (d) to monitor model forecasts.</w:t>
      </w:r>
    </w:p>
    <w:p>
      <w:pPr>
        <w:pStyle w:val="Heading3"/>
      </w:pPr>
      <w:r>
        <w:t xml:space="preserve">30.11.1 Synoptic applications</w:t>
      </w:r>
    </w:p>
    <w:p>
      <w:pPr>
        <w:pStyle w:val="Compact"/>
        <w:numPr>
          <w:ilvl w:val="0"/>
          <w:numId w:val="1239"/>
        </w:numPr>
      </w:pPr>
      <w:r>
        <w:rPr>
          <w:bCs/>
          <w:b/>
        </w:rPr>
        <w:t xml:space="preserve">Thunderstorms and convective complexes:</w:t>
      </w:r>
      <w:r>
        <w:t xml:space="preserve"> </w:t>
      </w:r>
      <w:r>
        <w:t xml:space="preserve">deep Cb cells, squall lines and mesoscale convective systems are easily identified in VIS/IR loops; rapid cooling of cloud tops and overshooting tops signal severity — critical for nowcasting hail and lightning (crop damage).</w:t>
      </w:r>
    </w:p>
    <w:p>
      <w:pPr>
        <w:pStyle w:val="Compact"/>
        <w:numPr>
          <w:ilvl w:val="0"/>
          <w:numId w:val="1239"/>
        </w:numPr>
      </w:pPr>
      <w:r>
        <w:rPr>
          <w:bCs/>
          <w:b/>
        </w:rPr>
        <w:t xml:space="preserve">Western disturbances:</w:t>
      </w:r>
      <w:r>
        <w:t xml:space="preserve"> </w:t>
      </w:r>
      <w:r>
        <w:t xml:space="preserve">frontal cloud bands are not classical over India, but the cloud band ahead of a westerly trough over the Himalaya is clearly seen; satellite imagery is vital over inaccessible mountains where heavy snowfall builds up.</w:t>
      </w:r>
      <w:r>
        <w:t xml:space="preserve"> </w:t>
      </w:r>
      <w:r>
        <w:rPr>
          <w:bCs/>
          <w:b/>
        </w:rPr>
        <w:t xml:space="preserve">Snow cover</w:t>
      </w:r>
      <w:r>
        <w:t xml:space="preserve"> </w:t>
      </w:r>
      <w:r>
        <w:t xml:space="preserve">monitoring supports runoff estimation and long-range monsoon forecasting (Eurasian/Himalayan snow is a predictor).</w:t>
      </w:r>
    </w:p>
    <w:p>
      <w:pPr>
        <w:pStyle w:val="Compact"/>
        <w:numPr>
          <w:ilvl w:val="0"/>
          <w:numId w:val="1239"/>
        </w:numPr>
      </w:pPr>
      <w:r>
        <w:rPr>
          <w:bCs/>
          <w:b/>
        </w:rPr>
        <w:t xml:space="preserve">Monsoon onset and progress:</w:t>
      </w:r>
      <w:r>
        <w:t xml:space="preserve"> </w:t>
      </w:r>
      <w:r>
        <w:t xml:space="preserve">the ITCZ/monsoon trough appears as an intermittent cloud band advancing northward; the</w:t>
      </w:r>
      <w:r>
        <w:t xml:space="preserve"> </w:t>
      </w:r>
      <w:r>
        <w:rPr>
          <w:bCs/>
          <w:b/>
        </w:rPr>
        <w:t xml:space="preserve">30–40 day intraseasonal oscillation</w:t>
      </w:r>
      <w:r>
        <w:t xml:space="preserve"> </w:t>
      </w:r>
      <w:r>
        <w:t xml:space="preserve">of the cloud band (Sikka &amp; Gadgil, 1980) underlies active–break cycles. Pre-onset signals include changes in lower-tropospheric wind and moisture profiles (INSAT/NOAA soundings), a sharp rise of upper-tropospheric (300 hPa) temperature over the Tibetan Plateau about two weeks before onset over Kerala, and conditions in SST, OLR and winds identified from satellites for onset prediction.</w:t>
      </w:r>
    </w:p>
    <w:p>
      <w:pPr>
        <w:pStyle w:val="Compact"/>
        <w:numPr>
          <w:ilvl w:val="0"/>
          <w:numId w:val="1239"/>
        </w:numPr>
      </w:pPr>
      <w:r>
        <w:rPr>
          <w:bCs/>
          <w:b/>
        </w:rPr>
        <w:t xml:space="preserve">Monsoon depressions:</w:t>
      </w:r>
      <w:r>
        <w:t xml:space="preserve"> </w:t>
      </w:r>
      <w:r>
        <w:t xml:space="preserve">the principal rain-bearing systems; satellite pictures show a heavy overcast mass in the</w:t>
      </w:r>
      <w:r>
        <w:t xml:space="preserve"> </w:t>
      </w:r>
      <w:r>
        <w:rPr>
          <w:bCs/>
          <w:b/>
        </w:rPr>
        <w:t xml:space="preserve">south-west sector</w:t>
      </w:r>
      <w:r>
        <w:t xml:space="preserve"> </w:t>
      </w:r>
      <w:r>
        <w:t xml:space="preserve">with the low-level circulation centre (marked by low cumulus) to its north-east, often free of deep convection. Some acquire marginal-cyclone structure. Enhanced IR imagery yields useful rainfall estimates.</w:t>
      </w:r>
    </w:p>
    <w:p>
      <w:pPr>
        <w:pStyle w:val="Compact"/>
        <w:numPr>
          <w:ilvl w:val="0"/>
          <w:numId w:val="1239"/>
        </w:numPr>
      </w:pPr>
      <w:r>
        <w:rPr>
          <w:bCs/>
          <w:b/>
        </w:rPr>
        <w:t xml:space="preserve">Tropical cyclones:</w:t>
      </w:r>
      <w:r>
        <w:t xml:space="preserve"> </w:t>
      </w:r>
      <w:r>
        <w:t xml:space="preserve">the most striking satellite feature. The</w:t>
      </w:r>
      <w:r>
        <w:t xml:space="preserve"> </w:t>
      </w:r>
      <w:r>
        <w:rPr>
          <w:bCs/>
          <w:b/>
        </w:rPr>
        <w:t xml:space="preserve">Dvorak technique</w:t>
      </w:r>
      <w:r>
        <w:t xml:space="preserve"> </w:t>
      </w:r>
      <w:r>
        <w:t xml:space="preserve">assigns intensity (T-number → maximum wind and central pressure) from cloud pattern (curved band, shear, central dense overcast, eye patterns) and eye/cloud-top temperatures; automated versions (ODT/ADT) use digital IR. Microwave imagery (85–91 GHz) reveals eyewalls and centres hidden under cirrus; scatterometers map outer wind structure (34-kt radius) and closed circulations; microwave sounders (AMSU) measure upper warm-core anomalies correlated with central pressure; altimeters give ocean heat content for intensification. Satellite-derived position, intensity and radius of maximum winds feed storm-surge models and</w:t>
      </w:r>
      <w:r>
        <w:t xml:space="preserve"> </w:t>
      </w:r>
      <w:r>
        <w:rPr>
          <w:bCs/>
          <w:b/>
        </w:rPr>
        <w:t xml:space="preserve">synthetic (bogus) vortices</w:t>
      </w:r>
      <w:r>
        <w:t xml:space="preserve"> </w:t>
      </w:r>
      <w:r>
        <w:t xml:space="preserve">in NWP.</w:t>
      </w:r>
    </w:p>
    <w:p>
      <w:pPr>
        <w:pStyle w:val="Compact"/>
        <w:numPr>
          <w:ilvl w:val="0"/>
          <w:numId w:val="1239"/>
        </w:numPr>
      </w:pPr>
      <w:r>
        <w:rPr>
          <w:bCs/>
          <w:b/>
        </w:rPr>
        <w:t xml:space="preserve">Water-vapour imagery:</w:t>
      </w:r>
      <w:r>
        <w:t xml:space="preserve"> </w:t>
      </w:r>
      <w:r>
        <w:t xml:space="preserve">delineates jet cores, troughs, subsidence (dark) and moisture plumes; tongues of moisture indicate cyclonic circulation and heavy rain; the moisture envelope helps forecast</w:t>
      </w:r>
      <w:r>
        <w:t xml:space="preserve"> </w:t>
      </w:r>
      <w:r>
        <w:rPr>
          <w:bCs/>
          <w:b/>
        </w:rPr>
        <w:t xml:space="preserve">cyclone recurvature</w:t>
      </w:r>
      <w:r>
        <w:t xml:space="preserve">; fills upper-air data gaps.</w:t>
      </w:r>
    </w:p>
    <w:p>
      <w:pPr>
        <w:pStyle w:val="Heading3"/>
      </w:pPr>
      <w:r>
        <w:t xml:space="preserve">30.11.2 Quantitative satellite products used at IMD</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Product</w:t>
            </w:r>
          </w:p>
        </w:tc>
        <w:tc>
          <w:tcPr/>
          <w:p>
            <w:pPr>
              <w:pStyle w:val="Compact"/>
              <w:jc w:val="left"/>
            </w:pPr>
            <w:r>
              <w:t xml:space="preserve">Method / use</w:t>
            </w:r>
          </w:p>
        </w:tc>
      </w:tr>
      <w:tr>
        <w:tc>
          <w:tcPr/>
          <w:p>
            <w:pPr>
              <w:pStyle w:val="Compact"/>
              <w:jc w:val="left"/>
            </w:pPr>
            <w:r>
              <w:rPr>
                <w:bCs/>
                <w:b/>
              </w:rPr>
              <w:t xml:space="preserve">Cloud/atmospheric motion vectors (CMV/AMV)</w:t>
            </w:r>
          </w:p>
        </w:tc>
        <w:tc>
          <w:tcPr/>
          <w:p>
            <w:pPr>
              <w:pStyle w:val="Compact"/>
              <w:jc w:val="left"/>
            </w:pPr>
            <w:r>
              <w:t xml:space="preserve">Tracking cloud (and WV) features in successive images (triplets); disseminated on GTS; height assignment and convective areas remain difficult</w:t>
            </w:r>
          </w:p>
        </w:tc>
      </w:tr>
      <w:tr>
        <w:tc>
          <w:tcPr/>
          <w:p>
            <w:pPr>
              <w:pStyle w:val="Compact"/>
              <w:jc w:val="left"/>
            </w:pPr>
            <w:r>
              <w:rPr>
                <w:bCs/>
                <w:b/>
              </w:rPr>
              <w:t xml:space="preserve">Quantitative precipitation estimates (QPE)</w:t>
            </w:r>
          </w:p>
        </w:tc>
        <w:tc>
          <w:tcPr/>
          <w:p>
            <w:pPr>
              <w:pStyle w:val="Compact"/>
              <w:jc w:val="left"/>
            </w:pPr>
            <w:r>
              <w:t xml:space="preserve">Arkin-type GPI and later Hydro-Estimator; daily/weekly/monthly; used in physical initialisation and model verification</w:t>
            </w:r>
          </w:p>
        </w:tc>
      </w:tr>
      <w:tr>
        <w:tc>
          <w:tcPr/>
          <w:p>
            <w:pPr>
              <w:pStyle w:val="Compact"/>
              <w:jc w:val="left"/>
            </w:pPr>
            <w:r>
              <w:rPr>
                <w:bCs/>
                <w:b/>
              </w:rPr>
              <w:t xml:space="preserve">Outgoing longwave radiation (OLR)</w:t>
            </w:r>
          </w:p>
        </w:tc>
        <w:tc>
          <w:tcPr/>
          <w:p>
            <w:pPr>
              <w:pStyle w:val="Compact"/>
              <w:jc w:val="left"/>
            </w:pPr>
            <w:r>
              <w:t xml:space="preserve">From IR window radiance; proxy for deep convection and monsoon activity; used in NCMRWF initialisation</w:t>
            </w:r>
          </w:p>
        </w:tc>
      </w:tr>
      <w:tr>
        <w:tc>
          <w:tcPr/>
          <w:p>
            <w:pPr>
              <w:pStyle w:val="Compact"/>
              <w:jc w:val="left"/>
            </w:pPr>
            <w:r>
              <w:rPr>
                <w:bCs/>
                <w:b/>
              </w:rPr>
              <w:t xml:space="preserve">Vertical temperature/humidity profiles</w:t>
            </w:r>
          </w:p>
        </w:tc>
        <w:tc>
          <w:tcPr/>
          <w:p>
            <w:pPr>
              <w:pStyle w:val="Compact"/>
              <w:jc w:val="left"/>
            </w:pPr>
            <w:r>
              <w:t xml:space="preserve">Physical retrieval from sounders (TOVS, INSAT-3D sounder) assimilated into models</w:t>
            </w:r>
          </w:p>
        </w:tc>
      </w:tr>
      <w:tr>
        <w:tc>
          <w:tcPr/>
          <w:p>
            <w:pPr>
              <w:pStyle w:val="Compact"/>
              <w:jc w:val="left"/>
            </w:pPr>
            <w:r>
              <w:rPr>
                <w:bCs/>
                <w:b/>
              </w:rPr>
              <w:t xml:space="preserve">Sea surface temperature</w:t>
            </w:r>
          </w:p>
        </w:tc>
        <w:tc>
          <w:tcPr/>
          <w:p>
            <w:pPr>
              <w:pStyle w:val="Compact"/>
              <w:jc w:val="left"/>
            </w:pPr>
            <w:r>
              <w:t xml:space="preserve">IR window/split-window; hampered by monsoon clouds (microwave SST better)</w:t>
            </w:r>
          </w:p>
        </w:tc>
      </w:tr>
      <w:tr>
        <w:tc>
          <w:tcPr/>
          <w:p>
            <w:pPr>
              <w:pStyle w:val="Compact"/>
              <w:jc w:val="left"/>
            </w:pPr>
            <w:r>
              <w:t xml:space="preserve">Upper-tropospheric humidity, fog, snow, LST, insolation</w:t>
            </w:r>
          </w:p>
        </w:tc>
        <w:tc>
          <w:tcPr/>
          <w:p>
            <w:pPr>
              <w:pStyle w:val="Compact"/>
              <w:jc w:val="left"/>
            </w:pPr>
            <w:r>
              <w:t xml:space="preserve">INSAT-3D/3DR products (see INSAT chapter)</w:t>
            </w:r>
          </w:p>
        </w:tc>
      </w:tr>
    </w:tbl>
    <w:p>
      <w:pPr>
        <w:pStyle w:val="Heading3"/>
      </w:pPr>
      <w:r>
        <w:t xml:space="preserve">30.11.3 Impact on numerical weather prediction</w:t>
      </w:r>
    </w:p>
    <w:p>
      <w:pPr>
        <w:pStyle w:val="FirstParagraph"/>
      </w:pPr>
      <w:r>
        <w:t xml:space="preserve">Satellite data define</w:t>
      </w:r>
      <w:r>
        <w:t xml:space="preserve"> </w:t>
      </w:r>
      <w:r>
        <w:rPr>
          <w:bCs/>
          <w:b/>
        </w:rPr>
        <w:t xml:space="preserve">initial conditions</w:t>
      </w:r>
      <w:r>
        <w:t xml:space="preserve"> </w:t>
      </w:r>
      <w:r>
        <w:t xml:space="preserve">(radiances, winds, SST, profiles),</w:t>
      </w:r>
      <w:r>
        <w:t xml:space="preserve"> </w:t>
      </w:r>
      <w:r>
        <w:rPr>
          <w:bCs/>
          <w:b/>
        </w:rPr>
        <w:t xml:space="preserve">boundary conditions</w:t>
      </w:r>
      <w:r>
        <w:t xml:space="preserve"> </w:t>
      </w:r>
      <w:r>
        <w:t xml:space="preserve">(SST, snow, vegetation, soil moisture — vital for extended-range/seasonal prediction) and</w:t>
      </w:r>
      <w:r>
        <w:t xml:space="preserve"> </w:t>
      </w:r>
      <w:r>
        <w:rPr>
          <w:bCs/>
          <w:b/>
        </w:rPr>
        <w:t xml:space="preserve">forcing</w:t>
      </w:r>
      <w:r>
        <w:t xml:space="preserve"> </w:t>
      </w:r>
      <w:r>
        <w:t xml:space="preserve">(radiation budget). NCMRWF’s global spectral model with</w:t>
      </w:r>
      <w:r>
        <w:t xml:space="preserve"> </w:t>
      </w:r>
      <w:r>
        <w:rPr>
          <w:bCs/>
          <w:b/>
        </w:rPr>
        <w:t xml:space="preserve">Spectral Statistical Interpolation (SSI)</w:t>
      </w:r>
      <w:r>
        <w:t xml:space="preserve"> </w:t>
      </w:r>
      <w:r>
        <w:t xml:space="preserve">assimilation showed that high-density satellite winds improve monsoon flow features; IMD’s limited-area and Quasi-Lagrangian models use satellite-based vortex initialisation for cyclone track prediction. Direct</w:t>
      </w:r>
      <w:r>
        <w:t xml:space="preserve"> </w:t>
      </w:r>
      <w:r>
        <w:rPr>
          <w:bCs/>
          <w:b/>
        </w:rPr>
        <w:t xml:space="preserve">radiance assimilation</w:t>
      </w:r>
      <w:r>
        <w:t xml:space="preserve"> </w:t>
      </w:r>
      <w:r>
        <w:t xml:space="preserve">(rather than retrieved profiles) is now standard. Future hyperspectral sounders (thousands of channels) and geostationary interferometers increase information content and data volume (terabytes per day).</w:t>
      </w:r>
    </w:p>
    <w:p>
      <w:pPr>
        <w:pStyle w:val="Heading3"/>
      </w:pPr>
      <w:r>
        <w:t xml:space="preserve">30.11.4 Long-range forecasting link</w:t>
      </w:r>
    </w:p>
    <w:p>
      <w:pPr>
        <w:pStyle w:val="FirstParagraph"/>
      </w:pPr>
      <w:r>
        <w:t xml:space="preserve">IMD’s statistical long-range monsoon forecasts have used predictors derived from satellites (SST patterns, Eurasian snow cover, El Niño indices); dynamical (coupled model, MMCFS) forecasts now dominate, again initialised with satellite ocean and land data.</w:t>
      </w:r>
    </w:p>
    <w:p>
      <w:pPr>
        <w:pStyle w:val="Heading3"/>
      </w:pPr>
      <w:r>
        <w:t xml:space="preserve">30.11.5 Likely interview questions</w:t>
      </w:r>
    </w:p>
    <w:p>
      <w:pPr>
        <w:pStyle w:val="FirstParagraph"/>
      </w:pPr>
      <w:r>
        <w:rPr>
          <w:bCs/>
          <w:b/>
        </w:rPr>
        <w:t xml:space="preserve">Q. How do satellites help monitor monsoon onset?</w:t>
      </w:r>
      <w:r>
        <w:t xml:space="preserve"> </w:t>
      </w:r>
      <w:r>
        <w:t xml:space="preserve">Northward advance of the cloud band, OLR fall, lower-tropospheric wind/moisture changes from soundings, upper-tropospheric warming over Tibet.</w:t>
      </w:r>
    </w:p>
    <w:p>
      <w:pPr>
        <w:pStyle w:val="BodyText"/>
      </w:pPr>
      <w:r>
        <w:rPr>
          <w:bCs/>
          <w:b/>
        </w:rPr>
        <w:t xml:space="preserve">Q. What is the Dvorak technique?</w:t>
      </w:r>
      <w:r>
        <w:t xml:space="preserve"> </w:t>
      </w:r>
      <w:r>
        <w:t xml:space="preserve">Satellite-pattern-based tropical cyclone intensity estimation assigning T-numbers from cloud features and IR temperatures.</w:t>
      </w:r>
    </w:p>
    <w:p>
      <w:pPr>
        <w:pStyle w:val="BodyText"/>
      </w:pPr>
      <w:r>
        <w:rPr>
          <w:bCs/>
          <w:b/>
        </w:rPr>
        <w:t xml:space="preserve">Q. What are atmospheric motion vectors?</w:t>
      </w:r>
      <w:r>
        <w:t xml:space="preserve"> </w:t>
      </w:r>
      <w:r>
        <w:t xml:space="preserve">Winds derived by tracking clouds or water-vapour features in successive geostationary images.</w:t>
      </w:r>
    </w:p>
    <w:p>
      <w:pPr>
        <w:pStyle w:val="BodyText"/>
      </w:pPr>
      <w:r>
        <w:rPr>
          <w:bCs/>
          <w:b/>
        </w:rPr>
        <w:t xml:space="preserve">Q. Where is the heaviest rain in a monsoon depression?</w:t>
      </w:r>
      <w:r>
        <w:t xml:space="preserve"> </w:t>
      </w:r>
      <w:r>
        <w:t xml:space="preserve">The south-west sector.</w:t>
      </w:r>
    </w:p>
    <w:p>
      <w:pPr>
        <w:pStyle w:val="Heading2"/>
      </w:pPr>
      <w:r>
        <w:t xml:space="preserve">30.12 Why Monsoon Forecasting Is Central to Indian Agrometeorology</w:t>
      </w:r>
    </w:p>
    <w:p>
      <w:pPr>
        <w:pStyle w:val="FirstParagraph"/>
      </w:pPr>
      <w:r>
        <w:t xml:space="preserve">The Indian Summer Monsoon (Southwest Monsoon, June–September) delivers roughly 70–75% of India's annual rainfall and directly determines kharif crop output; the Northeast (Winter) Monsoon (October–December) is similarly critical for Tamil Nadu, coastal Andhra Pradesh and parts of the southern peninsula. Monsoon rainfall's departure from the Long Period Average (LPA, the 1971–2020 or updated 50-year mean, ~87 cm for the southwest monsoon) is one of the most consequential single numbers in the Indian economy, historically correlated with GDP growth, foodgrain production, rural demand and inflation. Consequently, IMD's monsoon forecast is a flagship national forecasting product, and understanding its methodology in depth is essential preparation for any agrometeorology interview, particularly at a space agency contributing satellite inputs to the modelling chain.</w:t>
      </w:r>
    </w:p>
    <w:p>
      <w:pPr>
        <w:pStyle w:val="Heading2"/>
      </w:pPr>
      <w:r>
        <w:t xml:space="preserve">30.13 Monsoon Onset, Advance, Active/Break Cycles and Withdrawal</w:t>
      </w:r>
    </w:p>
    <w:p>
      <w:pPr>
        <w:numPr>
          <w:ilvl w:val="0"/>
          <w:numId w:val="1240"/>
        </w:numPr>
      </w:pPr>
      <w:r>
        <w:t xml:space="preserve">Onset: IMD declares monsoon onset over Kerala when defined criteria on rainfall (≥60% of 14 designated stations recording ≥2.5 mm rainfall for two consecutive days after 10 May), outgoing longwave radiation (suppressed OLR, indicating deep convection), and zonal wind criteria (westerlies strengthening to a threshold depth and speed in the lower troposphere, ~925–600 hPa, over a defined box) are simultaneously satisfied.</w:t>
      </w:r>
    </w:p>
    <w:p>
      <w:pPr>
        <w:numPr>
          <w:ilvl w:val="0"/>
          <w:numId w:val="1240"/>
        </w:numPr>
      </w:pPr>
      <w:r>
        <w:t xml:space="preserve">Advance: after Kerala onset, the monsoon 'advances' northward and eastward in a broadly systematic (though year-to-year variable) sequence, tracked and forecast using the same OLR/wind criteria region-by-region; IMD issues monsoon advance forecasts at sub-seasonal lead times.</w:t>
      </w:r>
    </w:p>
    <w:p>
      <w:pPr>
        <w:numPr>
          <w:ilvl w:val="0"/>
          <w:numId w:val="1240"/>
        </w:numPr>
      </w:pPr>
      <w:r>
        <w:t xml:space="preserve">Active and Break spells: within the season, monsoon rainfall is not steady but pulses in Active spells (widespread, above-normal rainfall over the monsoon core zone, often linked to a strengthened monsoon trough/low-pressure systems) and Break spells (rainfall confined to the Himalayan foothills/northeast, dry conditions over central India, associated with a northward-shifted monsoon trough). These are tracked via the OLR-based Monsoon Intraseasonal Oscillation (a ~30–60 day Madden-Julian-related and ~10–20 day quasi-biweekly mode) and are the specific target of extended-range (weeks 1–4) forecasting, since a prolonged break during a crop's critical growth stage causes significant yield loss even in an overall normal-rainfall year.</w:t>
      </w:r>
    </w:p>
    <w:p>
      <w:pPr>
        <w:numPr>
          <w:ilvl w:val="0"/>
          <w:numId w:val="1240"/>
        </w:numPr>
      </w:pPr>
      <w:r>
        <w:t xml:space="preserve">Withdrawal: monsoon withdrawal from northwest India (climatologically beginning mid-September) is likewise defined by anticyclone establishment, cessation of rainfall activity, and moisture criteria, and its timing determines the sowing window for the ensuing rabi season.</w:t>
      </w:r>
    </w:p>
    <w:p>
      <w:pPr>
        <w:pStyle w:val="Heading2"/>
      </w:pPr>
      <w:r>
        <w:t xml:space="preserve">30.14 IMD's Operational Long Range Forecast (LRF) System</w:t>
      </w:r>
    </w:p>
    <w:p>
      <w:pPr>
        <w:pStyle w:val="FirstParagraph"/>
      </w:pPr>
      <w:r>
        <w:t xml:space="preserve">IMD's current operational framework for the southwest monsoon seasonal forecast is a two-stage, ensemble multi-predictor statistical system supplemented by dynamical (coupled model) guidance.</w:t>
      </w:r>
    </w:p>
    <w:p>
      <w:pPr>
        <w:pStyle w:val="Heading3"/>
      </w:pPr>
      <w:r>
        <w:t xml:space="preserve">30.14.1 Statistical Ensemble Forecasting System</w:t>
      </w:r>
    </w:p>
    <w:p>
      <w:pPr>
        <w:pStyle w:val="FirstParagraph"/>
      </w:pPr>
      <w:r>
        <w:t xml:space="preserve">Since 2007, IMD has used a statistical ensemble forecasting system built on carefully selected global/regional predictors that have demonstrated a stable, physically-explainable relationship with Indian monsoon rainfall over a long historical record. Two forecasts are issued each season:</w:t>
      </w:r>
    </w:p>
    <w:p>
      <w:pPr>
        <w:numPr>
          <w:ilvl w:val="0"/>
          <w:numId w:val="1241"/>
        </w:numPr>
      </w:pPr>
      <w:r>
        <w:t xml:space="preserve">April (first-stage) forecast: uses 5 predictors, generating an ensemble of 31 statistical models (all possible non-empty combinations of the 5 predictors). Typical predictors include North Atlantic Sea Surface Temperature (SST), Equatorial Pacific warm-water volume, East Asia mean sea-level pressure, and Nino3.4 SST tendency — each chosen for a robust antecedent-season lag correlation with monsoon rainfall.</w:t>
      </w:r>
    </w:p>
    <w:p>
      <w:pPr>
        <w:numPr>
          <w:ilvl w:val="0"/>
          <w:numId w:val="1241"/>
        </w:numPr>
      </w:pPr>
      <w:r>
        <w:t xml:space="preserve">June (updated) forecast: uses 6 predictors (partly overlapping, partly updated with more recent data as the season approaches), generating 63 models. Predictors commonly include north-central Pacific and northwest Europe temperature/pressure patterns and northern hemisphere circulation indices closer to the monsoon season.</w:t>
      </w:r>
    </w:p>
    <w:p>
      <w:pPr>
        <w:numPr>
          <w:ilvl w:val="0"/>
          <w:numId w:val="1241"/>
        </w:numPr>
      </w:pPr>
      <w:r>
        <w:t xml:space="preserve">Two statistical techniques are blended: Multiple Regression (MR) and Projection Pursuit Regression (PPR — a non-linear generalisation). For each combination of predictors, both an MR and a PPR model are built, giving a large ensemble of individual forecasts.</w:t>
      </w:r>
    </w:p>
    <w:p>
      <w:pPr>
        <w:numPr>
          <w:ilvl w:val="0"/>
          <w:numId w:val="1241"/>
        </w:numPr>
      </w:pPr>
      <w:r>
        <w:t xml:space="preserve">Ensemble selection and weighting: only the best-performing models (assessed by hindcast skill over a common historical training/verification period) are retained; each retained model's forecast is weighted proportionally to its multiple correlation coefficient (a measure of how well it explained historical variance) during training, and the weighted ensemble mean is the operational forecast.</w:t>
      </w:r>
    </w:p>
    <w:p>
      <w:pPr>
        <w:numPr>
          <w:ilvl w:val="0"/>
          <w:numId w:val="1241"/>
        </w:numPr>
      </w:pPr>
      <w:r>
        <w:t xml:space="preserve">Reported skill: historically, the April forecast has a model error of about 5% of LPA and the June update about 4% of LPA at the all-India scale; separate Multiple Regression models (about 8% LPA error) are run for four broad homogeneous regions — Northwest India, Central India, South Peninsula, and Northeast India — since regional rainfall variability and its predictors differ from the all-India signal.</w:t>
      </w:r>
    </w:p>
    <w:p>
      <w:pPr>
        <w:pStyle w:val="Heading3"/>
      </w:pPr>
      <w:r>
        <w:t xml:space="preserve">30.14.2 Dynamical (Coupled Model) Forecasting</w:t>
      </w:r>
    </w:p>
    <w:p>
      <w:pPr>
        <w:pStyle w:val="FirstParagraph"/>
      </w:pPr>
      <w:r>
        <w:t xml:space="preserve">In parallel, IMD/IITM run dynamical seasonal prediction using coupled ocean–atmosphere–land general circulation models under the Monsoon Mission programme (the Climate Forecast System, CFSv2, adapted and improved with Indian modifications — including improved cumulus convection schemes tuned for the monsoon, and coupling refinements) — as well as, historically, simpler dynamical systems such as the Experimental Climate Prediction Center (ECPC) seasonal forecast model, which used observed/persisted sea-surface temperature as a boundary condition. Coupled dynamical models solve the full physical equations for both atmosphere and ocean simultaneously, capturing air-sea feedback (e.g., ENSO evolution) that purely statistical or atmosphere-only models cannot represent, and are run as ensembles (multiple initial conditions) to quantify forecast uncertainty.</w:t>
      </w:r>
    </w:p>
    <w:p>
      <w:pPr>
        <w:pStyle w:val="Heading3"/>
      </w:pPr>
      <w:r>
        <w:t xml:space="preserve">30.14.3 Multi-Model Ensemble (MME) Integration</w:t>
      </w:r>
    </w:p>
    <w:p>
      <w:pPr>
        <w:pStyle w:val="FirstParagraph"/>
      </w:pPr>
      <w:r>
        <w:t xml:space="preserve">The final operational outlook blends the statistical ensemble and the dynamical coupled-model ensemble (and, for extended-range guidance, additional international model contributions) into a Multi-Model Ensemble, since combining independently-erring models further reduces net forecast uncertainty. IMD's seasonal forecast is expressed probabilistically across five categories relative to LPA: deficient (&lt;90%), below normal (90–96%), near normal (96–104%), above normal (104–110%), and excess (&gt;110%), each with an assigned probability.</w:t>
      </w:r>
    </w:p>
    <w:p>
      <w:pPr>
        <w:pStyle w:val="Heading2"/>
      </w:pPr>
      <w:r>
        <w:t xml:space="preserve">30.15 Key Large-Scale Predictors and Teleconnections</w:t>
      </w:r>
    </w:p>
    <w:tbl>
      <w:tblPr>
        <w:tblStyle w:val="Table"/>
        <w:tblW w:type="pct" w:w="4969"/>
        <w:jc w:val="left"/>
        <w:tblLook w:firstRow="1" w:lastRow="0" w:firstColumn="0" w:lastColumn="0" w:noHBand="0" w:noVBand="0" w:val="0020"/>
      </w:tblPr>
      <w:tblGrid>
        <w:gridCol w:w="1239"/>
        <w:gridCol w:w="4640"/>
        <w:gridCol w:w="1992"/>
      </w:tblGrid>
      <w:tr>
        <w:trPr>
          <w:tblHeader w:val="true"/>
        </w:trPr>
        <w:tc>
          <w:tcPr/>
          <w:p>
            <w:pPr>
              <w:pStyle w:val="Compact"/>
              <w:jc w:val="left"/>
            </w:pPr>
            <w:r>
              <w:rPr>
                <w:bCs/>
                <w:b/>
              </w:rPr>
              <w:t xml:space="preserve">Phenomenon</w:t>
            </w:r>
          </w:p>
        </w:tc>
        <w:tc>
          <w:tcPr/>
          <w:p>
            <w:pPr>
              <w:pStyle w:val="Compact"/>
              <w:jc w:val="left"/>
            </w:pPr>
            <w:r>
              <w:rPr>
                <w:bCs/>
                <w:b/>
              </w:rPr>
              <w:t xml:space="preserve">Typical Influence on Indian Monsoon</w:t>
            </w:r>
          </w:p>
        </w:tc>
        <w:tc>
          <w:tcPr/>
          <w:p>
            <w:pPr>
              <w:pStyle w:val="Compact"/>
              <w:jc w:val="left"/>
            </w:pPr>
            <w:r>
              <w:rPr>
                <w:bCs/>
                <w:b/>
              </w:rPr>
              <w:t xml:space="preserve">Monitoring Basis</w:t>
            </w:r>
          </w:p>
        </w:tc>
      </w:tr>
      <w:tr>
        <w:tc>
          <w:tcPr/>
          <w:p>
            <w:pPr>
              <w:pStyle w:val="Compact"/>
              <w:jc w:val="left"/>
            </w:pPr>
            <w:r>
              <w:t xml:space="preserve">El Niño–Southern Oscillation (ENSO)</w:t>
            </w:r>
          </w:p>
        </w:tc>
        <w:tc>
          <w:tcPr/>
          <w:p>
            <w:pPr>
              <w:pStyle w:val="Compact"/>
              <w:jc w:val="left"/>
            </w:pPr>
            <w:r>
              <w:t xml:space="preserve">El Niño (warm equatorial Pacific) generally associated with weaker/deficient monsoon; La Niña generally favourable for above-normal monsoon — though the relationship is not deterministic</w:t>
            </w:r>
          </w:p>
        </w:tc>
        <w:tc>
          <w:tcPr/>
          <w:p>
            <w:pPr>
              <w:pStyle w:val="Compact"/>
              <w:jc w:val="left"/>
            </w:pPr>
            <w:r>
              <w:t xml:space="preserve">Nino3.4 SST anomaly, Southern Oscillation Index (SOI)</w:t>
            </w:r>
          </w:p>
        </w:tc>
      </w:tr>
      <w:tr>
        <w:tc>
          <w:tcPr/>
          <w:p>
            <w:pPr>
              <w:pStyle w:val="Compact"/>
              <w:jc w:val="left"/>
            </w:pPr>
            <w:r>
              <w:t xml:space="preserve">Indian Ocean Dipole (IOD)</w:t>
            </w:r>
          </w:p>
        </w:tc>
        <w:tc>
          <w:tcPr/>
          <w:p>
            <w:pPr>
              <w:pStyle w:val="Compact"/>
              <w:jc w:val="left"/>
            </w:pPr>
            <w:r>
              <w:t xml:space="preserve">Positive IOD (warmer western, cooler eastern Indian Ocean) tends to offset/counteract a concurrent El Niño's suppressive effect on monsoon</w:t>
            </w:r>
          </w:p>
        </w:tc>
        <w:tc>
          <w:tcPr/>
          <w:p>
            <w:pPr>
              <w:pStyle w:val="Compact"/>
              <w:jc w:val="left"/>
            </w:pPr>
            <w:r>
              <w:t xml:space="preserve">Dipole Mode Index (SST gradient, western minus eastern equatorial Indian Ocean)</w:t>
            </w:r>
          </w:p>
        </w:tc>
      </w:tr>
      <w:tr>
        <w:tc>
          <w:tcPr/>
          <w:p>
            <w:pPr>
              <w:pStyle w:val="Compact"/>
              <w:jc w:val="left"/>
            </w:pPr>
            <w:r>
              <w:t xml:space="preserve">Eurasian/Himalayan Snow Cover</w:t>
            </w:r>
          </w:p>
        </w:tc>
        <w:tc>
          <w:tcPr/>
          <w:p>
            <w:pPr>
              <w:pStyle w:val="Compact"/>
              <w:jc w:val="left"/>
            </w:pPr>
            <w:r>
              <w:t xml:space="preserve">Above-normal winter/spring snow cover historically associated with weaker subsequent monsoon (Blanford's original 19th-century hypothesis, still monitored)</w:t>
            </w:r>
          </w:p>
        </w:tc>
        <w:tc>
          <w:tcPr/>
          <w:p>
            <w:pPr>
              <w:pStyle w:val="Compact"/>
              <w:jc w:val="left"/>
            </w:pPr>
            <w:r>
              <w:t xml:space="preserve">Satellite snow-cover extent (visible/microwave)</w:t>
            </w:r>
          </w:p>
        </w:tc>
      </w:tr>
      <w:tr>
        <w:tc>
          <w:tcPr/>
          <w:p>
            <w:pPr>
              <w:pStyle w:val="Compact"/>
              <w:jc w:val="left"/>
            </w:pPr>
            <w:r>
              <w:t xml:space="preserve">Madden–Julian Oscillation (MJO)</w:t>
            </w:r>
          </w:p>
        </w:tc>
        <w:tc>
          <w:tcPr/>
          <w:p>
            <w:pPr>
              <w:pStyle w:val="Compact"/>
              <w:jc w:val="left"/>
            </w:pPr>
            <w:r>
              <w:t xml:space="preserve">Eastward-propagating tropical convective envelope (30–60 day period) modulates active/break spell timing</w:t>
            </w:r>
          </w:p>
        </w:tc>
        <w:tc>
          <w:tcPr/>
          <w:p>
            <w:pPr>
              <w:pStyle w:val="Compact"/>
              <w:jc w:val="left"/>
            </w:pPr>
            <w:r>
              <w:t xml:space="preserve">OLR and zonal wind anomaly tracking across defined MJO phases</w:t>
            </w:r>
          </w:p>
        </w:tc>
      </w:tr>
      <w:tr>
        <w:tc>
          <w:tcPr/>
          <w:p>
            <w:pPr>
              <w:pStyle w:val="Compact"/>
              <w:jc w:val="left"/>
            </w:pPr>
            <w:r>
              <w:t xml:space="preserve">Northern Hemisphere/Regional Circulation Indices</w:t>
            </w:r>
          </w:p>
        </w:tc>
        <w:tc>
          <w:tcPr/>
          <w:p>
            <w:pPr>
              <w:pStyle w:val="Compact"/>
              <w:jc w:val="left"/>
            </w:pPr>
            <w:r>
              <w:t xml:space="preserve">Mascarene High strength, cross-equatorial low-level jet (Somali Jet) intensity, East Asian pressure patterns</w:t>
            </w:r>
          </w:p>
        </w:tc>
        <w:tc>
          <w:tcPr/>
          <w:p>
            <w:pPr>
              <w:pStyle w:val="Compact"/>
              <w:jc w:val="left"/>
            </w:pPr>
            <w:r>
              <w:t xml:space="preserve">Reanalysis/model fields, scatterometer-derived surface winds</w:t>
            </w:r>
          </w:p>
        </w:tc>
      </w:tr>
    </w:tbl>
    <w:p>
      <w:pPr>
        <w:pStyle w:val="Heading2"/>
      </w:pPr>
      <w:r>
        <w:t xml:space="preserve">30.16 Extended Range Forecasting (Weeks 1–4)</w:t>
      </w:r>
    </w:p>
    <w:p>
      <w:pPr>
        <w:pStyle w:val="FirstParagraph"/>
      </w:pPr>
      <w:r>
        <w:t xml:space="preserve">The gap between medium-range (up to 10 days, dominated by initial-condition predictability) and seasonal (dominated by boundary-condition/SST predictability) forecasting is the extended range, targeting 2–4 week outlooks of active/break spell likelihood, pentad (5-day) and weekly rainfall categories. This 'sub-seasonal-to-seasonal' (S2S) prediction relies on coupled dynamical models capturing intraseasonal oscillations (MJO, quasi-biweekly mode), verified using real-time outgoing longwave radiation and wind fields, and increasingly blended with statistical MJO-phase-based composites. IMD now issues operational weekly extended-range forecasts, of direct agromet relevance for in-season contingency crop planning, sowing/harvest timing, and pest-outbreak risk (e.g., anticipating a prolonged break spell that could trigger drought-stress or, conversely, an active spell risking waterlogging).</w:t>
      </w:r>
    </w:p>
    <w:p>
      <w:pPr>
        <w:pStyle w:val="Heading2"/>
      </w:pPr>
      <w:r>
        <w:t xml:space="preserve">30.17 Northeast (Winter) Monsoon Forecasting</w:t>
      </w:r>
    </w:p>
    <w:p>
      <w:pPr>
        <w:pStyle w:val="FirstParagraph"/>
      </w:pPr>
      <w:r>
        <w:t xml:space="preserve">The Northeast Monsoon (October–December) brings the principal rainy season to Tamil Nadu, Puducherry, southern coastal Andhra Pradesh, and Kerala, driven by the retreat of the southwest monsoon, reversal of low-level winds to northeasterly, and moisture pickup over the Bay of Bengal — often modulated by tropical cyclones and depressions forming in the Bay of Bengal during this transition season. IMD issues a separate seasonal forecast for northeast monsoon rainfall (usually around September) using an analogous statistical/dynamical approach, with ENSO state (El Niño tends to be more favourable for northeast monsoon rainfall, opposite to its typical southwest monsoon effect) as an important predictor.</w:t>
      </w:r>
    </w:p>
    <w:p>
      <w:pPr>
        <w:pStyle w:val="Heading2"/>
      </w:pPr>
      <w:r>
        <w:t xml:space="preserve">30.18 Role of Satellite Data in Monsoon Monitoring</w:t>
      </w:r>
    </w:p>
    <w:p>
      <w:pPr>
        <w:numPr>
          <w:ilvl w:val="0"/>
          <w:numId w:val="1242"/>
        </w:numPr>
      </w:pPr>
      <w:r>
        <w:t xml:space="preserve">OLR fields (from INSAT and polar-orbiting sensors) are the primary real-time index for tracking the monsoon trough, active/break status, and MJO phase.</w:t>
      </w:r>
    </w:p>
    <w:p>
      <w:pPr>
        <w:numPr>
          <w:ilvl w:val="0"/>
          <w:numId w:val="1242"/>
        </w:numPr>
      </w:pPr>
      <w:r>
        <w:t xml:space="preserve">Scatterometer winds (SCATSAT-1) monitor the strength of the cross-equatorial Somali Jet and the monsoon low-level jet, key onset/intensity indicators.</w:t>
      </w:r>
    </w:p>
    <w:p>
      <w:pPr>
        <w:numPr>
          <w:ilvl w:val="0"/>
          <w:numId w:val="1242"/>
        </w:numPr>
      </w:pPr>
      <w:r>
        <w:t xml:space="preserve">INSAT rainfall estimates (IMSRA) and Megha-Tropiques microwave rainfall fill observation gaps over the data-sparse Arabian Sea/Bay of Bengal, used both for monitoring and for real-time NWP data assimilation.</w:t>
      </w:r>
    </w:p>
    <w:p>
      <w:pPr>
        <w:numPr>
          <w:ilvl w:val="0"/>
          <w:numId w:val="1242"/>
        </w:numPr>
      </w:pPr>
      <w:r>
        <w:t xml:space="preserve">Satellite-derived sea-surface temperature (Oceansat, and international missions) feeds both ENSO/IOD index computation and the ocean initial conditions for coupled dynamical forecast models.</w:t>
      </w:r>
    </w:p>
    <w:p>
      <w:pPr>
        <w:numPr>
          <w:ilvl w:val="0"/>
          <w:numId w:val="1242"/>
        </w:numPr>
      </w:pPr>
      <w:r>
        <w:t xml:space="preserve">Snow-cover products (visible/near-IR mapping over the Himalaya/Eurasia) support the classical snow–monsoon relationship monitoring.</w:t>
      </w:r>
    </w:p>
    <w:p>
      <w:pPr>
        <w:pStyle w:val="Heading2"/>
      </w:pPr>
      <w:r>
        <w:t xml:space="preserve">30.19 Weather Modification — Cloud Seeding</w:t>
      </w:r>
    </w:p>
    <w:p>
      <w:pPr>
        <w:pStyle w:val="FirstParagraph"/>
      </w:pPr>
      <w:r>
        <w:t xml:space="preserve">Though not a forecasting technique per se, cloud seeding (introducing hygroscopic salts or glaciogenic agents such as silver iodide into suitable clouds to enhance precipitation efficiency) is occasionally discussed alongside drought-mitigation strategy in Indian states (e.g., Maharashtra's periodic cloud-seeding trials); its scientifically demonstrated effectiveness remains a subject of active research debate, and it depends fundamentally on accurate forecasting of seedable cloud conditions — another point of intersection with core meteorological science.</w:t>
      </w:r>
    </w:p>
    <w:p>
      <w:pPr>
        <w:pStyle w:val="Heading1"/>
      </w:pPr>
      <w:r>
        <w:t xml:space="preserve">Chapter 31. Agrometeorological Advisory Services in India</w:t>
      </w:r>
    </w:p>
    <w:p>
      <w:pPr>
        <w:pStyle w:val="Heading2"/>
      </w:pPr>
      <w:r>
        <w:t xml:space="preserve">31.1 The Conceptual Framework of Satellite-Driven Agrometeorology</w:t>
      </w:r>
    </w:p>
    <w:p>
      <w:pPr>
        <w:pStyle w:val="FirstParagraph"/>
      </w:pPr>
      <w:r>
        <w:t xml:space="preserve">Agrometeorology sits at the intersection of atmospheric science and crop/soil science: it converts weather and land-surface information into decisions that farmers and planners must make — when to sow, irrigate, apply fertiliser or protect against pests, and, at a policy scale, how much a season's harvest will yield and where drought relief is warranted. The conceptual chain has four stages: (i) observation — satellite (NDVI, LST, rainfall, soil moisture) and in-situ (AWS, Agromet Field Unit reports) data; (ii) integration — fusing these observations with numerical weather forecasts and crop-growth-stage information; (iii) interpretation — subject-matter specialists or crop-simulation models translate the integrated fields into agronomic risk/opportunity statements; and (iv) dissemination — delivering these as actionable, location- and crop-specific advisories through mass channels. India operationalises this chain through three complementary institutional roles: IMD provides the weather forecasting and district/block advisory backbone (GKMS); IITM contributes high-resolution numerical modelling, monsoon and extreme-event research that feeds into forecast skill; and ISRO/NRSC provides the satellite remote-sensing backbone for vegetation condition, crop area/yield, and drought assessment (FASAL, CHAMAN, NADAMS).</w:t>
      </w:r>
    </w:p>
    <w:tbl>
      <w:tblPr>
        <w:tblStyle w:val="Table"/>
        <w:tblW w:type="pct" w:w="4965"/>
        <w:jc w:val="left"/>
        <w:tblLook w:firstRow="1" w:lastRow="0" w:firstColumn="0" w:lastColumn="0" w:noHBand="0" w:noVBand="0" w:val="0020"/>
      </w:tblPr>
      <w:tblGrid>
        <w:gridCol w:w="498"/>
        <w:gridCol w:w="4043"/>
        <w:gridCol w:w="3323"/>
      </w:tblGrid>
      <w:tr>
        <w:trPr>
          <w:tblHeader w:val="true"/>
        </w:trPr>
        <w:tc>
          <w:tcPr/>
          <w:p>
            <w:pPr>
              <w:pStyle w:val="Compact"/>
              <w:jc w:val="left"/>
            </w:pPr>
            <w:r>
              <w:rPr>
                <w:bCs/>
                <w:b/>
              </w:rPr>
              <w:t xml:space="preserve">Institution</w:t>
            </w:r>
          </w:p>
        </w:tc>
        <w:tc>
          <w:tcPr/>
          <w:p>
            <w:pPr>
              <w:pStyle w:val="Compact"/>
              <w:jc w:val="left"/>
            </w:pPr>
            <w:r>
              <w:rPr>
                <w:bCs/>
                <w:b/>
              </w:rPr>
              <w:t xml:space="preserve">Core Mandate in the Agromet Chain</w:t>
            </w:r>
          </w:p>
        </w:tc>
        <w:tc>
          <w:tcPr/>
          <w:p>
            <w:pPr>
              <w:pStyle w:val="Compact"/>
              <w:jc w:val="left"/>
            </w:pPr>
            <w:r>
              <w:rPr>
                <w:bCs/>
                <w:b/>
              </w:rPr>
              <w:t xml:space="preserve">Principal Programmes / Outputs</w:t>
            </w:r>
          </w:p>
        </w:tc>
      </w:tr>
      <w:tr>
        <w:tc>
          <w:tcPr/>
          <w:p>
            <w:pPr>
              <w:pStyle w:val="Compact"/>
              <w:jc w:val="left"/>
            </w:pPr>
            <w:r>
              <w:t xml:space="preserve">IMD</w:t>
            </w:r>
          </w:p>
        </w:tc>
        <w:tc>
          <w:tcPr/>
          <w:p>
            <w:pPr>
              <w:pStyle w:val="Compact"/>
              <w:jc w:val="left"/>
            </w:pPr>
            <w:r>
              <w:t xml:space="preserve">Operational weather forecasting; district/block agromet advisory generation and dissemination; agricultural meteorological observation network</w:t>
            </w:r>
          </w:p>
        </w:tc>
        <w:tc>
          <w:tcPr/>
          <w:p>
            <w:pPr>
              <w:pStyle w:val="Compact"/>
              <w:jc w:val="left"/>
            </w:pPr>
            <w:r>
              <w:t xml:space="preserve">GKMS, AMFU/DAMU network, mKisan advisories, Regional Meteorological Centre forecasts</w:t>
            </w:r>
          </w:p>
        </w:tc>
      </w:tr>
      <w:tr>
        <w:tc>
          <w:tcPr/>
          <w:p>
            <w:pPr>
              <w:pStyle w:val="Compact"/>
              <w:jc w:val="left"/>
            </w:pPr>
            <w:r>
              <w:t xml:space="preserve">IITM</w:t>
            </w:r>
          </w:p>
        </w:tc>
        <w:tc>
          <w:tcPr/>
          <w:p>
            <w:pPr>
              <w:pStyle w:val="Compact"/>
              <w:jc w:val="left"/>
            </w:pPr>
            <w:r>
              <w:t xml:space="preserve">Research on monsoon dynamics, intraseasonal/seasonal predictability, high-resolution NWP model development; no direct farmer-facing output</w:t>
            </w:r>
          </w:p>
        </w:tc>
        <w:tc>
          <w:tcPr/>
          <w:p>
            <w:pPr>
              <w:pStyle w:val="Compact"/>
              <w:jc w:val="left"/>
            </w:pPr>
            <w:r>
              <w:t xml:space="preserve">Monsoon Mission modelling, extended-range forecast research, climate-change impact studies feeding IMD forecast skill</w:t>
            </w:r>
          </w:p>
        </w:tc>
      </w:tr>
      <w:tr>
        <w:tc>
          <w:tcPr/>
          <w:p>
            <w:pPr>
              <w:pStyle w:val="Compact"/>
              <w:jc w:val="left"/>
            </w:pPr>
            <w:r>
              <w:t xml:space="preserve">ISRO / NRSC</w:t>
            </w:r>
          </w:p>
        </w:tc>
        <w:tc>
          <w:tcPr/>
          <w:p>
            <w:pPr>
              <w:pStyle w:val="Compact"/>
              <w:jc w:val="left"/>
            </w:pPr>
            <w:r>
              <w:t xml:space="preserve">Satellite payload development and operation; remote-sensing algorithm development; crop area/yield, drought and land-surface product generation</w:t>
            </w:r>
          </w:p>
        </w:tc>
        <w:tc>
          <w:tcPr/>
          <w:p>
            <w:pPr>
              <w:pStyle w:val="Compact"/>
              <w:jc w:val="left"/>
            </w:pPr>
            <w:r>
              <w:t xml:space="preserve">FASAL, CHAMAN, NADAMS, MOSDAC/Bhuvan data dissemination, INSAT/Oceansat/RISAT satellite programme</w:t>
            </w:r>
          </w:p>
        </w:tc>
      </w:tr>
    </w:tbl>
    <w:p>
      <w:pPr>
        <w:pStyle w:val="BodyText"/>
      </w:pPr>
      <w:r>
        <w:rPr>
          <w:iCs/>
          <w:i/>
        </w:rPr>
        <w:t xml:space="preserve">Table 4.1 — Complementary institutional roles of IMD, IITM and ISRO/NRSC within the agrometeorological conceptual chain.</w:t>
      </w:r>
    </w:p>
    <w:p>
      <w:pPr>
        <w:pStyle w:val="Heading2"/>
      </w:pPr>
      <w:r>
        <w:t xml:space="preserve">31.2 Gramin Krishi Mausam Seva (GKMS)</w:t>
      </w:r>
    </w:p>
    <w:p>
      <w:pPr>
        <w:pStyle w:val="FirstParagraph"/>
      </w:pPr>
      <w:r>
        <w:t xml:space="preserve">GKMS — literally 'Rural Agricultural Weather Service' — is IMD's flagship operational agromet advisory system, translating weather forecasts into location-specific, crop-specific advisories delivered directly to farmers. It represents the practical, last-mile culmination of the entire forecasting chain described in earlier chapters.</w:t>
      </w:r>
    </w:p>
    <w:p>
      <w:pPr>
        <w:pStyle w:val="Heading3"/>
      </w:pPr>
      <w:r>
        <w:t xml:space="preserve">31.2.1 Organisational Structure</w:t>
      </w:r>
    </w:p>
    <w:p>
      <w:pPr>
        <w:numPr>
          <w:ilvl w:val="0"/>
          <w:numId w:val="1243"/>
        </w:numPr>
      </w:pPr>
      <w:r>
        <w:t xml:space="preserve">Agromet Field Units (AMFUs): approximately 130 units hosted at State Agricultural Universities (SAUs), ICAR institutes, and IITs, each staffed by agrometeorologists who prepare district-level, crop-specific advisory bulletins by integrating IMD's meteorological forecast with local agronomic knowledge.</w:t>
      </w:r>
    </w:p>
    <w:p>
      <w:pPr>
        <w:numPr>
          <w:ilvl w:val="0"/>
          <w:numId w:val="1243"/>
        </w:numPr>
      </w:pPr>
      <w:r>
        <w:t xml:space="preserve">District Agromet Units (DAMUs): established at Krishi Vigyan Kendras (KVKs) — around 189, with an expansion target toward 530 to give near-universal district coverage — providing finer, more localised (district/block-level) advisory generation and direct farmer interface, supported by local Agromet Advisory Committees comprising subject-matter specialists (agronomy, plant protection, extension) and the District Agriculture Officer.</w:t>
      </w:r>
    </w:p>
    <w:p>
      <w:pPr>
        <w:numPr>
          <w:ilvl w:val="0"/>
          <w:numId w:val="1243"/>
        </w:numPr>
      </w:pPr>
      <w:r>
        <w:t xml:space="preserve">Regional Meteorological Centres (RMCs) and Meteorological Centres: supply the underlying value-added weather forecasts (typically by around 1200 hrs) that AMFU/DAMU teams use to prepare their advisories.</w:t>
      </w:r>
    </w:p>
    <w:p>
      <w:pPr>
        <w:pStyle w:val="Heading3"/>
      </w:pPr>
      <w:r>
        <w:t xml:space="preserve">31.2.2 The Daily/Bi-Weekly Advisory Preparation Workflow</w:t>
      </w:r>
    </w:p>
    <w:p>
      <w:pPr>
        <w:numPr>
          <w:ilvl w:val="0"/>
          <w:numId w:val="1244"/>
        </w:numPr>
      </w:pPr>
      <w:r>
        <w:t xml:space="preserve">~1200 hrs: RMCs/Meteorological Centres issue district-level, value-added medium-range weather forecasts (5-day quantitative forecasts of rainfall, maximum/minimum temperature, wind speed/direction, relative humidity and cloudiness) to AMFUs/DAMUs.</w:t>
      </w:r>
    </w:p>
    <w:p>
      <w:pPr>
        <w:numPr>
          <w:ilvl w:val="0"/>
          <w:numId w:val="1244"/>
        </w:numPr>
      </w:pPr>
      <w:r>
        <w:t xml:space="preserve">~1230 hrs: the local Agromet Advisory Committee convenes — agronomists, plant-protection specialists, and extension officers jointly interpret the forecast against current crop stage, cropping pattern, soil-moisture status, and pest/disease pressure to draft actionable recommendations.</w:t>
      </w:r>
    </w:p>
    <w:p>
      <w:pPr>
        <w:numPr>
          <w:ilvl w:val="0"/>
          <w:numId w:val="1244"/>
        </w:numPr>
      </w:pPr>
      <w:r>
        <w:t xml:space="preserve">~1500 hrs: the final bulletin is compiled and released for dissemination through all channels.</w:t>
      </w:r>
    </w:p>
    <w:p>
      <w:pPr>
        <w:numPr>
          <w:ilvl w:val="0"/>
          <w:numId w:val="1244"/>
        </w:numPr>
      </w:pPr>
      <w:r>
        <w:t xml:space="preserve">Bulletins are issued bi-weekly (conventionally Tuesday and Friday) at district and, increasingly, block level, each containing: (i) a summary of the past five days' observed weather, (ii) the five-day quantitative medium-range forecast, (iii) crop- and stage-specific recommendations, (iv) warnings of abiotic stress (heat wave, cold wave, hailstorm, drought, excess rainfall), and (v) a 6–12 day rainfall outlook (categorised above/near/below normal).</w:t>
      </w:r>
    </w:p>
    <w:p>
      <w:pPr>
        <w:pStyle w:val="Heading3"/>
      </w:pPr>
      <w:r>
        <w:t xml:space="preserve">31.2.3 Inputs Used to Draft an Advisory</w:t>
      </w:r>
    </w:p>
    <w:tbl>
      <w:tblPr>
        <w:tblStyle w:val="Table"/>
        <w:tblW w:type="pct" w:w="4947"/>
        <w:jc w:val="left"/>
        <w:tblLook w:firstRow="1" w:lastRow="0" w:firstColumn="0" w:lastColumn="0" w:noHBand="0" w:noVBand="0" w:val="0020"/>
      </w:tblPr>
      <w:tblGrid>
        <w:gridCol w:w="1058"/>
        <w:gridCol w:w="6776"/>
      </w:tblGrid>
      <w:tr>
        <w:trPr>
          <w:tblHeader w:val="true"/>
        </w:trPr>
        <w:tc>
          <w:tcPr/>
          <w:p>
            <w:pPr>
              <w:pStyle w:val="Compact"/>
              <w:jc w:val="left"/>
            </w:pPr>
            <w:r>
              <w:rPr>
                <w:bCs/>
                <w:b/>
              </w:rPr>
              <w:t xml:space="preserve">Category</w:t>
            </w:r>
          </w:p>
        </w:tc>
        <w:tc>
          <w:tcPr/>
          <w:p>
            <w:pPr>
              <w:pStyle w:val="Compact"/>
              <w:jc w:val="left"/>
            </w:pPr>
            <w:r>
              <w:rPr>
                <w:bCs/>
                <w:b/>
              </w:rPr>
              <w:t xml:space="preserve">Specific Inputs</w:t>
            </w:r>
          </w:p>
        </w:tc>
      </w:tr>
      <w:tr>
        <w:tc>
          <w:tcPr/>
          <w:p>
            <w:pPr>
              <w:pStyle w:val="Compact"/>
              <w:jc w:val="left"/>
            </w:pPr>
            <w:r>
              <w:t xml:space="preserve">Meteorological</w:t>
            </w:r>
          </w:p>
        </w:tc>
        <w:tc>
          <w:tcPr/>
          <w:p>
            <w:pPr>
              <w:pStyle w:val="Compact"/>
              <w:jc w:val="left"/>
            </w:pPr>
            <w:r>
              <w:t xml:space="preserve">5-day quantitative district forecast (rainfall, Tmax/Tmin, wind, RH, cloud), 30-year rainfall climatology, extreme-weather alerts, 6–12 day extended outlook</w:t>
            </w:r>
          </w:p>
        </w:tc>
      </w:tr>
      <w:tr>
        <w:tc>
          <w:tcPr/>
          <w:p>
            <w:pPr>
              <w:pStyle w:val="Compact"/>
              <w:jc w:val="left"/>
            </w:pPr>
            <w:r>
              <w:t xml:space="preserve">Satellite-derived</w:t>
            </w:r>
          </w:p>
        </w:tc>
        <w:tc>
          <w:tcPr/>
          <w:p>
            <w:pPr>
              <w:pStyle w:val="Compact"/>
              <w:jc w:val="left"/>
            </w:pPr>
            <w:r>
              <w:t xml:space="preserve">NDVI (crop vigour trend), Standardized Precipitation Index (SPI), soil-moisture indicators</w:t>
            </w:r>
          </w:p>
        </w:tc>
      </w:tr>
      <w:tr>
        <w:tc>
          <w:tcPr/>
          <w:p>
            <w:pPr>
              <w:pStyle w:val="Compact"/>
              <w:jc w:val="left"/>
            </w:pPr>
            <w:r>
              <w:t xml:space="preserve">Agronomic/local</w:t>
            </w:r>
          </w:p>
        </w:tc>
        <w:tc>
          <w:tcPr/>
          <w:p>
            <w:pPr>
              <w:pStyle w:val="Compact"/>
              <w:jc w:val="left"/>
            </w:pPr>
            <w:r>
              <w:t xml:space="preserve">Current cropping pattern, prevailing varieties, irrigated vs. rainfed area share, crop growth stage, pest/disease incidence reports</w:t>
            </w:r>
          </w:p>
        </w:tc>
      </w:tr>
    </w:tbl>
    <w:p>
      <w:pPr>
        <w:pStyle w:val="Heading3"/>
      </w:pPr>
      <w:r>
        <w:t xml:space="preserve">31.2.4 Forecast Verification Standards Used by GKMS</w:t>
      </w:r>
    </w:p>
    <w:p>
      <w:pPr>
        <w:pStyle w:val="FirstParagraph"/>
      </w:pPr>
      <w:r>
        <w:t xml:space="preserve">GKMS forecasts are held to defined accuracy tiers so that advisory reliability itself is continuously tracked:</w:t>
      </w:r>
    </w:p>
    <w:p>
      <w:pPr>
        <w:numPr>
          <w:ilvl w:val="0"/>
          <w:numId w:val="1245"/>
        </w:numPr>
      </w:pPr>
      <w:r>
        <w:t xml:space="preserve">Temperature forecast: error ≤1°C rated 'correct'; 1–2°C rated 'usable'; &gt;2°C rated 'unusable'.</w:t>
      </w:r>
    </w:p>
    <w:p>
      <w:pPr>
        <w:numPr>
          <w:ilvl w:val="0"/>
          <w:numId w:val="1245"/>
        </w:numPr>
      </w:pPr>
      <w:r>
        <w:t xml:space="preserve">Rainfall forecast: error ≤25% of observed value rated 'correct'; 25–50% 'usable'; &gt;50% 'unusable'.</w:t>
      </w:r>
    </w:p>
    <w:p>
      <w:pPr>
        <w:numPr>
          <w:ilvl w:val="0"/>
          <w:numId w:val="1245"/>
        </w:numPr>
      </w:pPr>
      <w:r>
        <w:t xml:space="preserve">Block-level forecasts are verified against State Automatic Weather Station networks and the District Rainfall Monitoring Scheme (DRMS) rainfall data.</w:t>
      </w:r>
    </w:p>
    <w:p>
      <w:pPr>
        <w:pStyle w:val="Heading3"/>
      </w:pPr>
      <w:r>
        <w:t xml:space="preserve">31.2.5 Dissemination Channels</w:t>
      </w:r>
    </w:p>
    <w:p>
      <w:pPr>
        <w:numPr>
          <w:ilvl w:val="0"/>
          <w:numId w:val="1246"/>
        </w:numPr>
      </w:pPr>
      <w:r>
        <w:t xml:space="preserve">SMS advisories (limited to 262 characters) via the mKisan portal and public-private partners (e.g., Reliance Foundation, Kisan Sanchar) — reaching an estimated 4+ crore registered farmers.</w:t>
      </w:r>
    </w:p>
    <w:p>
      <w:pPr>
        <w:numPr>
          <w:ilvl w:val="0"/>
          <w:numId w:val="1246"/>
        </w:numPr>
      </w:pPr>
      <w:r>
        <w:t xml:space="preserve">Electronic/broadcast media, notably the dedicated DD Kisan television channel.</w:t>
      </w:r>
    </w:p>
    <w:p>
      <w:pPr>
        <w:numPr>
          <w:ilvl w:val="0"/>
          <w:numId w:val="1246"/>
        </w:numPr>
      </w:pPr>
      <w:r>
        <w:t xml:space="preserve">Digital/social channels: WhatsApp farmer groups (thousands of groups across hundreds of districts), IMD Agrimet portal and SAU websites, and YouTube (including farmer testimonial/case-study content).</w:t>
      </w:r>
    </w:p>
    <w:p>
      <w:pPr>
        <w:numPr>
          <w:ilvl w:val="0"/>
          <w:numId w:val="1246"/>
        </w:numPr>
      </w:pPr>
      <w:r>
        <w:t xml:space="preserve">Institutional/voice channels: email to district agriculture officers and state extension networks, IFFCO-Kisan call centres, and NGO/farmer-cooperative networks.</w:t>
      </w:r>
    </w:p>
    <w:p>
      <w:pPr>
        <w:pStyle w:val="Heading3"/>
      </w:pPr>
      <w:r>
        <w:t xml:space="preserve">31.2.6 Block-Level Expansion and Feedback</w:t>
      </w:r>
    </w:p>
    <w:p>
      <w:pPr>
        <w:pStyle w:val="FirstParagraph"/>
      </w:pPr>
      <w:r>
        <w:t xml:space="preserve">GKMS has progressively moved from purely district-level to block-level advisories, recognising the substantial within-district variation in rainfall and weather (especially over hilly or coastal districts), issuing higher-resolution forecasts tailored to specific blocks. A structured feedback loop — weekly/fortnightly farmer feedback on advisory utility, and end-of-season aggregate accuracy feedback — closes the loop between forecast producers and the farming community, feeding into forecast-system refinement and success-story documentation used to build farmer trust and uptake.</w:t>
      </w:r>
    </w:p>
    <w:p>
      <w:pPr>
        <w:pStyle w:val="Heading2"/>
      </w:pPr>
      <w:r>
        <w:t xml:space="preserve">31.3 Other Agro-Advisory and Decision-Support Mechanisms</w:t>
      </w:r>
    </w:p>
    <w:p>
      <w:pPr>
        <w:numPr>
          <w:ilvl w:val="0"/>
          <w:numId w:val="1247"/>
        </w:numPr>
      </w:pPr>
      <w:r>
        <w:t xml:space="preserve">Weather-Based Agro-Advisory Services (WBAAS): the broader IMD-ICAR-SAU collaborative programme umbrella under which GKMS operates, extending to livestock and fisheries advisories in coastal/specific regions.</w:t>
      </w:r>
    </w:p>
    <w:p>
      <w:pPr>
        <w:numPr>
          <w:ilvl w:val="0"/>
          <w:numId w:val="1247"/>
        </w:numPr>
      </w:pPr>
      <w:r>
        <w:t xml:space="preserve">mKisan / Kisan Suvidha / Damini apps: mobile applications disseminating weather advisories, lightning alerts (Damini, using real-time lightning-detection network data), market prices, and crop advisories directly to farmer smartphones.</w:t>
      </w:r>
    </w:p>
    <w:p>
      <w:pPr>
        <w:numPr>
          <w:ilvl w:val="0"/>
          <w:numId w:val="1247"/>
        </w:numPr>
      </w:pPr>
      <w:r>
        <w:t xml:space="preserve">State Agricultural Universities' Agromet Cells: many SAUs run their own decision-support portals combining local weather stations, crop calendars, and pest-forecasting models for state-specific crops (e.g., cotton in Maharashtra/Gujarat, rice in Punjab/West Bengal).</w:t>
      </w:r>
    </w:p>
    <w:p>
      <w:pPr>
        <w:numPr>
          <w:ilvl w:val="0"/>
          <w:numId w:val="1247"/>
        </w:numPr>
      </w:pPr>
      <w:r>
        <w:t xml:space="preserve">Common Service Centres (CSCs) and Kisan Call Centres: provide human-assisted advisory access for farmers without direct digital access.</w:t>
      </w:r>
    </w:p>
    <w:p>
      <w:pPr>
        <w:pStyle w:val="Heading2"/>
      </w:pPr>
      <w:r>
        <w:t xml:space="preserve">31.4 Why This Matters at the Systems Level</w:t>
      </w:r>
    </w:p>
    <w:p>
      <w:pPr>
        <w:pStyle w:val="FirstParagraph"/>
      </w:pPr>
      <w:r>
        <w:t xml:space="preserve">The entire chain — satellite payload (SAC) → data processing and archival (MOSDAC/SAC) → NWP and synoptic forecasting (IMD/NCMRWF/IITM) → GKMS advisory formulation (AMFU/DAMU) → multi-channel farmer dissemination — constitutes one continuous, tightly coupled value chain. A failure or improvement anywhere upstream (e.g., a more accurate INSAT rainfall retrieval, or an improved NWP model resolution) propagates all the way to the farm gate. Understanding this end-to-end architecture, and specifically where SAC's satellite/algorithm contributions sit within it, is exactly the kind of systems-level understanding an SAC interview is likely to probe.</w:t>
      </w:r>
    </w:p>
    <w:p>
      <w:pPr>
        <w:pStyle w:val="Heading2"/>
      </w:pPr>
      <w:r>
        <w:t xml:space="preserve">31.5 Other contributing institutes</w:t>
      </w:r>
    </w:p>
    <w:p>
      <w:pPr>
        <w:pStyle w:val="FirstParagraph"/>
      </w:pPr>
      <w:r>
        <w:t xml:space="preserve">Beyond GKMS itself, several institutes contribute complementary agrometeorological capability. IMD provides the core weather-forecasting and observational backbone (Automatic Weather Stations, Doppler Weather Radar, INSAT-based rainfall/LST products) and issues the twice-weekly district/block forecasts GKMS advisories are built on. ICAR, through the All India Coordinated Research Project on Agrometeorology (AICRPAM) network hosted across SAUs, conducts the underlying agronomic research (crop-weather relationships, phenology-weather models, pest-weather forewarning models) that GKMS advisory panels apply. CRIDA (Central Research Institute for Dryland Agriculture), Hyderabad, specialises in contingency crop planning for rainfed/drought-prone agriculture — pre-designed alternative cropping-pattern and variety recommendations triggered when the monsoon is delayed or deficient, informed jointly by IMD's seasonal outlook and NADAMS-type drought signals. State Agricultural Universities host the AMFU/DAMU network that does the last-mile crop-stage-specific interpretation. Internationally, the analogous function is served by national meteorological services paired with agricultural research bodies (e.g., the US's NOAA/USDA collaboration, or the WMO's Commission for Agricultural Meteorology framework), underscoring that India's GKMS model — weather service plus agricultural-research plus extension network, tightly coupled — is a fairly standard and well-validated institutional pattern internationally, not a uniquely Indian invention.</w:t>
      </w:r>
    </w:p>
    <w:p>
      <w:pPr>
        <w:pStyle w:val="Heading2"/>
      </w:pPr>
      <w:r>
        <w:t xml:space="preserve">31.6 Mission Mausam and Digital Agriculture Convergence</w:t>
      </w:r>
    </w:p>
    <w:p>
      <w:pPr>
        <w:pStyle w:val="FirstParagraph"/>
      </w:pPr>
      <w:r>
        <w:t xml:space="preserve">Mission Mausam, approved by the Union Cabinet in 2024, is the umbrella national programme to modernise India's weather and climate-services infrastructure — expanding the Doppler weather radar network, upgrading NWP modelling capacity, and enhancing satellite-based observation and AI-based nowcasting — with explicit convergence to agromet service delivery (GKMS) and disaster management as downstream beneficiaries of improved forecast skill. In parallel, the Digital Agriculture Mission and associated Agristack initiatives aim to integrate satellite-derived farm-level land-parcel, crop-type and yield information with farmer registries, creating the data infrastructure through which future remote-sensing-based advisory, insurance and credit services can be delivered at individual-farmer resolution rather than only at district/block aggregation.</w:t>
      </w:r>
    </w:p>
    <w:p>
      <w:pPr>
        <w:pStyle w:val="Heading2"/>
      </w:pPr>
      <w:r>
        <w:t xml:space="preserve">31.7 Satellite-Based Agro-Advisory: Concepts</w:t>
      </w:r>
    </w:p>
    <w:p>
      <w:pPr>
        <w:pStyle w:val="FirstParagraph"/>
      </w:pPr>
      <w:r>
        <w:t xml:space="preserve">An</w:t>
      </w:r>
      <w:r>
        <w:t xml:space="preserve"> </w:t>
      </w:r>
      <w:r>
        <w:rPr>
          <w:bCs/>
          <w:b/>
        </w:rPr>
        <w:t xml:space="preserve">agrometeorological advisory</w:t>
      </w:r>
      <w:r>
        <w:t xml:space="preserve"> </w:t>
      </w:r>
      <w:r>
        <w:t xml:space="preserve">translates weather (observed and forecast) and crop information into actionable recommendations — sowing, irrigation, fertiliser timing, pest/disease protection, harvest and post-harvest operations, livestock and fisheries management. Remote sensing adds</w:t>
      </w:r>
      <w:r>
        <w:t xml:space="preserve"> </w:t>
      </w:r>
      <w:r>
        <w:rPr>
          <w:bCs/>
          <w:b/>
        </w:rPr>
        <w:t xml:space="preserve">spatially complete, near-real-time, unbiased</w:t>
      </w:r>
      <w:r>
        <w:t xml:space="preserve"> </w:t>
      </w:r>
      <w:r>
        <w:t xml:space="preserve">information on crops, soils, water and hazards that point observations cannot provide.</w:t>
      </w:r>
    </w:p>
    <w:p>
      <w:pPr>
        <w:pStyle w:val="Heading3"/>
      </w:pPr>
      <w:r>
        <w:t xml:space="preserve">31.7.1 What remote sensing contributes to advisories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Information</w:t>
            </w:r>
          </w:p>
        </w:tc>
        <w:tc>
          <w:tcPr/>
          <w:p>
            <w:pPr>
              <w:pStyle w:val="Compact"/>
              <w:jc w:val="left"/>
            </w:pPr>
            <w:r>
              <w:t xml:space="preserve">RS contribution</w:t>
            </w:r>
          </w:p>
        </w:tc>
        <w:tc>
          <w:tcPr/>
          <w:p>
            <w:pPr>
              <w:pStyle w:val="Compact"/>
              <w:jc w:val="left"/>
            </w:pPr>
            <w:r>
              <w:t xml:space="preserve">Advisory use</w:t>
            </w:r>
          </w:p>
        </w:tc>
      </w:tr>
      <w:tr>
        <w:tc>
          <w:tcPr/>
          <w:p>
            <w:pPr>
              <w:pStyle w:val="Compact"/>
              <w:jc w:val="left"/>
            </w:pPr>
            <w:r>
              <w:rPr>
                <w:bCs/>
                <w:b/>
              </w:rPr>
              <w:t xml:space="preserve">Crop identification and acreage</w:t>
            </w:r>
          </w:p>
        </w:tc>
        <w:tc>
          <w:tcPr/>
          <w:p>
            <w:pPr>
              <w:pStyle w:val="Compact"/>
              <w:jc w:val="left"/>
            </w:pPr>
            <w:r>
              <w:t xml:space="preserve">Multi-date optical/SAR classification (≈90% accuracy at district level)</w:t>
            </w:r>
          </w:p>
        </w:tc>
        <w:tc>
          <w:tcPr/>
          <w:p>
            <w:pPr>
              <w:pStyle w:val="Compact"/>
              <w:jc w:val="left"/>
            </w:pPr>
            <w:r>
              <w:t xml:space="preserve">Production outlook, input planning</w:t>
            </w:r>
          </w:p>
        </w:tc>
      </w:tr>
      <w:tr>
        <w:tc>
          <w:tcPr/>
          <w:p>
            <w:pPr>
              <w:pStyle w:val="Compact"/>
              <w:jc w:val="left"/>
            </w:pPr>
            <w:r>
              <w:rPr>
                <w:bCs/>
                <w:b/>
              </w:rPr>
              <w:t xml:space="preserve">Crop condition and yield</w:t>
            </w:r>
          </w:p>
        </w:tc>
        <w:tc>
          <w:tcPr/>
          <w:p>
            <w:pPr>
              <w:pStyle w:val="Compact"/>
              <w:jc w:val="left"/>
            </w:pPr>
            <w:r>
              <w:t xml:space="preserve">NDVI/VCI profiles, LAI, fAPAR, crop models with RS inputs</w:t>
            </w:r>
          </w:p>
        </w:tc>
        <w:tc>
          <w:tcPr/>
          <w:p>
            <w:pPr>
              <w:pStyle w:val="Compact"/>
              <w:jc w:val="left"/>
            </w:pPr>
            <w:r>
              <w:t xml:space="preserve">Stress alerts, yield forecasts</w:t>
            </w:r>
          </w:p>
        </w:tc>
      </w:tr>
      <w:tr>
        <w:tc>
          <w:tcPr/>
          <w:p>
            <w:pPr>
              <w:pStyle w:val="Compact"/>
              <w:jc w:val="left"/>
            </w:pPr>
            <w:r>
              <w:rPr>
                <w:bCs/>
                <w:b/>
              </w:rPr>
              <w:t xml:space="preserve">Soil moisture and water resources</w:t>
            </w:r>
          </w:p>
        </w:tc>
        <w:tc>
          <w:tcPr/>
          <w:p>
            <w:pPr>
              <w:pStyle w:val="Compact"/>
              <w:jc w:val="left"/>
            </w:pPr>
            <w:r>
              <w:t xml:space="preserve">Microwave soil moisture, reservoir spread, irrigated area</w:t>
            </w:r>
          </w:p>
        </w:tc>
        <w:tc>
          <w:tcPr/>
          <w:p>
            <w:pPr>
              <w:pStyle w:val="Compact"/>
              <w:jc w:val="left"/>
            </w:pPr>
            <w:r>
              <w:t xml:space="preserve">Sowing window, irrigation scheduling</w:t>
            </w:r>
          </w:p>
        </w:tc>
      </w:tr>
      <w:tr>
        <w:tc>
          <w:tcPr/>
          <w:p>
            <w:pPr>
              <w:pStyle w:val="Compact"/>
              <w:jc w:val="left"/>
            </w:pPr>
            <w:r>
              <w:rPr>
                <w:bCs/>
                <w:b/>
              </w:rPr>
              <w:t xml:space="preserve">Agrometeorological parameters</w:t>
            </w:r>
          </w:p>
        </w:tc>
        <w:tc>
          <w:tcPr/>
          <w:p>
            <w:pPr>
              <w:pStyle w:val="Compact"/>
              <w:jc w:val="left"/>
            </w:pPr>
            <w:r>
              <w:t xml:space="preserve">LST, insolation, rainfall, ET</w:t>
            </w:r>
          </w:p>
        </w:tc>
        <w:tc>
          <w:tcPr/>
          <w:p>
            <w:pPr>
              <w:pStyle w:val="Compact"/>
              <w:jc w:val="left"/>
            </w:pPr>
            <w:r>
              <w:t xml:space="preserve">Frost/heat alerts, crop water requirement</w:t>
            </w:r>
          </w:p>
        </w:tc>
      </w:tr>
      <w:tr>
        <w:tc>
          <w:tcPr/>
          <w:p>
            <w:pPr>
              <w:pStyle w:val="Compact"/>
              <w:jc w:val="left"/>
            </w:pPr>
            <w:r>
              <w:rPr>
                <w:bCs/>
                <w:b/>
              </w:rPr>
              <w:t xml:space="preserve">Forest and vegetation</w:t>
            </w:r>
          </w:p>
        </w:tc>
        <w:tc>
          <w:tcPr/>
          <w:p>
            <w:pPr>
              <w:pStyle w:val="Compact"/>
              <w:jc w:val="left"/>
            </w:pPr>
            <w:r>
              <w:t xml:space="preserve">Forest cover, canopy density, fire detection</w:t>
            </w:r>
          </w:p>
        </w:tc>
        <w:tc>
          <w:tcPr/>
          <w:p>
            <w:pPr>
              <w:pStyle w:val="Compact"/>
              <w:jc w:val="left"/>
            </w:pPr>
            <w:r>
              <w:t xml:space="preserve">Fire warnings, grazing</w:t>
            </w:r>
          </w:p>
        </w:tc>
      </w:tr>
      <w:tr>
        <w:tc>
          <w:tcPr/>
          <w:p>
            <w:pPr>
              <w:pStyle w:val="Compact"/>
              <w:jc w:val="left"/>
            </w:pPr>
            <w:r>
              <w:rPr>
                <w:bCs/>
                <w:b/>
              </w:rPr>
              <w:t xml:space="preserve">Natural disasters</w:t>
            </w:r>
          </w:p>
        </w:tc>
        <w:tc>
          <w:tcPr/>
          <w:p>
            <w:pPr>
              <w:pStyle w:val="Compact"/>
              <w:jc w:val="left"/>
            </w:pPr>
            <w:r>
              <w:t xml:space="preserve">Flood inundation, cyclone tracks, drought extent</w:t>
            </w:r>
          </w:p>
        </w:tc>
        <w:tc>
          <w:tcPr/>
          <w:p>
            <w:pPr>
              <w:pStyle w:val="Compact"/>
              <w:jc w:val="left"/>
            </w:pPr>
            <w:r>
              <w:t xml:space="preserve">Contingency crop plans, relief</w:t>
            </w:r>
          </w:p>
        </w:tc>
      </w:tr>
      <w:tr>
        <w:tc>
          <w:tcPr/>
          <w:p>
            <w:pPr>
              <w:pStyle w:val="Compact"/>
              <w:jc w:val="left"/>
            </w:pPr>
            <w:r>
              <w:rPr>
                <w:bCs/>
                <w:b/>
              </w:rPr>
              <w:t xml:space="preserve">Pests and diseases</w:t>
            </w:r>
          </w:p>
        </w:tc>
        <w:tc>
          <w:tcPr/>
          <w:p>
            <w:pPr>
              <w:pStyle w:val="Compact"/>
              <w:jc w:val="left"/>
            </w:pPr>
            <w:r>
              <w:t xml:space="preserve">Weather-based risk with crop maps; vegetation anomalies; locust habitat</w:t>
            </w:r>
          </w:p>
        </w:tc>
        <w:tc>
          <w:tcPr/>
          <w:p>
            <w:pPr>
              <w:pStyle w:val="Compact"/>
              <w:jc w:val="left"/>
            </w:pPr>
            <w:r>
              <w:t xml:space="preserve">Spray advisories</w:t>
            </w:r>
          </w:p>
        </w:tc>
      </w:tr>
      <w:tr>
        <w:tc>
          <w:tcPr/>
          <w:p>
            <w:pPr>
              <w:pStyle w:val="Compact"/>
              <w:jc w:val="left"/>
            </w:pPr>
            <w:r>
              <w:rPr>
                <w:bCs/>
                <w:b/>
              </w:rPr>
              <w:t xml:space="preserve">Fisheries (allied)</w:t>
            </w:r>
          </w:p>
        </w:tc>
        <w:tc>
          <w:tcPr/>
          <w:p>
            <w:pPr>
              <w:pStyle w:val="Compact"/>
              <w:jc w:val="left"/>
            </w:pPr>
            <w:r>
              <w:t xml:space="preserve">SST and chlorophyll → potential fishing zones</w:t>
            </w:r>
          </w:p>
        </w:tc>
        <w:tc>
          <w:tcPr/>
          <w:p>
            <w:pPr>
              <w:pStyle w:val="Compact"/>
              <w:jc w:val="left"/>
            </w:pPr>
            <w:r>
              <w:t xml:space="preserve">PFZ advisories</w:t>
            </w:r>
          </w:p>
        </w:tc>
      </w:tr>
    </w:tbl>
    <w:p>
      <w:pPr>
        <w:pStyle w:val="BodyText"/>
      </w:pPr>
      <w:r>
        <w:rPr>
          <w:bCs/>
          <w:b/>
        </w:rPr>
        <w:t xml:space="preserve">Constraint:</w:t>
      </w:r>
      <w:r>
        <w:t xml:space="preserve"> </w:t>
      </w:r>
      <w:r>
        <w:t xml:space="preserve">optical data are often unavailable under monsoon clouds — mitigated by SAR, passive microwave and multi-sensor compositing.</w:t>
      </w:r>
    </w:p>
    <w:p>
      <w:pPr>
        <w:pStyle w:val="Heading3"/>
      </w:pPr>
      <w:r>
        <w:t xml:space="preserve">31.7.2 Potential Fishing Zone (PFZ) advisories — an example of RS-to-user service</w:t>
      </w:r>
    </w:p>
    <w:p>
      <w:pPr>
        <w:pStyle w:val="FirstParagraph"/>
      </w:pPr>
      <w:r>
        <w:t xml:space="preserve">Fish aggregate along</w:t>
      </w:r>
      <w:r>
        <w:t xml:space="preserve"> </w:t>
      </w:r>
      <w:r>
        <w:rPr>
          <w:bCs/>
          <w:b/>
        </w:rPr>
        <w:t xml:space="preserve">thermal fronts, eddies and upwelling zones</w:t>
      </w:r>
      <w:r>
        <w:t xml:space="preserve"> </w:t>
      </w:r>
      <w:r>
        <w:t xml:space="preserve">where nutrient-rich water supports plankton. Method (developed at SAC, operational at INCOIS):</w:t>
      </w:r>
    </w:p>
    <w:p>
      <w:pPr>
        <w:pStyle w:val="Compact"/>
        <w:numPr>
          <w:ilvl w:val="0"/>
          <w:numId w:val="1248"/>
        </w:numPr>
      </w:pPr>
      <w:r>
        <w:t xml:space="preserve">Composite NOAA-AVHRR (now also MODIS/OCM)</w:t>
      </w:r>
      <w:r>
        <w:t xml:space="preserve"> </w:t>
      </w:r>
      <w:r>
        <w:rPr>
          <w:bCs/>
          <w:b/>
        </w:rPr>
        <w:t xml:space="preserve">SST</w:t>
      </w:r>
      <w:r>
        <w:t xml:space="preserve"> </w:t>
      </w:r>
      <w:r>
        <w:t xml:space="preserve">over 3–4 days; stretch to maximise contrast; produce relative thermal-gradient images (to ~1 °C).</w:t>
      </w:r>
    </w:p>
    <w:p>
      <w:pPr>
        <w:pStyle w:val="Compact"/>
        <w:numPr>
          <w:ilvl w:val="0"/>
          <w:numId w:val="1248"/>
        </w:numPr>
      </w:pPr>
      <w:r>
        <w:t xml:space="preserve">Identify thermal boundaries, gradients, eddies, upwelling; add</w:t>
      </w:r>
      <w:r>
        <w:t xml:space="preserve"> </w:t>
      </w:r>
      <w:r>
        <w:rPr>
          <w:bCs/>
          <w:b/>
        </w:rPr>
        <w:t xml:space="preserve">chlorophyll</w:t>
      </w:r>
      <w:r>
        <w:t xml:space="preserve"> </w:t>
      </w:r>
      <w:r>
        <w:t xml:space="preserve">(ocean colour) features.</w:t>
      </w:r>
    </w:p>
    <w:p>
      <w:pPr>
        <w:pStyle w:val="Compact"/>
        <w:numPr>
          <w:ilvl w:val="0"/>
          <w:numId w:val="1248"/>
        </w:numPr>
      </w:pPr>
      <w:r>
        <w:t xml:space="preserve">Transfer features to coastal sector maps; compute distance (km), depth (m) and bearing (degrees from north) from each fishing centre.</w:t>
      </w:r>
    </w:p>
    <w:p>
      <w:pPr>
        <w:pStyle w:val="Compact"/>
        <w:numPr>
          <w:ilvl w:val="0"/>
          <w:numId w:val="1248"/>
        </w:numPr>
      </w:pPr>
      <w:r>
        <w:t xml:space="preserve">Disseminate in local languages by radio, SMS, display boards, apps — reducing search time and fuel, increasing catch.</w:t>
      </w:r>
    </w:p>
    <w:p>
      <w:pPr>
        <w:pStyle w:val="Heading3"/>
      </w:pPr>
      <w:r>
        <w:t xml:space="preserve">31.7.3 Hazard and crop-protection advisories</w:t>
      </w:r>
    </w:p>
    <w:p>
      <w:pPr>
        <w:pStyle w:val="Compact"/>
        <w:numPr>
          <w:ilvl w:val="0"/>
          <w:numId w:val="1249"/>
        </w:numPr>
      </w:pPr>
      <w:r>
        <w:rPr>
          <w:bCs/>
          <w:b/>
        </w:rPr>
        <w:t xml:space="preserve">Floods and cyclones:</w:t>
      </w:r>
      <w:r>
        <w:t xml:space="preserve"> </w:t>
      </w:r>
      <w:r>
        <w:t xml:space="preserve">inundation maps and damage assessment guide re-sowing and relief.</w:t>
      </w:r>
    </w:p>
    <w:p>
      <w:pPr>
        <w:pStyle w:val="Compact"/>
        <w:numPr>
          <w:ilvl w:val="0"/>
          <w:numId w:val="1249"/>
        </w:numPr>
      </w:pPr>
      <w:r>
        <w:rPr>
          <w:bCs/>
          <w:b/>
        </w:rPr>
        <w:t xml:space="preserve">Drought:</w:t>
      </w:r>
      <w:r>
        <w:t xml:space="preserve"> </w:t>
      </w:r>
      <w:r>
        <w:t xml:space="preserve">NADAMS-type vegetation and moisture indices (NDVI, VCI, NDWI) → contingency crop planning.</w:t>
      </w:r>
    </w:p>
    <w:p>
      <w:pPr>
        <w:pStyle w:val="Compact"/>
        <w:numPr>
          <w:ilvl w:val="0"/>
          <w:numId w:val="1249"/>
        </w:numPr>
      </w:pPr>
      <w:r>
        <w:rPr>
          <w:bCs/>
          <w:b/>
        </w:rPr>
        <w:t xml:space="preserve">Forest fires:</w:t>
      </w:r>
      <w:r>
        <w:t xml:space="preserve"> </w:t>
      </w:r>
      <w:r>
        <w:t xml:space="preserve">active-fire and risk maps (dry fuels, temperature, humidity).</w:t>
      </w:r>
    </w:p>
    <w:p>
      <w:pPr>
        <w:pStyle w:val="Compact"/>
        <w:numPr>
          <w:ilvl w:val="0"/>
          <w:numId w:val="1249"/>
        </w:numPr>
      </w:pPr>
      <w:r>
        <w:rPr>
          <w:bCs/>
          <w:b/>
        </w:rPr>
        <w:t xml:space="preserve">Pests and diseases:</w:t>
      </w:r>
      <w:r>
        <w:t xml:space="preserve"> </w:t>
      </w:r>
      <w:r>
        <w:t xml:space="preserve">weather conditions (temperature, humidity, sunshine, wind, cloud, cold-cloud duration as a rainfall surrogate) drive pest and pathogen development; examples include wheat rust forecasting with satellite cloud information, coconut wilt detection by colour-infrared photography, brown plant hopper outbreaks in rice associated with synoptic disturbances and intensive irrigation/fertilisation, and</w:t>
      </w:r>
      <w:r>
        <w:t xml:space="preserve"> </w:t>
      </w:r>
      <w:r>
        <w:rPr>
          <w:bCs/>
          <w:b/>
        </w:rPr>
        <w:t xml:space="preserve">desert locust</w:t>
      </w:r>
      <w:r>
        <w:t xml:space="preserve"> </w:t>
      </w:r>
      <w:r>
        <w:t xml:space="preserve">habitat monitoring (vegetation greenness + soil moisture + rainfall).</w:t>
      </w:r>
    </w:p>
    <w:p>
      <w:pPr>
        <w:pStyle w:val="Heading3"/>
      </w:pPr>
      <w:r>
        <w:t xml:space="preserve">31.7.4 Delivering information to users</w:t>
      </w:r>
    </w:p>
    <w:p>
      <w:pPr>
        <w:pStyle w:val="FirstParagraph"/>
      </w:pPr>
      <w:r>
        <w:t xml:space="preserve">Agromet information is rarely a finished product; it is combined with forecasts and remote sensing (soil wetness, NDVI, pest risk, irrigated area, fires). Effective delivery needs:</w:t>
      </w:r>
    </w:p>
    <w:p>
      <w:pPr>
        <w:pStyle w:val="Compact"/>
        <w:numPr>
          <w:ilvl w:val="0"/>
          <w:numId w:val="1250"/>
        </w:numPr>
      </w:pPr>
      <w:r>
        <w:rPr>
          <w:bCs/>
          <w:b/>
        </w:rPr>
        <w:t xml:space="preserve">clearly defined users</w:t>
      </w:r>
      <w:r>
        <w:t xml:space="preserve"> </w:t>
      </w:r>
      <w:r>
        <w:t xml:space="preserve">and</w:t>
      </w:r>
      <w:r>
        <w:t xml:space="preserve"> </w:t>
      </w:r>
      <w:r>
        <w:rPr>
          <w:bCs/>
          <w:b/>
        </w:rPr>
        <w:t xml:space="preserve">user-friendly content</w:t>
      </w:r>
      <w:r>
        <w:t xml:space="preserve"> </w:t>
      </w:r>
      <w:r>
        <w:t xml:space="preserve">(local language, crop-specific actions);</w:t>
      </w:r>
    </w:p>
    <w:p>
      <w:pPr>
        <w:pStyle w:val="Compact"/>
        <w:numPr>
          <w:ilvl w:val="0"/>
          <w:numId w:val="1250"/>
        </w:numPr>
      </w:pPr>
      <w:r>
        <w:rPr>
          <w:bCs/>
          <w:b/>
        </w:rPr>
        <w:t xml:space="preserve">timeliness</w:t>
      </w:r>
      <w:r>
        <w:t xml:space="preserve"> </w:t>
      </w:r>
      <w:r>
        <w:t xml:space="preserve">— information must reach users early enough to act on;</w:t>
      </w:r>
    </w:p>
    <w:p>
      <w:pPr>
        <w:pStyle w:val="Compact"/>
        <w:numPr>
          <w:ilvl w:val="0"/>
          <w:numId w:val="1250"/>
        </w:numPr>
      </w:pPr>
      <w:r>
        <w:rPr>
          <w:bCs/>
          <w:b/>
        </w:rPr>
        <w:t xml:space="preserve">cooperation</w:t>
      </w:r>
      <w:r>
        <w:t xml:space="preserve"> </w:t>
      </w:r>
      <w:r>
        <w:t xml:space="preserve">between producers (IMD, ISRO, SAUs, KVKs) and users;</w:t>
      </w:r>
    </w:p>
    <w:p>
      <w:pPr>
        <w:pStyle w:val="Compact"/>
        <w:numPr>
          <w:ilvl w:val="0"/>
          <w:numId w:val="1250"/>
        </w:numPr>
      </w:pPr>
      <w:r>
        <w:rPr>
          <w:bCs/>
          <w:b/>
        </w:rPr>
        <w:t xml:space="preserve">training</w:t>
      </w:r>
      <w:r>
        <w:t xml:space="preserve"> </w:t>
      </w:r>
      <w:r>
        <w:t xml:space="preserve">of intermediaries;</w:t>
      </w:r>
    </w:p>
    <w:p>
      <w:pPr>
        <w:pStyle w:val="Compact"/>
        <w:numPr>
          <w:ilvl w:val="0"/>
          <w:numId w:val="1250"/>
        </w:numPr>
      </w:pPr>
      <w:r>
        <w:rPr>
          <w:bCs/>
          <w:b/>
        </w:rPr>
        <w:t xml:space="preserve">two-way feedback</w:t>
      </w:r>
      <w:r>
        <w:t xml:space="preserve"> </w:t>
      </w:r>
      <w:r>
        <w:t xml:space="preserve">— surveys, open forums, phone/e-mail/app feedback to adapt products to changing needs.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Strength</w:t>
            </w:r>
          </w:p>
        </w:tc>
        <w:tc>
          <w:tcPr/>
          <w:p>
            <w:pPr>
              <w:pStyle w:val="Compact"/>
              <w:jc w:val="left"/>
            </w:pPr>
            <w:r>
              <w:t xml:space="preserve">Limitation</w:t>
            </w:r>
          </w:p>
        </w:tc>
      </w:tr>
      <w:tr>
        <w:tc>
          <w:tcPr/>
          <w:p>
            <w:pPr>
              <w:pStyle w:val="Compact"/>
              <w:jc w:val="left"/>
            </w:pPr>
            <w:r>
              <w:t xml:space="preserve">Printed bulletins (post)</w:t>
            </w:r>
          </w:p>
        </w:tc>
        <w:tc>
          <w:tcPr/>
          <w:p>
            <w:pPr>
              <w:pStyle w:val="Compact"/>
              <w:jc w:val="left"/>
            </w:pPr>
            <w:r>
              <w:t xml:space="preserve">Detailed text and graphics</w:t>
            </w:r>
          </w:p>
        </w:tc>
        <w:tc>
          <w:tcPr/>
          <w:p>
            <w:pPr>
              <w:pStyle w:val="Compact"/>
              <w:jc w:val="left"/>
            </w:pPr>
            <w:r>
              <w:t xml:space="preserve">Slow</w:t>
            </w:r>
          </w:p>
        </w:tc>
      </w:tr>
      <w:tr>
        <w:tc>
          <w:tcPr/>
          <w:p>
            <w:pPr>
              <w:pStyle w:val="Compact"/>
              <w:jc w:val="left"/>
            </w:pPr>
            <w:r>
              <w:t xml:space="preserve">Radio, TV</w:t>
            </w:r>
          </w:p>
        </w:tc>
        <w:tc>
          <w:tcPr/>
          <w:p>
            <w:pPr>
              <w:pStyle w:val="Compact"/>
              <w:jc w:val="left"/>
            </w:pPr>
            <w:r>
              <w:t xml:space="preserve">Rapid, wide reach</w:t>
            </w:r>
          </w:p>
        </w:tc>
        <w:tc>
          <w:tcPr/>
          <w:p>
            <w:pPr>
              <w:pStyle w:val="Compact"/>
              <w:jc w:val="left"/>
            </w:pPr>
            <w:r>
              <w:t xml:space="preserve">Limited detail</w:t>
            </w:r>
          </w:p>
        </w:tc>
      </w:tr>
      <w:tr>
        <w:tc>
          <w:tcPr/>
          <w:p>
            <w:pPr>
              <w:pStyle w:val="Compact"/>
              <w:jc w:val="left"/>
            </w:pPr>
            <w:r>
              <w:t xml:space="preserve">SMS / voice (mKisan, Kisan call centre)</w:t>
            </w:r>
          </w:p>
        </w:tc>
        <w:tc>
          <w:tcPr/>
          <w:p>
            <w:pPr>
              <w:pStyle w:val="Compact"/>
              <w:jc w:val="left"/>
            </w:pPr>
            <w:r>
              <w:t xml:space="preserve">Personalised, fast</w:t>
            </w:r>
          </w:p>
        </w:tc>
        <w:tc>
          <w:tcPr/>
          <w:p>
            <w:pPr>
              <w:pStyle w:val="Compact"/>
              <w:jc w:val="left"/>
            </w:pPr>
            <w:r>
              <w:t xml:space="preserve">Short messages</w:t>
            </w:r>
          </w:p>
        </w:tc>
      </w:tr>
      <w:tr>
        <w:tc>
          <w:tcPr/>
          <w:p>
            <w:pPr>
              <w:pStyle w:val="Compact"/>
              <w:jc w:val="left"/>
            </w:pPr>
            <w:r>
              <w:t xml:space="preserve">Internet / apps (Meghdoot, Mausam, Damini, Kisan Suvidha)</w:t>
            </w:r>
          </w:p>
        </w:tc>
        <w:tc>
          <w:tcPr/>
          <w:p>
            <w:pPr>
              <w:pStyle w:val="Compact"/>
              <w:jc w:val="left"/>
            </w:pPr>
            <w:r>
              <w:t xml:space="preserve">Detailed + rapid + interactive</w:t>
            </w:r>
          </w:p>
        </w:tc>
        <w:tc>
          <w:tcPr/>
          <w:p>
            <w:pPr>
              <w:pStyle w:val="Compact"/>
              <w:jc w:val="left"/>
            </w:pPr>
            <w:r>
              <w:t xml:space="preserve">Connectivity and literacy gaps</w:t>
            </w:r>
          </w:p>
        </w:tc>
      </w:tr>
      <w:tr>
        <w:tc>
          <w:tcPr/>
          <w:p>
            <w:pPr>
              <w:pStyle w:val="Compact"/>
              <w:jc w:val="left"/>
            </w:pPr>
            <w:r>
              <w:t xml:space="preserve">KVK/farmer groups, WhatsApp</w:t>
            </w:r>
          </w:p>
        </w:tc>
        <w:tc>
          <w:tcPr/>
          <w:p>
            <w:pPr>
              <w:pStyle w:val="Compact"/>
              <w:jc w:val="left"/>
            </w:pPr>
            <w:r>
              <w:t xml:space="preserve">Trusted, interactive</w:t>
            </w:r>
          </w:p>
        </w:tc>
        <w:tc>
          <w:tcPr/>
          <w:p>
            <w:pPr>
              <w:pStyle w:val="Compact"/>
              <w:jc w:val="left"/>
            </w:pPr>
            <w:r>
              <w:t xml:space="preserve">Coverage effort</w:t>
            </w:r>
          </w:p>
        </w:tc>
      </w:tr>
    </w:tbl>
    <w:p>
      <w:pPr>
        <w:pStyle w:val="BodyText"/>
      </w:pPr>
      <w:r>
        <w:t xml:space="preserve">IMD’s</w:t>
      </w:r>
      <w:r>
        <w:t xml:space="preserve"> </w:t>
      </w:r>
      <w:r>
        <w:rPr>
          <w:bCs/>
          <w:b/>
        </w:rPr>
        <w:t xml:space="preserve">GKMS</w:t>
      </w:r>
      <w:r>
        <w:t xml:space="preserve"> </w:t>
      </w:r>
      <w:r>
        <w:t xml:space="preserve">district/block advisories, described in the following sections, are the operational backbone; ISRO supplies satellite products through MOSDAC, VEDAS and Bhuvan.</w:t>
      </w:r>
    </w:p>
    <w:p>
      <w:pPr>
        <w:pStyle w:val="Heading3"/>
      </w:pPr>
      <w:r>
        <w:t xml:space="preserve">31.7.5 Likely interview questions</w:t>
      </w:r>
    </w:p>
    <w:p>
      <w:pPr>
        <w:pStyle w:val="FirstParagraph"/>
      </w:pPr>
      <w:r>
        <w:rPr>
          <w:bCs/>
          <w:b/>
        </w:rPr>
        <w:t xml:space="preserve">Q. How are potential fishing zones identified from satellites?</w:t>
      </w:r>
      <w:r>
        <w:t xml:space="preserve"> </w:t>
      </w:r>
      <w:r>
        <w:t xml:space="preserve">SST thermal fronts, eddies and upwelling (AVHRR/MODIS) plus chlorophyll from ocean colour; features mapped relative to fishing centres and disseminated.</w:t>
      </w:r>
    </w:p>
    <w:p>
      <w:pPr>
        <w:pStyle w:val="BodyText"/>
      </w:pPr>
      <w:r>
        <w:rPr>
          <w:bCs/>
          <w:b/>
        </w:rPr>
        <w:t xml:space="preserve">Q. What makes an agromet advisory effective?</w:t>
      </w:r>
      <w:r>
        <w:t xml:space="preserve"> </w:t>
      </w:r>
      <w:r>
        <w:t xml:space="preserve">Timely, location- and crop-specific, actionable, in local language, through accessible channels, with user feedback.</w:t>
      </w:r>
    </w:p>
    <w:p>
      <w:pPr>
        <w:pStyle w:val="BodyText"/>
      </w:pPr>
      <w:r>
        <w:rPr>
          <w:bCs/>
          <w:b/>
        </w:rPr>
        <w:t xml:space="preserve">Q. What RS inputs help pest advisories?</w:t>
      </w:r>
      <w:r>
        <w:t xml:space="preserve"> </w:t>
      </w:r>
      <w:r>
        <w:t xml:space="preserve">Crop maps, weather-derived conditions (temperature, humidity, cloud/rain proxies), vegetation anomalies and habitat maps (locust).</w:t>
      </w:r>
    </w:p>
    <w:p>
      <w:pPr>
        <w:pStyle w:val="Heading1"/>
      </w:pPr>
      <w:r>
        <w:t xml:space="preserve">Chapter 32. Drought: Types, Stages, Indicators and Assessment</w:t>
      </w:r>
    </w:p>
    <w:p>
      <w:pPr>
        <w:pStyle w:val="Heading2"/>
      </w:pPr>
      <w:r>
        <w:t xml:space="preserve">32.1 What Is Drought?</w:t>
      </w:r>
    </w:p>
    <w:p>
      <w:pPr>
        <w:pStyle w:val="FirstParagraph"/>
      </w:pPr>
      <w:r>
        <w:rPr>
          <w:bCs/>
          <w:b/>
        </w:rPr>
        <w:t xml:space="preserve">Drought</w:t>
      </w:r>
      <w:r>
        <w:t xml:space="preserve"> </w:t>
      </w:r>
      <w:r>
        <w:t xml:space="preserve">is a recurring, temporary condition of below-normal water availability relative to the normal for a region, of sufficient duration and severity to cause hydrological imbalance and adverse impacts. It differs from</w:t>
      </w:r>
      <w:r>
        <w:t xml:space="preserve"> </w:t>
      </w:r>
      <w:r>
        <w:rPr>
          <w:bCs/>
          <w:b/>
        </w:rPr>
        <w:t xml:space="preserve">aridity</w:t>
      </w:r>
      <w:r>
        <w:t xml:space="preserve">, which is a permanent climatic feature. Drought is a</w:t>
      </w:r>
      <w:r>
        <w:t xml:space="preserve"> </w:t>
      </w:r>
      <w:r>
        <w:t xml:space="preserve">“</w:t>
      </w:r>
      <w:r>
        <w:t xml:space="preserve">creeping disaster</w:t>
      </w:r>
      <w:r>
        <w:t xml:space="preserve">”</w:t>
      </w:r>
      <w:r>
        <w:t xml:space="preserve"> </w:t>
      </w:r>
      <w:r>
        <w:t xml:space="preserve">— slow onset, hard-to-define start and end, wide spatial extent and diffuse, long-lasting impacts. Globally droughts have affected more people than any other natural hazard.</w:t>
      </w:r>
    </w:p>
    <w:p>
      <w:pPr>
        <w:pStyle w:val="Heading2"/>
      </w:pPr>
      <w:r>
        <w:t xml:space="preserve">32.2 Types of Drought</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Definition</w:t>
            </w:r>
          </w:p>
        </w:tc>
        <w:tc>
          <w:tcPr/>
          <w:p>
            <w:pPr>
              <w:pStyle w:val="Compact"/>
              <w:jc w:val="left"/>
            </w:pPr>
            <w:r>
              <w:t xml:space="preserve">Indian operational criteria / indicators</w:t>
            </w:r>
          </w:p>
        </w:tc>
      </w:tr>
      <w:tr>
        <w:tc>
          <w:tcPr/>
          <w:p>
            <w:pPr>
              <w:pStyle w:val="Compact"/>
              <w:jc w:val="left"/>
            </w:pPr>
            <w:r>
              <w:rPr>
                <w:bCs/>
                <w:b/>
              </w:rPr>
              <w:t xml:space="preserve">Meteorological</w:t>
            </w:r>
          </w:p>
        </w:tc>
        <w:tc>
          <w:tcPr/>
          <w:p>
            <w:pPr>
              <w:pStyle w:val="Compact"/>
              <w:jc w:val="left"/>
            </w:pPr>
            <w:r>
              <w:t xml:space="preserve">Rainfall deficiency relative to normal over a period</w:t>
            </w:r>
          </w:p>
        </w:tc>
        <w:tc>
          <w:tcPr/>
          <w:p>
            <w:pPr>
              <w:pStyle w:val="Compact"/>
              <w:jc w:val="left"/>
            </w:pPr>
            <w:r>
              <w:t xml:space="preserve">IMD: seasonal/weekly rainfall departure —</w:t>
            </w:r>
            <w:r>
              <w:t xml:space="preserve"> </w:t>
            </w:r>
            <w:r>
              <w:rPr>
                <w:bCs/>
                <w:b/>
              </w:rPr>
              <w:t xml:space="preserve">deficient: −20% to −59%; large deficient: ≤ −60%</w:t>
            </w:r>
            <w:r>
              <w:t xml:space="preserve"> </w:t>
            </w:r>
            <w:r>
              <w:t xml:space="preserve">(−99% to −60%); country-level</w:t>
            </w:r>
            <w:r>
              <w:t xml:space="preserve"> </w:t>
            </w:r>
            <w:r>
              <w:t xml:space="preserve">“</w:t>
            </w:r>
            <w:r>
              <w:t xml:space="preserve">drought year</w:t>
            </w:r>
            <w:r>
              <w:t xml:space="preserve">”</w:t>
            </w:r>
            <w:r>
              <w:t xml:space="preserve"> </w:t>
            </w:r>
            <w:r>
              <w:t xml:space="preserve">when all-India monsoon rainfall deficit &gt; 10% and &gt; 20–40% of area under drought (moderate/severe drought years by area)</w:t>
            </w:r>
          </w:p>
        </w:tc>
      </w:tr>
      <w:tr>
        <w:tc>
          <w:tcPr/>
          <w:p>
            <w:pPr>
              <w:pStyle w:val="Compact"/>
              <w:jc w:val="left"/>
            </w:pPr>
            <w:r>
              <w:rPr>
                <w:bCs/>
                <w:b/>
              </w:rPr>
              <w:t xml:space="preserve">Agricultural</w:t>
            </w:r>
          </w:p>
        </w:tc>
        <w:tc>
          <w:tcPr/>
          <w:p>
            <w:pPr>
              <w:pStyle w:val="Compact"/>
              <w:jc w:val="left"/>
            </w:pPr>
            <w:r>
              <w:t xml:space="preserve">Soil moisture insufficient for crop needs at critical stages, reducing yield</w:t>
            </w:r>
          </w:p>
        </w:tc>
        <w:tc>
          <w:tcPr/>
          <w:p>
            <w:pPr>
              <w:pStyle w:val="Compact"/>
              <w:jc w:val="left"/>
            </w:pPr>
            <w:r>
              <w:t xml:space="preserve">Soil moisture, crop condition (NDVI/VCI), moisture adequacy index (MAI), sown area, ET deficit</w:t>
            </w:r>
          </w:p>
        </w:tc>
      </w:tr>
      <w:tr>
        <w:tc>
          <w:tcPr/>
          <w:p>
            <w:pPr>
              <w:pStyle w:val="Compact"/>
              <w:jc w:val="left"/>
            </w:pPr>
            <w:r>
              <w:rPr>
                <w:bCs/>
                <w:b/>
              </w:rPr>
              <w:t xml:space="preserve">Hydrological</w:t>
            </w:r>
          </w:p>
        </w:tc>
        <w:tc>
          <w:tcPr/>
          <w:p>
            <w:pPr>
              <w:pStyle w:val="Compact"/>
              <w:jc w:val="left"/>
            </w:pPr>
            <w:r>
              <w:t xml:space="preserve">Deficits in streamflow, reservoir, lake and groundwater storage</w:t>
            </w:r>
          </w:p>
        </w:tc>
        <w:tc>
          <w:tcPr/>
          <w:p>
            <w:pPr>
              <w:pStyle w:val="Compact"/>
              <w:jc w:val="left"/>
            </w:pPr>
            <w:r>
              <w:t xml:space="preserve">Reservoir levels, streamflow, groundwater depth, SWSI, SRI</w:t>
            </w:r>
          </w:p>
        </w:tc>
      </w:tr>
      <w:tr>
        <w:tc>
          <w:tcPr/>
          <w:p>
            <w:pPr>
              <w:pStyle w:val="Compact"/>
              <w:jc w:val="left"/>
            </w:pPr>
            <w:r>
              <w:rPr>
                <w:bCs/>
                <w:b/>
              </w:rPr>
              <w:t xml:space="preserve">Socio-economic</w:t>
            </w:r>
          </w:p>
        </w:tc>
        <w:tc>
          <w:tcPr/>
          <w:p>
            <w:pPr>
              <w:pStyle w:val="Compact"/>
              <w:jc w:val="left"/>
            </w:pPr>
            <w:r>
              <w:t xml:space="preserve">Water supply fails to meet demand for an economic good; human/livestock impacts</w:t>
            </w:r>
          </w:p>
        </w:tc>
        <w:tc>
          <w:tcPr/>
          <w:p>
            <w:pPr>
              <w:pStyle w:val="Compact"/>
              <w:jc w:val="left"/>
            </w:pPr>
            <w:r>
              <w:t xml:space="preserve">Food prices, employment demand (MGNREGA), migration, fodder scarcity</w:t>
            </w:r>
          </w:p>
        </w:tc>
      </w:tr>
      <w:tr>
        <w:tc>
          <w:tcPr/>
          <w:p>
            <w:pPr>
              <w:pStyle w:val="Compact"/>
              <w:jc w:val="left"/>
            </w:pPr>
            <w:r>
              <w:t xml:space="preserve">(Ecological)</w:t>
            </w:r>
          </w:p>
        </w:tc>
        <w:tc>
          <w:tcPr/>
          <w:p>
            <w:pPr>
              <w:pStyle w:val="Compact"/>
              <w:jc w:val="left"/>
            </w:pPr>
            <w:r>
              <w:t xml:space="preserve">Prolonged deficits stressing ecosystems</w:t>
            </w:r>
          </w:p>
        </w:tc>
        <w:tc>
          <w:tcPr/>
          <w:p>
            <w:pPr>
              <w:pStyle w:val="Compact"/>
              <w:jc w:val="left"/>
            </w:pPr>
            <w:r>
              <w:t xml:space="preserve">Vegetation die-back, fires</w:t>
            </w:r>
          </w:p>
        </w:tc>
      </w:tr>
    </w:tbl>
    <w:p>
      <w:pPr>
        <w:pStyle w:val="BodyText"/>
      </w:pPr>
      <w:r>
        <w:rPr>
          <w:bCs/>
          <w:b/>
        </w:rPr>
        <w:t xml:space="preserve">Propagation:</w:t>
      </w:r>
      <w:r>
        <w:t xml:space="preserve"> </w:t>
      </w:r>
      <w:r>
        <w:t xml:space="preserve">precipitation deficit → soil moisture deficit (agricultural drought, weeks) → reduced recharge, runoff, reservoir inflow (hydrological drought, months) → economic, social and environmental impacts. Recovery follows in the same sequence, so hydrological drought can persist after rains return.</w:t>
      </w:r>
    </w:p>
    <w:p>
      <w:pPr>
        <w:pStyle w:val="CaptionedFigure"/>
      </w:pPr>
      <w:r>
        <w:drawing>
          <wp:inline>
            <wp:extent cx="5334000" cy="2987039"/>
            <wp:effectExtent b="0" l="0" r="0" t="0"/>
            <wp:docPr descr="Propagation of drought" title="" id="108" name="Picture"/>
            <a:graphic>
              <a:graphicData uri="http://schemas.openxmlformats.org/drawingml/2006/picture">
                <pic:pic>
                  <pic:nvPicPr>
                    <pic:cNvPr descr="/tmp/claude-0/-home-user-sonu/ab07c29a-21cd-5a4a-9d2d-68ad72d07153/scratchpad/build/../flows/flow_023.png" id="109" name="Picture"/>
                    <pic:cNvPicPr>
                      <a:picLocks noChangeArrowheads="1" noChangeAspect="1"/>
                    </pic:cNvPicPr>
                  </pic:nvPicPr>
                  <pic:blipFill>
                    <a:blip r:embed="rId107"/>
                    <a:stretch>
                      <a:fillRect/>
                    </a:stretch>
                  </pic:blipFill>
                  <pic:spPr bwMode="auto">
                    <a:xfrm>
                      <a:off x="0" y="0"/>
                      <a:ext cx="5334000" cy="2987039"/>
                    </a:xfrm>
                    <a:prstGeom prst="rect">
                      <a:avLst/>
                    </a:prstGeom>
                    <a:noFill/>
                    <a:ln w="9525">
                      <a:noFill/>
                      <a:headEnd/>
                      <a:tailEnd/>
                    </a:ln>
                  </pic:spPr>
                </pic:pic>
              </a:graphicData>
            </a:graphic>
          </wp:inline>
        </w:drawing>
      </w:r>
    </w:p>
    <w:p>
      <w:pPr>
        <w:pStyle w:val="ImageCaption"/>
      </w:pPr>
      <w:r>
        <w:t xml:space="preserve">Propagation of drought</w:t>
      </w:r>
    </w:p>
    <w:p>
      <w:pPr>
        <w:pStyle w:val="Heading2"/>
      </w:pPr>
      <w:r>
        <w:t xml:space="preserve">32.3 Stages of Drought</w:t>
      </w:r>
    </w:p>
    <w:p>
      <w:pPr>
        <w:pStyle w:val="Compact"/>
        <w:numPr>
          <w:ilvl w:val="0"/>
          <w:numId w:val="1251"/>
        </w:numPr>
      </w:pPr>
      <w:r>
        <w:rPr>
          <w:bCs/>
          <w:b/>
        </w:rPr>
        <w:t xml:space="preserve">Onset / early stage (incipient):</w:t>
      </w:r>
      <w:r>
        <w:t xml:space="preserve"> </w:t>
      </w:r>
      <w:r>
        <w:t xml:space="preserve">rainfall deficit begins; soil moisture declines; early-warning indicators (SPI, delayed onset, long dry spells).</w:t>
      </w:r>
    </w:p>
    <w:p>
      <w:pPr>
        <w:pStyle w:val="Compact"/>
        <w:numPr>
          <w:ilvl w:val="0"/>
          <w:numId w:val="1251"/>
        </w:numPr>
      </w:pPr>
      <w:r>
        <w:rPr>
          <w:bCs/>
          <w:b/>
        </w:rPr>
        <w:t xml:space="preserve">Development / intensification:</w:t>
      </w:r>
      <w:r>
        <w:t xml:space="preserve"> </w:t>
      </w:r>
      <w:r>
        <w:t xml:space="preserve">crop stress visible (NDVI/VCI falls), sowing delayed or failed, reservoir drawdown.</w:t>
      </w:r>
    </w:p>
    <w:p>
      <w:pPr>
        <w:pStyle w:val="Compact"/>
        <w:numPr>
          <w:ilvl w:val="0"/>
          <w:numId w:val="1251"/>
        </w:numPr>
      </w:pPr>
      <w:r>
        <w:rPr>
          <w:bCs/>
          <w:b/>
        </w:rPr>
        <w:t xml:space="preserve">Peak / severe:</w:t>
      </w:r>
      <w:r>
        <w:t xml:space="preserve"> </w:t>
      </w:r>
      <w:r>
        <w:t xml:space="preserve">widespread crop failure, drinking water and fodder shortage, hydrological impacts.</w:t>
      </w:r>
    </w:p>
    <w:p>
      <w:pPr>
        <w:pStyle w:val="Compact"/>
        <w:numPr>
          <w:ilvl w:val="0"/>
          <w:numId w:val="1251"/>
        </w:numPr>
      </w:pPr>
      <w:r>
        <w:rPr>
          <w:bCs/>
          <w:b/>
        </w:rPr>
        <w:t xml:space="preserve">Recovery:</w:t>
      </w:r>
      <w:r>
        <w:t xml:space="preserve"> </w:t>
      </w:r>
      <w:r>
        <w:t xml:space="preserve">rains return; soil moisture recovers first, groundwater and reservoirs last.</w:t>
      </w:r>
    </w:p>
    <w:p>
      <w:pPr>
        <w:pStyle w:val="FirstParagraph"/>
      </w:pPr>
      <w:r>
        <w:t xml:space="preserve">In management terms (Manual for Drought Management) drought is monitored, declared (</w:t>
      </w:r>
      <w:r>
        <w:t xml:space="preserve">“</w:t>
      </w:r>
      <w:r>
        <w:rPr>
          <w:bCs/>
          <w:b/>
        </w:rPr>
        <w:t xml:space="preserve">watch → alert → emergency</w:t>
      </w:r>
      <w:r>
        <w:t xml:space="preserve">”</w:t>
      </w:r>
      <w:r>
        <w:t xml:space="preserve"> </w:t>
      </w:r>
      <w:r>
        <w:t xml:space="preserve">for local alerts) and managed through phases:</w:t>
      </w:r>
      <w:r>
        <w:t xml:space="preserve"> </w:t>
      </w:r>
      <w:r>
        <w:rPr>
          <w:bCs/>
          <w:b/>
        </w:rPr>
        <w:t xml:space="preserve">preparedness → monitoring/early warning → declaration → response/relief → recovery and mitigation</w:t>
      </w:r>
      <w:r>
        <w:t xml:space="preserve">.</w:t>
      </w:r>
    </w:p>
    <w:p>
      <w:pPr>
        <w:pStyle w:val="Heading2"/>
      </w:pPr>
      <w:r>
        <w:t xml:space="preserve">32.4 Drought Indicators and Indices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Index</w:t>
            </w:r>
          </w:p>
        </w:tc>
        <w:tc>
          <w:tcPr/>
          <w:p>
            <w:pPr>
              <w:pStyle w:val="Compact"/>
              <w:jc w:val="left"/>
            </w:pPr>
            <w:r>
              <w:t xml:space="preserve">Basis</w:t>
            </w:r>
          </w:p>
        </w:tc>
        <w:tc>
          <w:tcPr/>
          <w:p>
            <w:pPr>
              <w:pStyle w:val="Compact"/>
              <w:jc w:val="left"/>
            </w:pPr>
            <w:r>
              <w:t xml:space="preserve">Notes</w:t>
            </w:r>
          </w:p>
        </w:tc>
      </w:tr>
      <w:tr>
        <w:tc>
          <w:tcPr/>
          <w:p>
            <w:pPr>
              <w:pStyle w:val="Compact"/>
              <w:jc w:val="left"/>
            </w:pPr>
            <w:r>
              <w:rPr>
                <w:bCs/>
                <w:b/>
              </w:rPr>
              <w:t xml:space="preserve">Percent of normal / rainfall departure</w:t>
            </w:r>
          </w:p>
        </w:tc>
        <w:tc>
          <w:tcPr/>
          <w:p>
            <w:pPr>
              <w:pStyle w:val="Compact"/>
              <w:jc w:val="left"/>
            </w:pPr>
            <w:r>
              <w:t xml:space="preserve">Rainfall vs. LPA</w:t>
            </w:r>
          </w:p>
        </w:tc>
        <w:tc>
          <w:tcPr/>
          <w:p>
            <w:pPr>
              <w:pStyle w:val="Compact"/>
              <w:jc w:val="left"/>
            </w:pPr>
            <w:r>
              <w:t xml:space="preserve">Simple; IMD categories</w:t>
            </w:r>
          </w:p>
        </w:tc>
      </w:tr>
      <w:tr>
        <w:tc>
          <w:tcPr/>
          <w:p>
            <w:pPr>
              <w:pStyle w:val="Compact"/>
              <w:jc w:val="left"/>
            </w:pPr>
            <w:r>
              <w:rPr>
                <w:bCs/>
                <w:b/>
              </w:rPr>
              <w:t xml:space="preserve">Standardized Precipitation Index (SPI)</w:t>
            </w:r>
            <w:r>
              <w:t xml:space="preserve"> </w:t>
            </w:r>
            <w:r>
              <w:t xml:space="preserve">(McKee 1993)</w:t>
            </w:r>
          </w:p>
        </w:tc>
        <w:tc>
          <w:tcPr/>
          <w:p>
            <w:pPr>
              <w:pStyle w:val="Compact"/>
              <w:jc w:val="left"/>
            </w:pPr>
            <w:r>
              <w:t xml:space="preserve">Rainfall fitted to gamma distribution, transformed to standard normal; multiple timescales (1, 3, 6, 12 months)</w:t>
            </w:r>
          </w:p>
        </w:tc>
        <w:tc>
          <w:tcPr/>
          <w:p>
            <w:pPr>
              <w:pStyle w:val="Compact"/>
              <w:jc w:val="left"/>
            </w:pPr>
            <w:r>
              <w:t xml:space="preserve">WMO-recommended; SPI ≤ −1 moderate, ≤ −1.5 severe, ≤ −2 extreme</w:t>
            </w:r>
          </w:p>
        </w:tc>
      </w:tr>
      <w:tr>
        <w:tc>
          <w:tcPr/>
          <w:p>
            <w:pPr>
              <w:pStyle w:val="Compact"/>
              <w:jc w:val="left"/>
            </w:pPr>
            <w:r>
              <w:rPr>
                <w:bCs/>
                <w:b/>
              </w:rPr>
              <w:t xml:space="preserve">SPEI</w:t>
            </w:r>
          </w:p>
        </w:tc>
        <w:tc>
          <w:tcPr/>
          <w:p>
            <w:pPr>
              <w:pStyle w:val="Compact"/>
              <w:jc w:val="left"/>
            </w:pPr>
            <w:r>
              <w:t xml:space="preserve">Like SPI but uses P − PET (climatic water balance)</w:t>
            </w:r>
          </w:p>
        </w:tc>
        <w:tc>
          <w:tcPr/>
          <w:p>
            <w:pPr>
              <w:pStyle w:val="Compact"/>
              <w:jc w:val="left"/>
            </w:pPr>
            <w:r>
              <w:t xml:space="preserve">Captures warming effects</w:t>
            </w:r>
          </w:p>
        </w:tc>
      </w:tr>
      <w:tr>
        <w:tc>
          <w:tcPr/>
          <w:p>
            <w:pPr>
              <w:pStyle w:val="Compact"/>
              <w:jc w:val="left"/>
            </w:pPr>
            <w:r>
              <w:rPr>
                <w:bCs/>
                <w:b/>
              </w:rPr>
              <w:t xml:space="preserve">Palmer Drought Severity Index (PDSI)</w:t>
            </w:r>
          </w:p>
        </w:tc>
        <w:tc>
          <w:tcPr/>
          <w:p>
            <w:pPr>
              <w:pStyle w:val="Compact"/>
              <w:jc w:val="left"/>
            </w:pPr>
            <w:r>
              <w:t xml:space="preserve">Two-layer soil water balance</w:t>
            </w:r>
          </w:p>
        </w:tc>
        <w:tc>
          <w:tcPr/>
          <w:p>
            <w:pPr>
              <w:pStyle w:val="Compact"/>
              <w:jc w:val="left"/>
            </w:pPr>
            <w:r>
              <w:t xml:space="preserve">Data-intensive; slow-responding</w:t>
            </w:r>
          </w:p>
        </w:tc>
      </w:tr>
      <w:tr>
        <w:tc>
          <w:tcPr/>
          <w:p>
            <w:pPr>
              <w:pStyle w:val="Compact"/>
              <w:jc w:val="left"/>
            </w:pPr>
            <w:r>
              <w:rPr>
                <w:bCs/>
                <w:b/>
              </w:rPr>
              <w:t xml:space="preserve">Aridity anomaly index</w:t>
            </w:r>
            <w:r>
              <w:t xml:space="preserve"> </w:t>
            </w:r>
            <w:r>
              <w:t xml:space="preserve">(IMD)</w:t>
            </w:r>
          </w:p>
        </w:tc>
        <w:tc>
          <w:tcPr/>
          <w:p>
            <w:pPr>
              <w:pStyle w:val="Compact"/>
              <w:jc w:val="left"/>
            </w:pPr>
            <m:oMath>
              <m:r>
                <m:t>A</m:t>
              </m:r>
              <m:r>
                <m:t>I</m:t>
              </m:r>
              <m:r>
                <m:rPr>
                  <m:sty m:val="p"/>
                </m:rPr>
                <m:t>=</m:t>
              </m:r>
              <m:d>
                <m:dPr>
                  <m:begChr m:val="("/>
                  <m:endChr m:val=")"/>
                  <m:sepChr m:val=""/>
                  <m:grow/>
                </m:dPr>
                <m:e>
                  <m:r>
                    <m:t>P</m:t>
                  </m:r>
                  <m:r>
                    <m:t>E</m:t>
                  </m:r>
                  <m:r>
                    <m:rPr>
                      <m:sty m:val="p"/>
                    </m:rPr>
                    <m:t>−</m:t>
                  </m:r>
                  <m:r>
                    <m:t>A</m:t>
                  </m:r>
                  <m:r>
                    <m:t>E</m:t>
                  </m:r>
                </m:e>
              </m:d>
              <m:r>
                <m:rPr>
                  <m:sty m:val="p"/>
                </m:rPr>
                <m:t>/</m:t>
              </m:r>
              <m:r>
                <m:t>P</m:t>
              </m:r>
              <m:r>
                <m:t>E</m:t>
              </m:r>
              <m:r>
                <m:rPr>
                  <m:sty m:val="p"/>
                </m:rPr>
                <m:t>×</m:t>
              </m:r>
              <m:r>
                <m:t>100</m:t>
              </m:r>
            </m:oMath>
            <w:r>
              <w:t xml:space="preserve"> </w:t>
            </w:r>
            <w:r>
              <w:t xml:space="preserve">departure from normal (Thornthwaite water balance)</w:t>
            </w:r>
          </w:p>
        </w:tc>
        <w:tc>
          <w:tcPr/>
          <w:p>
            <w:pPr>
              <w:pStyle w:val="Compact"/>
              <w:jc w:val="left"/>
            </w:pPr>
            <w:r>
              <w:t xml:space="preserve">IMD weekly agricultural drought maps: mild 1–25, moderate 26–50, severe &gt; 50</w:t>
            </w:r>
          </w:p>
        </w:tc>
      </w:tr>
      <w:tr>
        <w:tc>
          <w:tcPr/>
          <w:p>
            <w:pPr>
              <w:pStyle w:val="Compact"/>
              <w:jc w:val="left"/>
            </w:pPr>
            <w:r>
              <w:rPr>
                <w:bCs/>
                <w:b/>
              </w:rPr>
              <w:t xml:space="preserve">Moisture adequacy index (MAI)</w:t>
            </w:r>
          </w:p>
        </w:tc>
        <w:tc>
          <w:tcPr/>
          <w:p>
            <w:pPr>
              <w:pStyle w:val="Compact"/>
              <w:jc w:val="left"/>
            </w:pPr>
            <m:oMath>
              <m:r>
                <m:t>A</m:t>
              </m:r>
              <m:r>
                <m:t>E</m:t>
              </m:r>
              <m:r>
                <m:rPr>
                  <m:sty m:val="p"/>
                </m:rPr>
                <m:t>/</m:t>
              </m:r>
              <m:r>
                <m:t>P</m:t>
              </m:r>
              <m:r>
                <m:t>E</m:t>
              </m:r>
              <m:r>
                <m:rPr>
                  <m:sty m:val="p"/>
                </m:rPr>
                <m:t>×</m:t>
              </m:r>
              <m:r>
                <m:t>100</m:t>
              </m:r>
            </m:oMath>
          </w:p>
        </w:tc>
        <w:tc>
          <w:tcPr/>
          <w:p>
            <w:pPr>
              <w:pStyle w:val="Compact"/>
              <w:jc w:val="left"/>
            </w:pPr>
            <w:r>
              <w:t xml:space="preserve">Crop-stage moisture adequacy; &lt; 50% severe</w:t>
            </w:r>
          </w:p>
        </w:tc>
      </w:tr>
      <w:tr>
        <w:tc>
          <w:tcPr/>
          <w:p>
            <w:pPr>
              <w:pStyle w:val="Compact"/>
              <w:jc w:val="left"/>
            </w:pPr>
            <w:r>
              <w:rPr>
                <w:bCs/>
                <w:b/>
              </w:rPr>
              <w:t xml:space="preserve">Crop moisture index (CMI)</w:t>
            </w:r>
            <w:r>
              <w:t xml:space="preserve">,</w:t>
            </w:r>
            <w:r>
              <w:t xml:space="preserve"> </w:t>
            </w:r>
            <w:r>
              <w:rPr>
                <w:bCs/>
                <w:b/>
              </w:rPr>
              <w:t xml:space="preserve">water requirement satisfaction index (WRSI)</w:t>
            </w:r>
          </w:p>
        </w:tc>
        <w:tc>
          <w:tcPr/>
          <w:p>
            <w:pPr>
              <w:pStyle w:val="Compact"/>
              <w:jc w:val="left"/>
            </w:pPr>
            <w:r>
              <w:t xml:space="preserve">Crop water balance</w:t>
            </w:r>
          </w:p>
        </w:tc>
        <w:tc>
          <w:tcPr/>
          <w:p>
            <w:pPr>
              <w:pStyle w:val="Compact"/>
              <w:jc w:val="left"/>
            </w:pPr>
            <w:r>
              <w:t xml:space="preserve">Famine early warning (FEWS NET)</w:t>
            </w:r>
          </w:p>
        </w:tc>
      </w:tr>
      <w:tr>
        <w:tc>
          <w:tcPr/>
          <w:p>
            <w:pPr>
              <w:pStyle w:val="Compact"/>
              <w:jc w:val="left"/>
            </w:pPr>
            <w:r>
              <w:rPr>
                <w:bCs/>
                <w:b/>
              </w:rPr>
              <w:t xml:space="preserve">Soil moisture anomaly / percentile</w:t>
            </w:r>
          </w:p>
        </w:tc>
        <w:tc>
          <w:tcPr/>
          <w:p>
            <w:pPr>
              <w:pStyle w:val="Compact"/>
              <w:jc w:val="left"/>
            </w:pPr>
            <w:r>
              <w:t xml:space="preserve">Models or satellite SM</w:t>
            </w:r>
          </w:p>
        </w:tc>
        <w:tc>
          <w:tcPr/>
          <w:p>
            <w:pPr>
              <w:pStyle w:val="Compact"/>
              <w:jc w:val="left"/>
            </w:pPr>
            <w:r>
              <w:t xml:space="preserve">Agricultural drought</w:t>
            </w:r>
          </w:p>
        </w:tc>
      </w:tr>
      <w:tr>
        <w:tc>
          <w:tcPr/>
          <w:p>
            <w:pPr>
              <w:pStyle w:val="Compact"/>
              <w:jc w:val="left"/>
            </w:pPr>
            <w:r>
              <w:rPr>
                <w:bCs/>
                <w:b/>
              </w:rPr>
              <w:t xml:space="preserve">Surface water supply index (SWSI), streamflow drought index</w:t>
            </w:r>
          </w:p>
        </w:tc>
        <w:tc>
          <w:tcPr/>
          <w:p>
            <w:pPr>
              <w:pStyle w:val="Compact"/>
              <w:jc w:val="left"/>
            </w:pPr>
            <w:r>
              <w:t xml:space="preserve">Reservoirs, streams, snow</w:t>
            </w:r>
          </w:p>
        </w:tc>
        <w:tc>
          <w:tcPr/>
          <w:p>
            <w:pPr>
              <w:pStyle w:val="Compact"/>
              <w:jc w:val="left"/>
            </w:pPr>
            <w:r>
              <w:t xml:space="preserve">Hydrological</w:t>
            </w:r>
          </w:p>
        </w:tc>
      </w:tr>
      <w:tr>
        <w:tc>
          <w:tcPr/>
          <w:p>
            <w:pPr>
              <w:pStyle w:val="Compact"/>
              <w:jc w:val="left"/>
            </w:pPr>
            <w:r>
              <w:rPr>
                <w:bCs/>
                <w:b/>
              </w:rPr>
              <w:t xml:space="preserve">Groundwater level departure</w:t>
            </w:r>
          </w:p>
        </w:tc>
        <w:tc>
          <w:tcPr/>
          <w:p>
            <w:pPr>
              <w:pStyle w:val="Compact"/>
              <w:jc w:val="left"/>
            </w:pPr>
            <w:r>
              <w:t xml:space="preserve">CGWB wells</w:t>
            </w:r>
          </w:p>
        </w:tc>
        <w:tc>
          <w:tcPr/>
          <w:p>
            <w:pPr>
              <w:pStyle w:val="Compact"/>
              <w:jc w:val="left"/>
            </w:pPr>
            <w:r>
              <w:t xml:space="preserve">Hydrological</w:t>
            </w:r>
          </w:p>
        </w:tc>
      </w:tr>
      <w:tr>
        <w:tc>
          <w:tcPr/>
          <w:p>
            <w:pPr>
              <w:pStyle w:val="Compact"/>
              <w:jc w:val="left"/>
            </w:pPr>
            <w:r>
              <w:rPr>
                <w:bCs/>
                <w:b/>
              </w:rPr>
              <w:t xml:space="preserve">Remote-sensing indices</w:t>
            </w:r>
          </w:p>
        </w:tc>
        <w:tc>
          <w:tcPr/>
          <w:p>
            <w:pPr>
              <w:pStyle w:val="Compact"/>
              <w:jc w:val="left"/>
            </w:pPr>
            <w:r>
              <w:t xml:space="preserve">NDVI anomaly,</w:t>
            </w:r>
            <w:r>
              <w:t xml:space="preserve"> </w:t>
            </w:r>
            <w:r>
              <w:rPr>
                <w:bCs/>
                <w:b/>
              </w:rPr>
              <w:t xml:space="preserve">VCI</w:t>
            </w:r>
            <w:r>
              <w:t xml:space="preserve">,</w:t>
            </w:r>
            <w:r>
              <w:t xml:space="preserve"> </w:t>
            </w:r>
            <w:r>
              <w:rPr>
                <w:bCs/>
                <w:b/>
              </w:rPr>
              <w:t xml:space="preserve">TCI</w:t>
            </w:r>
            <w:r>
              <w:t xml:space="preserve">,</w:t>
            </w:r>
            <w:r>
              <w:t xml:space="preserve"> </w:t>
            </w:r>
            <w:r>
              <w:rPr>
                <w:bCs/>
                <w:b/>
              </w:rPr>
              <w:t xml:space="preserve">VHI</w:t>
            </w:r>
            <w:r>
              <w:t xml:space="preserve">, NDWI/LSWI, SASI, TVDI, ESI (ET-based), SIF anomaly</w:t>
            </w:r>
          </w:p>
        </w:tc>
        <w:tc>
          <w:tcPr/>
          <w:p>
            <w:pPr>
              <w:pStyle w:val="Compact"/>
              <w:jc w:val="left"/>
            </w:pPr>
            <w:r>
              <w:t xml:space="preserve">Agricultural drought impact; spatially complete</w:t>
            </w:r>
          </w:p>
        </w:tc>
      </w:tr>
    </w:tbl>
    <w:p>
      <w:pPr>
        <w:pStyle w:val="BodyText"/>
      </w:pPr>
      <w:r>
        <w:rPr>
          <w:bCs/>
          <w:b/>
        </w:rPr>
        <w:t xml:space="preserve">Remote-sensing index formulas:</w:t>
      </w:r>
    </w:p>
    <w:p>
      <w:pPr>
        <w:pStyle w:val="BodyText"/>
      </w:pPr>
      <m:oMathPara>
        <m:oMathParaPr>
          <m:jc m:val="center"/>
        </m:oMathParaPr>
        <m:oMath>
          <m:r>
            <m:t>V</m:t>
          </m:r>
          <m:r>
            <m:t>C</m:t>
          </m:r>
          <m:r>
            <m:t>I</m:t>
          </m:r>
          <m:r>
            <m:rPr>
              <m:sty m:val="p"/>
            </m:rPr>
            <m:t>=</m:t>
          </m:r>
          <m:f>
            <m:fPr>
              <m:type m:val="bar"/>
            </m:fPr>
            <m:num>
              <m:r>
                <m:t>N</m:t>
              </m:r>
              <m:r>
                <m:t>D</m:t>
              </m:r>
              <m:r>
                <m:t>V</m:t>
              </m:r>
              <m:r>
                <m:t>I</m:t>
              </m:r>
              <m:r>
                <m:rPr>
                  <m:sty m:val="p"/>
                </m:rPr>
                <m:t>−</m:t>
              </m:r>
              <m:r>
                <m:t>N</m:t>
              </m:r>
              <m:r>
                <m:t>D</m:t>
              </m:r>
              <m:r>
                <m:t>V</m:t>
              </m:r>
              <m:sSub>
                <m:e>
                  <m:r>
                    <m:t>I</m:t>
                  </m:r>
                </m:e>
                <m:sub>
                  <m:r>
                    <m:t>m</m:t>
                  </m:r>
                  <m:r>
                    <m:t>i</m:t>
                  </m:r>
                  <m:r>
                    <m:t>n</m:t>
                  </m:r>
                </m:sub>
              </m:sSub>
            </m:num>
            <m:den>
              <m:r>
                <m:t>N</m:t>
              </m:r>
              <m:r>
                <m:t>D</m:t>
              </m:r>
              <m:r>
                <m:t>V</m:t>
              </m:r>
              <m:sSub>
                <m:e>
                  <m:r>
                    <m:t>I</m:t>
                  </m:r>
                </m:e>
                <m:sub>
                  <m:r>
                    <m:t>m</m:t>
                  </m:r>
                  <m:r>
                    <m:t>a</m:t>
                  </m:r>
                  <m:r>
                    <m:t>x</m:t>
                  </m:r>
                </m:sub>
              </m:sSub>
              <m:r>
                <m:rPr>
                  <m:sty m:val="p"/>
                </m:rPr>
                <m:t>−</m:t>
              </m:r>
              <m:r>
                <m:t>N</m:t>
              </m:r>
              <m:r>
                <m:t>D</m:t>
              </m:r>
              <m:r>
                <m:t>V</m:t>
              </m:r>
              <m:sSub>
                <m:e>
                  <m:r>
                    <m:t>I</m:t>
                  </m:r>
                </m:e>
                <m:sub>
                  <m:r>
                    <m:t>m</m:t>
                  </m:r>
                  <m:r>
                    <m:t>i</m:t>
                  </m:r>
                  <m:r>
                    <m:t>n</m:t>
                  </m:r>
                </m:sub>
              </m:sSub>
            </m:den>
          </m:f>
          <m:r>
            <m:rPr>
              <m:sty m:val="p"/>
            </m:rPr>
            <m:t>×</m:t>
          </m:r>
          <m:r>
            <m:t>100</m:t>
          </m:r>
          <m:r>
            <m:rPr>
              <m:sty m:val="p"/>
            </m:rPr>
            <m:t>,</m:t>
          </m:r>
          <m:r>
            <m:t>  </m:t>
          </m:r>
          <m:r>
            <m:t>T</m:t>
          </m:r>
          <m:r>
            <m:t>C</m:t>
          </m:r>
          <m:r>
            <m:t>I</m:t>
          </m:r>
          <m:r>
            <m:rPr>
              <m:sty m:val="p"/>
            </m:rPr>
            <m:t>=</m:t>
          </m:r>
          <m:f>
            <m:fPr>
              <m:type m:val="bar"/>
            </m:fPr>
            <m:num>
              <m:r>
                <m:t>B</m:t>
              </m:r>
              <m:sSub>
                <m:e>
                  <m:r>
                    <m:t>T</m:t>
                  </m:r>
                </m:e>
                <m:sub>
                  <m:r>
                    <m:t>m</m:t>
                  </m:r>
                  <m:r>
                    <m:t>a</m:t>
                  </m:r>
                  <m:r>
                    <m:t>x</m:t>
                  </m:r>
                </m:sub>
              </m:sSub>
              <m:r>
                <m:rPr>
                  <m:sty m:val="p"/>
                </m:rPr>
                <m:t>−</m:t>
              </m:r>
              <m:r>
                <m:t>B</m:t>
              </m:r>
              <m:r>
                <m:t>T</m:t>
              </m:r>
            </m:num>
            <m:den>
              <m:r>
                <m:t>B</m:t>
              </m:r>
              <m:sSub>
                <m:e>
                  <m:r>
                    <m:t>T</m:t>
                  </m:r>
                </m:e>
                <m:sub>
                  <m:r>
                    <m:t>m</m:t>
                  </m:r>
                  <m:r>
                    <m:t>a</m:t>
                  </m:r>
                  <m:r>
                    <m:t>x</m:t>
                  </m:r>
                </m:sub>
              </m:sSub>
              <m:r>
                <m:rPr>
                  <m:sty m:val="p"/>
                </m:rPr>
                <m:t>−</m:t>
              </m:r>
              <m:r>
                <m:t>B</m:t>
              </m:r>
              <m:sSub>
                <m:e>
                  <m:r>
                    <m:t>T</m:t>
                  </m:r>
                </m:e>
                <m:sub>
                  <m:r>
                    <m:t>m</m:t>
                  </m:r>
                  <m:r>
                    <m:t>i</m:t>
                  </m:r>
                  <m:r>
                    <m:t>n</m:t>
                  </m:r>
                </m:sub>
              </m:sSub>
            </m:den>
          </m:f>
          <m:r>
            <m:rPr>
              <m:sty m:val="p"/>
            </m:rPr>
            <m:t>×</m:t>
          </m:r>
          <m:r>
            <m:t>100</m:t>
          </m:r>
          <m:r>
            <m:rPr>
              <m:sty m:val="p"/>
            </m:rPr>
            <m:t>,</m:t>
          </m:r>
          <m:r>
            <m:t>  </m:t>
          </m:r>
          <m:r>
            <m:t>V</m:t>
          </m:r>
          <m:r>
            <m:t>H</m:t>
          </m:r>
          <m:r>
            <m:t>I</m:t>
          </m:r>
          <m:r>
            <m:rPr>
              <m:sty m:val="p"/>
            </m:rPr>
            <m:t>=</m:t>
          </m:r>
          <m:r>
            <m:t>0.5</m:t>
          </m:r>
          <m:r>
            <m:t> </m:t>
          </m:r>
          <m:r>
            <m:t>V</m:t>
          </m:r>
          <m:r>
            <m:t>C</m:t>
          </m:r>
          <m:r>
            <m:t>I</m:t>
          </m:r>
          <m:r>
            <m:rPr>
              <m:sty m:val="p"/>
            </m:rPr>
            <m:t>+</m:t>
          </m:r>
          <m:r>
            <m:t>0.5</m:t>
          </m:r>
          <m:r>
            <m:t> </m:t>
          </m:r>
          <m:r>
            <m:t>T</m:t>
          </m:r>
          <m:r>
            <m:t>C</m:t>
          </m:r>
          <m:r>
            <m:t>I</m:t>
          </m:r>
        </m:oMath>
      </m:oMathPara>
    </w:p>
    <w:p>
      <w:pPr>
        <w:pStyle w:val="FirstParagraph"/>
      </w:pPr>
      <w:r>
        <w:t xml:space="preserve">(VCI/VHI &lt; 40 indicates drought stress; &lt; 20 severe.)</w:t>
      </w:r>
      <w:r>
        <w:t xml:space="preserve"> </w:t>
      </w:r>
      <w:r>
        <w:rPr>
          <w:bCs/>
          <w:b/>
        </w:rPr>
        <w:t xml:space="preserve">NDWI</w:t>
      </w:r>
      <w:r>
        <w:t xml:space="preserve"> </w:t>
      </w:r>
      <w:r>
        <w:t xml:space="preserve">= (NIR − SWIR)/(NIR + SWIR) responds to canopy water;</w:t>
      </w:r>
      <w:r>
        <w:t xml:space="preserve"> </w:t>
      </w:r>
      <w:r>
        <w:rPr>
          <w:bCs/>
          <w:b/>
        </w:rPr>
        <w:t xml:space="preserve">SASI</w:t>
      </w:r>
      <w:r>
        <w:t xml:space="preserve"> </w:t>
      </w:r>
      <w:r>
        <w:t xml:space="preserve">uses the slope of NIR–SWIR1–SWIR2 reflectance.</w:t>
      </w:r>
      <w:r>
        <w:t xml:space="preserve"> </w:t>
      </w:r>
      <w:r>
        <w:rPr>
          <w:bCs/>
          <w:b/>
        </w:rPr>
        <w:t xml:space="preserve">Temperature–vegetation dryness index (TVDI)</w:t>
      </w:r>
      <w:r>
        <w:t xml:space="preserve"> </w:t>
      </w:r>
      <w:r>
        <w:t xml:space="preserve">uses the LST–NDVI triangle.</w:t>
      </w:r>
    </w:p>
    <w:p>
      <w:pPr>
        <w:pStyle w:val="Heading2"/>
      </w:pPr>
      <w:r>
        <w:t xml:space="preserve">32.5 Drought Assessment in India</w:t>
      </w:r>
    </w:p>
    <w:p>
      <w:pPr>
        <w:pStyle w:val="FirstParagraph"/>
      </w:pPr>
      <w:r>
        <w:rPr>
          <w:bCs/>
          <w:b/>
        </w:rPr>
        <w:t xml:space="preserve">Institutions:</w:t>
      </w:r>
      <w:r>
        <w:t xml:space="preserve"> </w:t>
      </w:r>
      <w:r>
        <w:t xml:space="preserve">IMD (meteorological monitoring, aridity anomaly, SPI, extended-range forecasts);</w:t>
      </w:r>
      <w:r>
        <w:t xml:space="preserve"> </w:t>
      </w:r>
      <w:r>
        <w:rPr>
          <w:bCs/>
          <w:b/>
        </w:rPr>
        <w:t xml:space="preserve">NRSC/MNCFC — NADAMS</w:t>
      </w:r>
      <w:r>
        <w:t xml:space="preserve"> </w:t>
      </w:r>
      <w:r>
        <w:t xml:space="preserve">(agricultural drought with satellite indices, described in the following sections); CWC (reservoirs); CGWB (groundwater);</w:t>
      </w:r>
      <w:r>
        <w:t xml:space="preserve"> </w:t>
      </w:r>
      <w:r>
        <w:rPr>
          <w:bCs/>
          <w:b/>
        </w:rPr>
        <w:t xml:space="preserve">Ministry of Agriculture &amp; FW — Drought Management Division</w:t>
      </w:r>
      <w:r>
        <w:t xml:space="preserve">, Crisis Management Plan; ICAR-CRIDA (</w:t>
      </w:r>
      <w:r>
        <w:rPr>
          <w:bCs/>
          <w:b/>
        </w:rPr>
        <w:t xml:space="preserve">contingency crop plans</w:t>
      </w:r>
      <w:r>
        <w:t xml:space="preserve"> </w:t>
      </w:r>
      <w:r>
        <w:t xml:space="preserve">for &gt;600 districts); state drought monitoring cells (e.g., KSNDMC Karnataka, MRSAC Maharashtra, Telangana).</w:t>
      </w:r>
    </w:p>
    <w:p>
      <w:pPr>
        <w:pStyle w:val="BodyText"/>
      </w:pPr>
      <w:r>
        <w:rPr>
          <w:bCs/>
          <w:b/>
        </w:rPr>
        <w:t xml:space="preserve">Manual for Drought Management (2016, updated 2020)</w:t>
      </w:r>
      <w:r>
        <w:t xml:space="preserve"> </w:t>
      </w:r>
      <w:r>
        <w:t xml:space="preserve">— science-based declaration replacing purely visual crop-loss assessments:</w:t>
      </w:r>
    </w:p>
    <w:p>
      <w:pPr>
        <w:pStyle w:val="Compact"/>
        <w:numPr>
          <w:ilvl w:val="0"/>
          <w:numId w:val="1252"/>
        </w:numPr>
      </w:pPr>
      <w:r>
        <w:rPr>
          <w:bCs/>
          <w:b/>
        </w:rPr>
        <w:t xml:space="preserve">Mandatory indicators:</w:t>
      </w:r>
      <w:r>
        <w:t xml:space="preserve"> </w:t>
      </w:r>
      <w:r>
        <w:t xml:space="preserve">rainfall deviation and/or SPI (and dry spells).</w:t>
      </w:r>
    </w:p>
    <w:p>
      <w:pPr>
        <w:pStyle w:val="Compact"/>
        <w:numPr>
          <w:ilvl w:val="0"/>
          <w:numId w:val="1252"/>
        </w:numPr>
      </w:pPr>
      <w:r>
        <w:rPr>
          <w:bCs/>
          <w:b/>
        </w:rPr>
        <w:t xml:space="preserve">Impact indicators</w:t>
      </w:r>
      <w:r>
        <w:t xml:space="preserve"> </w:t>
      </w:r>
      <w:r>
        <w:t xml:space="preserve">(any two/three of):</w:t>
      </w:r>
      <w:r>
        <w:t xml:space="preserve"> </w:t>
      </w:r>
      <w:r>
        <w:rPr>
          <w:bCs/>
          <w:b/>
        </w:rPr>
        <w:t xml:space="preserve">remote sensing vegetation indices (NDVI/NDWI deviation, VCI)</w:t>
      </w:r>
      <w:r>
        <w:t xml:space="preserve">, sown area, crop condition, soil moisture (MAI/PASM), hydrology (reservoir storage, groundwater, streamflow index).</w:t>
      </w:r>
    </w:p>
    <w:p>
      <w:pPr>
        <w:pStyle w:val="Compact"/>
        <w:numPr>
          <w:ilvl w:val="0"/>
          <w:numId w:val="1252"/>
        </w:numPr>
      </w:pPr>
      <w:r>
        <w:t xml:space="preserve">If triggers fire,</w:t>
      </w:r>
      <w:r>
        <w:t xml:space="preserve"> </w:t>
      </w:r>
      <w:r>
        <w:rPr>
          <w:bCs/>
          <w:b/>
        </w:rPr>
        <w:t xml:space="preserve">ground truthing</w:t>
      </w:r>
      <w:r>
        <w:t xml:space="preserve"> </w:t>
      </w:r>
      <w:r>
        <w:t xml:space="preserve">(sample crop-loss survey) decides</w:t>
      </w:r>
      <w:r>
        <w:t xml:space="preserve"> </w:t>
      </w:r>
      <w:r>
        <w:rPr>
          <w:bCs/>
          <w:b/>
        </w:rPr>
        <w:t xml:space="preserve">severe or moderate drought</w:t>
      </w:r>
      <w:r>
        <w:t xml:space="preserve"> </w:t>
      </w:r>
      <w:r>
        <w:t xml:space="preserve">declaration at district/taluk/block level; relief under SDRF/NDRF.</w:t>
      </w:r>
    </w:p>
    <w:p>
      <w:pPr>
        <w:pStyle w:val="FirstParagraph"/>
      </w:pPr>
      <w:r>
        <w:rPr>
          <w:bCs/>
          <w:b/>
        </w:rPr>
        <w:t xml:space="preserve">Drought-prone areas:</w:t>
      </w:r>
      <w:r>
        <w:t xml:space="preserve"> </w:t>
      </w:r>
      <w:r>
        <w:t xml:space="preserve">about two-thirds of India’s area is vulnerable; ~68% of sown area prone; DPAP/DDP covered drought-prone and desert districts. Satellite long-term NDVI trends, frequency of low development and their variability have been used to update drought-prone area maps (Jeyaseelan &amp; Chandrasekhar).</w:t>
      </w:r>
    </w:p>
    <w:p>
      <w:pPr>
        <w:pStyle w:val="Heading2"/>
      </w:pPr>
      <w:r>
        <w:t xml:space="preserve">32.6 Remote Sensing and GIS for Drought — by Management Phase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Activities</w:t>
            </w:r>
          </w:p>
        </w:tc>
        <w:tc>
          <w:tcPr/>
          <w:p>
            <w:pPr>
              <w:pStyle w:val="Compact"/>
              <w:jc w:val="left"/>
            </w:pPr>
            <w:r>
              <w:t xml:space="preserve">RS/GIS contribution</w:t>
            </w:r>
          </w:p>
        </w:tc>
      </w:tr>
      <w:tr>
        <w:tc>
          <w:tcPr/>
          <w:p>
            <w:pPr>
              <w:pStyle w:val="Compact"/>
              <w:jc w:val="left"/>
            </w:pPr>
            <w:r>
              <w:rPr>
                <w:bCs/>
                <w:b/>
              </w:rPr>
              <w:t xml:space="preserve">Preparedness</w:t>
            </w:r>
          </w:p>
        </w:tc>
        <w:tc>
          <w:tcPr/>
          <w:p>
            <w:pPr>
              <w:pStyle w:val="Compact"/>
              <w:jc w:val="left"/>
            </w:pPr>
            <w:r>
              <w:t xml:space="preserve">Identify drought-prone/risk zones; prediction</w:t>
            </w:r>
          </w:p>
        </w:tc>
        <w:tc>
          <w:tcPr/>
          <w:p>
            <w:pPr>
              <w:pStyle w:val="Compact"/>
              <w:jc w:val="left"/>
            </w:pPr>
            <w:r>
              <w:t xml:space="preserve">Long-term NDVI time-series (frequency and trend of poor vegetation), water-balance and SPI climatologies, land-use (irrigated area) maps; seasonal forecasts using coupled ocean–atmosphere models with satellite SST, snow and soil moisture initialisation</w:t>
            </w:r>
          </w:p>
        </w:tc>
      </w:tr>
      <w:tr>
        <w:tc>
          <w:tcPr/>
          <w:p>
            <w:pPr>
              <w:pStyle w:val="Compact"/>
              <w:jc w:val="left"/>
            </w:pPr>
            <w:r>
              <w:rPr>
                <w:bCs/>
                <w:b/>
              </w:rPr>
              <w:t xml:space="preserve">Prevention / early warning &amp; monitoring</w:t>
            </w:r>
          </w:p>
        </w:tc>
        <w:tc>
          <w:tcPr/>
          <w:p>
            <w:pPr>
              <w:pStyle w:val="Compact"/>
              <w:jc w:val="left"/>
            </w:pPr>
            <w:r>
              <w:t xml:space="preserve">Track rainfall, soil moisture, crop condition</w:t>
            </w:r>
          </w:p>
        </w:tc>
        <w:tc>
          <w:tcPr/>
          <w:p>
            <w:pPr>
              <w:pStyle w:val="Compact"/>
              <w:jc w:val="left"/>
            </w:pPr>
            <w:r>
              <w:t xml:space="preserve">Satellite rainfall (VIS/IR cloud indexing, bi-spectral, life-history, cloud-model; passive MW emission/scattering; active radar — TRMM/GPM), LST and canopy temperature (water stress), passive MW/SAR soil moisture,</w:t>
            </w:r>
            <w:r>
              <w:t xml:space="preserve"> </w:t>
            </w:r>
            <w:r>
              <w:rPr>
                <w:bCs/>
                <w:b/>
              </w:rPr>
              <w:t xml:space="preserve">vegetation indices (NDVI, VCI, NDWI)</w:t>
            </w:r>
            <w:r>
              <w:t xml:space="preserve">; bulletins</w:t>
            </w:r>
          </w:p>
        </w:tc>
      </w:tr>
      <w:tr>
        <w:tc>
          <w:tcPr/>
          <w:p>
            <w:pPr>
              <w:pStyle w:val="Compact"/>
              <w:jc w:val="left"/>
            </w:pPr>
            <w:r>
              <w:rPr>
                <w:bCs/>
                <w:b/>
              </w:rPr>
              <w:t xml:space="preserve">Response / mitigation</w:t>
            </w:r>
          </w:p>
        </w:tc>
        <w:tc>
          <w:tcPr/>
          <w:p>
            <w:pPr>
              <w:pStyle w:val="Compact"/>
              <w:jc w:val="left"/>
            </w:pPr>
            <w:r>
              <w:t xml:space="preserve">Impact assessment, relief, long-term management</w:t>
            </w:r>
          </w:p>
        </w:tc>
        <w:tc>
          <w:tcPr/>
          <w:p>
            <w:pPr>
              <w:pStyle w:val="Compact"/>
              <w:jc w:val="left"/>
            </w:pPr>
            <w:r>
              <w:t xml:space="preserve">High-resolution assessment of affected crops, water bodies; watershed action plans, water harvesting site selection, contingency crop plans</w:t>
            </w:r>
          </w:p>
        </w:tc>
      </w:tr>
    </w:tbl>
    <w:p>
      <w:pPr>
        <w:pStyle w:val="BodyText"/>
      </w:pPr>
      <w:r>
        <w:t xml:space="preserve">Global examples: FAO</w:t>
      </w:r>
      <w:r>
        <w:t xml:space="preserve"> </w:t>
      </w:r>
      <w:r>
        <w:rPr>
          <w:bCs/>
          <w:b/>
        </w:rPr>
        <w:t xml:space="preserve">ARTEMIS</w:t>
      </w:r>
      <w:r>
        <w:t xml:space="preserve"> </w:t>
      </w:r>
      <w:r>
        <w:t xml:space="preserve">(Meteosat rainfall + AVHRR NDVI for Africa), USDA/NOAA Joint Agricultural Weather Facility, EC JRC</w:t>
      </w:r>
      <w:r>
        <w:t xml:space="preserve"> </w:t>
      </w:r>
      <w:r>
        <w:rPr>
          <w:bCs/>
          <w:b/>
        </w:rPr>
        <w:t xml:space="preserve">MARS</w:t>
      </w:r>
      <w:r>
        <w:t xml:space="preserve"> </w:t>
      </w:r>
      <w:r>
        <w:t xml:space="preserve">bulletins, Statistics Canada crop condition reports,</w:t>
      </w:r>
      <w:r>
        <w:t xml:space="preserve"> </w:t>
      </w:r>
      <w:r>
        <w:rPr>
          <w:bCs/>
          <w:b/>
        </w:rPr>
        <w:t xml:space="preserve">US Drought Monitor</w:t>
      </w:r>
      <w:r>
        <w:t xml:space="preserve">, FEWS NET, the</w:t>
      </w:r>
      <w:r>
        <w:t xml:space="preserve"> </w:t>
      </w:r>
      <w:r>
        <w:rPr>
          <w:bCs/>
          <w:b/>
        </w:rPr>
        <w:t xml:space="preserve">Global Drought Observatory</w:t>
      </w:r>
      <w:r>
        <w:t xml:space="preserve">.</w:t>
      </w:r>
    </w:p>
    <w:p>
      <w:pPr>
        <w:pStyle w:val="Heading3"/>
      </w:pPr>
      <w:r>
        <w:t xml:space="preserve">32.6.1 Likely interview questions</w:t>
      </w:r>
    </w:p>
    <w:p>
      <w:pPr>
        <w:pStyle w:val="FirstParagraph"/>
      </w:pPr>
      <w:r>
        <w:rPr>
          <w:bCs/>
          <w:b/>
        </w:rPr>
        <w:t xml:space="preserve">Q. Distinguish meteorological, agricultural and hydrological drought.</w:t>
      </w:r>
      <w:r>
        <w:t xml:space="preserve"> </w:t>
      </w:r>
      <w:r>
        <w:t xml:space="preserve">Rainfall deficit; soil moisture deficit affecting crops; surface/groundwater deficits.</w:t>
      </w:r>
    </w:p>
    <w:p>
      <w:pPr>
        <w:pStyle w:val="BodyText"/>
      </w:pPr>
      <w:r>
        <w:rPr>
          <w:bCs/>
          <w:b/>
        </w:rPr>
        <w:t xml:space="preserve">Q. What is SPI and why is it preferred?</w:t>
      </w:r>
      <w:r>
        <w:t xml:space="preserve"> </w:t>
      </w:r>
      <w:r>
        <w:t xml:space="preserve">Standardised rainfall anomaly from a fitted gamma distribution; comparable across regions, multi-timescale, needs only rainfall.</w:t>
      </w:r>
    </w:p>
    <w:p>
      <w:pPr>
        <w:pStyle w:val="BodyText"/>
      </w:pPr>
      <w:r>
        <w:rPr>
          <w:bCs/>
          <w:b/>
        </w:rPr>
        <w:t xml:space="preserve">Q. Write VCI and VHI.</w:t>
      </w:r>
      <w:r>
        <w:t xml:space="preserve"> </w:t>
      </w:r>
      <w:r>
        <w:t xml:space="preserve">VCI = (NDVI − min)/(max − min)×100; VHI = 0.5 VCI + 0.5 TCI.</w:t>
      </w:r>
    </w:p>
    <w:p>
      <w:pPr>
        <w:pStyle w:val="BodyText"/>
      </w:pPr>
      <w:r>
        <w:rPr>
          <w:bCs/>
          <w:b/>
        </w:rPr>
        <w:t xml:space="preserve">Q. What indicators does the Manual for Drought Management use?</w:t>
      </w:r>
      <w:r>
        <w:t xml:space="preserve"> </w:t>
      </w:r>
      <w:r>
        <w:t xml:space="preserve">Mandatory rainfall/SPI and dry spells, plus impact indicators — RS vegetation indices, sown area, soil moisture, hydrology — then ground truthing.</w:t>
      </w:r>
    </w:p>
    <w:p>
      <w:pPr>
        <w:pStyle w:val="BodyText"/>
      </w:pPr>
      <w:r>
        <w:rPr>
          <w:bCs/>
          <w:b/>
        </w:rPr>
        <w:t xml:space="preserve">Q. Why does hydrological drought lag agricultural drought?</w:t>
      </w:r>
      <w:r>
        <w:t xml:space="preserve"> </w:t>
      </w:r>
      <w:r>
        <w:t xml:space="preserve">Recharge, runoff and reservoir inflows respond slowly; storages deplete and recover later.</w:t>
      </w:r>
    </w:p>
    <w:p>
      <w:pPr>
        <w:pStyle w:val="Heading2"/>
      </w:pPr>
      <w:r>
        <w:t xml:space="preserve">32.7 NADAMS — National Agricultural Drought Assessment and Monitoring System</w:t>
      </w:r>
    </w:p>
    <w:p>
      <w:pPr>
        <w:pStyle w:val="Heading3"/>
      </w:pPr>
      <w:r>
        <w:t xml:space="preserve">32.7.1 Origin and operating cadence</w:t>
      </w:r>
    </w:p>
    <w:p>
      <w:pPr>
        <w:pStyle w:val="FirstParagraph"/>
      </w:pPr>
      <w:r>
        <w:t xml:space="preserve">NADAMS (National Agricultural Drought Assessment and Monitoring System) is run operationally by NRSC and traces its origin to the severe 1987 all-India drought, after which the (then) Department of Space and Ministry of Agriculture agreed to build a standing, satellite-based early-warning capability rather than relying solely on delayed rainfall-deficiency reporting. It sits within the broader National Natural Resources Management System (NNRMS) framework.</w:t>
      </w:r>
    </w:p>
    <w:p>
      <w:pPr>
        <w:pStyle w:val="BodyText"/>
      </w:pPr>
      <w:r>
        <w:t xml:space="preserve">NADAMS issues near-real-time agricultural drought condition bulletins at roughly fortnightly intervals through the kharif season (June–October, when the overwhelming majority of India's drought-prone rainfed cropped area is at risk), covering the historically drought-vulnerable states of peninsular and western India in particular, down to the district/sub-district level.</w:t>
      </w:r>
    </w:p>
    <w:p>
      <w:pPr>
        <w:pStyle w:val="Heading3"/>
      </w:pPr>
      <w:r>
        <w:t xml:space="preserve">32.7.2 The index toolkit: NDVI, NDWI, VCI, and standardized anomaly (SASI-type)</w:t>
      </w:r>
    </w:p>
    <w:p>
      <w:pPr>
        <w:pStyle w:val="FirstParagraph"/>
      </w:pPr>
      <w:r>
        <w:t xml:space="preserve">NADAMS deliberately does not rely on a single vegetation index. It computes and cross-reads at least three complementary spectral quantities, each sensitive to a different physical aspect of crop-water stress:</w:t>
      </w:r>
    </w:p>
    <w:tbl>
      <w:tblPr>
        <w:tblStyle w:val="Table"/>
        <w:tblW w:type="pct" w:w="4976"/>
        <w:jc w:val="left"/>
        <w:tblLook w:firstRow="1" w:lastRow="0" w:firstColumn="0" w:lastColumn="0" w:noHBand="0" w:noVBand="0" w:val="0020"/>
      </w:tblPr>
      <w:tblGrid>
        <w:gridCol w:w="907"/>
        <w:gridCol w:w="1417"/>
        <w:gridCol w:w="5557"/>
      </w:tblGrid>
      <w:tr>
        <w:trPr>
          <w:tblHeader w:val="true"/>
        </w:trPr>
        <w:tc>
          <w:tcPr/>
          <w:p>
            <w:pPr>
              <w:pStyle w:val="Compact"/>
              <w:jc w:val="left"/>
            </w:pPr>
            <w:r>
              <w:rPr>
                <w:bCs/>
                <w:b/>
              </w:rPr>
              <w:t xml:space="preserve">Index</w:t>
            </w:r>
          </w:p>
        </w:tc>
        <w:tc>
          <w:tcPr/>
          <w:p>
            <w:pPr>
              <w:pStyle w:val="Compact"/>
              <w:jc w:val="left"/>
            </w:pPr>
            <w:r>
              <w:rPr>
                <w:bCs/>
                <w:b/>
              </w:rPr>
              <w:t xml:space="preserve">Formula</w:t>
            </w:r>
          </w:p>
        </w:tc>
        <w:tc>
          <w:tcPr/>
          <w:p>
            <w:pPr>
              <w:pStyle w:val="Compact"/>
              <w:jc w:val="left"/>
            </w:pPr>
            <w:r>
              <w:rPr>
                <w:bCs/>
                <w:b/>
              </w:rPr>
              <w:t xml:space="preserve">Physical basis / what it captures</w:t>
            </w:r>
          </w:p>
        </w:tc>
      </w:tr>
      <w:tr>
        <w:tc>
          <w:tcPr/>
          <w:p>
            <w:pPr>
              <w:pStyle w:val="Compact"/>
              <w:jc w:val="left"/>
            </w:pPr>
            <w:r>
              <w:t xml:space="preserve">NDVI (Normalized Difference Vegetation Index)</w:t>
            </w:r>
          </w:p>
        </w:tc>
        <w:tc>
          <w:tcPr/>
          <w:p>
            <w:pPr>
              <w:pStyle w:val="Compact"/>
              <w:jc w:val="left"/>
            </w:pPr>
            <w:r>
              <w:t xml:space="preserve">(ρNIR − ρRED) / (ρNIR + ρRED)</w:t>
            </w:r>
          </w:p>
        </w:tc>
        <w:tc>
          <w:tcPr/>
          <w:p>
            <w:pPr>
              <w:pStyle w:val="Compact"/>
              <w:jc w:val="left"/>
            </w:pPr>
            <w:r>
              <w:t xml:space="preserve">Canopy greenness/chlorophyll &amp; structural vigour. Sensitive to biomass and leaf area but saturates at moderate-to-high LAI and cannot distinguish 'less green because young/early growth stage' from 'less green because water-stressed'.</w:t>
            </w:r>
          </w:p>
        </w:tc>
      </w:tr>
      <w:tr>
        <w:tc>
          <w:tcPr/>
          <w:p>
            <w:pPr>
              <w:pStyle w:val="Compact"/>
              <w:jc w:val="left"/>
            </w:pPr>
            <w:r>
              <w:t xml:space="preserve">VCI (Vegetation Condition Index)</w:t>
            </w:r>
          </w:p>
        </w:tc>
        <w:tc>
          <w:tcPr/>
          <w:p>
            <w:pPr>
              <w:pStyle w:val="Compact"/>
              <w:jc w:val="left"/>
            </w:pPr>
            <w:r>
              <w:t xml:space="preserve">(NDVIt − NDVImin) / (NDVImax − NDVImin) × 100</w:t>
            </w:r>
          </w:p>
        </w:tc>
        <w:tc>
          <w:tcPr/>
          <w:p>
            <w:pPr>
              <w:pStyle w:val="Compact"/>
              <w:jc w:val="left"/>
            </w:pPr>
            <w:r>
              <w:t xml:space="preserve">Normalises the current NDVI against the pixel's own multi-year historical min–max range, removing the confounding influence of soil type, crop type and local agro-ecology, so what remains is primarily a weather-driven anomaly signal (0 = worst-ever condition on record, 100 = best-ever).</w:t>
            </w:r>
          </w:p>
        </w:tc>
      </w:tr>
      <w:tr>
        <w:tc>
          <w:tcPr/>
          <w:p>
            <w:pPr>
              <w:pStyle w:val="Compact"/>
              <w:jc w:val="left"/>
            </w:pPr>
            <w:r>
              <w:t xml:space="preserve">NDWI (Normalized Difference Water Index)</w:t>
            </w:r>
          </w:p>
        </w:tc>
        <w:tc>
          <w:tcPr/>
          <w:p>
            <w:pPr>
              <w:pStyle w:val="Compact"/>
              <w:jc w:val="left"/>
            </w:pPr>
            <w:r>
              <w:t xml:space="preserve">(ρNIR − ρSWIR) / (ρNIR + ρSWIR)</w:t>
            </w:r>
          </w:p>
        </w:tc>
        <w:tc>
          <w:tcPr/>
          <w:p>
            <w:pPr>
              <w:pStyle w:val="Compact"/>
              <w:jc w:val="left"/>
            </w:pPr>
            <w:r>
              <w:t xml:space="preserve">Canopy/leaf equivalent water content, using the strong water absorption feature in the SWIR band. Responds to declining leaf water status before visible chlorophyll degradation shows up in NDVI — an earlier-warning signal than greenness alone, and less prone to saturation at high biomass.</w:t>
            </w:r>
          </w:p>
        </w:tc>
      </w:tr>
      <w:tr>
        <w:tc>
          <w:tcPr/>
          <w:p>
            <w:pPr>
              <w:pStyle w:val="Compact"/>
              <w:jc w:val="left"/>
            </w:pPr>
            <w:r>
              <w:t xml:space="preserve">SASI-type standardized anomaly index</w:t>
            </w:r>
          </w:p>
        </w:tc>
        <w:tc>
          <w:tcPr/>
          <w:p>
            <w:pPr>
              <w:pStyle w:val="Compact"/>
              <w:jc w:val="left"/>
            </w:pPr>
            <w:r>
              <w:t xml:space="preserve">Z = (Xt − μhist) / σhist , applied to the vegetation/stress index series</w:t>
            </w:r>
          </w:p>
        </w:tc>
        <w:tc>
          <w:tcPr/>
          <w:p>
            <w:pPr>
              <w:pStyle w:val="Compact"/>
              <w:jc w:val="left"/>
            </w:pPr>
            <w:r>
              <w:t xml:space="preserve">Places the current observation on a standardized (z-score) footing against the long-term climatological mean and standard deviation for that pixel/period, which is what ultimately drives the categorical drought-severity classification rather than an arbitrary fixed threshold on raw NDVI.</w:t>
            </w:r>
          </w:p>
        </w:tc>
      </w:tr>
    </w:tbl>
    <w:p>
      <w:pPr>
        <w:pStyle w:val="Heading3"/>
      </w:pPr>
      <w:r>
        <w:t xml:space="preserve">32.7.3 Why more than one index — the core interview question</w:t>
      </w:r>
    </w:p>
    <w:p>
      <w:pPr>
        <w:pStyle w:val="FirstParagraph"/>
      </w:pPr>
      <w:r>
        <w:t xml:space="preserve">The interview-relevant point here is why more than one index is used rather than trusting NDVI alone. NDVI alone conflates several things that look identical in a single greenness number — a naturally sparse late-sown crop, a genuinely water-stressed crop, and a crop past physiological maturity approaching senescence can all show a "low" NDVI for entirely different, non-drought reasons. NDWI adds an independent, water-status-specific channel that responds mechanistically (via the SWIR water-absorption feature) rather than via a proxy like colour/structure, and typically shows stress earlier than NDVI because leaf water potential drops before visible chlorosis. VCI and the standardized-anomaly (SASI-type) formulation remove the site-to-site and crop-to-crop baseline differences so that the same "abnormally low" verdict means the same thing in a black cotton-soil groundnut field in Maharashtra as in an alluvial paddy field in Odisha. Using all three in combination — and requiring persistence of the anomaly across at least two consecutive fortnightly cycles before escalating a severity category — is what lets NADAMS avoid both false alarms (a single cloudy/hazy acquisition producing a spurious low-NDVI pixel) and missed detections (a genuinely stressed crop that happens to still look moderately green).</w:t>
      </w:r>
    </w:p>
    <w:p>
      <w:pPr>
        <w:pStyle w:val="Heading3"/>
      </w:pPr>
      <w:r>
        <w:t xml:space="preserve">32.7.4 Operational workflow</w:t>
      </w:r>
    </w:p>
    <w:p>
      <w:pPr>
        <w:pStyle w:val="FirstParagraph"/>
      </w:pPr>
      <w:r>
        <w:t xml:space="preserve">Operational workflow (also expressible as a flowchart, given below): satellite acquisition (historically AWiFS and NOAA-AVHRR, now supplemented by MODIS and Resourcesat AWiFS with INSAT-3D/3DR thermal inputs) → radiometric/atmospheric correction and cloud screening → maximum-value compositing over the fortnight (to suppress residual cloud/aerosol/view-angle noise, a classic Holben 1986 technique) → NDVI/NDWI computation → comparison against the multi-year (typically 10+ year) pixel-wise historical baseline → VCI and standardized-anomaly computation → spatial aggregation to district/sub-district administrative units → four-class severity classification (broadly: Normal, Mild/Moderate, Severe, and sometimes a distinct "Warning" pre-category) based jointly on the magnitude of the anomaly and the percentage of the district's cropped area affected → cross-validation against IMD rainfall-deficiency data and, where available, State Agriculture Department ground reports → bulletin generation and dissemination to the Ministry of Agriculture, NDMA/State Relief Commissioners and State governments for relief and contingency-crop-planning decisions.</w:t>
      </w:r>
    </w:p>
    <w:p>
      <w:pPr>
        <w:pStyle w:val="BodyText"/>
      </w:pPr>
      <w:r>
        <w:rPr>
          <w:bCs/>
          <w:b/>
        </w:rPr>
        <w:t xml:space="preserve">AWiFS / MODIS / INSAT-3D acquisition (fortnightly cadence, kharif season)</w:t>
      </w:r>
    </w:p>
    <w:p>
      <w:pPr>
        <w:pStyle w:val="BodyText"/>
      </w:pPr>
      <w:r>
        <w:rPr>
          <w:bCs/>
          <w:b/>
        </w:rPr>
        <w:t xml:space="preserve">↓</w:t>
      </w:r>
    </w:p>
    <w:p>
      <w:pPr>
        <w:pStyle w:val="BodyText"/>
      </w:pPr>
      <w:r>
        <w:rPr>
          <w:bCs/>
          <w:b/>
        </w:rPr>
        <w:t xml:space="preserve">Radiometric-atmospheric correction, cloud screening, max-value compositing</w:t>
      </w:r>
    </w:p>
    <w:p>
      <w:pPr>
        <w:pStyle w:val="BodyText"/>
      </w:pPr>
      <w:r>
        <w:rPr>
          <w:bCs/>
          <w:b/>
        </w:rPr>
        <w:t xml:space="preserve">↓</w:t>
      </w:r>
    </w:p>
    <w:p>
      <w:pPr>
        <w:pStyle w:val="BodyText"/>
      </w:pPr>
      <w:r>
        <w:rPr>
          <w:bCs/>
          <w:b/>
        </w:rPr>
        <w:t xml:space="preserve">NDVI &amp; NDWI computation</w:t>
      </w:r>
    </w:p>
    <w:p>
      <w:pPr>
        <w:pStyle w:val="BodyText"/>
      </w:pPr>
      <w:r>
        <w:rPr>
          <w:bCs/>
          <w:b/>
        </w:rPr>
        <w:t xml:space="preserve">↓</w:t>
      </w:r>
    </w:p>
    <w:p>
      <w:pPr>
        <w:pStyle w:val="BodyText"/>
      </w:pPr>
      <w:r>
        <w:rPr>
          <w:bCs/>
          <w:b/>
        </w:rPr>
        <w:t xml:space="preserve">Comparison vs. 10+ year pixel-wise historical baseline</w:t>
      </w:r>
    </w:p>
    <w:p>
      <w:pPr>
        <w:pStyle w:val="BodyText"/>
      </w:pPr>
      <w:r>
        <w:rPr>
          <w:bCs/>
          <w:b/>
        </w:rPr>
        <w:t xml:space="preserve">↓</w:t>
      </w:r>
    </w:p>
    <w:p>
      <w:pPr>
        <w:pStyle w:val="BodyText"/>
      </w:pPr>
      <w:r>
        <w:rPr>
          <w:bCs/>
          <w:b/>
        </w:rPr>
        <w:t xml:space="preserve">VCI + standardized-anomaly (z-score) computation</w:t>
      </w:r>
    </w:p>
    <w:p>
      <w:pPr>
        <w:pStyle w:val="BodyText"/>
      </w:pPr>
      <w:r>
        <w:rPr>
          <w:bCs/>
          <w:b/>
        </w:rPr>
        <w:t xml:space="preserve">↓</w:t>
      </w:r>
    </w:p>
    <w:p>
      <w:pPr>
        <w:pStyle w:val="BodyText"/>
      </w:pPr>
      <w:r>
        <w:rPr>
          <w:bCs/>
          <w:b/>
        </w:rPr>
        <w:t xml:space="preserve">District/sub-district aggregation &amp; 4-class severity classification</w:t>
      </w:r>
    </w:p>
    <w:p>
      <w:pPr>
        <w:pStyle w:val="BodyText"/>
      </w:pPr>
      <w:r>
        <w:rPr>
          <w:bCs/>
          <w:b/>
        </w:rPr>
        <w:t xml:space="preserve">↓</w:t>
      </w:r>
    </w:p>
    <w:p>
      <w:pPr>
        <w:pStyle w:val="BodyText"/>
      </w:pPr>
      <w:r>
        <w:rPr>
          <w:bCs/>
          <w:b/>
        </w:rPr>
        <w:t xml:space="preserve">Cross-validation with IMD rainfall deficiency &amp; ground reports</w:t>
      </w:r>
    </w:p>
    <w:p>
      <w:pPr>
        <w:pStyle w:val="BodyText"/>
      </w:pPr>
      <w:r>
        <w:rPr>
          <w:bCs/>
          <w:b/>
        </w:rPr>
        <w:t xml:space="preserve">↓</w:t>
      </w:r>
    </w:p>
    <w:p>
      <w:pPr>
        <w:pStyle w:val="BodyText"/>
      </w:pPr>
      <w:r>
        <w:rPr>
          <w:bCs/>
          <w:b/>
        </w:rPr>
        <w:t xml:space="preserve">Bulletin → Ministry of Agriculture / NDMA / State Relief Commissioners</w:t>
      </w:r>
    </w:p>
    <w:p>
      <w:pPr>
        <w:pStyle w:val="Heading2"/>
      </w:pPr>
      <w:r>
        <w:t xml:space="preserve">32.8 Evapotranspiration for Agricultural Drought Characterisation</w:t>
      </w:r>
    </w:p>
    <w:p>
      <w:pPr>
        <w:pStyle w:val="Heading3"/>
      </w:pPr>
      <w:r>
        <w:t xml:space="preserve">32.8.1 Why ET, not just rainfall deficit, is used</w:t>
      </w:r>
    </w:p>
    <w:p>
      <w:pPr>
        <w:pStyle w:val="FirstParagraph"/>
      </w:pPr>
      <w:r>
        <w:t xml:space="preserve">Classical meteorological drought indices are based purely on rainfall deficit relative to normal (e.g., the Standardized Precipitation Index, SPI).</w:t>
      </w:r>
      <w:r>
        <w:t xml:space="preserve"> </w:t>
      </w:r>
      <w:r>
        <w:rPr>
          <w:bCs/>
          <w:b/>
        </w:rPr>
        <w:t xml:space="preserve">Agricultural drought</w:t>
      </w:r>
      <w:r>
        <w:t xml:space="preserve">, however, is fundamentally about</w:t>
      </w:r>
      <w:r>
        <w:t xml:space="preserve"> </w:t>
      </w:r>
      <w:r>
        <w:rPr>
          <w:bCs/>
          <w:b/>
        </w:rPr>
        <w:t xml:space="preserve">crop water stress</w:t>
      </w:r>
      <w:r>
        <w:t xml:space="preserve"> </w:t>
      </w:r>
      <w:r>
        <w:t xml:space="preserve">— the imbalance between crop water demand (closely tied to atmospheric evaporative demand and crop growth stage) and actual water supply (soil moisture, effective rainfall, irrigation) — which rainfall deficit alone does not directly capture, since the same rainfall deficit can produce very different agricultural-drought severity depending on antecedent soil moisture, temperature/evaporative-demand anomalies, and crop stage sensitivity. Remote-sensing-derived</w:t>
      </w:r>
      <w:r>
        <w:t xml:space="preserve"> </w:t>
      </w:r>
      <w:r>
        <w:rPr>
          <w:bCs/>
          <w:b/>
        </w:rPr>
        <w:t xml:space="preserve">actual evapotranspiration (AET)</w:t>
      </w:r>
      <w:r>
        <w:t xml:space="preserve">, benchmarked against potential/reference evapotranspiration (ET0, Chapter 1, Section 1.9), directly reflects the realised crop-water-use response to this full soil-plant-atmosphere water-balance state, making AET-based indices a more direct agricultural-drought proxy.</w:t>
      </w:r>
    </w:p>
    <w:p>
      <w:pPr>
        <w:pStyle w:val="Heading3"/>
      </w:pPr>
      <w:r>
        <w:t xml:space="preserve">32.8.2 Key ET-based agricultural drought indices</w:t>
      </w:r>
    </w:p>
    <w:p>
      <w:pPr>
        <w:pStyle w:val="Compact"/>
        <w:numPr>
          <w:ilvl w:val="0"/>
          <w:numId w:val="1253"/>
        </w:numPr>
      </w:pPr>
      <w:r>
        <w:rPr>
          <w:bCs/>
          <w:b/>
        </w:rPr>
        <w:t xml:space="preserve">Evaporative Stress Index (ESI):</w:t>
      </w:r>
      <w:r>
        <w:t xml:space="preserve"> </w:t>
      </w:r>
      <w:r>
        <w:t xml:space="preserve">based on the ratio of actual to reference/potential evapotranspiration (AET/ET0, sometimes termed the</w:t>
      </w:r>
      <w:r>
        <w:t xml:space="preserve"> </w:t>
      </w:r>
      <w:r>
        <w:t xml:space="preserve">“</w:t>
      </w:r>
      <w:r>
        <w:t xml:space="preserve">crop water stress index</w:t>
      </w:r>
      <w:r>
        <w:t xml:space="preserve">”</w:t>
      </w:r>
      <w:r>
        <w:t xml:space="preserve"> </w:t>
      </w:r>
      <w:r>
        <w:t xml:space="preserve">family), computed from thermal-remote-sensing-based AET (e.g., via the one- or two-source energy-balance models of the relevant chapter, Section 1.10, driven by satellite land-surface temperature), with values significantly below the expected/climatological ratio for that location and time of year flagged as evaporative-stress (incipient drought) anomalies — valued for responding faster than vegetation-index-based indicators, since stomatal closure and reduced transpiration (captured by AET/ET0) precede visible canopy greenness decline (captured by NDVI).</w:t>
      </w:r>
    </w:p>
    <w:p>
      <w:pPr>
        <w:pStyle w:val="Compact"/>
        <w:numPr>
          <w:ilvl w:val="0"/>
          <w:numId w:val="1253"/>
        </w:numPr>
      </w:pPr>
      <w:r>
        <w:rPr>
          <w:bCs/>
          <w:b/>
        </w:rPr>
        <w:t xml:space="preserve">Water Requirement Satisfaction Index (WRSI) / crop-water-balance indices:</w:t>
      </w:r>
      <w:r>
        <w:t xml:space="preserve"> </w:t>
      </w:r>
      <w:r>
        <w:t xml:space="preserve">track the ratio of actual crop water supply (rainfall + soil-moisture storage) to crop water requirement (ET0 × crop coefficient, Kc, across growth stages) through the season using a running soil-water-balance accounting model, flagging cumulative water-deficit periods, particularly at moisture-sensitive crop growth stages.</w:t>
      </w:r>
    </w:p>
    <w:p>
      <w:pPr>
        <w:pStyle w:val="Compact"/>
        <w:numPr>
          <w:ilvl w:val="0"/>
          <w:numId w:val="1253"/>
        </w:numPr>
      </w:pPr>
      <w:r>
        <w:rPr>
          <w:bCs/>
          <w:b/>
        </w:rPr>
        <w:t xml:space="preserve">NDVI-based Vegetation Condition Index (VCI) and Vegetation Health Index (VHI):</w:t>
      </w:r>
      <w:r>
        <w:t xml:space="preserve"> </w:t>
      </w:r>
      <w:r>
        <w:t xml:space="preserve">complementary (not ET-based per se, but combined operationally with ET-based indices) indices normalising current NDVI/land-surface-temperature against the historical (multi-year) minimum-maximum range for that pixel/date, used jointly with AET-based indices in composite operational drought-assessment products.</w:t>
      </w:r>
    </w:p>
    <w:p>
      <w:pPr>
        <w:pStyle w:val="Heading3"/>
      </w:pPr>
      <w:r>
        <w:t xml:space="preserve">32.8.3 NADAMS</w:t>
      </w:r>
    </w:p>
    <w:p>
      <w:pPr>
        <w:pStyle w:val="FirstParagraph"/>
      </w:pPr>
      <w:r>
        <w:t xml:space="preserve">The</w:t>
      </w:r>
      <w:r>
        <w:t xml:space="preserve"> </w:t>
      </w:r>
      <w:r>
        <w:rPr>
          <w:bCs/>
          <w:b/>
        </w:rPr>
        <w:t xml:space="preserve">National Agricultural Drought Assessment and Monitoring System (NADAMS)</w:t>
      </w:r>
      <w:r>
        <w:t xml:space="preserve">, developed and operated by ISRO/DoS (SAC) in collaboration with the Ministry of Agriculture and Farmers’ Welfare and state agriculture departments, is India’s operational satellite-based agricultural-drought monitoring system, issuing fortnightly/monthly national and state-level agricultural-drought bulletins through the kharif season based on a composite assessment combining NDVI-based vegetation-condition anomaly, rainfall-deficit information, and (in its more recent evolution) ET/soil-moisture-based indicators, classifying districts into drought-severity categories (normal, moderate, severe) to support timely government drought-relief and contingency-crop-planning decisions.</w:t>
      </w:r>
    </w:p>
    <w:p>
      <w:pPr>
        <w:pStyle w:val="Heading2"/>
      </w:pPr>
      <w:r>
        <w:t xml:space="preserve">32.9 Agricultural Drought Vulnerability Assessment</w:t>
      </w:r>
    </w:p>
    <w:p>
      <w:pPr>
        <w:pStyle w:val="FirstParagraph"/>
      </w:pPr>
      <w:r>
        <w:t xml:space="preserve">Distinct from the drought-</w:t>
      </w:r>
      <w:r>
        <w:rPr>
          <w:bCs/>
          <w:b/>
        </w:rPr>
        <w:t xml:space="preserve">monitoring</w:t>
      </w:r>
      <w:r>
        <w:t xml:space="preserve"> </w:t>
      </w:r>
      <w:r>
        <w:t xml:space="preserve">(real-time condition assessment, e.g., NADAMS, Chapter 7, Section 7.3.3) function, drought-</w:t>
      </w:r>
      <w:r>
        <w:rPr>
          <w:bCs/>
          <w:b/>
        </w:rPr>
        <w:t xml:space="preserve">vulnerability</w:t>
      </w:r>
      <w:r>
        <w:t xml:space="preserve"> </w:t>
      </w:r>
      <w:r>
        <w:t xml:space="preserve">assessment characterises the underlying, comparatively slowly changing socio-economic and biophysical susceptibility of a region to agricultural-drought impact — combining biophysical exposure/sensitivity factors (rainfall variability, soil-water-holding capacity from soil-depth/texture mapping, Chapter 5, irrigation-coverage extent) with socio-economic adaptive-capacity indicators (irrigation infrastructure, cropping-pattern diversification, farm-mechanisation/credit-access proxies where available) in a composite vulnerability-index framework directly analogous to the ecosystem-vulnerability framework introduced in the relevant chapter, used for longer-term drought-preparedness and resource-allocation planning as distinct from within-season emergency response.</w:t>
      </w:r>
    </w:p>
    <w:p>
      <w:pPr>
        <w:pStyle w:val="Heading1"/>
      </w:pPr>
      <w:r>
        <w:t xml:space="preserve">Chapter 33. Short-term Weather Hazards, Floods and Crop Loss Assessment</w:t>
      </w:r>
    </w:p>
    <w:p>
      <w:pPr>
        <w:pStyle w:val="Heading2"/>
      </w:pPr>
      <w:r>
        <w:t xml:space="preserve">33.1 Major Short-Term Weather Hazards Affecting Indian Agriculture</w:t>
      </w:r>
    </w:p>
    <w:tbl>
      <w:tblPr>
        <w:tblStyle w:val="Table"/>
        <w:tblW w:type="pct" w:w="4974"/>
        <w:jc w:val="left"/>
        <w:tblLook w:firstRow="1" w:lastRow="0" w:firstColumn="0" w:lastColumn="0" w:noHBand="0" w:noVBand="0" w:val="0020"/>
      </w:tblPr>
      <w:tblGrid>
        <w:gridCol w:w="831"/>
        <w:gridCol w:w="1766"/>
        <w:gridCol w:w="2785"/>
        <w:gridCol w:w="2494"/>
      </w:tblGrid>
      <w:tr>
        <w:trPr>
          <w:tblHeader w:val="true"/>
        </w:trPr>
        <w:tc>
          <w:tcPr/>
          <w:p>
            <w:pPr>
              <w:pStyle w:val="Compact"/>
              <w:jc w:val="left"/>
            </w:pPr>
            <w:r>
              <w:rPr>
                <w:bCs/>
                <w:b/>
              </w:rPr>
              <w:t xml:space="preserve">Hazard</w:t>
            </w:r>
          </w:p>
        </w:tc>
        <w:tc>
          <w:tcPr/>
          <w:p>
            <w:pPr>
              <w:pStyle w:val="Compact"/>
              <w:jc w:val="left"/>
            </w:pPr>
            <w:r>
              <w:rPr>
                <w:bCs/>
                <w:b/>
              </w:rPr>
              <w:t xml:space="preserve">Typical Season/Region</w:t>
            </w:r>
          </w:p>
        </w:tc>
        <w:tc>
          <w:tcPr/>
          <w:p>
            <w:pPr>
              <w:pStyle w:val="Compact"/>
              <w:jc w:val="left"/>
            </w:pPr>
            <w:r>
              <w:rPr>
                <w:bCs/>
                <w:b/>
              </w:rPr>
              <w:t xml:space="preserve">Mechanism of Crop Damage</w:t>
            </w:r>
          </w:p>
        </w:tc>
        <w:tc>
          <w:tcPr/>
          <w:p>
            <w:pPr>
              <w:pStyle w:val="Compact"/>
              <w:jc w:val="left"/>
            </w:pPr>
            <w:r>
              <w:rPr>
                <w:bCs/>
                <w:b/>
              </w:rPr>
              <w:t xml:space="preserve">Forecasting Tool</w:t>
            </w:r>
          </w:p>
        </w:tc>
      </w:tr>
      <w:tr>
        <w:tc>
          <w:tcPr/>
          <w:p>
            <w:pPr>
              <w:pStyle w:val="Compact"/>
              <w:jc w:val="left"/>
            </w:pPr>
            <w:r>
              <w:t xml:space="preserve">Hailstorm</w:t>
            </w:r>
          </w:p>
        </w:tc>
        <w:tc>
          <w:tcPr/>
          <w:p>
            <w:pPr>
              <w:pStyle w:val="Compact"/>
              <w:jc w:val="left"/>
            </w:pPr>
            <w:r>
              <w:t xml:space="preserve">Pre-monsoon/winter, northwest &amp; central India, hill states</w:t>
            </w:r>
          </w:p>
        </w:tc>
        <w:tc>
          <w:tcPr/>
          <w:p>
            <w:pPr>
              <w:pStyle w:val="Compact"/>
              <w:jc w:val="left"/>
            </w:pPr>
            <w:r>
              <w:t xml:space="preserve">Physical bruising/shredding of leaves, fruit, and standing crop by impact</w:t>
            </w:r>
          </w:p>
        </w:tc>
        <w:tc>
          <w:tcPr/>
          <w:p>
            <w:pPr>
              <w:pStyle w:val="Compact"/>
              <w:jc w:val="left"/>
            </w:pPr>
            <w:r>
              <w:t xml:space="preserve">Doppler radar (reflectivity/dual-pol hydrometeor classification), convective-instability indices (CAPE, Lifted Index)</w:t>
            </w:r>
          </w:p>
        </w:tc>
      </w:tr>
      <w:tr>
        <w:tc>
          <w:tcPr/>
          <w:p>
            <w:pPr>
              <w:pStyle w:val="Compact"/>
              <w:jc w:val="left"/>
            </w:pPr>
            <w:r>
              <w:t xml:space="preserve">Frost</w:t>
            </w:r>
          </w:p>
        </w:tc>
        <w:tc>
          <w:tcPr/>
          <w:p>
            <w:pPr>
              <w:pStyle w:val="Compact"/>
              <w:jc w:val="left"/>
            </w:pPr>
            <w:r>
              <w:t xml:space="preserve">Winter (Dec–Feb), north/northwest plains</w:t>
            </w:r>
          </w:p>
        </w:tc>
        <w:tc>
          <w:tcPr/>
          <w:p>
            <w:pPr>
              <w:pStyle w:val="Compact"/>
              <w:jc w:val="left"/>
            </w:pPr>
            <w:r>
              <w:t xml:space="preserve">Ice crystal formation ruptures plant cell walls (intracellular/extracellular freezing) — damages young growth, flowers, fruit set</w:t>
            </w:r>
          </w:p>
        </w:tc>
        <w:tc>
          <w:tcPr/>
          <w:p>
            <w:pPr>
              <w:pStyle w:val="Compact"/>
              <w:jc w:val="left"/>
            </w:pPr>
            <w:r>
              <w:t xml:space="preserve">Minimum temperature forecast, clear-sky/calm-wind radiative cooling nomograms, dew-point depression</w:t>
            </w:r>
          </w:p>
        </w:tc>
      </w:tr>
      <w:tr>
        <w:tc>
          <w:tcPr/>
          <w:p>
            <w:pPr>
              <w:pStyle w:val="Compact"/>
              <w:jc w:val="left"/>
            </w:pPr>
            <w:r>
              <w:t xml:space="preserve">Heat Wave</w:t>
            </w:r>
          </w:p>
        </w:tc>
        <w:tc>
          <w:tcPr/>
          <w:p>
            <w:pPr>
              <w:pStyle w:val="Compact"/>
              <w:jc w:val="left"/>
            </w:pPr>
            <w:r>
              <w:t xml:space="preserve">Pre-monsoon summer (Mar–Jun)</w:t>
            </w:r>
          </w:p>
        </w:tc>
        <w:tc>
          <w:tcPr/>
          <w:p>
            <w:pPr>
              <w:pStyle w:val="Compact"/>
              <w:jc w:val="left"/>
            </w:pPr>
            <w:r>
              <w:t xml:space="preserve">Terminal heat stress at flowering/grain-filling (esp. wheat), accelerated senescence, pollen sterility</w:t>
            </w:r>
          </w:p>
        </w:tc>
        <w:tc>
          <w:tcPr/>
          <w:p>
            <w:pPr>
              <w:pStyle w:val="Compact"/>
              <w:jc w:val="left"/>
            </w:pPr>
            <w:r>
              <w:t xml:space="preserve">IMD Tmax departure criteria (≥4.5–6.4°C above normal = heat wave)</w:t>
            </w:r>
          </w:p>
        </w:tc>
      </w:tr>
      <w:tr>
        <w:tc>
          <w:tcPr/>
          <w:p>
            <w:pPr>
              <w:pStyle w:val="Compact"/>
              <w:jc w:val="left"/>
            </w:pPr>
            <w:r>
              <w:t xml:space="preserve">Cold Wave</w:t>
            </w:r>
          </w:p>
        </w:tc>
        <w:tc>
          <w:tcPr/>
          <w:p>
            <w:pPr>
              <w:pStyle w:val="Compact"/>
              <w:jc w:val="left"/>
            </w:pPr>
            <w:r>
              <w:t xml:space="preserve">Winter</w:t>
            </w:r>
          </w:p>
        </w:tc>
        <w:tc>
          <w:tcPr/>
          <w:p>
            <w:pPr>
              <w:pStyle w:val="Compact"/>
              <w:jc w:val="left"/>
            </w:pPr>
            <w:r>
              <w:t xml:space="preserve">Chilling injury, reduced germination, frost association</w:t>
            </w:r>
          </w:p>
        </w:tc>
        <w:tc>
          <w:tcPr/>
          <w:p>
            <w:pPr>
              <w:pStyle w:val="Compact"/>
              <w:jc w:val="left"/>
            </w:pPr>
            <w:r>
              <w:t xml:space="preserve">IMD Tmin departure criteria</w:t>
            </w:r>
          </w:p>
        </w:tc>
      </w:tr>
      <w:tr>
        <w:tc>
          <w:tcPr/>
          <w:p>
            <w:pPr>
              <w:pStyle w:val="Compact"/>
              <w:jc w:val="left"/>
            </w:pPr>
            <w:r>
              <w:t xml:space="preserve">Tropical Cyclone</w:t>
            </w:r>
          </w:p>
        </w:tc>
        <w:tc>
          <w:tcPr/>
          <w:p>
            <w:pPr>
              <w:pStyle w:val="Compact"/>
              <w:jc w:val="left"/>
            </w:pPr>
            <w:r>
              <w:t xml:space="preserve">Pre-monsoon (Apr–Jun) &amp; post-monsoon (Oct–Dec), Bay of Bengal/Arabian Sea coasts</w:t>
            </w:r>
          </w:p>
        </w:tc>
        <w:tc>
          <w:tcPr/>
          <w:p>
            <w:pPr>
              <w:pStyle w:val="Compact"/>
              <w:jc w:val="left"/>
            </w:pPr>
            <w:r>
              <w:t xml:space="preserve">Wind-lodging, defoliation, salinity ingress (storm surge), waterlogging from extreme rainfall</w:t>
            </w:r>
          </w:p>
        </w:tc>
        <w:tc>
          <w:tcPr/>
          <w:p>
            <w:pPr>
              <w:pStyle w:val="Compact"/>
              <w:jc w:val="left"/>
            </w:pPr>
            <w:r>
              <w:t xml:space="preserve">Satellite (Dvorak technique), DWR, numerical cyclone track/intensity models</w:t>
            </w:r>
          </w:p>
        </w:tc>
      </w:tr>
      <w:tr>
        <w:tc>
          <w:tcPr/>
          <w:p>
            <w:pPr>
              <w:pStyle w:val="Compact"/>
              <w:jc w:val="left"/>
            </w:pPr>
            <w:r>
              <w:t xml:space="preserve">Unseasonal/Excess Rainfall</w:t>
            </w:r>
          </w:p>
        </w:tc>
        <w:tc>
          <w:tcPr/>
          <w:p>
            <w:pPr>
              <w:pStyle w:val="Compact"/>
              <w:jc w:val="left"/>
            </w:pPr>
            <w:r>
              <w:t xml:space="preserve">Any season, esp. harvest-time western disturbance-induced rain</w:t>
            </w:r>
          </w:p>
        </w:tc>
        <w:tc>
          <w:tcPr/>
          <w:p>
            <w:pPr>
              <w:pStyle w:val="Compact"/>
              <w:jc w:val="left"/>
            </w:pPr>
            <w:r>
              <w:t xml:space="preserve">Lodging, grain sprouting in the ear, fungal disease outbreak, harvest delay/spoilage</w:t>
            </w:r>
          </w:p>
        </w:tc>
        <w:tc>
          <w:tcPr/>
          <w:p>
            <w:pPr>
              <w:pStyle w:val="Compact"/>
              <w:jc w:val="left"/>
            </w:pPr>
            <w:r>
              <w:t xml:space="preserve">Western disturbance tracking, medium-range NWP QPF (quantitative precipitation forecast)</w:t>
            </w:r>
          </w:p>
        </w:tc>
      </w:tr>
      <w:tr>
        <w:tc>
          <w:tcPr/>
          <w:p>
            <w:pPr>
              <w:pStyle w:val="Compact"/>
              <w:jc w:val="left"/>
            </w:pPr>
            <w:r>
              <w:t xml:space="preserve">Drought (Meteorological/Agricultural)</w:t>
            </w:r>
          </w:p>
        </w:tc>
        <w:tc>
          <w:tcPr/>
          <w:p>
            <w:pPr>
              <w:pStyle w:val="Compact"/>
              <w:jc w:val="left"/>
            </w:pPr>
            <w:r>
              <w:t xml:space="preserve">Deficient/delayed monsoon years</w:t>
            </w:r>
          </w:p>
        </w:tc>
        <w:tc>
          <w:tcPr/>
          <w:p>
            <w:pPr>
              <w:pStyle w:val="Compact"/>
              <w:jc w:val="left"/>
            </w:pPr>
            <w:r>
              <w:t xml:space="preserve">Cumulative moisture deficit — wilting, yield/biomass reduction, in severe cases total crop failure</w:t>
            </w:r>
          </w:p>
        </w:tc>
        <w:tc>
          <w:tcPr/>
          <w:p>
            <w:pPr>
              <w:pStyle w:val="Compact"/>
              <w:jc w:val="left"/>
            </w:pPr>
            <w:r>
              <w:t xml:space="preserve">SPI, VCI/NDVI trend, MAI, seasonal LRF</w:t>
            </w:r>
          </w:p>
        </w:tc>
      </w:tr>
      <w:tr>
        <w:tc>
          <w:tcPr/>
          <w:p>
            <w:pPr>
              <w:pStyle w:val="Compact"/>
              <w:jc w:val="left"/>
            </w:pPr>
            <w:r>
              <w:t xml:space="preserve">Waterlogging/Flood</w:t>
            </w:r>
          </w:p>
        </w:tc>
        <w:tc>
          <w:tcPr/>
          <w:p>
            <w:pPr>
              <w:pStyle w:val="Compact"/>
              <w:jc w:val="left"/>
            </w:pPr>
            <w:r>
              <w:t xml:space="preserve">Monsoon, low-lying/riverine areas</w:t>
            </w:r>
          </w:p>
        </w:tc>
        <w:tc>
          <w:tcPr/>
          <w:p>
            <w:pPr>
              <w:pStyle w:val="Compact"/>
              <w:jc w:val="left"/>
            </w:pPr>
            <w:r>
              <w:t xml:space="preserve">Root anoxia, nutrient leaching, direct submergence damage</w:t>
            </w:r>
          </w:p>
        </w:tc>
        <w:tc>
          <w:tcPr/>
          <w:p>
            <w:pPr>
              <w:pStyle w:val="Compact"/>
              <w:jc w:val="left"/>
            </w:pPr>
            <w:r>
              <w:t xml:space="preserve">SAR-based flood mapping, river-basin hydrological/rainfall models</w:t>
            </w:r>
          </w:p>
        </w:tc>
      </w:tr>
      <w:tr>
        <w:tc>
          <w:tcPr/>
          <w:p>
            <w:pPr>
              <w:pStyle w:val="Compact"/>
              <w:jc w:val="left"/>
            </w:pPr>
            <w:r>
              <w:t xml:space="preserve">Lightning</w:t>
            </w:r>
          </w:p>
        </w:tc>
        <w:tc>
          <w:tcPr/>
          <w:p>
            <w:pPr>
              <w:pStyle w:val="Compact"/>
              <w:jc w:val="left"/>
            </w:pPr>
            <w:r>
              <w:t xml:space="preserve">Pre-monsoon and monsoon convective activity</w:t>
            </w:r>
          </w:p>
        </w:tc>
        <w:tc>
          <w:tcPr/>
          <w:p>
            <w:pPr>
              <w:pStyle w:val="Compact"/>
              <w:jc w:val="left"/>
            </w:pPr>
            <w:r>
              <w:t xml:space="preserve">Direct human/livestock casualty risk during field operations; occasional localized crop/property damage</w:t>
            </w:r>
          </w:p>
        </w:tc>
        <w:tc>
          <w:tcPr/>
          <w:p>
            <w:pPr>
              <w:pStyle w:val="Compact"/>
              <w:jc w:val="left"/>
            </w:pPr>
            <w:r>
              <w:t xml:space="preserve">Ground-based lightning detection networks, Damini app alerts</w:t>
            </w:r>
          </w:p>
        </w:tc>
      </w:tr>
    </w:tbl>
    <w:p>
      <w:pPr>
        <w:pStyle w:val="Heading2"/>
      </w:pPr>
      <w:r>
        <w:t xml:space="preserve">33.2 Cyclone Forecasting — Techniques in Detail</w:t>
      </w:r>
    </w:p>
    <w:p>
      <w:pPr>
        <w:pStyle w:val="FirstParagraph"/>
      </w:pPr>
      <w:r>
        <w:t xml:space="preserve">Tropical cyclones over the North Indian Ocean (Bay of Bengal and Arabian Sea) are tracked and forecast by IMD's Regional Specialised Meteorological Centre (RSMC), New Delhi — the WMO-designated RSMC for this basin, also responsible for naming cyclones and issuing advisories to neighbouring countries.</w:t>
      </w:r>
    </w:p>
    <w:p>
      <w:pPr>
        <w:numPr>
          <w:ilvl w:val="0"/>
          <w:numId w:val="1254"/>
        </w:numPr>
      </w:pPr>
      <w:r>
        <w:t xml:space="preserve">Satellite-based intensity estimation — the Dvorak Technique: a well-established, semi-empirical method that classifies a cyclone's intensity from the visual/infrared cloud pattern signature observed in satellite imagery (curved banding, central dense overcast, eye appearance), assigning a T-number (Tropical number) that is converted to estimated maximum sustained wind speed and central pressure via standard look-up tables — still a mainstay for real-time intensity estimation over the ocean where in-situ measurement is unavailable; the 'Advanced Dvorak Technique' (ADT) further automates and objectifies this using digital IR imagery analysis.</w:t>
      </w:r>
    </w:p>
    <w:p>
      <w:pPr>
        <w:numPr>
          <w:ilvl w:val="0"/>
          <w:numId w:val="1254"/>
        </w:numPr>
      </w:pPr>
      <w:r>
        <w:t xml:space="preserve">Doppler Weather Radar (DWR): once a cyclone approaches within ~400–500 km of the coast, coastal DWRs directly observe eyewall structure, radius of maximum wind, and track/intensity changes at high temporal resolution, critical for short-range landfall forecasting.</w:t>
      </w:r>
    </w:p>
    <w:p>
      <w:pPr>
        <w:numPr>
          <w:ilvl w:val="0"/>
          <w:numId w:val="1254"/>
        </w:numPr>
      </w:pPr>
      <w:r>
        <w:t xml:space="preserve">Scatterometer winds (SCATSAT-1): provide direct ocean-surface wind-vector observation over the open ocean, valuable for genesis detection and intensity monitoring before a system is close enough for radar.</w:t>
      </w:r>
    </w:p>
    <w:p>
      <w:pPr>
        <w:numPr>
          <w:ilvl w:val="0"/>
          <w:numId w:val="1254"/>
        </w:numPr>
      </w:pPr>
      <w:r>
        <w:t xml:space="preserve">Numerical cyclone models: high-resolution mesoscale NWP (WRF-based, and IMD's operational cyclone-specific configurations), together with statistical-dynamical track/intensity guidance and ensemble spread, generate the probabilistic 'cone of uncertainty' landfall forecasts used for evacuation and agricultural protective-action planning (e.g., early harvest of maturing crops, securing standing banana/sugarcane against wind-lodging).</w:t>
      </w:r>
    </w:p>
    <w:p>
      <w:pPr>
        <w:numPr>
          <w:ilvl w:val="0"/>
          <w:numId w:val="1254"/>
        </w:numPr>
      </w:pPr>
      <w:r>
        <w:t xml:space="preserve">Storm-surge modelling: coupled with cyclone track/intensity forecasts, numerical storm-surge models predict coastal inundation extent — critical for anticipating salinity damage to coastal paddy and aquaculture.</w:t>
      </w:r>
    </w:p>
    <w:p>
      <w:pPr>
        <w:pStyle w:val="Heading3"/>
      </w:pPr>
      <w:r>
        <w:t xml:space="preserve">33.2.1 IMD's Cyclone Intensity Classification</w:t>
      </w:r>
    </w:p>
    <w:p>
      <w:pPr>
        <w:pStyle w:val="FirstParagraph"/>
      </w:pPr>
      <w:r>
        <w:t xml:space="preserve">IMD classifies low-pressure systems over the North Indian Ocean into the following categories based on associated maximum sustained surface wind speed, each carrying escalating implications for coastal agricultural protective action:</w:t>
      </w:r>
    </w:p>
    <w:tbl>
      <w:tblPr>
        <w:tblStyle w:val="Table"/>
        <w:tblW w:type="pct" w:w="4873"/>
        <w:jc w:val="left"/>
        <w:tblLook w:firstRow="1" w:lastRow="0" w:firstColumn="0" w:lastColumn="0" w:noHBand="0" w:noVBand="0" w:val="0020"/>
      </w:tblPr>
      <w:tblGrid>
        <w:gridCol w:w="4110"/>
        <w:gridCol w:w="3609"/>
      </w:tblGrid>
      <w:tr>
        <w:trPr>
          <w:tblHeader w:val="true"/>
        </w:trPr>
        <w:tc>
          <w:tcPr/>
          <w:p>
            <w:pPr>
              <w:pStyle w:val="Compact"/>
              <w:jc w:val="left"/>
            </w:pPr>
            <w:r>
              <w:rPr>
                <w:bCs/>
                <w:b/>
              </w:rPr>
              <w:t xml:space="preserve">Category</w:t>
            </w:r>
          </w:p>
        </w:tc>
        <w:tc>
          <w:tcPr/>
          <w:p>
            <w:pPr>
              <w:pStyle w:val="Compact"/>
              <w:jc w:val="left"/>
            </w:pPr>
            <w:r>
              <w:rPr>
                <w:bCs/>
                <w:b/>
              </w:rPr>
              <w:t xml:space="preserve">Maximum Sustained Wind Speed</w:t>
            </w:r>
          </w:p>
        </w:tc>
      </w:tr>
      <w:tr>
        <w:tc>
          <w:tcPr/>
          <w:p>
            <w:pPr>
              <w:pStyle w:val="Compact"/>
              <w:jc w:val="left"/>
            </w:pPr>
            <w:r>
              <w:t xml:space="preserve">Low Pressure Area (LPA)</w:t>
            </w:r>
          </w:p>
        </w:tc>
        <w:tc>
          <w:tcPr/>
          <w:p>
            <w:pPr>
              <w:pStyle w:val="Compact"/>
              <w:jc w:val="left"/>
            </w:pPr>
            <w:r>
              <w:t xml:space="preserve">&lt; 31 km/h</w:t>
            </w:r>
          </w:p>
        </w:tc>
      </w:tr>
      <w:tr>
        <w:tc>
          <w:tcPr/>
          <w:p>
            <w:pPr>
              <w:pStyle w:val="Compact"/>
              <w:jc w:val="left"/>
            </w:pPr>
            <w:r>
              <w:t xml:space="preserve">Depression (D)</w:t>
            </w:r>
          </w:p>
        </w:tc>
        <w:tc>
          <w:tcPr/>
          <w:p>
            <w:pPr>
              <w:pStyle w:val="Compact"/>
              <w:jc w:val="left"/>
            </w:pPr>
            <w:r>
              <w:t xml:space="preserve">31–49 km/h</w:t>
            </w:r>
          </w:p>
        </w:tc>
      </w:tr>
      <w:tr>
        <w:tc>
          <w:tcPr/>
          <w:p>
            <w:pPr>
              <w:pStyle w:val="Compact"/>
              <w:jc w:val="left"/>
            </w:pPr>
            <w:r>
              <w:t xml:space="preserve">Deep Depression (DD)</w:t>
            </w:r>
          </w:p>
        </w:tc>
        <w:tc>
          <w:tcPr/>
          <w:p>
            <w:pPr>
              <w:pStyle w:val="Compact"/>
              <w:jc w:val="left"/>
            </w:pPr>
            <w:r>
              <w:t xml:space="preserve">50–61 km/h</w:t>
            </w:r>
          </w:p>
        </w:tc>
      </w:tr>
      <w:tr>
        <w:tc>
          <w:tcPr/>
          <w:p>
            <w:pPr>
              <w:pStyle w:val="Compact"/>
              <w:jc w:val="left"/>
            </w:pPr>
            <w:r>
              <w:t xml:space="preserve">Cyclonic Storm (CS)</w:t>
            </w:r>
          </w:p>
        </w:tc>
        <w:tc>
          <w:tcPr/>
          <w:p>
            <w:pPr>
              <w:pStyle w:val="Compact"/>
              <w:jc w:val="left"/>
            </w:pPr>
            <w:r>
              <w:t xml:space="preserve">62–88 km/h</w:t>
            </w:r>
          </w:p>
        </w:tc>
      </w:tr>
      <w:tr>
        <w:tc>
          <w:tcPr/>
          <w:p>
            <w:pPr>
              <w:pStyle w:val="Compact"/>
              <w:jc w:val="left"/>
            </w:pPr>
            <w:r>
              <w:t xml:space="preserve">Severe Cyclonic Storm (SCS)</w:t>
            </w:r>
          </w:p>
        </w:tc>
        <w:tc>
          <w:tcPr/>
          <w:p>
            <w:pPr>
              <w:pStyle w:val="Compact"/>
              <w:jc w:val="left"/>
            </w:pPr>
            <w:r>
              <w:t xml:space="preserve">89–117 km/h</w:t>
            </w:r>
          </w:p>
        </w:tc>
      </w:tr>
      <w:tr>
        <w:tc>
          <w:tcPr/>
          <w:p>
            <w:pPr>
              <w:pStyle w:val="Compact"/>
              <w:jc w:val="left"/>
            </w:pPr>
            <w:r>
              <w:t xml:space="preserve">Very Severe Cyclonic Storm (VSCS)</w:t>
            </w:r>
          </w:p>
        </w:tc>
        <w:tc>
          <w:tcPr/>
          <w:p>
            <w:pPr>
              <w:pStyle w:val="Compact"/>
              <w:jc w:val="left"/>
            </w:pPr>
            <w:r>
              <w:t xml:space="preserve">118–165 km/h</w:t>
            </w:r>
          </w:p>
        </w:tc>
      </w:tr>
      <w:tr>
        <w:tc>
          <w:tcPr/>
          <w:p>
            <w:pPr>
              <w:pStyle w:val="Compact"/>
              <w:jc w:val="left"/>
            </w:pPr>
            <w:r>
              <w:t xml:space="preserve">Extremely Severe Cyclonic Storm (ESCS)</w:t>
            </w:r>
          </w:p>
        </w:tc>
        <w:tc>
          <w:tcPr/>
          <w:p>
            <w:pPr>
              <w:pStyle w:val="Compact"/>
              <w:jc w:val="left"/>
            </w:pPr>
            <w:r>
              <w:t xml:space="preserve">166–220 km/h</w:t>
            </w:r>
          </w:p>
        </w:tc>
      </w:tr>
      <w:tr>
        <w:tc>
          <w:tcPr/>
          <w:p>
            <w:pPr>
              <w:pStyle w:val="Compact"/>
              <w:jc w:val="left"/>
            </w:pPr>
            <w:r>
              <w:t xml:space="preserve">Super Cyclonic Storm (SuCS)</w:t>
            </w:r>
          </w:p>
        </w:tc>
        <w:tc>
          <w:tcPr/>
          <w:p>
            <w:pPr>
              <w:pStyle w:val="Compact"/>
              <w:jc w:val="left"/>
            </w:pPr>
            <w:r>
              <w:t xml:space="preserve">&gt; 220 km/h</w:t>
            </w:r>
          </w:p>
        </w:tc>
      </w:tr>
    </w:tbl>
    <w:p>
      <w:pPr>
        <w:pStyle w:val="Heading2"/>
      </w:pPr>
      <w:r>
        <w:t xml:space="preserve">33.3 Crop Loss and Damage Assessment — Concepts and Methodology</w:t>
      </w:r>
    </w:p>
    <w:p>
      <w:pPr>
        <w:pStyle w:val="FirstParagraph"/>
      </w:pPr>
      <w:r>
        <w:t xml:space="preserve">Once a hazard event occurs, quantifying the resulting crop loss/damage is essential for both scientific understanding (validating forecast-warning value) and for administrative purposes (disaster relief, insurance claim settlement). Assessment approaches range from traditional ground survey to modern remote-sensing-based automated methods.</w:t>
      </w:r>
    </w:p>
    <w:p>
      <w:pPr>
        <w:pStyle w:val="Heading3"/>
      </w:pPr>
      <w:r>
        <w:t xml:space="preserve">33.3.1 Traditional (Ground-Based) Assessment</w:t>
      </w:r>
    </w:p>
    <w:p>
      <w:pPr>
        <w:pStyle w:val="FirstParagraph"/>
      </w:pPr>
      <w:r>
        <w:t xml:space="preserve">State agriculture/revenue departments conduct field surveys (village/patwari-level 'girdawari' in several states) soon after a damage event, visually estimating percentage crop loss per affected plot against defined damage-severity classes (e.g., &lt;25%, 25–50%, 50–75%, &gt;75% loss), used as the basis for state disaster relief fund (SDRF/NDRF) compensation. This method is labour-intensive, subjective, slow to aggregate at scale, and can be logistically difficult immediately after a major event (e.g., widespread flooding restricting field access).</w:t>
      </w:r>
    </w:p>
    <w:p>
      <w:pPr>
        <w:pStyle w:val="Heading3"/>
      </w:pPr>
      <w:r>
        <w:t xml:space="preserve">33.3.2 Remote-Sensing-Based Damage Assessment</w:t>
      </w:r>
    </w:p>
    <w:p>
      <w:pPr>
        <w:numPr>
          <w:ilvl w:val="0"/>
          <w:numId w:val="1255"/>
        </w:numPr>
      </w:pPr>
      <w:r>
        <w:t xml:space="preserve">Change-detection using vegetation indices: pre-event and post-event NDVI (or EVI) imagery are differenced; a significant drop in NDVI over a mapped crop area, beyond natural phenological decline, is attributed to hazard-induced damage. ΔNDVI = NDVI(post) − NDVI(pre); the spatial extent and magnitude of negative ΔNDVI is used to delineate and grade the damaged area.</w:t>
      </w:r>
    </w:p>
    <w:p>
      <w:pPr>
        <w:numPr>
          <w:ilvl w:val="0"/>
          <w:numId w:val="1255"/>
        </w:numPr>
      </w:pPr>
      <w:r>
        <w:t xml:space="preserve">Hailstorm-specific multispectral mapping: because hail damage causes distinctive canopy/leaf shredding and defoliation, high-resolution multispectral satellite data (e.g., Sentinel-2, LISS-IV) combined with texture/spectral-index analysis has been used to map hailstorm-affected districts (demonstrated, for example, in recent studies mapping hail damage across Haryana), cross-validated against ground/insurance assessments.</w:t>
      </w:r>
    </w:p>
    <w:p>
      <w:pPr>
        <w:numPr>
          <w:ilvl w:val="0"/>
          <w:numId w:val="1255"/>
        </w:numPr>
      </w:pPr>
      <w:r>
        <w:t xml:space="preserve">SAR-based flood/waterlogging mapping: C-band SAR (RISAT) backscatter drops sharply over open standing water (specular reflection away from the sensor) and shows a characteristic double-bounce enhancement over flooded vegetation (e.g., inundated paddy), enabling rapid, cloud-independent delineation of flood extent over cropland even during continued monsoon cloud cover — a major NRSC Disaster Management Support operational product.</w:t>
      </w:r>
    </w:p>
    <w:p>
      <w:pPr>
        <w:numPr>
          <w:ilvl w:val="0"/>
          <w:numId w:val="1255"/>
        </w:numPr>
      </w:pPr>
      <w:r>
        <w:t xml:space="preserve">Thermal/CWSI-based drought-stress mapping: canopy temperature rise (from thermal-IR/LST retrieval) ahead of visible NDVI decline can provide earlier drought-stress detection than purely optical vegetation indices, since plants show a physiological (stomatal closure, reduced transpirational cooling) stress response before visible chlorosis/wilting.</w:t>
      </w:r>
    </w:p>
    <w:p>
      <w:pPr>
        <w:numPr>
          <w:ilvl w:val="0"/>
          <w:numId w:val="1255"/>
        </w:numPr>
      </w:pPr>
      <w:r>
        <w:t xml:space="preserve">Drone/UAV-based assessment: increasingly used for finer-resolution, rapid post-event field-level damage surveys (particularly for high-value horticultural crops), complementing satellite coverage with sub-metre resolution imagery.</w:t>
      </w:r>
    </w:p>
    <w:p>
      <w:pPr>
        <w:pStyle w:val="Heading3"/>
      </w:pPr>
      <w:r>
        <w:t xml:space="preserve">33.3.3 Integration with Crop Insurance — PMFBY</w:t>
      </w:r>
    </w:p>
    <w:p>
      <w:pPr>
        <w:pStyle w:val="FirstParagraph"/>
      </w:pPr>
      <w:r>
        <w:t xml:space="preserve">The Pradhan Mantri Fasal Bima Yojana (PMFBY), India's flagship crop insurance scheme, is increasingly using technology-based yield estimation to supplement/validate traditional crop-cutting-experiment-based claim assessment, including satellite-based yield estimation, smartphone-based geo-tagged CCE data capture, and — for defined localized risks (hailstorm, landslide, inundation) — on-the-spot assessment provisions that lend themselves particularly well to rapid remote-sensing or drone-based damage mapping rather than waiting for full-season yield data. AI-based damage assessment tools (analysing satellite/drone imagery for automated damage classification) have been piloted in hailstorm-prone regions (e.g., Vidarbha, Maharashtra) to accelerate and objectify claims processing.</w:t>
      </w:r>
    </w:p>
    <w:p>
      <w:pPr>
        <w:pStyle w:val="Heading2"/>
      </w:pPr>
      <w:r>
        <w:t xml:space="preserve">33.4 Early Warning and Impact-Based Forecasting</w:t>
      </w:r>
    </w:p>
    <w:p>
      <w:pPr>
        <w:pStyle w:val="FirstParagraph"/>
      </w:pPr>
      <w:r>
        <w:t xml:space="preserve">The modern trend in hazard communication is toward Impact-Based Forecasting (IBF) — moving beyond 'what the weather will be' (e.g., '80mm rainfall expected') to 'what the weather will do' (e.g., 'expected lodging risk to standing wheat in district X'), by combining the meteorological forecast with exposure (crop type, growth stage, area) and vulnerability information. This requires close integration between meteorological forecasting agencies (IMD) and agricultural/crop databases (FASAL crop-stage/acreage information, ICAR agronomic thresholds) — precisely the kind of cross-domain synthesis an agricultural meteorologist is expected to perform, and an area where satellite-derived, near-real-time crop-stage and crop-area information (an SAC/NRSC strength) is increasingly indispensable.</w:t>
      </w:r>
    </w:p>
    <w:p>
      <w:pPr>
        <w:pStyle w:val="Heading2"/>
      </w:pPr>
      <w:r>
        <w:t xml:space="preserve">33.5 Floods: Forms and Causes</w:t>
      </w:r>
    </w:p>
    <w:p>
      <w:pPr>
        <w:pStyle w:val="FirstParagraph"/>
      </w:pPr>
      <w:r>
        <w:t xml:space="preserve">A</w:t>
      </w:r>
      <w:r>
        <w:t xml:space="preserve"> </w:t>
      </w:r>
      <w:r>
        <w:rPr>
          <w:bCs/>
          <w:b/>
        </w:rPr>
        <w:t xml:space="preserve">flood</w:t>
      </w:r>
      <w:r>
        <w:t xml:space="preserve"> </w:t>
      </w:r>
      <w:r>
        <w:t xml:space="preserve">is a relatively high water flow that overtops the natural or artificial banks of a stream or river, or inundates normally dry land. Floods claim more lives and cause more property damage than most other natural phenomena; heavy rain, snowmelt, cyclones, storm surges and dam failures are the triggers. In India about</w:t>
      </w:r>
      <w:r>
        <w:t xml:space="preserve"> </w:t>
      </w:r>
      <w:r>
        <w:rPr>
          <w:bCs/>
          <w:b/>
        </w:rPr>
        <w:t xml:space="preserve">40 Mha</w:t>
      </w:r>
      <w:r>
        <w:t xml:space="preserve"> </w:t>
      </w:r>
      <w:r>
        <w:t xml:space="preserve">is flood-prone (Rashtriya Barh Ayog), mostly in the Ganga and Brahmaputra basins.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Form</w:t>
            </w:r>
          </w:p>
        </w:tc>
        <w:tc>
          <w:tcPr/>
          <w:p>
            <w:pPr>
              <w:pStyle w:val="Compact"/>
              <w:jc w:val="left"/>
            </w:pPr>
            <w:r>
              <w:t xml:space="preserve">Cause</w:t>
            </w:r>
          </w:p>
        </w:tc>
        <w:tc>
          <w:tcPr/>
          <w:p>
            <w:pPr>
              <w:pStyle w:val="Compact"/>
              <w:jc w:val="left"/>
            </w:pPr>
            <w:r>
              <w:t xml:space="preserve">Character</w:t>
            </w:r>
          </w:p>
        </w:tc>
      </w:tr>
      <w:tr>
        <w:tc>
          <w:tcPr/>
          <w:p>
            <w:pPr>
              <w:pStyle w:val="Compact"/>
              <w:jc w:val="left"/>
            </w:pPr>
            <w:r>
              <w:rPr>
                <w:bCs/>
                <w:b/>
              </w:rPr>
              <w:t xml:space="preserve">Riverine floods</w:t>
            </w:r>
          </w:p>
        </w:tc>
        <w:tc>
          <w:tcPr/>
          <w:p>
            <w:pPr>
              <w:pStyle w:val="Compact"/>
              <w:jc w:val="left"/>
            </w:pPr>
            <w:r>
              <w:t xml:space="preserve">Prolonged monsoon rain, snowmelt, decaying depressions/cyclones over catchments</w:t>
            </w:r>
          </w:p>
        </w:tc>
        <w:tc>
          <w:tcPr/>
          <w:p>
            <w:pPr>
              <w:pStyle w:val="Compact"/>
              <w:jc w:val="left"/>
            </w:pPr>
            <w:r>
              <w:t xml:space="preserve">Slow rise, wide inundation, days–weeks (Brahmaputra, Kosi, Ganga)</w:t>
            </w:r>
          </w:p>
        </w:tc>
      </w:tr>
      <w:tr>
        <w:tc>
          <w:tcPr/>
          <w:p>
            <w:pPr>
              <w:pStyle w:val="Compact"/>
              <w:jc w:val="left"/>
            </w:pPr>
            <w:r>
              <w:rPr>
                <w:bCs/>
                <w:b/>
              </w:rPr>
              <w:t xml:space="preserve">Flash floods</w:t>
            </w:r>
          </w:p>
        </w:tc>
        <w:tc>
          <w:tcPr/>
          <w:p>
            <w:pPr>
              <w:pStyle w:val="Compact"/>
              <w:jc w:val="left"/>
            </w:pPr>
            <w:r>
              <w:t xml:space="preserve">Intense rain over small steep catchments, cloudbursts, dam/levee breach, glacial lake outbursts (GLOF)</w:t>
            </w:r>
          </w:p>
        </w:tc>
        <w:tc>
          <w:tcPr/>
          <w:p>
            <w:pPr>
              <w:pStyle w:val="Compact"/>
              <w:jc w:val="left"/>
            </w:pPr>
            <w:r>
              <w:t xml:space="preserve">Minutes–hours; very destructive (Himalaya: Kedarnath 2013)</w:t>
            </w:r>
          </w:p>
        </w:tc>
      </w:tr>
      <w:tr>
        <w:tc>
          <w:tcPr/>
          <w:p>
            <w:pPr>
              <w:pStyle w:val="Compact"/>
              <w:jc w:val="left"/>
            </w:pPr>
            <w:r>
              <w:rPr>
                <w:bCs/>
                <w:b/>
              </w:rPr>
              <w:t xml:space="preserve">Coastal floods</w:t>
            </w:r>
          </w:p>
        </w:tc>
        <w:tc>
          <w:tcPr/>
          <w:p>
            <w:pPr>
              <w:pStyle w:val="Compact"/>
              <w:jc w:val="left"/>
            </w:pPr>
            <w:r>
              <w:t xml:space="preserve">Storm surge from cyclones, tsunamis, high tides</w:t>
            </w:r>
          </w:p>
        </w:tc>
        <w:tc>
          <w:tcPr/>
          <w:p>
            <w:pPr>
              <w:pStyle w:val="Compact"/>
              <w:jc w:val="left"/>
            </w:pPr>
            <w:r>
              <w:t xml:space="preserve">Saline inundation of farmland (Odisha, AP, WB coasts)</w:t>
            </w:r>
          </w:p>
        </w:tc>
      </w:tr>
      <w:tr>
        <w:tc>
          <w:tcPr/>
          <w:p>
            <w:pPr>
              <w:pStyle w:val="Compact"/>
              <w:jc w:val="left"/>
            </w:pPr>
            <w:r>
              <w:rPr>
                <w:bCs/>
                <w:b/>
              </w:rPr>
              <w:t xml:space="preserve">Urban floods</w:t>
            </w:r>
          </w:p>
        </w:tc>
        <w:tc>
          <w:tcPr/>
          <w:p>
            <w:pPr>
              <w:pStyle w:val="Compact"/>
              <w:jc w:val="left"/>
            </w:pPr>
            <w:r>
              <w:t xml:space="preserve">Impervious surfaces raise runoff 2–6 times; drainage congestion</w:t>
            </w:r>
          </w:p>
        </w:tc>
        <w:tc>
          <w:tcPr/>
          <w:p>
            <w:pPr>
              <w:pStyle w:val="Compact"/>
              <w:jc w:val="left"/>
            </w:pPr>
            <w:r>
              <w:t xml:space="preserve">Mumbai, Chennai, Hyderabad events</w:t>
            </w:r>
          </w:p>
        </w:tc>
      </w:tr>
      <w:tr>
        <w:tc>
          <w:tcPr/>
          <w:p>
            <w:pPr>
              <w:pStyle w:val="Compact"/>
              <w:jc w:val="left"/>
            </w:pPr>
            <w:r>
              <w:rPr>
                <w:bCs/>
                <w:b/>
              </w:rPr>
              <w:t xml:space="preserve">Drainage congestion / waterlogging</w:t>
            </w:r>
          </w:p>
        </w:tc>
        <w:tc>
          <w:tcPr/>
          <w:p>
            <w:pPr>
              <w:pStyle w:val="Compact"/>
              <w:jc w:val="left"/>
            </w:pPr>
            <w:r>
              <w:t xml:space="preserve">Inadequate outfall, embankments, flat terrain</w:t>
            </w:r>
          </w:p>
        </w:tc>
        <w:tc>
          <w:tcPr/>
          <w:p>
            <w:pPr>
              <w:pStyle w:val="Compact"/>
              <w:jc w:val="left"/>
            </w:pPr>
            <w:r>
              <w:t xml:space="preserve">North Bihar, Assam, Punjab</w:t>
            </w:r>
          </w:p>
        </w:tc>
      </w:tr>
    </w:tbl>
    <w:p>
      <w:pPr>
        <w:pStyle w:val="BodyText"/>
      </w:pPr>
      <w:r>
        <w:t xml:space="preserve">In mountains, flood risk is entwined with slope processes (landslides, erosion, sediment transport); in plains damage is controlled by water flow and inundation duration.</w:t>
      </w:r>
    </w:p>
    <w:p>
      <w:pPr>
        <w:pStyle w:val="Heading2"/>
      </w:pPr>
      <w:r>
        <w:t xml:space="preserve">33.6 Remote Sensing and GIS for Flood Management — by Phase</w:t>
      </w:r>
    </w:p>
    <w:p>
      <w:pPr>
        <w:pStyle w:val="CaptionedFigure"/>
      </w:pPr>
      <w:r>
        <w:drawing>
          <wp:inline>
            <wp:extent cx="5334000" cy="2386964"/>
            <wp:effectExtent b="0" l="0" r="0" t="0"/>
            <wp:docPr descr="Flood disaster management cycle and space inputs" title="" id="111" name="Picture"/>
            <a:graphic>
              <a:graphicData uri="http://schemas.openxmlformats.org/drawingml/2006/picture">
                <pic:pic>
                  <pic:nvPicPr>
                    <pic:cNvPr descr="/tmp/claude-0/-home-user-sonu/ab07c29a-21cd-5a4a-9d2d-68ad72d07153/scratchpad/build/../flows/flow_024.png" id="112" name="Picture"/>
                    <pic:cNvPicPr>
                      <a:picLocks noChangeArrowheads="1" noChangeAspect="1"/>
                    </pic:cNvPicPr>
                  </pic:nvPicPr>
                  <pic:blipFill>
                    <a:blip r:embed="rId110"/>
                    <a:stretch>
                      <a:fillRect/>
                    </a:stretch>
                  </pic:blipFill>
                  <pic:spPr bwMode="auto">
                    <a:xfrm>
                      <a:off x="0" y="0"/>
                      <a:ext cx="5334000" cy="2386964"/>
                    </a:xfrm>
                    <a:prstGeom prst="rect">
                      <a:avLst/>
                    </a:prstGeom>
                    <a:noFill/>
                    <a:ln w="9525">
                      <a:noFill/>
                      <a:headEnd/>
                      <a:tailEnd/>
                    </a:ln>
                  </pic:spPr>
                </pic:pic>
              </a:graphicData>
            </a:graphic>
          </wp:inline>
        </w:drawing>
      </w:r>
    </w:p>
    <w:p>
      <w:pPr>
        <w:pStyle w:val="ImageCaption"/>
      </w:pPr>
      <w:r>
        <w:t xml:space="preserve">Flood disaster management cycle and space inputs</w:t>
      </w:r>
    </w:p>
    <w:p>
      <w:pPr>
        <w:pStyle w:val="Heading3"/>
      </w:pPr>
      <w:r>
        <w:t xml:space="preserve">33.6.1 Preparedness — flood risk zoning</w:t>
      </w:r>
    </w:p>
    <w:p>
      <w:pPr>
        <w:pStyle w:val="Compact"/>
        <w:numPr>
          <w:ilvl w:val="0"/>
          <w:numId w:val="1256"/>
        </w:numPr>
      </w:pPr>
      <w:r>
        <w:rPr>
          <w:bCs/>
          <w:b/>
        </w:rPr>
        <w:t xml:space="preserve">Detailed mapping</w:t>
      </w:r>
      <w:r>
        <w:t xml:space="preserve"> </w:t>
      </w:r>
      <w:r>
        <w:t xml:space="preserve">(large scale): hazard and vulnerability maps for updating flood-plain zoning, embankment planning and insurance.</w:t>
      </w:r>
    </w:p>
    <w:p>
      <w:pPr>
        <w:pStyle w:val="Compact"/>
        <w:numPr>
          <w:ilvl w:val="0"/>
          <w:numId w:val="1256"/>
        </w:numPr>
      </w:pPr>
      <w:r>
        <w:rPr>
          <w:bCs/>
          <w:b/>
        </w:rPr>
        <w:t xml:space="preserve">Regional</w:t>
      </w:r>
      <w:r>
        <w:t xml:space="preserve"> </w:t>
      </w:r>
      <w:r>
        <w:t xml:space="preserve">approach: general flood situation in a basin or coastal belt to identify highest-risk areas.</w:t>
      </w:r>
    </w:p>
    <w:p>
      <w:pPr>
        <w:pStyle w:val="Compact"/>
        <w:numPr>
          <w:ilvl w:val="0"/>
          <w:numId w:val="1256"/>
        </w:numPr>
      </w:pPr>
      <w:r>
        <w:t xml:space="preserve">Inputs: multi-year satellite</w:t>
      </w:r>
      <w:r>
        <w:t xml:space="preserve"> </w:t>
      </w:r>
      <w:r>
        <w:rPr>
          <w:bCs/>
          <w:b/>
        </w:rPr>
        <w:t xml:space="preserve">inundation archives</w:t>
      </w:r>
      <w:r>
        <w:t xml:space="preserve"> </w:t>
      </w:r>
      <w:r>
        <w:t xml:space="preserve">(frequency of flooding per pixel), DEMs, river configuration, embankments and land use; post-disaster survey reports (lessons learned).</w:t>
      </w:r>
    </w:p>
    <w:p>
      <w:pPr>
        <w:pStyle w:val="Heading3"/>
      </w:pPr>
      <w:r>
        <w:t xml:space="preserve">33.6.2 Prevention — monitoring and forecasting</w:t>
      </w:r>
    </w:p>
    <w:p>
      <w:pPr>
        <w:pStyle w:val="Compact"/>
        <w:numPr>
          <w:ilvl w:val="0"/>
          <w:numId w:val="1257"/>
        </w:numPr>
      </w:pPr>
      <w:r>
        <w:rPr>
          <w:bCs/>
          <w:b/>
        </w:rPr>
        <w:t xml:space="preserve">Nowcasting (0–3 h):</w:t>
      </w:r>
      <w:r>
        <w:t xml:space="preserve"> </w:t>
      </w:r>
      <w:r>
        <w:t xml:space="preserve">monitoring intensity, movement and propagation of precipitation systems from geostationary IR (half-hourly or better), radar and microwave rain rates; precipitable water products (GOES, SSM/I, blended with model data) indicate moisture available for extreme rain; SSM/I/AMSR surface wetness indicates antecedent conditions for flash-flood guidance.</w:t>
      </w:r>
    </w:p>
    <w:p>
      <w:pPr>
        <w:pStyle w:val="Compact"/>
        <w:numPr>
          <w:ilvl w:val="0"/>
          <w:numId w:val="1257"/>
        </w:numPr>
      </w:pPr>
      <w:r>
        <w:rPr>
          <w:bCs/>
          <w:b/>
        </w:rPr>
        <w:t xml:space="preserve">Hydrological/hydrodynamic models</w:t>
      </w:r>
      <w:r>
        <w:t xml:space="preserve"> </w:t>
      </w:r>
      <w:r>
        <w:t xml:space="preserve">need: land use (IRS, Landsat, SPOT), soil type, soil moisture, base flow,</w:t>
      </w:r>
      <w:r>
        <w:t xml:space="preserve"> </w:t>
      </w:r>
      <w:r>
        <w:rPr>
          <w:bCs/>
          <w:b/>
        </w:rPr>
        <w:t xml:space="preserve">rainfall</w:t>
      </w:r>
      <w:r>
        <w:t xml:space="preserve"> </w:t>
      </w:r>
      <w:r>
        <w:t xml:space="preserve">(GOES/POES, INSAT, GPM), snow,</w:t>
      </w:r>
      <w:r>
        <w:t xml:space="preserve"> </w:t>
      </w:r>
      <w:r>
        <w:rPr>
          <w:bCs/>
          <w:b/>
        </w:rPr>
        <w:t xml:space="preserve">DEMs</w:t>
      </w:r>
      <w:r>
        <w:t xml:space="preserve"> </w:t>
      </w:r>
      <w:r>
        <w:t xml:space="preserve">(CartoDEM, SRTM, InSAR; 3–10 m from ERS/Radarsat/SPOT/IRS stereo), and channel geometry/roughness. Distributed models exploit spatial RS inputs; integrating radar, gauges and satellite rainfall gives the best flood hydrographs. Coastal wave run-up and surge models need near-shore bathymetry (SAR-derived bathymetry is a cheaper option than airborne LiDAR).</w:t>
      </w:r>
    </w:p>
    <w:p>
      <w:pPr>
        <w:pStyle w:val="Compact"/>
        <w:numPr>
          <w:ilvl w:val="0"/>
          <w:numId w:val="1257"/>
        </w:numPr>
      </w:pPr>
      <w:r>
        <w:t xml:space="preserve">CWC issues river-stage and inflow forecasts; IMD gives quantitative precipitation forecasts (QPF) for river sub-basins; NRSC’s flood early-warning models operate for some basins (e.g., Godavari, Brahmaputra tributaries).</w:t>
      </w:r>
    </w:p>
    <w:p>
      <w:pPr>
        <w:pStyle w:val="Heading3"/>
      </w:pPr>
      <w:r>
        <w:t xml:space="preserve">33.6.3 Response — inundation and damage mapping</w:t>
      </w:r>
    </w:p>
    <w:p>
      <w:pPr>
        <w:pStyle w:val="Compact"/>
        <w:numPr>
          <w:ilvl w:val="0"/>
          <w:numId w:val="1258"/>
        </w:numPr>
      </w:pPr>
      <w:r>
        <w:rPr>
          <w:bCs/>
          <w:b/>
        </w:rPr>
        <w:t xml:space="preserve">SAR is the workhorse</w:t>
      </w:r>
      <w:r>
        <w:t xml:space="preserve">: open water appears</w:t>
      </w:r>
      <w:r>
        <w:t xml:space="preserve"> </w:t>
      </w:r>
      <w:r>
        <w:rPr>
          <w:bCs/>
          <w:b/>
        </w:rPr>
        <w:t xml:space="preserve">dark</w:t>
      </w:r>
      <w:r>
        <w:t xml:space="preserve"> </w:t>
      </w:r>
      <w:r>
        <w:t xml:space="preserve">(specular reflection away from the sensor); flooded vegetation and urban areas can appear</w:t>
      </w:r>
      <w:r>
        <w:t xml:space="preserve"> </w:t>
      </w:r>
      <w:r>
        <w:rPr>
          <w:bCs/>
          <w:b/>
        </w:rPr>
        <w:t xml:space="preserve">bright</w:t>
      </w:r>
      <w:r>
        <w:t xml:space="preserve"> </w:t>
      </w:r>
      <w:r>
        <w:t xml:space="preserve">(double-bounce). Threshold, change-detection (pre- vs. post-flood σ°) and machine-learning methods map extent through cloud, day or night (RISAT-1, EOS-04, Sentinel-1, Radarsat).</w:t>
      </w:r>
    </w:p>
    <w:p>
      <w:pPr>
        <w:pStyle w:val="Compact"/>
        <w:numPr>
          <w:ilvl w:val="0"/>
          <w:numId w:val="1258"/>
        </w:numPr>
      </w:pPr>
      <w:r>
        <w:rPr>
          <w:bCs/>
          <w:b/>
        </w:rPr>
        <w:t xml:space="preserve">Optical</w:t>
      </w:r>
      <w:r>
        <w:t xml:space="preserve"> </w:t>
      </w:r>
      <w:r>
        <w:t xml:space="preserve">imagery (when clear) separates water by NIR/SWIR absorption (MNDWI) and gives detailed land-use damage.</w:t>
      </w:r>
    </w:p>
    <w:p>
      <w:pPr>
        <w:pStyle w:val="Compact"/>
        <w:numPr>
          <w:ilvl w:val="0"/>
          <w:numId w:val="1258"/>
        </w:numPr>
      </w:pPr>
      <w:r>
        <w:t xml:space="preserve">Products: flood extent and duration, crop area affected, villages/roads/rail affected, embankment breaches, river-course changes, post-flood sand casting.</w:t>
      </w:r>
    </w:p>
    <w:p>
      <w:pPr>
        <w:pStyle w:val="Compact"/>
        <w:numPr>
          <w:ilvl w:val="0"/>
          <w:numId w:val="1258"/>
        </w:numPr>
      </w:pPr>
      <w:r>
        <w:t xml:space="preserve">Indian practice: NRSC</w:t>
      </w:r>
      <w:r>
        <w:t xml:space="preserve"> </w:t>
      </w:r>
      <w:r>
        <w:rPr>
          <w:bCs/>
          <w:b/>
        </w:rPr>
        <w:t xml:space="preserve">Decision Support Centre</w:t>
      </w:r>
      <w:r>
        <w:t xml:space="preserve"> </w:t>
      </w:r>
      <w:r>
        <w:t xml:space="preserve">produces near-real-time flood maps for MHA/NDMA and states under the Disaster Management Support Programme (detailed earlier in this chapter); flood hazard atlases (Assam, Bihar, Odisha); Bhuvan/NDEM dissemination.</w:t>
      </w:r>
    </w:p>
    <w:p>
      <w:pPr>
        <w:pStyle w:val="Heading3"/>
      </w:pPr>
      <w:r>
        <w:t xml:space="preserve">33.6.4 Relief and recovery</w:t>
      </w:r>
    </w:p>
    <w:p>
      <w:pPr>
        <w:pStyle w:val="FirstParagraph"/>
      </w:pPr>
      <w:r>
        <w:t xml:space="preserve">High-resolution imagery supports rebuilding of bridges, roads and homes, delineates new flood boundaries and sand deposits, locates landslides and pollution, and provides objective data for crop insurance claims (PMFBY localised calamity). International examples: China’s flood damage information systems; the 1993 Mississippi flood mapped with ERS-1 SAR, Landsat and SPOT; ERS-SAR mapping of the 2000 floods in northern Italy, Switzerland, France and England.</w:t>
      </w:r>
    </w:p>
    <w:p>
      <w:pPr>
        <w:pStyle w:val="Heading3"/>
      </w:pPr>
      <w:r>
        <w:t xml:space="preserve">33.6.5 Likely interview questions</w:t>
      </w:r>
    </w:p>
    <w:p>
      <w:pPr>
        <w:pStyle w:val="FirstParagraph"/>
      </w:pPr>
      <w:r>
        <w:rPr>
          <w:bCs/>
          <w:b/>
        </w:rPr>
        <w:t xml:space="preserve">Q. Why is SAR preferred for flood mapping?</w:t>
      </w:r>
      <w:r>
        <w:t xml:space="preserve"> </w:t>
      </w:r>
      <w:r>
        <w:t xml:space="preserve">It penetrates cloud and works day/night; calm open water is a specular reflector and appears dark.</w:t>
      </w:r>
    </w:p>
    <w:p>
      <w:pPr>
        <w:pStyle w:val="BodyText"/>
      </w:pPr>
      <w:r>
        <w:rPr>
          <w:bCs/>
          <w:b/>
        </w:rPr>
        <w:t xml:space="preserve">Q. Why can flooded vegetation look bright in SAR?</w:t>
      </w:r>
      <w:r>
        <w:t xml:space="preserve"> </w:t>
      </w:r>
      <w:r>
        <w:t xml:space="preserve">Double-bounce scattering between water surface and stems.</w:t>
      </w:r>
    </w:p>
    <w:p>
      <w:pPr>
        <w:pStyle w:val="BodyText"/>
      </w:pPr>
      <w:r>
        <w:rPr>
          <w:bCs/>
          <w:b/>
        </w:rPr>
        <w:t xml:space="preserve">Q. What RS inputs feed flood forecasting models?</w:t>
      </w:r>
      <w:r>
        <w:t xml:space="preserve"> </w:t>
      </w:r>
      <w:r>
        <w:t xml:space="preserve">Rainfall (satellite/radar), DEM, land use, soil type and moisture, snow cover, base flow, channel geometry.</w:t>
      </w:r>
    </w:p>
    <w:p>
      <w:pPr>
        <w:pStyle w:val="BodyText"/>
      </w:pPr>
      <w:r>
        <w:rPr>
          <w:bCs/>
          <w:b/>
        </w:rPr>
        <w:t xml:space="preserve">Q. What is nowcasting?</w:t>
      </w:r>
      <w:r>
        <w:t xml:space="preserve"> </w:t>
      </w:r>
      <w:r>
        <w:t xml:space="preserve">Forecasting the next 0–3 hours by extrapolating the observed intensity and movement of precipitation systems.</w:t>
      </w:r>
    </w:p>
    <w:p>
      <w:pPr>
        <w:pStyle w:val="Heading2"/>
      </w:pPr>
      <w:r>
        <w:t xml:space="preserve">33.7 NRSC’s Disaster Management Support Programme (DMSP)</w:t>
      </w:r>
    </w:p>
    <w:p>
      <w:pPr>
        <w:pStyle w:val="Heading3"/>
      </w:pPr>
      <w:r>
        <w:t xml:space="preserve">33.7.1 Institutional structure</w:t>
      </w:r>
    </w:p>
    <w:p>
      <w:pPr>
        <w:pStyle w:val="FirstParagraph"/>
      </w:pPr>
      <w:r>
        <w:t xml:space="preserve">The</w:t>
      </w:r>
      <w:r>
        <w:t xml:space="preserve"> </w:t>
      </w:r>
      <w:r>
        <w:rPr>
          <w:bCs/>
          <w:b/>
        </w:rPr>
        <w:t xml:space="preserve">Decision Support Centre (DSC)</w:t>
      </w:r>
      <w:r>
        <w:t xml:space="preserve">, established at the National Remote Sensing Centre (NRSC), Hyderabad, is the operational nerve-centre of ISRO’s Disaster Management Support Programme, mandated to provide near-real-time satellite-derived information for six categories of natural hazard:</w:t>
      </w:r>
      <w:r>
        <w:t xml:space="preserve"> </w:t>
      </w:r>
      <w:r>
        <w:rPr>
          <w:bCs/>
          <w:b/>
        </w:rPr>
        <w:t xml:space="preserve">flood, cyclone, agricultural drought, landslides, earthquakes and forest fires.</w:t>
      </w:r>
      <w:r>
        <w:t xml:space="preserve"> </w:t>
      </w:r>
      <w:r>
        <w:t xml:space="preserve">The DSC operates on a 24×7 basis during active disaster events, drawing on India’s own satellite constellation (ResourceSat, RISAT/EOS-04, Cartosat, INSAT-3D/3DR, Oceansat) as well as international data-sharing arrangements, including India’s role in the</w:t>
      </w:r>
      <w:r>
        <w:t xml:space="preserve"> </w:t>
      </w:r>
      <w:r>
        <w:rPr>
          <w:bCs/>
          <w:b/>
        </w:rPr>
        <w:t xml:space="preserve">International Charter</w:t>
      </w:r>
      <w:r>
        <w:rPr>
          <w:bCs/>
          <w:b/>
        </w:rPr>
        <w:t xml:space="preserve"> </w:t>
      </w:r>
      <w:r>
        <w:rPr>
          <w:bCs/>
          <w:b/>
        </w:rPr>
        <w:t xml:space="preserve">“</w:t>
      </w:r>
      <w:r>
        <w:rPr>
          <w:bCs/>
          <w:b/>
        </w:rPr>
        <w:t xml:space="preserve">Space and Major Disasters</w:t>
      </w:r>
      <w:r>
        <w:rPr>
          <w:bCs/>
          <w:b/>
        </w:rPr>
        <w:t xml:space="preserve">”</w:t>
      </w:r>
      <w:r>
        <w:t xml:space="preserve"> </w:t>
      </w:r>
      <w:r>
        <w:t xml:space="preserve">and the</w:t>
      </w:r>
      <w:r>
        <w:t xml:space="preserve"> </w:t>
      </w:r>
      <w:r>
        <w:rPr>
          <w:bCs/>
          <w:b/>
        </w:rPr>
        <w:t xml:space="preserve">Sentinel Asia</w:t>
      </w:r>
      <w:r>
        <w:t xml:space="preserve"> </w:t>
      </w:r>
      <w:r>
        <w:t xml:space="preserve">regional disaster-data-sharing initiative, through which NRSC both requests emergency imaging support for major Indian disasters and provides Indian satellite data in support of disasters elsewhere in the region.</w:t>
      </w:r>
    </w:p>
    <w:p>
      <w:pPr>
        <w:pStyle w:val="Heading3"/>
      </w:pPr>
      <w:r>
        <w:t xml:space="preserve">33.7.2 General DMSP operational workflow (applicable across hazard types)</w:t>
      </w:r>
    </w:p>
    <w:p>
      <w:pPr>
        <w:pStyle w:val="Compact"/>
        <w:numPr>
          <w:ilvl w:val="0"/>
          <w:numId w:val="1259"/>
        </w:numPr>
      </w:pPr>
      <w:r>
        <w:rPr>
          <w:bCs/>
          <w:b/>
        </w:rPr>
        <w:t xml:space="preserve">Trigger/alert</w:t>
      </w:r>
      <w:r>
        <w:t xml:space="preserve"> </w:t>
      </w:r>
      <w:r>
        <w:t xml:space="preserve">— receipt of an event notification (IMD cyclone bulletin, Central Water Commission flood-warning, district-collector request, seismological-agency earthquake alert, or automated hotspot/fire-alert detection).</w:t>
      </w:r>
    </w:p>
    <w:p>
      <w:pPr>
        <w:pStyle w:val="Compact"/>
        <w:numPr>
          <w:ilvl w:val="0"/>
          <w:numId w:val="1259"/>
        </w:numPr>
      </w:pPr>
      <w:r>
        <w:rPr>
          <w:bCs/>
          <w:b/>
        </w:rPr>
        <w:t xml:space="preserve">Rapid tasking</w:t>
      </w:r>
      <w:r>
        <w:t xml:space="preserve"> </w:t>
      </w:r>
      <w:r>
        <w:t xml:space="preserve">— programming of the most suitable available satellite(s) for emergency acquisition over the affected area, prioritising SAR (RISAT/EOS-04, or partner-agency SAR under Charter/Sentinel-Asia arrangements) where cloud cover is expected (near-certain for monsoon-season floods and cyclones) and optical (ResourceSat, Cartosat) where skies are expected to be clear.</w:t>
      </w:r>
    </w:p>
    <w:p>
      <w:pPr>
        <w:pStyle w:val="Compact"/>
        <w:numPr>
          <w:ilvl w:val="0"/>
          <w:numId w:val="1259"/>
        </w:numPr>
      </w:pPr>
      <w:r>
        <w:rPr>
          <w:bCs/>
          <w:b/>
        </w:rPr>
        <w:t xml:space="preserve">Rapid processing and extraction</w:t>
      </w:r>
      <w:r>
        <w:t xml:space="preserve"> </w:t>
      </w:r>
      <w:r>
        <w:t xml:space="preserve">— near-real-time image processing (geometric/radiometric correction, and hazard-specific extraction algorithm, detailed by hazard type below) to generate a</w:t>
      </w:r>
      <w:r>
        <w:t xml:space="preserve"> </w:t>
      </w:r>
      <w:r>
        <w:rPr>
          <w:bCs/>
          <w:b/>
        </w:rPr>
        <w:t xml:space="preserve">hazard-extent map</w:t>
      </w:r>
      <w:r>
        <w:t xml:space="preserve"> </w:t>
      </w:r>
      <w:r>
        <w:t xml:space="preserve">(flood inundation extent, cyclone-track/wind-field product, landslide-scar/debris map, burnt-area/fire-hotspot map).</w:t>
      </w:r>
    </w:p>
    <w:p>
      <w:pPr>
        <w:pStyle w:val="Compact"/>
        <w:numPr>
          <w:ilvl w:val="0"/>
          <w:numId w:val="1259"/>
        </w:numPr>
      </w:pPr>
      <w:r>
        <w:rPr>
          <w:bCs/>
          <w:b/>
        </w:rPr>
        <w:t xml:space="preserve">Damage/impact assessment</w:t>
      </w:r>
      <w:r>
        <w:t xml:space="preserve"> </w:t>
      </w:r>
      <w:r>
        <w:t xml:space="preserve">— overlay of the hazard-extent layer on pre-event land-use/land-cover, cropped-area, village/infrastructure GIS layers to derive</w:t>
      </w:r>
      <w:r>
        <w:t xml:space="preserve"> </w:t>
      </w:r>
      <w:r>
        <w:rPr>
          <w:bCs/>
          <w:b/>
        </w:rPr>
        <w:t xml:space="preserve">quantitative impact statistics</w:t>
      </w:r>
      <w:r>
        <w:t xml:space="preserve"> </w:t>
      </w:r>
      <w:r>
        <w:t xml:space="preserve">(area of crop inundated by crop type, number of villages/population affected, length of road/rail infrastructure affected).</w:t>
      </w:r>
    </w:p>
    <w:p>
      <w:pPr>
        <w:pStyle w:val="Compact"/>
        <w:numPr>
          <w:ilvl w:val="0"/>
          <w:numId w:val="1259"/>
        </w:numPr>
      </w:pPr>
      <w:r>
        <w:rPr>
          <w:bCs/>
          <w:b/>
        </w:rPr>
        <w:t xml:space="preserve">Dissemination</w:t>
      </w:r>
      <w:r>
        <w:t xml:space="preserve"> </w:t>
      </w:r>
      <w:r>
        <w:t xml:space="preserve">— rapid distribution of maps/statistics to the National Disaster Management Authority (NDMA), state disaster-management agencies, and the public, typically through the</w:t>
      </w:r>
      <w:r>
        <w:t xml:space="preserve"> </w:t>
      </w:r>
      <w:r>
        <w:rPr>
          <w:bCs/>
          <w:b/>
        </w:rPr>
        <w:t xml:space="preserve">Bhuvan Disaster Management Support Services</w:t>
      </w:r>
      <w:r>
        <w:t xml:space="preserve"> </w:t>
      </w:r>
      <w:r>
        <w:t xml:space="preserve">geoportal, alongside press releases and situation reports.</w:t>
      </w:r>
    </w:p>
    <w:p>
      <w:pPr>
        <w:pStyle w:val="CaptionedFigure"/>
      </w:pPr>
      <w:r>
        <w:drawing>
          <wp:inline>
            <wp:extent cx="5334000" cy="3483428"/>
            <wp:effectExtent b="0" l="0" r="0" t="0"/>
            <wp:docPr descr="Figure: NRSC Decision Support Centre flood-mapping workflow, from event trigger through SAR tasking, backscatter change-detection, DEM/land-cover refinement, damage-statistics overlay and dissemination." title="" id="114" name="Picture"/>
            <a:graphic>
              <a:graphicData uri="http://schemas.openxmlformats.org/drawingml/2006/picture">
                <pic:pic>
                  <pic:nvPicPr>
                    <pic:cNvPr descr="up/media/media/image8.png" id="115" name="Picture"/>
                    <pic:cNvPicPr>
                      <a:picLocks noChangeArrowheads="1" noChangeAspect="1"/>
                    </pic:cNvPicPr>
                  </pic:nvPicPr>
                  <pic:blipFill>
                    <a:blip r:embed="rId113"/>
                    <a:stretch>
                      <a:fillRect/>
                    </a:stretch>
                  </pic:blipFill>
                  <pic:spPr bwMode="auto">
                    <a:xfrm>
                      <a:off x="0" y="0"/>
                      <a:ext cx="5334000" cy="3483428"/>
                    </a:xfrm>
                    <a:prstGeom prst="rect">
                      <a:avLst/>
                    </a:prstGeom>
                    <a:noFill/>
                    <a:ln w="9525">
                      <a:noFill/>
                      <a:headEnd/>
                      <a:tailEnd/>
                    </a:ln>
                  </pic:spPr>
                </pic:pic>
              </a:graphicData>
            </a:graphic>
          </wp:inline>
        </w:drawing>
      </w:r>
    </w:p>
    <w:p>
      <w:pPr>
        <w:pStyle w:val="ImageCaption"/>
      </w:pPr>
      <w:r>
        <w:t xml:space="preserve">Figure: NRSC Decision Support Centre flood-mapping workflow, from event trigger through SAR tasking, backscatter change-detection, DEM/land-cover refinement, damage-statistics overlay and dissemination.</w:t>
      </w:r>
    </w:p>
    <w:p>
      <w:pPr>
        <w:pStyle w:val="BodyText"/>
      </w:pPr>
      <w:r>
        <w:t xml:space="preserve">Figure: NRSC Decision Support Centre flood-mapping workflow, from event trigger through SAR tasking, backscatter change-detection, DEM/land-cover refinement, damage-statistics overlay and dissemination.</w:t>
      </w:r>
    </w:p>
    <w:p>
      <w:pPr>
        <w:pStyle w:val="Heading3"/>
      </w:pPr>
      <w:r>
        <w:t xml:space="preserve">33.7.3 Flood mapping and modelling — methodology</w:t>
      </w:r>
    </w:p>
    <w:p>
      <w:pPr>
        <w:pStyle w:val="FirstParagraph"/>
      </w:pPr>
      <w:r>
        <w:t xml:space="preserve">Flood extent is most reliably mapped using</w:t>
      </w:r>
      <w:r>
        <w:t xml:space="preserve"> </w:t>
      </w:r>
      <w:r>
        <w:rPr>
          <w:bCs/>
          <w:b/>
        </w:rPr>
        <w:t xml:space="preserve">SAR data</w:t>
      </w:r>
      <w:r>
        <w:t xml:space="preserve">, because C-band (RISAT/EOS-04, Sentinel-1) or other microwave backscatter from open, smooth standing water is characteristically very low (specular reflection away from the sensor, as described for flooded rice paddies in the relevant chapter), producing a strong, unambiguous contrast against the higher, rougher backscatter of non-flooded land — allowing reliable flood-extent delineation even under the dense monsoon cloud cover that typically accompanies major Indian flood events and precludes optical imaging. The standard algorithmic approach: (i) acquire a pre-flood (</w:t>
      </w:r>
      <w:r>
        <w:t xml:space="preserve">“</w:t>
      </w:r>
      <w:r>
        <w:t xml:space="preserve">dry</w:t>
      </w:r>
      <w:r>
        <w:t xml:space="preserve">”</w:t>
      </w:r>
      <w:r>
        <w:t xml:space="preserve">) reference SAR image over the same area/geometry; (ii) acquire the flood-event SAR image; (iii) apply a</w:t>
      </w:r>
      <w:r>
        <w:t xml:space="preserve"> </w:t>
      </w:r>
      <w:r>
        <w:rPr>
          <w:bCs/>
          <w:b/>
        </w:rPr>
        <w:t xml:space="preserve">thresholding or change-detection classification</w:t>
      </w:r>
      <w:r>
        <w:t xml:space="preserve"> </w:t>
      </w:r>
      <w:r>
        <w:t xml:space="preserve">(simple backscatter-threshold segmentation of the flood-date image, or ratio/difference change detection between flood-date and reference-date images) to delineate the open-water/inundated class, with a specific detection challenge for flooded vegetation (partially submerged crops/trees), which — because of double-bounce scattering between the water surface and emergent vegetation stems (the same mechanism described for transplanted rice in the relevant chapter) — can show</w:t>
      </w:r>
      <w:r>
        <w:t xml:space="preserve"> </w:t>
      </w:r>
      <w:r>
        <w:rPr>
          <w:bCs/>
          <w:b/>
        </w:rPr>
        <w:t xml:space="preserve">enhanced, not reduced, backscatter</w:t>
      </w:r>
      <w:r>
        <w:t xml:space="preserve">, requiring a separate</w:t>
      </w:r>
      <w:r>
        <w:t xml:space="preserve"> </w:t>
      </w:r>
      <w:r>
        <w:t xml:space="preserve">“</w:t>
      </w:r>
      <w:r>
        <w:t xml:space="preserve">flooded vegetation</w:t>
      </w:r>
      <w:r>
        <w:t xml:space="preserve">”</w:t>
      </w:r>
      <w:r>
        <w:t xml:space="preserve"> </w:t>
      </w:r>
      <w:r>
        <w:t xml:space="preserve">detection rule distinct from the simple low-backscatter open-water rule; (iv) mask/refine using a Digital Elevation Model (to exclude implausible high-elevation</w:t>
      </w:r>
      <w:r>
        <w:t xml:space="preserve"> </w:t>
      </w:r>
      <w:r>
        <w:t xml:space="preserve">“</w:t>
      </w:r>
      <w:r>
        <w:t xml:space="preserve">false positive</w:t>
      </w:r>
      <w:r>
        <w:t xml:space="preserve">”</w:t>
      </w:r>
      <w:r>
        <w:t xml:space="preserve"> </w:t>
      </w:r>
      <w:r>
        <w:t xml:space="preserve">pixels) and land-cover mask; (v) overlay the final inundation-extent polygon on cadastral/crop and infrastructure layers for damage statistics. Complementary</w:t>
      </w:r>
      <w:r>
        <w:t xml:space="preserve"> </w:t>
      </w:r>
      <w:r>
        <w:rPr>
          <w:bCs/>
          <w:b/>
        </w:rPr>
        <w:t xml:space="preserve">hydrological/hydraulic modelling</w:t>
      </w:r>
      <w:r>
        <w:t xml:space="preserve"> </w:t>
      </w:r>
      <w:r>
        <w:t xml:space="preserve">(rainfall-runoff and 1-D/2-D hydraulic river/floodplain models, increasingly assimilating satellite-derived rainfall — e.g., INSAT-3D Hydro-Estimator — and river-stage/altimetry data) supports flood</w:t>
      </w:r>
      <w:r>
        <w:t xml:space="preserve"> </w:t>
      </w:r>
      <w:r>
        <w:rPr>
          <w:bCs/>
          <w:b/>
        </w:rPr>
        <w:t xml:space="preserve">forecasting</w:t>
      </w:r>
      <w:r>
        <w:t xml:space="preserve"> </w:t>
      </w:r>
      <w:r>
        <w:t xml:space="preserve">(as opposed to the largely reactive satellite-extent-mapping described above), extending warning lead-time.</w:t>
      </w:r>
    </w:p>
    <w:p>
      <w:pPr>
        <w:pStyle w:val="Heading3"/>
      </w:pPr>
      <w:r>
        <w:t xml:space="preserve">33.7.4 Cyclone monitoring</w:t>
      </w:r>
    </w:p>
    <w:p>
      <w:pPr>
        <w:pStyle w:val="FirstParagraph"/>
      </w:pPr>
      <w:r>
        <w:t xml:space="preserve">INSAT-3D/3DR’s Imager, at its nominal 26-minute full-disk repeat cycle (further increasable via sector-scan mode over a cyclone’s expected track), provides the primary continuous eye/eyewall-structure and cloud-top-temperature tracking used to estimate cyclone intensity via the well-established</w:t>
      </w:r>
      <w:r>
        <w:t xml:space="preserve"> </w:t>
      </w:r>
      <w:r>
        <w:rPr>
          <w:bCs/>
          <w:b/>
        </w:rPr>
        <w:t xml:space="preserve">Dvorak technique</w:t>
      </w:r>
      <w:r>
        <w:t xml:space="preserve"> </w:t>
      </w:r>
      <w:r>
        <w:t xml:space="preserve">(a semi-empirical scheme relating cloud-pattern morphology in visible/infrared imagery — banding, eye characteristics, central dense overcast shape — to a Current Intensity number, from which maximum sustained wind speed and central pressure are estimated), supplemented by scatterometer-derived (Oceansat-2) ocean surface wind-vector fields ahead of landfall and, post-landfall, optical/SAR-based crop and infrastructure damage assessment along the storm track (relevant, for example, to coastal paddy and horticulture-crop damage assessment after landfalling cyclones on the east coast).</w:t>
      </w:r>
    </w:p>
    <w:p>
      <w:pPr>
        <w:pStyle w:val="Heading3"/>
      </w:pPr>
      <w:r>
        <w:t xml:space="preserve">33.7.5 Landslides, earthquakes and forest fires</w:t>
      </w:r>
    </w:p>
    <w:p>
      <w:pPr>
        <w:pStyle w:val="Compact"/>
        <w:numPr>
          <w:ilvl w:val="0"/>
          <w:numId w:val="1260"/>
        </w:numPr>
      </w:pPr>
      <w:r>
        <w:rPr>
          <w:bCs/>
          <w:b/>
        </w:rPr>
        <w:t xml:space="preserve">Landslides:</w:t>
      </w:r>
      <w:r>
        <w:t xml:space="preserve"> </w:t>
      </w:r>
      <w:r>
        <w:t xml:space="preserve">susceptibility zonation combines terrain-derivative layers (slope, aspect, curvature, drainage density, lithology, land-use/land-cover, and often a rainfall-triggering-threshold layer) in a GIS-based weighted-overlay or statistical/machine-learning susceptibility model; post-event landslide-scar/debris mapping uses high-resolution optical (Cartosat) or SAR change detection.</w:t>
      </w:r>
    </w:p>
    <w:p>
      <w:pPr>
        <w:pStyle w:val="Compact"/>
        <w:numPr>
          <w:ilvl w:val="0"/>
          <w:numId w:val="1260"/>
        </w:numPr>
      </w:pPr>
      <w:r>
        <w:rPr>
          <w:bCs/>
          <w:b/>
        </w:rPr>
        <w:t xml:space="preserve">Earthquakes:</w:t>
      </w:r>
      <w:r>
        <w:t xml:space="preserve"> </w:t>
      </w:r>
      <w:r>
        <w:t xml:space="preserve">post-event rapid damage assessment uses high-resolution optical/SAR change detection to identify collapsed-structure signatures and to support relief-routing (identifying blocked roads), complementing seismological source-parameter data.</w:t>
      </w:r>
    </w:p>
    <w:p>
      <w:pPr>
        <w:pStyle w:val="Compact"/>
        <w:numPr>
          <w:ilvl w:val="0"/>
          <w:numId w:val="1260"/>
        </w:numPr>
      </w:pPr>
      <w:r>
        <w:rPr>
          <w:bCs/>
          <w:b/>
        </w:rPr>
        <w:t xml:space="preserve">Forest fires:</w:t>
      </w:r>
      <w:r>
        <w:t xml:space="preserve"> </w:t>
      </w:r>
      <w:r>
        <w:t xml:space="preserve">thermal-infrared hotspot detection from geostationary (INSAT-3D/3DR) and polar-orbiting (MODIS/VIIRS/ResourceSat) sensors feeds NRSC/Forest Survey of India’s operational</w:t>
      </w:r>
      <w:r>
        <w:t xml:space="preserve"> </w:t>
      </w:r>
      <w:r>
        <w:rPr>
          <w:bCs/>
          <w:b/>
        </w:rPr>
        <w:t xml:space="preserve">Forest Fire Alert System</w:t>
      </w:r>
      <w:r>
        <w:t xml:space="preserve">, providing near-real-time SMS/email hotspot alerts to forest-range field staff.</w:t>
      </w:r>
    </w:p>
    <w:p>
      <w:pPr>
        <w:pStyle w:val="Heading2"/>
      </w:pPr>
      <w:r>
        <w:t xml:space="preserve">33.8 Flood Mapping, Modelling/Forecasting and Risk Assessment</w:t>
      </w:r>
    </w:p>
    <w:p>
      <w:pPr>
        <w:pStyle w:val="FirstParagraph"/>
      </w:pPr>
      <w:r>
        <w:t xml:space="preserve">The satellite-based flood-extent-mapping methodology (SAR backscatter thresholding/change detection) is detailed in the relevant chapter, Section 7.1.3; this section adds the complementary</w:t>
      </w:r>
      <w:r>
        <w:t xml:space="preserve"> </w:t>
      </w:r>
      <w:r>
        <w:rPr>
          <w:bCs/>
          <w:b/>
        </w:rPr>
        <w:t xml:space="preserve">hydrological and hydraulic modelling</w:t>
      </w:r>
      <w:r>
        <w:t xml:space="preserve"> </w:t>
      </w:r>
      <w:r>
        <w:t xml:space="preserve">dimension emphasised in NRSC’s water-resources-domain framing of the same problem.</w:t>
      </w:r>
      <w:r>
        <w:t xml:space="preserve"> </w:t>
      </w:r>
      <w:r>
        <w:rPr>
          <w:bCs/>
          <w:b/>
        </w:rPr>
        <w:t xml:space="preserve">Hydrological (rainfall-runoff) models</w:t>
      </w:r>
      <w:r>
        <w:t xml:space="preserve"> </w:t>
      </w:r>
      <w:r>
        <w:t xml:space="preserve">convert a rainfall time series (increasingly satellite-derived, e.g., INSAT-3D Hydro-Estimator or Megha-Tropiques-informed rainfall, Chapter 8, blended with ground rain-gauge data) into a predicted river discharge hydrograph at a location of interest, using either lumped conceptual models or spatially distributed models exploiting remote-sensing-derived land-cover/soil/DEM parameters to estimate runoff-generation and routing parameters across the catchment.</w:t>
      </w:r>
      <w:r>
        <w:t xml:space="preserve"> </w:t>
      </w:r>
      <w:r>
        <w:rPr>
          <w:bCs/>
          <w:b/>
        </w:rPr>
        <w:t xml:space="preserve">Hydraulic (river/floodplain) models</w:t>
      </w:r>
      <w:r>
        <w:t xml:space="preserve"> </w:t>
      </w:r>
      <w:r>
        <w:t xml:space="preserve">(1-D channel-routing or 2-D floodplain-inundation models) then propagate the resulting discharge hydrograph through the river channel and floodplain geometry (informed by DEM/bathymetric data and channel cross-sections, increasingly derived or refined using high-resolution satellite/LiDAR DEMs) to predict water-surface elevation and inundation extent — providing genuine forecast</w:t>
      </w:r>
      <w:r>
        <w:t xml:space="preserve"> </w:t>
      </w:r>
      <w:r>
        <w:rPr>
          <w:bCs/>
          <w:b/>
        </w:rPr>
        <w:t xml:space="preserve">lead time</w:t>
      </w:r>
      <w:r>
        <w:t xml:space="preserve"> </w:t>
      </w:r>
      <w:r>
        <w:t xml:space="preserve">(hours to days ahead of an event) as distinct from the largely reactive/near-real-time satellite-extent-mapping product, and the two approaches (model-forecast and satellite-observed) are increasingly integrated via</w:t>
      </w:r>
      <w:r>
        <w:t xml:space="preserve"> </w:t>
      </w:r>
      <w:r>
        <w:rPr>
          <w:bCs/>
          <w:b/>
        </w:rPr>
        <w:t xml:space="preserve">data assimilation</w:t>
      </w:r>
      <w:r>
        <w:t xml:space="preserve">, in which satellite-observed flood extent or river/reservoir level (e.g., from altimetry, Chapter 3, Section 3.8) is used to correct/update the running hydrological-model state, improving subsequent forecast accuracy — a technique of direct relevance to flood-risk assessment, which additionally requires probabilistic/return-period analysis (e.g., the discharge or inundation extent expected to be exceeded, on average, once every 25/50/100 years) combining the hydraulic-model output with historical hydro-meteorological frequency analysis.</w:t>
      </w:r>
    </w:p>
    <w:p>
      <w:pPr>
        <w:pStyle w:val="Heading2"/>
      </w:pPr>
      <w:r>
        <w:t xml:space="preserve">33.9 Case Study Structure for Disaster Events (General Template)</w:t>
      </w:r>
    </w:p>
    <w:p>
      <w:pPr>
        <w:pStyle w:val="FirstParagraph"/>
      </w:pPr>
      <w:r>
        <w:t xml:space="preserve">Drawing on the DMSP workflow, a typical post-event ISRO/NRSC disaster case-study writeup (useful as a template if asked to describe</w:t>
      </w:r>
      <w:r>
        <w:t xml:space="preserve"> </w:t>
      </w:r>
      <w:r>
        <w:t xml:space="preserve">“</w:t>
      </w:r>
      <w:r>
        <w:t xml:space="preserve">how would NRSC respond to a major flood/cyclone</w:t>
      </w:r>
      <w:r>
        <w:t xml:space="preserve">”</w:t>
      </w:r>
      <w:r>
        <w:t xml:space="preserve">) follows:</w:t>
      </w:r>
      <w:r>
        <w:t xml:space="preserve"> </w:t>
      </w:r>
      <w:r>
        <w:rPr>
          <w:bCs/>
          <w:b/>
        </w:rPr>
        <w:t xml:space="preserve">(a)</w:t>
      </w:r>
      <w:r>
        <w:t xml:space="preserve"> </w:t>
      </w:r>
      <w:r>
        <w:t xml:space="preserve">event characterisation (meteorological cause, e.g., a specific low-pressure-system track or cyclone’s landfall parameters, drawn from IMD bulletins and INSAT-3D/3DR tracking);</w:t>
      </w:r>
      <w:r>
        <w:t xml:space="preserve"> </w:t>
      </w:r>
      <w:r>
        <w:rPr>
          <w:bCs/>
          <w:b/>
        </w:rPr>
        <w:t xml:space="preserve">(b)</w:t>
      </w:r>
      <w:r>
        <w:t xml:space="preserve"> </w:t>
      </w:r>
      <w:r>
        <w:t xml:space="preserve">satellite tasking and data acquired (which specific satellite(s)/sensor(s), and why — e.g., SAR chosen specifically because of persistent cloud cover);</w:t>
      </w:r>
      <w:r>
        <w:t xml:space="preserve"> </w:t>
      </w:r>
      <w:r>
        <w:rPr>
          <w:bCs/>
          <w:b/>
        </w:rPr>
        <w:t xml:space="preserve">(c)</w:t>
      </w:r>
      <w:r>
        <w:t xml:space="preserve"> </w:t>
      </w:r>
      <w:r>
        <w:t xml:space="preserve">extraction methodology applied (the specific algorithm — e.g., SAR backscatter threshold change detection for flood extent);</w:t>
      </w:r>
      <w:r>
        <w:t xml:space="preserve"> </w:t>
      </w:r>
      <w:r>
        <w:rPr>
          <w:bCs/>
          <w:b/>
        </w:rPr>
        <w:t xml:space="preserve">(d)</w:t>
      </w:r>
      <w:r>
        <w:t xml:space="preserve"> </w:t>
      </w:r>
      <w:r>
        <w:t xml:space="preserve">quantitative impact statistics derived (area inundated by land-use/crop type, population/infrastructure affected, computed by GIS overlay);</w:t>
      </w:r>
      <w:r>
        <w:t xml:space="preserve"> </w:t>
      </w:r>
      <w:r>
        <w:rPr>
          <w:bCs/>
          <w:b/>
        </w:rPr>
        <w:t xml:space="preserve">(e)</w:t>
      </w:r>
      <w:r>
        <w:t xml:space="preserve"> </w:t>
      </w:r>
      <w:r>
        <w:t xml:space="preserve">comparison against historical events/return-period context where available; and</w:t>
      </w:r>
      <w:r>
        <w:t xml:space="preserve"> </w:t>
      </w:r>
      <w:r>
        <w:rPr>
          <w:bCs/>
          <w:b/>
        </w:rPr>
        <w:t xml:space="preserve">(f)</w:t>
      </w:r>
      <w:r>
        <w:t xml:space="preserve"> </w:t>
      </w:r>
      <w:r>
        <w:t xml:space="preserve">dissemination channel and downstream use (which agency received the product, and for what decision).</w:t>
      </w:r>
    </w:p>
    <w:p>
      <w:pPr>
        <w:pStyle w:val="Heading1"/>
      </w:pPr>
      <w:r>
        <w:t xml:space="preserve">Chapter 34. Global Warming, Greenhouse Gases, Carbon Sequestration and Climate Projections</w:t>
      </w:r>
    </w:p>
    <w:p>
      <w:pPr>
        <w:pStyle w:val="Heading2"/>
      </w:pPr>
      <w:r>
        <w:t xml:space="preserve">34.1 The Greenhouse Effect and Global Warming</w:t>
      </w:r>
    </w:p>
    <w:p>
      <w:pPr>
        <w:pStyle w:val="FirstParagraph"/>
      </w:pPr>
      <w:r>
        <w:rPr>
          <w:bCs/>
          <w:b/>
        </w:rPr>
        <w:t xml:space="preserve">Greenhouse effect:</w:t>
      </w:r>
      <w:r>
        <w:t xml:space="preserve"> </w:t>
      </w:r>
      <w:r>
        <w:t xml:space="preserve">the atmosphere is largely transparent to incoming shortwave solar radiation but absorbs much of the outgoing longwave (terrestrial) radiation — mainly by H₂O, CO₂, CH₄, N₂O, O₃ and halocarbons — and re-emits it, partly downward. Without it the Earth’s mean surface temperature would be about</w:t>
      </w:r>
      <w:r>
        <w:t xml:space="preserve"> </w:t>
      </w:r>
      <w:r>
        <w:rPr>
          <w:bCs/>
          <w:b/>
        </w:rPr>
        <w:t xml:space="preserve">−18 °C</w:t>
      </w:r>
      <w:r>
        <w:t xml:space="preserve"> </w:t>
      </w:r>
      <w:r>
        <w:t xml:space="preserve">instead of</w:t>
      </w:r>
      <w:r>
        <w:t xml:space="preserve"> </w:t>
      </w:r>
      <w:r>
        <w:rPr>
          <w:bCs/>
          <w:b/>
        </w:rPr>
        <w:t xml:space="preserve">+15 °C</w:t>
      </w:r>
      <w:r>
        <w:t xml:space="preserve">.</w:t>
      </w:r>
      <w:r>
        <w:t xml:space="preserve"> </w:t>
      </w:r>
      <w:r>
        <w:rPr>
          <w:bCs/>
          <w:b/>
        </w:rPr>
        <w:t xml:space="preserve">Enhanced greenhouse effect / global warming</w:t>
      </w:r>
      <w:r>
        <w:t xml:space="preserve"> </w:t>
      </w:r>
      <w:r>
        <w:t xml:space="preserve">is the extra warming from human increases in greenhouse gases (GHGs).</w:t>
      </w:r>
    </w:p>
    <w:p>
      <w:pPr>
        <w:pStyle w:val="BodyText"/>
      </w:pPr>
      <w:r>
        <w:rPr>
          <w:bCs/>
          <w:b/>
        </w:rPr>
        <w:t xml:space="preserve">Radiative forcing (RF)</w:t>
      </w:r>
      <w:r>
        <w:t xml:space="preserve"> </w:t>
      </w:r>
      <w:r>
        <w:t xml:space="preserve">— change in net energy flux at the tropopause due to a driver (W m⁻²). For CO₂:</w:t>
      </w:r>
      <w:r>
        <w:t xml:space="preserve"> </w:t>
      </w:r>
      <m:oMath>
        <m:r>
          <m:t>Δ</m:t>
        </m:r>
        <m:r>
          <m:t>F</m:t>
        </m:r>
        <m:r>
          <m:rPr>
            <m:sty m:val="p"/>
          </m:rPr>
          <m:t>=</m:t>
        </m:r>
        <m:r>
          <m:t>5.35</m:t>
        </m:r>
        <m:r>
          <m:rPr>
            <m:sty m:val="p"/>
          </m:rPr>
          <m:t>ln</m:t>
        </m:r>
        <m:d>
          <m:dPr>
            <m:begChr m:val="("/>
            <m:endChr m:val=")"/>
            <m:sepChr m:val=""/>
            <m:grow/>
          </m:dPr>
          <m:e>
            <m:r>
              <m:t>C</m:t>
            </m:r>
            <m:r>
              <m:rPr>
                <m:sty m:val="p"/>
              </m:rPr>
              <m:t>/</m:t>
            </m:r>
            <m:sSub>
              <m:e>
                <m:r>
                  <m:t>C</m:t>
                </m:r>
              </m:e>
              <m:sub>
                <m:r>
                  <m:t>0</m:t>
                </m:r>
              </m:sub>
            </m:sSub>
          </m:e>
        </m:d>
      </m:oMath>
      <w:r>
        <w:t xml:space="preserve"> </w:t>
      </w:r>
      <w:r>
        <w:t xml:space="preserve">W m⁻² — doubling CO₂ gives ≈ 3.7 W m⁻².</w:t>
      </w:r>
      <w:r>
        <w:t xml:space="preserve"> </w:t>
      </w:r>
      <w:r>
        <w:rPr>
          <w:bCs/>
          <w:b/>
        </w:rPr>
        <w:t xml:space="preserve">Climate sensitivity</w:t>
      </w:r>
      <w:r>
        <w:t xml:space="preserve"> </w:t>
      </w:r>
      <w:r>
        <w:t xml:space="preserve">(equilibrium warming for doubled CO₂) is about</w:t>
      </w:r>
      <w:r>
        <w:t xml:space="preserve"> </w:t>
      </w:r>
      <w:r>
        <w:rPr>
          <w:bCs/>
          <w:b/>
        </w:rPr>
        <w:t xml:space="preserve">3 °C (likely 2.5–4 °C, IPCC AR6)</w:t>
      </w:r>
      <w:r>
        <w:t xml:space="preserve">.</w:t>
      </w:r>
    </w:p>
    <w:tbl>
      <w:tblPr>
        <w:tblStyle w:val="Table"/>
        <w:tblW w:type="pct" w:w="5000"/>
        <w:jc w:val="left"/>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GHG</w:t>
            </w:r>
          </w:p>
        </w:tc>
        <w:tc>
          <w:tcPr/>
          <w:p>
            <w:pPr>
              <w:pStyle w:val="Compact"/>
              <w:jc w:val="left"/>
            </w:pPr>
            <w:r>
              <w:t xml:space="preserve">Pre-industrial</w:t>
            </w:r>
          </w:p>
        </w:tc>
        <w:tc>
          <w:tcPr/>
          <w:p>
            <w:pPr>
              <w:pStyle w:val="Compact"/>
              <w:jc w:val="left"/>
            </w:pPr>
            <w:r>
              <w:t xml:space="preserve">Recent (~2023–24)</w:t>
            </w:r>
          </w:p>
        </w:tc>
        <w:tc>
          <w:tcPr/>
          <w:p>
            <w:pPr>
              <w:pStyle w:val="Compact"/>
              <w:jc w:val="left"/>
            </w:pPr>
            <w:r>
              <w:t xml:space="preserve">Lifetime</w:t>
            </w:r>
          </w:p>
        </w:tc>
        <w:tc>
          <w:tcPr/>
          <w:p>
            <w:pPr>
              <w:pStyle w:val="Compact"/>
              <w:jc w:val="left"/>
            </w:pPr>
            <w:r>
              <w:t xml:space="preserve">GWP (100-yr, AR5/AR6)</w:t>
            </w:r>
          </w:p>
        </w:tc>
        <w:tc>
          <w:tcPr/>
          <w:p>
            <w:pPr>
              <w:pStyle w:val="Compact"/>
              <w:jc w:val="left"/>
            </w:pPr>
            <w:r>
              <w:t xml:space="preserve">Main agricultural sources</w:t>
            </w:r>
          </w:p>
        </w:tc>
      </w:tr>
      <w:tr>
        <w:tc>
          <w:tcPr/>
          <w:p>
            <w:pPr>
              <w:pStyle w:val="Compact"/>
              <w:jc w:val="left"/>
            </w:pPr>
            <w:r>
              <w:rPr>
                <w:bCs/>
                <w:b/>
              </w:rPr>
              <w:t xml:space="preserve">CO₂</w:t>
            </w:r>
          </w:p>
        </w:tc>
        <w:tc>
          <w:tcPr/>
          <w:p>
            <w:pPr>
              <w:pStyle w:val="Compact"/>
              <w:jc w:val="left"/>
            </w:pPr>
            <w:r>
              <w:t xml:space="preserve">~280 ppm</w:t>
            </w:r>
          </w:p>
        </w:tc>
        <w:tc>
          <w:tcPr/>
          <w:p>
            <w:pPr>
              <w:pStyle w:val="Compact"/>
              <w:jc w:val="left"/>
            </w:pPr>
            <w:r>
              <w:rPr>
                <w:bCs/>
                <w:b/>
              </w:rPr>
              <w:t xml:space="preserve">~420 ppm</w:t>
            </w:r>
          </w:p>
        </w:tc>
        <w:tc>
          <w:tcPr/>
          <w:p>
            <w:pPr>
              <w:pStyle w:val="Compact"/>
              <w:jc w:val="left"/>
            </w:pPr>
            <w:r>
              <w:t xml:space="preserve">Centuries (no single lifetime)</w:t>
            </w:r>
          </w:p>
        </w:tc>
        <w:tc>
          <w:tcPr/>
          <w:p>
            <w:pPr>
              <w:pStyle w:val="Compact"/>
              <w:jc w:val="left"/>
            </w:pPr>
            <w:r>
              <w:t xml:space="preserve">1</w:t>
            </w:r>
          </w:p>
        </w:tc>
        <w:tc>
          <w:tcPr/>
          <w:p>
            <w:pPr>
              <w:pStyle w:val="Compact"/>
              <w:jc w:val="left"/>
            </w:pPr>
            <w:r>
              <w:t xml:space="preserve">Land-use change, soil carbon loss, fuel, residue burning</w:t>
            </w:r>
          </w:p>
        </w:tc>
      </w:tr>
      <w:tr>
        <w:tc>
          <w:tcPr/>
          <w:p>
            <w:pPr>
              <w:pStyle w:val="Compact"/>
              <w:jc w:val="left"/>
            </w:pPr>
            <w:r>
              <w:rPr>
                <w:bCs/>
                <w:b/>
              </w:rPr>
              <w:t xml:space="preserve">CH₄</w:t>
            </w:r>
          </w:p>
        </w:tc>
        <w:tc>
          <w:tcPr/>
          <w:p>
            <w:pPr>
              <w:pStyle w:val="Compact"/>
              <w:jc w:val="left"/>
            </w:pPr>
            <w:r>
              <w:t xml:space="preserve">~0.72 ppm</w:t>
            </w:r>
          </w:p>
        </w:tc>
        <w:tc>
          <w:tcPr/>
          <w:p>
            <w:pPr>
              <w:pStyle w:val="Compact"/>
              <w:jc w:val="left"/>
            </w:pPr>
            <w:r>
              <w:t xml:space="preserve">~1.92 ppm</w:t>
            </w:r>
          </w:p>
        </w:tc>
        <w:tc>
          <w:tcPr/>
          <w:p>
            <w:pPr>
              <w:pStyle w:val="Compact"/>
              <w:jc w:val="left"/>
            </w:pPr>
            <w:r>
              <w:t xml:space="preserve">~12 years</w:t>
            </w:r>
          </w:p>
        </w:tc>
        <w:tc>
          <w:tcPr/>
          <w:p>
            <w:pPr>
              <w:pStyle w:val="Compact"/>
              <w:jc w:val="left"/>
            </w:pPr>
            <w:r>
              <w:rPr>
                <w:bCs/>
                <w:b/>
              </w:rPr>
              <w:t xml:space="preserve">~28–30</w:t>
            </w:r>
          </w:p>
        </w:tc>
        <w:tc>
          <w:tcPr/>
          <w:p>
            <w:pPr>
              <w:pStyle w:val="Compact"/>
              <w:jc w:val="left"/>
            </w:pPr>
            <w:r>
              <w:rPr>
                <w:bCs/>
                <w:b/>
              </w:rPr>
              <w:t xml:space="preserve">Enteric fermentation (ruminants), rice paddies</w:t>
            </w:r>
            <w:r>
              <w:t xml:space="preserve">, manure, biomass burning</w:t>
            </w:r>
          </w:p>
        </w:tc>
      </w:tr>
      <w:tr>
        <w:tc>
          <w:tcPr/>
          <w:p>
            <w:pPr>
              <w:pStyle w:val="Compact"/>
              <w:jc w:val="left"/>
            </w:pPr>
            <w:r>
              <w:rPr>
                <w:bCs/>
                <w:b/>
              </w:rPr>
              <w:t xml:space="preserve">N₂O</w:t>
            </w:r>
          </w:p>
        </w:tc>
        <w:tc>
          <w:tcPr/>
          <w:p>
            <w:pPr>
              <w:pStyle w:val="Compact"/>
              <w:jc w:val="left"/>
            </w:pPr>
            <w:r>
              <w:t xml:space="preserve">~0.27 ppm</w:t>
            </w:r>
          </w:p>
        </w:tc>
        <w:tc>
          <w:tcPr/>
          <w:p>
            <w:pPr>
              <w:pStyle w:val="Compact"/>
              <w:jc w:val="left"/>
            </w:pPr>
            <w:r>
              <w:t xml:space="preserve">~0.336 ppm</w:t>
            </w:r>
          </w:p>
        </w:tc>
        <w:tc>
          <w:tcPr/>
          <w:p>
            <w:pPr>
              <w:pStyle w:val="Compact"/>
              <w:jc w:val="left"/>
            </w:pPr>
            <w:r>
              <w:t xml:space="preserve">~110–120 years</w:t>
            </w:r>
          </w:p>
        </w:tc>
        <w:tc>
          <w:tcPr/>
          <w:p>
            <w:pPr>
              <w:pStyle w:val="Compact"/>
              <w:jc w:val="left"/>
            </w:pPr>
            <w:r>
              <w:rPr>
                <w:bCs/>
                <w:b/>
              </w:rPr>
              <w:t xml:space="preserve">~265–273</w:t>
            </w:r>
          </w:p>
        </w:tc>
        <w:tc>
          <w:tcPr/>
          <w:p>
            <w:pPr>
              <w:pStyle w:val="Compact"/>
              <w:jc w:val="left"/>
            </w:pPr>
            <w:r>
              <w:rPr>
                <w:bCs/>
                <w:b/>
              </w:rPr>
              <w:t xml:space="preserve">Nitrogen fertilisers</w:t>
            </w:r>
            <w:r>
              <w:t xml:space="preserve">, manure, legumes, burning</w:t>
            </w:r>
          </w:p>
        </w:tc>
      </w:tr>
    </w:tbl>
    <w:p>
      <w:pPr>
        <w:pStyle w:val="BodyText"/>
      </w:pPr>
      <w:r>
        <w:rPr>
          <w:bCs/>
          <w:b/>
        </w:rPr>
        <w:t xml:space="preserve">Observed changes (IPCC AR6, 2021):</w:t>
      </w:r>
      <w:r>
        <w:t xml:space="preserve"> </w:t>
      </w:r>
      <w:r>
        <w:t xml:space="preserve">global surface temperature ~</w:t>
      </w:r>
      <w:r>
        <w:rPr>
          <w:bCs/>
          <w:b/>
        </w:rPr>
        <w:t xml:space="preserve">1.1 °C</w:t>
      </w:r>
      <w:r>
        <w:t xml:space="preserve"> </w:t>
      </w:r>
      <w:r>
        <w:t xml:space="preserve">above 1850–1900 (2011–2020); recent years ~1.2–1.5 °C; human influence</w:t>
      </w:r>
      <w:r>
        <w:t xml:space="preserve"> </w:t>
      </w:r>
      <w:r>
        <w:t xml:space="preserve">“</w:t>
      </w:r>
      <w:r>
        <w:t xml:space="preserve">unequivocal</w:t>
      </w:r>
      <w:r>
        <w:t xml:space="preserve">”</w:t>
      </w:r>
      <w:r>
        <w:t xml:space="preserve">. India: ~0.7 °C warming since 1901 (MoES assessment, 2020); more frequent heat waves, extreme rainfall events, declining monsoon rainfall over 1951–2015 with increased variability, rising sea level and glacier retreat in the Himalaya.</w:t>
      </w:r>
    </w:p>
    <w:p>
      <w:pPr>
        <w:pStyle w:val="Heading2"/>
      </w:pPr>
      <w:r>
        <w:t xml:space="preserve">34.2 Fundamental Processes of GHG Emission from Agriculture</w:t>
      </w:r>
    </w:p>
    <w:p>
      <w:pPr>
        <w:pStyle w:val="FirstParagraph"/>
      </w:pPr>
      <w:r>
        <w:t xml:space="preserve">Agriculture, forestry and other land use (AFOLU) produce roughly a fifth to a quarter of global GHG emissions. In India agriculture contributes ~14–18% of national emissions (excluding LULUCF), dominated by</w:t>
      </w:r>
      <w:r>
        <w:t xml:space="preserve"> </w:t>
      </w:r>
      <w:r>
        <w:rPr>
          <w:bCs/>
          <w:b/>
        </w:rPr>
        <w:t xml:space="preserve">enteric CH₄ (~55%)</w:t>
      </w:r>
      <w:r>
        <w:t xml:space="preserve">,</w:t>
      </w:r>
      <w:r>
        <w:t xml:space="preserve"> </w:t>
      </w:r>
      <w:r>
        <w:rPr>
          <w:bCs/>
          <w:b/>
        </w:rPr>
        <w:t xml:space="preserve">rice CH₄ (~17–20%)</w:t>
      </w:r>
      <w:r>
        <w:t xml:space="preserve">,</w:t>
      </w:r>
      <w:r>
        <w:t xml:space="preserve"> </w:t>
      </w:r>
      <w:r>
        <w:rPr>
          <w:bCs/>
          <w:b/>
        </w:rPr>
        <w:t xml:space="preserve">agricultural soils N₂O (~19%)</w:t>
      </w:r>
      <w:r>
        <w:t xml:space="preserve">, manure management and residue burning (India’s BUR/NC).</w:t>
      </w:r>
    </w:p>
    <w:p>
      <w:pPr>
        <w:pStyle w:val="Heading3"/>
      </w:pPr>
      <w:r>
        <w:t xml:space="preserve">34.2.1 Methane (CH₄)</w:t>
      </w:r>
    </w:p>
    <w:p>
      <w:pPr>
        <w:pStyle w:val="FirstParagraph"/>
      </w:pPr>
      <w:r>
        <w:rPr>
          <w:bCs/>
          <w:b/>
        </w:rPr>
        <w:t xml:space="preserve">Methanogenesis</w:t>
      </w:r>
      <w:r>
        <w:t xml:space="preserve"> </w:t>
      </w:r>
      <w:r>
        <w:t xml:space="preserve">is carried out by strictly anaerobic</w:t>
      </w:r>
      <w:r>
        <w:t xml:space="preserve"> </w:t>
      </w:r>
      <w:r>
        <w:rPr>
          <w:bCs/>
          <w:b/>
        </w:rPr>
        <w:t xml:space="preserve">methanogenic archaea</w:t>
      </w:r>
      <w:r>
        <w:t xml:space="preserve"> </w:t>
      </w:r>
      <w:r>
        <w:t xml:space="preserve">in the final step of anaerobic decomposition of organic matter:</w:t>
      </w:r>
    </w:p>
    <w:p>
      <w:pPr>
        <w:pStyle w:val="BodyText"/>
      </w:pPr>
      <m:oMathPara>
        <m:oMathParaPr>
          <m:jc m:val="center"/>
        </m:oMathParaPr>
        <m:oMath>
          <m:r>
            <m:t>C</m:t>
          </m:r>
          <m:sSub>
            <m:e>
              <m:r>
                <m:t>O</m:t>
              </m:r>
            </m:e>
            <m:sub>
              <m:r>
                <m:t>2</m:t>
              </m:r>
            </m:sub>
          </m:sSub>
          <m:r>
            <m:rPr>
              <m:sty m:val="p"/>
            </m:rPr>
            <m:t>+</m:t>
          </m:r>
          <m:r>
            <m:t>4</m:t>
          </m:r>
          <m:sSub>
            <m:e>
              <m:r>
                <m:t>H</m:t>
              </m:r>
            </m:e>
            <m:sub>
              <m:r>
                <m:t>2</m:t>
              </m:r>
            </m:sub>
          </m:sSub>
          <m:r>
            <m:rPr>
              <m:sty m:val="p"/>
            </m:rPr>
            <m:t>→</m:t>
          </m:r>
          <m:r>
            <m:t>C</m:t>
          </m:r>
          <m:sSub>
            <m:e>
              <m:r>
                <m:t>H</m:t>
              </m:r>
            </m:e>
            <m:sub>
              <m:r>
                <m:t>4</m:t>
              </m:r>
            </m:sub>
          </m:sSub>
          <m:r>
            <m:rPr>
              <m:sty m:val="p"/>
            </m:rPr>
            <m:t>+</m:t>
          </m:r>
          <m:r>
            <m:t>2</m:t>
          </m:r>
          <m:sSub>
            <m:e>
              <m:r>
                <m:t>H</m:t>
              </m:r>
            </m:e>
            <m:sub>
              <m:r>
                <m:t>2</m:t>
              </m:r>
            </m:sub>
          </m:sSub>
          <m:r>
            <m:t>O</m:t>
          </m:r>
          <m:r>
            <m:t> </m:t>
          </m:r>
          <m:r>
            <m:rPr>
              <m:nor/>
              <m:sty m:val="p"/>
            </m:rPr>
            <m:t>(hydrogenotrophic)</m:t>
          </m:r>
          <m:r>
            <m:rPr>
              <m:sty m:val="p"/>
            </m:rPr>
            <m:t>,</m:t>
          </m:r>
          <m:r>
            <m:t>  </m:t>
          </m:r>
          <m:r>
            <m:t>C</m:t>
          </m:r>
          <m:sSub>
            <m:e>
              <m:r>
                <m:t>H</m:t>
              </m:r>
            </m:e>
            <m:sub>
              <m:r>
                <m:t>3</m:t>
              </m:r>
            </m:sub>
          </m:sSub>
          <m:r>
            <m:t>C</m:t>
          </m:r>
          <m:r>
            <m:t>O</m:t>
          </m:r>
          <m:r>
            <m:t>O</m:t>
          </m:r>
          <m:r>
            <m:t>H</m:t>
          </m:r>
          <m:r>
            <m:rPr>
              <m:sty m:val="p"/>
            </m:rPr>
            <m:t>→</m:t>
          </m:r>
          <m:r>
            <m:t>C</m:t>
          </m:r>
          <m:sSub>
            <m:e>
              <m:r>
                <m:t>H</m:t>
              </m:r>
            </m:e>
            <m:sub>
              <m:r>
                <m:t>4</m:t>
              </m:r>
            </m:sub>
          </m:sSub>
          <m:r>
            <m:rPr>
              <m:sty m:val="p"/>
            </m:rPr>
            <m:t>+</m:t>
          </m:r>
          <m:r>
            <m:t>C</m:t>
          </m:r>
          <m:sSub>
            <m:e>
              <m:r>
                <m:t>O</m:t>
              </m:r>
            </m:e>
            <m:sub>
              <m:r>
                <m:t>2</m:t>
              </m:r>
            </m:sub>
          </m:sSub>
          <m:r>
            <m:t> </m:t>
          </m:r>
          <m:r>
            <m:rPr>
              <m:nor/>
              <m:sty m:val="p"/>
            </m:rPr>
            <m:t>(acetoclastic,  2/3 of paddy CH₄)</m:t>
          </m:r>
        </m:oMath>
      </m:oMathPara>
    </w:p>
    <w:p>
      <w:pPr>
        <w:pStyle w:val="FirstParagraph"/>
      </w:pPr>
      <w:r>
        <w:t xml:space="preserve">It occurs only after O₂, NO₃⁻, Mn⁴⁺, Fe³⁺ and SO₄²⁻ are reduced, at</w:t>
      </w:r>
      <w:r>
        <w:t xml:space="preserve"> </w:t>
      </w:r>
      <w:r>
        <w:rPr>
          <w:bCs/>
          <w:b/>
        </w:rPr>
        <w:t xml:space="preserve">Eh below about −150 to −200 mV</w:t>
      </w:r>
      <w:r>
        <w:t xml:space="preserve">.</w:t>
      </w:r>
    </w:p>
    <w:p>
      <w:pPr>
        <w:pStyle w:val="BodyText"/>
      </w:pPr>
      <w:r>
        <w:rPr>
          <w:bCs/>
          <w:b/>
        </w:rPr>
        <w:t xml:space="preserve">Net emission = production − oxidation (by methanotrophs in the oxidised surface layer and rhizosphere) − transport losses.</w:t>
      </w:r>
      <w:r>
        <w:t xml:space="preserve"> </w:t>
      </w:r>
      <w:r>
        <w:t xml:space="preserve">Pathways from paddies:</w:t>
      </w:r>
      <w:r>
        <w:t xml:space="preserve"> </w:t>
      </w:r>
      <w:r>
        <w:rPr>
          <w:bCs/>
          <w:b/>
        </w:rPr>
        <w:t xml:space="preserve">plant-mediated transport through aerenchyma (60–90%)</w:t>
      </w:r>
      <w:r>
        <w:t xml:space="preserve">, ebullition (bubbles) and diffusion.</w:t>
      </w:r>
    </w:p>
    <w:p>
      <w:pPr>
        <w:pStyle w:val="BodyText"/>
      </w:pPr>
      <w:r>
        <w:rPr>
          <w:bCs/>
          <w:b/>
        </w:rPr>
        <w:t xml:space="preserve">Factors influencing paddy CH₄:</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Factor</w:t>
            </w:r>
          </w:p>
        </w:tc>
        <w:tc>
          <w:tcPr/>
          <w:p>
            <w:pPr>
              <w:pStyle w:val="Compact"/>
              <w:jc w:val="left"/>
            </w:pPr>
            <w:r>
              <w:t xml:space="preserve">Effect</w:t>
            </w:r>
          </w:p>
        </w:tc>
      </w:tr>
      <w:tr>
        <w:tc>
          <w:tcPr/>
          <w:p>
            <w:pPr>
              <w:pStyle w:val="Compact"/>
              <w:jc w:val="left"/>
            </w:pPr>
            <w:r>
              <w:t xml:space="preserve">Water regime</w:t>
            </w:r>
          </w:p>
        </w:tc>
        <w:tc>
          <w:tcPr/>
          <w:p>
            <w:pPr>
              <w:pStyle w:val="Compact"/>
              <w:jc w:val="left"/>
            </w:pPr>
            <w:r>
              <w:rPr>
                <w:bCs/>
                <w:b/>
              </w:rPr>
              <w:t xml:space="preserve">Continuous flooding maximises</w:t>
            </w:r>
            <w:r>
              <w:t xml:space="preserve">; mid-season drainage and</w:t>
            </w:r>
            <w:r>
              <w:t xml:space="preserve"> </w:t>
            </w:r>
            <w:r>
              <w:rPr>
                <w:bCs/>
                <w:b/>
              </w:rPr>
              <w:t xml:space="preserve">alternate wetting and drying (AWD)</w:t>
            </w:r>
            <w:r>
              <w:t xml:space="preserve"> </w:t>
            </w:r>
            <w:r>
              <w:t xml:space="preserve">cut emissions 30–60%; rainfed and deepwater differ</w:t>
            </w:r>
          </w:p>
        </w:tc>
      </w:tr>
      <w:tr>
        <w:tc>
          <w:tcPr/>
          <w:p>
            <w:pPr>
              <w:pStyle w:val="Compact"/>
              <w:jc w:val="left"/>
            </w:pPr>
            <w:r>
              <w:t xml:space="preserve">Organic inputs</w:t>
            </w:r>
          </w:p>
        </w:tc>
        <w:tc>
          <w:tcPr/>
          <w:p>
            <w:pPr>
              <w:pStyle w:val="Compact"/>
              <w:jc w:val="left"/>
            </w:pPr>
            <w:r>
              <w:t xml:space="preserve">Fresh straw, green manure, FYM increase substrate → more CH₄ (composted manure less)</w:t>
            </w:r>
          </w:p>
        </w:tc>
      </w:tr>
      <w:tr>
        <w:tc>
          <w:tcPr/>
          <w:p>
            <w:pPr>
              <w:pStyle w:val="Compact"/>
              <w:jc w:val="left"/>
            </w:pPr>
            <w:r>
              <w:t xml:space="preserve">Soil properties</w:t>
            </w:r>
          </w:p>
        </w:tc>
        <w:tc>
          <w:tcPr/>
          <w:p>
            <w:pPr>
              <w:pStyle w:val="Compact"/>
              <w:jc w:val="left"/>
            </w:pPr>
            <w:r>
              <w:t xml:space="preserve">pH ~6–7 optimal for methanogens; high Fe/SO₄ (alternative electron acceptors) suppress CH₄; texture, Eh</w:t>
            </w:r>
          </w:p>
        </w:tc>
      </w:tr>
      <w:tr>
        <w:tc>
          <w:tcPr/>
          <w:p>
            <w:pPr>
              <w:pStyle w:val="Compact"/>
              <w:jc w:val="left"/>
            </w:pPr>
            <w:r>
              <w:t xml:space="preserve">Temperature</w:t>
            </w:r>
          </w:p>
        </w:tc>
        <w:tc>
          <w:tcPr/>
          <w:p>
            <w:pPr>
              <w:pStyle w:val="Compact"/>
              <w:jc w:val="left"/>
            </w:pPr>
            <w:r>
              <w:t xml:space="preserve">Higher temperature increases emission (Q₁₀ ~ 2–4)</w:t>
            </w:r>
          </w:p>
        </w:tc>
      </w:tr>
      <w:tr>
        <w:tc>
          <w:tcPr/>
          <w:p>
            <w:pPr>
              <w:pStyle w:val="Compact"/>
              <w:jc w:val="left"/>
            </w:pPr>
            <w:r>
              <w:t xml:space="preserve">Rice cultivar</w:t>
            </w:r>
          </w:p>
        </w:tc>
        <w:tc>
          <w:tcPr/>
          <w:p>
            <w:pPr>
              <w:pStyle w:val="Compact"/>
              <w:jc w:val="left"/>
            </w:pPr>
            <w:r>
              <w:t xml:space="preserve">Aerenchyma, root exudates, biomass</w:t>
            </w:r>
          </w:p>
        </w:tc>
      </w:tr>
      <w:tr>
        <w:tc>
          <w:tcPr/>
          <w:p>
            <w:pPr>
              <w:pStyle w:val="Compact"/>
              <w:jc w:val="left"/>
            </w:pPr>
            <w:r>
              <w:t xml:space="preserve">Fertilisers</w:t>
            </w:r>
          </w:p>
        </w:tc>
        <w:tc>
          <w:tcPr/>
          <w:p>
            <w:pPr>
              <w:pStyle w:val="Compact"/>
              <w:jc w:val="left"/>
            </w:pPr>
            <w:r>
              <w:t xml:space="preserve">Ammonium sulphate (sulphate) reduces CH₄; urea and organic N may increase</w:t>
            </w:r>
          </w:p>
        </w:tc>
      </w:tr>
      <w:tr>
        <w:tc>
          <w:tcPr/>
          <w:p>
            <w:pPr>
              <w:pStyle w:val="Compact"/>
              <w:jc w:val="left"/>
            </w:pPr>
            <w:r>
              <w:t xml:space="preserve">Cropping practices</w:t>
            </w:r>
          </w:p>
        </w:tc>
        <w:tc>
          <w:tcPr/>
          <w:p>
            <w:pPr>
              <w:pStyle w:val="Compact"/>
              <w:jc w:val="left"/>
            </w:pPr>
            <w:r>
              <w:t xml:space="preserve">Direct seeding, raised beds lower emission</w:t>
            </w:r>
          </w:p>
        </w:tc>
      </w:tr>
    </w:tbl>
    <w:p>
      <w:pPr>
        <w:pStyle w:val="BodyText"/>
      </w:pPr>
      <w:r>
        <w:rPr>
          <w:bCs/>
          <w:b/>
        </w:rPr>
        <w:t xml:space="preserve">Enteric fermentation:</w:t>
      </w:r>
      <w:r>
        <w:t xml:space="preserve"> </w:t>
      </w:r>
      <w:r>
        <w:t xml:space="preserve">methanogens in the rumen convert H₂ and CO₂ from fibre fermentation; depends on feed quality and digestibility, animal size and intake. Mitigation — improved feed and balanced rations, feed additives (e.g., tannins, 3-NOP, Harit Dhara anti-methanogenic supplement by ICAR-NIANP), better breeds and fewer unproductive animals.</w:t>
      </w:r>
    </w:p>
    <w:p>
      <w:pPr>
        <w:pStyle w:val="Heading3"/>
      </w:pPr>
      <w:r>
        <w:t xml:space="preserve">34.2.2 Nitrous oxide (N₂O)</w:t>
      </w:r>
    </w:p>
    <w:p>
      <w:pPr>
        <w:pStyle w:val="FirstParagraph"/>
      </w:pPr>
      <w:r>
        <w:t xml:space="preserve">Produced microbially during:</w:t>
      </w:r>
    </w:p>
    <w:p>
      <w:pPr>
        <w:pStyle w:val="Compact"/>
        <w:numPr>
          <w:ilvl w:val="0"/>
          <w:numId w:val="1261"/>
        </w:numPr>
      </w:pPr>
      <w:r>
        <w:rPr>
          <w:bCs/>
          <w:b/>
        </w:rPr>
        <w:t xml:space="preserve">Nitrification</w:t>
      </w:r>
      <w:r>
        <w:t xml:space="preserve"> </w:t>
      </w:r>
      <w:r>
        <w:t xml:space="preserve">(aerobic oxidation NH₄⁺ → NO₂⁻ → NO₃⁻; N₂O as a by-product, more at high NH₄⁺ and moderate moisture).</w:t>
      </w:r>
    </w:p>
    <w:p>
      <w:pPr>
        <w:pStyle w:val="Compact"/>
        <w:numPr>
          <w:ilvl w:val="0"/>
          <w:numId w:val="1261"/>
        </w:numPr>
      </w:pPr>
      <w:r>
        <w:rPr>
          <w:bCs/>
          <w:b/>
        </w:rPr>
        <w:t xml:space="preserve">Denitrification</w:t>
      </w:r>
      <w:r>
        <w:t xml:space="preserve"> </w:t>
      </w:r>
      <w:r>
        <w:t xml:space="preserve">(anaerobic reduction NO₃⁻ → NO₂⁻ → NO →</w:t>
      </w:r>
      <w:r>
        <w:t xml:space="preserve"> </w:t>
      </w:r>
      <w:r>
        <w:rPr>
          <w:bCs/>
          <w:b/>
        </w:rPr>
        <w:t xml:space="preserve">N₂O</w:t>
      </w:r>
      <w:r>
        <w:t xml:space="preserve"> </w:t>
      </w:r>
      <w:r>
        <w:t xml:space="preserve">→ N₂; incomplete reduction releases N₂O; more when soil is wet but not fully anaerobic, ~60–80% WFPS, with available C and nitrate).</w:t>
      </w:r>
    </w:p>
    <w:p>
      <w:pPr>
        <w:pStyle w:val="Compact"/>
        <w:numPr>
          <w:ilvl w:val="0"/>
          <w:numId w:val="1261"/>
        </w:numPr>
      </w:pPr>
      <w:r>
        <w:t xml:space="preserve">Nitrifier denitrification, chemodenitrification.</w:t>
      </w:r>
    </w:p>
    <w:p>
      <w:pPr>
        <w:pStyle w:val="FirstParagraph"/>
      </w:pPr>
      <w:r>
        <w:rPr>
          <w:bCs/>
          <w:b/>
        </w:rPr>
        <w:t xml:space="preserve">Factors:</w:t>
      </w:r>
      <w:r>
        <w:t xml:space="preserve"> </w:t>
      </w:r>
      <w:r>
        <w:t xml:space="preserve">N fertiliser rate, form and timing (excess N above crop demand), soil moisture/water-filled pore space, temperature, available carbon, pH (low pH increases the N₂O:N₂ ratio), soil texture/aeration, wetting–drying cycles (AWD raises N₂O slightly while cutting CH₄ — net benefit). Indirect N₂O from leached/volatilised N.</w:t>
      </w:r>
    </w:p>
    <w:p>
      <w:pPr>
        <w:pStyle w:val="BodyText"/>
      </w:pPr>
      <w:r>
        <w:rPr>
          <w:bCs/>
          <w:b/>
        </w:rPr>
        <w:t xml:space="preserve">IPCC Tier 1</w:t>
      </w:r>
      <w:r>
        <w:t xml:space="preserve"> </w:t>
      </w:r>
      <w:r>
        <w:t xml:space="preserve">default:</w:t>
      </w:r>
      <w:r>
        <w:t xml:space="preserve"> </w:t>
      </w:r>
      <w:r>
        <w:rPr>
          <w:bCs/>
          <w:b/>
        </w:rPr>
        <w:t xml:space="preserve">1% of applied N is emitted as N₂O–N</w:t>
      </w:r>
      <w:r>
        <w:t xml:space="preserve"> </w:t>
      </w:r>
      <w:r>
        <w:t xml:space="preserve">(EF₁ = 0.01; ~0.3–0.4% for flooded rice).</w:t>
      </w:r>
    </w:p>
    <w:p>
      <w:pPr>
        <w:pStyle w:val="Heading3"/>
      </w:pPr>
      <w:r>
        <w:t xml:space="preserve">34.2.3 Carbon dioxide (CO₂)</w:t>
      </w:r>
    </w:p>
    <w:p>
      <w:pPr>
        <w:pStyle w:val="FirstParagraph"/>
      </w:pPr>
      <w:r>
        <w:t xml:space="preserve">From soil organic matter oxidation (tillage, drainage of organic soils, erosion), land-use change (deforestation, grassland conversion), fossil energy for machinery, irrigation pumping, fertiliser manufacture (indirect), and</w:t>
      </w:r>
      <w:r>
        <w:t xml:space="preserve"> </w:t>
      </w:r>
      <w:r>
        <w:rPr>
          <w:bCs/>
          <w:b/>
        </w:rPr>
        <w:t xml:space="preserve">crop residue burning</w:t>
      </w:r>
      <w:r>
        <w:t xml:space="preserve"> </w:t>
      </w:r>
      <w:r>
        <w:t xml:space="preserve">(also CO, CH₄, N₂O, black carbon, PM₂.₅ — Punjab/Haryana stubble burning).</w:t>
      </w:r>
    </w:p>
    <w:p>
      <w:pPr>
        <w:pStyle w:val="Heading3"/>
      </w:pPr>
      <w:r>
        <w:t xml:space="preserve">34.2.4 Estimating emissions</w:t>
      </w:r>
    </w:p>
    <w:p>
      <w:pPr>
        <w:pStyle w:val="Compact"/>
        <w:numPr>
          <w:ilvl w:val="0"/>
          <w:numId w:val="1262"/>
        </w:numPr>
      </w:pPr>
      <w:r>
        <w:rPr>
          <w:bCs/>
          <w:b/>
        </w:rPr>
        <w:t xml:space="preserve">IPCC Guidelines (2006, 2019 Refinement):</w:t>
      </w:r>
      <w:r>
        <w:t xml:space="preserve"> </w:t>
      </w:r>
      <w:r>
        <w:t xml:space="preserve">emission = activity data × emission factor.</w:t>
      </w:r>
      <w:r>
        <w:t xml:space="preserve"> </w:t>
      </w:r>
      <w:r>
        <w:rPr>
          <w:bCs/>
          <w:b/>
        </w:rPr>
        <w:t xml:space="preserve">Tier 1</w:t>
      </w:r>
      <w:r>
        <w:t xml:space="preserve"> </w:t>
      </w:r>
      <w:r>
        <w:t xml:space="preserve">default factors;</w:t>
      </w:r>
      <w:r>
        <w:t xml:space="preserve"> </w:t>
      </w:r>
      <w:r>
        <w:rPr>
          <w:bCs/>
          <w:b/>
        </w:rPr>
        <w:t xml:space="preserve">Tier 2</w:t>
      </w:r>
      <w:r>
        <w:t xml:space="preserve"> </w:t>
      </w:r>
      <w:r>
        <w:t xml:space="preserve">country-specific factors (India uses measured rice CH₄ factors by ecosystem: irrigated continuously flooded, intermittently flooded, rainfed drought-prone/flood-prone, deepwater);</w:t>
      </w:r>
      <w:r>
        <w:t xml:space="preserve"> </w:t>
      </w:r>
      <w:r>
        <w:rPr>
          <w:bCs/>
          <w:b/>
        </w:rPr>
        <w:t xml:space="preserve">Tier 3</w:t>
      </w:r>
      <w:r>
        <w:t xml:space="preserve"> </w:t>
      </w:r>
      <w:r>
        <w:t xml:space="preserve">process models (DNDC, DayCent, InfoCrop-GHG) and measurements.</w:t>
      </w:r>
    </w:p>
    <w:p>
      <w:pPr>
        <w:pStyle w:val="Compact"/>
        <w:numPr>
          <w:ilvl w:val="0"/>
          <w:numId w:val="1262"/>
        </w:numPr>
      </w:pPr>
      <w:r>
        <w:rPr>
          <w:bCs/>
          <w:b/>
        </w:rPr>
        <w:t xml:space="preserve">Measurement:</w:t>
      </w:r>
      <w:r>
        <w:t xml:space="preserve"> </w:t>
      </w:r>
      <w:r>
        <w:t xml:space="preserve">closed static chambers + gas chromatography (field plots); eddy covariance with fast CH₄/N₂O analysers (tunable diode laser/cavity ring-down) for ecosystem fluxes; satellites (TROPOMI, GOSAT, OCO-2/3) for atmospheric columns and inversions.</w:t>
      </w:r>
    </w:p>
    <w:p>
      <w:pPr>
        <w:pStyle w:val="Compact"/>
        <w:numPr>
          <w:ilvl w:val="0"/>
          <w:numId w:val="1262"/>
        </w:numPr>
      </w:pPr>
      <w:r>
        <w:rPr>
          <w:bCs/>
          <w:b/>
        </w:rPr>
        <w:t xml:space="preserve">Remote sensing role:</w:t>
      </w:r>
      <w:r>
        <w:t xml:space="preserve"> </w:t>
      </w:r>
      <w:r>
        <w:t xml:space="preserve">rice area by ecosystem and water regime (SAR, multi-temporal optical), cropping calendars, fire counts and burnt area (residue burning), livestock density proxies, land-use change → spatially explicit inventories (ISRO-GBP methane-from-rice studies; SAC/NRSC).</w:t>
      </w:r>
    </w:p>
    <w:p>
      <w:pPr>
        <w:pStyle w:val="Heading2"/>
      </w:pPr>
      <w:r>
        <w:t xml:space="preserve">34.3 Carbon Sequestration</w:t>
      </w:r>
    </w:p>
    <w:p>
      <w:pPr>
        <w:pStyle w:val="FirstParagraph"/>
      </w:pPr>
      <w:r>
        <w:rPr>
          <w:bCs/>
          <w:b/>
        </w:rPr>
        <w:t xml:space="preserve">Carbon sequestration</w:t>
      </w:r>
      <w:r>
        <w:t xml:space="preserve"> </w:t>
      </w:r>
      <w:r>
        <w:t xml:space="preserve">is the removal of CO₂ from the atmosphere and its long-term storage in plants, soils, geological formations or oceans. In agriculture the focus is</w:t>
      </w:r>
      <w:r>
        <w:t xml:space="preserve"> </w:t>
      </w:r>
      <w:r>
        <w:rPr>
          <w:bCs/>
          <w:b/>
        </w:rPr>
        <w:t xml:space="preserve">soil organic carbon (SOC)</w:t>
      </w:r>
      <w:r>
        <w:t xml:space="preserve"> </w:t>
      </w:r>
      <w:r>
        <w:t xml:space="preserve">and</w:t>
      </w:r>
      <w:r>
        <w:t xml:space="preserve"> </w:t>
      </w:r>
      <w:r>
        <w:rPr>
          <w:bCs/>
          <w:b/>
        </w:rPr>
        <w:t xml:space="preserve">biomass carbon</w:t>
      </w:r>
      <w:r>
        <w:t xml:space="preserve"> </w:t>
      </w:r>
      <w:r>
        <w:t xml:space="preserve">(agroforestry, trees).</w:t>
      </w:r>
    </w:p>
    <w:p>
      <w:pPr>
        <w:pStyle w:val="BodyText"/>
      </w:pPr>
      <w:r>
        <w:rPr>
          <w:bCs/>
          <w:b/>
        </w:rPr>
        <w:t xml:space="preserve">Global soil C</w:t>
      </w:r>
      <w:r>
        <w:t xml:space="preserve"> </w:t>
      </w:r>
      <w:r>
        <w:t xml:space="preserve">(~1500–2400 Pg C in top 1–2 m) is about twice atmospheric carbon (~870 Pg C) and three times vegetation carbon. Cultivated soils have lost 30–60% of their original SOC; the</w:t>
      </w:r>
      <w:r>
        <w:t xml:space="preserve"> </w:t>
      </w:r>
      <w:r>
        <w:rPr>
          <w:bCs/>
          <w:b/>
        </w:rPr>
        <w:t xml:space="preserve">“</w:t>
      </w:r>
      <w:r>
        <w:rPr>
          <w:bCs/>
          <w:b/>
        </w:rPr>
        <w:t xml:space="preserve">4 per 1000</w:t>
      </w:r>
      <w:r>
        <w:rPr>
          <w:bCs/>
          <w:b/>
        </w:rPr>
        <w:t xml:space="preserve">”</w:t>
      </w:r>
      <w:r>
        <w:rPr>
          <w:bCs/>
          <w:b/>
        </w:rPr>
        <w:t xml:space="preserve"> </w:t>
      </w:r>
      <w:r>
        <w:rPr>
          <w:bCs/>
          <w:b/>
        </w:rPr>
        <w:t xml:space="preserve">initiative</w:t>
      </w:r>
      <w:r>
        <w:t xml:space="preserve"> </w:t>
      </w:r>
      <w:r>
        <w:t xml:space="preserve">(COP21, 2015) noted that raising global soil carbon stocks by 0.4% per year would offset a large part of annual anthropogenic CO₂ increases.</w:t>
      </w:r>
    </w:p>
    <w:p>
      <w:pPr>
        <w:pStyle w:val="BodyText"/>
      </w:pPr>
      <w:r>
        <w:rPr>
          <w:bCs/>
          <w:b/>
        </w:rPr>
        <w:t xml:space="preserve">Recommended management practices (RMPs) that build SOC:</w:t>
      </w:r>
    </w:p>
    <w:p>
      <w:pPr>
        <w:pStyle w:val="Compact"/>
        <w:numPr>
          <w:ilvl w:val="0"/>
          <w:numId w:val="1263"/>
        </w:numPr>
      </w:pPr>
      <w:r>
        <w:rPr>
          <w:bCs/>
          <w:b/>
        </w:rPr>
        <w:t xml:space="preserve">Conservation agriculture</w:t>
      </w:r>
      <w:r>
        <w:t xml:space="preserve"> </w:t>
      </w:r>
      <w:r>
        <w:t xml:space="preserve">(zero/minimum tillage + residue retention + diversified rotations).</w:t>
      </w:r>
    </w:p>
    <w:p>
      <w:pPr>
        <w:pStyle w:val="Compact"/>
        <w:numPr>
          <w:ilvl w:val="0"/>
          <w:numId w:val="1263"/>
        </w:numPr>
      </w:pPr>
      <w:r>
        <w:rPr>
          <w:bCs/>
          <w:b/>
        </w:rPr>
        <w:t xml:space="preserve">Residue incorporation instead of burning;</w:t>
      </w:r>
      <w:r>
        <w:t xml:space="preserve"> </w:t>
      </w:r>
      <w:r>
        <w:t xml:space="preserve">cover crops; green manuring.</w:t>
      </w:r>
    </w:p>
    <w:p>
      <w:pPr>
        <w:pStyle w:val="Compact"/>
        <w:numPr>
          <w:ilvl w:val="0"/>
          <w:numId w:val="1263"/>
        </w:numPr>
      </w:pPr>
      <w:r>
        <w:rPr>
          <w:bCs/>
          <w:b/>
        </w:rPr>
        <w:t xml:space="preserve">Integrated nutrient management</w:t>
      </w:r>
      <w:r>
        <w:t xml:space="preserve"> </w:t>
      </w:r>
      <w:r>
        <w:t xml:space="preserve">— balanced NPK + organic manures (long-term fertiliser experiments show highest SOC with NPK + FYM).</w:t>
      </w:r>
    </w:p>
    <w:p>
      <w:pPr>
        <w:pStyle w:val="Compact"/>
        <w:numPr>
          <w:ilvl w:val="0"/>
          <w:numId w:val="1263"/>
        </w:numPr>
      </w:pPr>
      <w:r>
        <w:rPr>
          <w:bCs/>
          <w:b/>
        </w:rPr>
        <w:t xml:space="preserve">Agroforestry</w:t>
      </w:r>
      <w:r>
        <w:t xml:space="preserve"> </w:t>
      </w:r>
      <w:r>
        <w:t xml:space="preserve">(trees on farms: 1–4 t C ha⁻¹ yr⁻¹ in biomass + soil), silvopasture, boundary plantations.</w:t>
      </w:r>
    </w:p>
    <w:p>
      <w:pPr>
        <w:pStyle w:val="Compact"/>
        <w:numPr>
          <w:ilvl w:val="0"/>
          <w:numId w:val="1263"/>
        </w:numPr>
      </w:pPr>
      <w:r>
        <w:t xml:space="preserve">Restoration of degraded lands (afforestation, reclamation of salt-affected soils), grassland management, water conservation.</w:t>
      </w:r>
    </w:p>
    <w:p>
      <w:pPr>
        <w:pStyle w:val="Compact"/>
        <w:numPr>
          <w:ilvl w:val="0"/>
          <w:numId w:val="1263"/>
        </w:numPr>
      </w:pPr>
      <w:r>
        <w:t xml:space="preserve">Biochar (stable pyrolysed carbon), improved irrigation, perennial crops.</w:t>
      </w:r>
    </w:p>
    <w:p>
      <w:pPr>
        <w:pStyle w:val="FirstParagraph"/>
      </w:pPr>
      <w:r>
        <w:rPr>
          <w:bCs/>
          <w:b/>
        </w:rPr>
        <w:t xml:space="preserve">Concepts:</w:t>
      </w:r>
      <w:r>
        <w:t xml:space="preserve"> </w:t>
      </w:r>
      <w:r>
        <w:t xml:space="preserve">SOC saturation (finite capacity, approaches a new equilibrium in 20–50 years),</w:t>
      </w:r>
      <w:r>
        <w:t xml:space="preserve"> </w:t>
      </w:r>
      <w:r>
        <w:rPr>
          <w:bCs/>
          <w:b/>
        </w:rPr>
        <w:t xml:space="preserve">permanence</w:t>
      </w:r>
      <w:r>
        <w:t xml:space="preserve"> </w:t>
      </w:r>
      <w:r>
        <w:t xml:space="preserve">(sequestered C can be lost if practices revert),</w:t>
      </w:r>
      <w:r>
        <w:t xml:space="preserve"> </w:t>
      </w:r>
      <w:r>
        <w:rPr>
          <w:bCs/>
          <w:b/>
        </w:rPr>
        <w:t xml:space="preserve">leakage</w:t>
      </w:r>
      <w:r>
        <w:t xml:space="preserve">, and the need for MRV.</w:t>
      </w:r>
      <w:r>
        <w:t xml:space="preserve"> </w:t>
      </w:r>
      <w:r>
        <w:rPr>
          <w:bCs/>
          <w:b/>
        </w:rPr>
        <w:t xml:space="preserve">Measurement:</w:t>
      </w:r>
      <w:r>
        <w:t xml:space="preserve"> </w:t>
      </w:r>
      <w:r>
        <w:t xml:space="preserve">soil sampling (OC concentration × bulk density × depth, equivalent soil mass), long-term experiments, models (RothC, CENTURY), and remote sensing/digital soil mapping for scaling; forest carbon via biomass inventories, LiDAR/SAR (GEDI, NISAR, BIOMASS) and flux towers.</w:t>
      </w:r>
    </w:p>
    <w:p>
      <w:pPr>
        <w:pStyle w:val="BodyText"/>
      </w:pPr>
      <w:r>
        <w:rPr>
          <w:bCs/>
          <w:b/>
        </w:rPr>
        <w:t xml:space="preserve">India’s commitments:</w:t>
      </w:r>
      <w:r>
        <w:t xml:space="preserve"> </w:t>
      </w:r>
      <w:r>
        <w:t xml:space="preserve">NDC (2015, updated 2022) — reduce emissions intensity of GDP by</w:t>
      </w:r>
      <w:r>
        <w:t xml:space="preserve"> </w:t>
      </w:r>
      <w:r>
        <w:rPr>
          <w:bCs/>
          <w:b/>
        </w:rPr>
        <w:t xml:space="preserve">45% by 2030</w:t>
      </w:r>
      <w:r>
        <w:t xml:space="preserve"> </w:t>
      </w:r>
      <w:r>
        <w:t xml:space="preserve">from 2005 levels; ~50% cumulative electric power capacity from non-fossil sources by 2030;</w:t>
      </w:r>
      <w:r>
        <w:t xml:space="preserve"> </w:t>
      </w:r>
      <w:r>
        <w:rPr>
          <w:bCs/>
          <w:b/>
        </w:rPr>
        <w:t xml:space="preserve">additional carbon sink of 2.5–3 billion t CO₂e</w:t>
      </w:r>
      <w:r>
        <w:t xml:space="preserve"> </w:t>
      </w:r>
      <w:r>
        <w:t xml:space="preserve">through additional forest and tree cover by 2030;</w:t>
      </w:r>
      <w:r>
        <w:t xml:space="preserve"> </w:t>
      </w:r>
      <w:r>
        <w:rPr>
          <w:bCs/>
          <w:b/>
        </w:rPr>
        <w:t xml:space="preserve">net zero by 2070</w:t>
      </w:r>
      <w:r>
        <w:t xml:space="preserve"> </w:t>
      </w:r>
      <w:r>
        <w:t xml:space="preserve">(announced at COP26). Agriculture-related missions:</w:t>
      </w:r>
      <w:r>
        <w:t xml:space="preserve"> </w:t>
      </w:r>
      <w:r>
        <w:rPr>
          <w:bCs/>
          <w:b/>
        </w:rPr>
        <w:t xml:space="preserve">National Mission for Sustainable Agriculture (NMSA)</w:t>
      </w:r>
      <w:r>
        <w:t xml:space="preserve"> </w:t>
      </w:r>
      <w:r>
        <w:t xml:space="preserve">under NAPCC, NICRA (National Innovations in Climate Resilient Agriculture, ICAR, 2011), soil health card, PM-KUSUM (solar pumps), Green India Mission, carbon credit/ GCP (Green Credit Programme).</w:t>
      </w:r>
    </w:p>
    <w:p>
      <w:pPr>
        <w:pStyle w:val="Heading2"/>
      </w:pPr>
      <w:r>
        <w:t xml:space="preserve">34.4 Global Warming and Crop Production</w:t>
      </w:r>
    </w:p>
    <w:p>
      <w:pPr>
        <w:pStyle w:val="FirstParagraph"/>
      </w:pPr>
      <w:r>
        <w:rPr>
          <w:bCs/>
          <w:b/>
        </w:rPr>
        <w:t xml:space="preserve">Direct effects:</w:t>
      </w:r>
    </w:p>
    <w:p>
      <w:pPr>
        <w:pStyle w:val="Compact"/>
        <w:numPr>
          <w:ilvl w:val="0"/>
          <w:numId w:val="1264"/>
        </w:numPr>
      </w:pPr>
      <w:r>
        <w:rPr>
          <w:bCs/>
          <w:b/>
        </w:rPr>
        <w:t xml:space="preserve">Elevated CO₂ (CO₂ fertilisation):</w:t>
      </w:r>
      <w:r>
        <w:t xml:space="preserve"> </w:t>
      </w:r>
      <w:r>
        <w:t xml:space="preserve">raises photosynthesis and WUE (partial stomatal closure) — stronger in</w:t>
      </w:r>
      <w:r>
        <w:t xml:space="preserve"> </w:t>
      </w:r>
      <w:r>
        <w:rPr>
          <w:bCs/>
          <w:b/>
        </w:rPr>
        <w:t xml:space="preserve">C₃ crops</w:t>
      </w:r>
      <w:r>
        <w:t xml:space="preserve"> </w:t>
      </w:r>
      <w:r>
        <w:t xml:space="preserve">(wheat, rice, soybean, pulses; +10–30% biomass at ~550 ppm in FACE experiments) than</w:t>
      </w:r>
      <w:r>
        <w:t xml:space="preserve"> </w:t>
      </w:r>
      <w:r>
        <w:rPr>
          <w:bCs/>
          <w:b/>
        </w:rPr>
        <w:t xml:space="preserve">C₄ crops</w:t>
      </w:r>
      <w:r>
        <w:t xml:space="preserve"> </w:t>
      </w:r>
      <w:r>
        <w:t xml:space="preserve">(maize, sorghum, sugarcane — mainly via water savings). But grain protein and micronutrient (Zn, Fe) concentrations decline.</w:t>
      </w:r>
    </w:p>
    <w:p>
      <w:pPr>
        <w:pStyle w:val="Compact"/>
        <w:numPr>
          <w:ilvl w:val="0"/>
          <w:numId w:val="1264"/>
        </w:numPr>
      </w:pPr>
      <w:r>
        <w:rPr>
          <w:bCs/>
          <w:b/>
        </w:rPr>
        <w:t xml:space="preserve">Rising temperature:</w:t>
      </w:r>
      <w:r>
        <w:t xml:space="preserve"> </w:t>
      </w:r>
      <w:r>
        <w:t xml:space="preserve">accelerates phenology (shorter grain-filling → lower yield); increases respiration;</w:t>
      </w:r>
      <w:r>
        <w:t xml:space="preserve"> </w:t>
      </w:r>
      <w:r>
        <w:rPr>
          <w:bCs/>
          <w:b/>
        </w:rPr>
        <w:t xml:space="preserve">heat stress at anthesis</w:t>
      </w:r>
      <w:r>
        <w:t xml:space="preserve"> </w:t>
      </w:r>
      <w:r>
        <w:t xml:space="preserve">(rice spikelet sterility above ~35 °C; wheat grain-set and terminal heat above ~30–34 °C); reduced vernalisation/chilling for temperate fruits; but benefits in cold regions (longer seasons at high altitudes).</w:t>
      </w:r>
    </w:p>
    <w:p>
      <w:pPr>
        <w:pStyle w:val="Compact"/>
        <w:numPr>
          <w:ilvl w:val="0"/>
          <w:numId w:val="1264"/>
        </w:numPr>
      </w:pPr>
      <w:r>
        <w:rPr>
          <w:bCs/>
          <w:b/>
        </w:rPr>
        <w:t xml:space="preserve">Rainfall changes:</w:t>
      </w:r>
      <w:r>
        <w:t xml:space="preserve"> </w:t>
      </w:r>
      <w:r>
        <w:t xml:space="preserve">more intense rain events and longer dry spells; monsoon variability → drought and floods; higher ET demand.</w:t>
      </w:r>
    </w:p>
    <w:p>
      <w:pPr>
        <w:pStyle w:val="Compact"/>
        <w:numPr>
          <w:ilvl w:val="0"/>
          <w:numId w:val="1264"/>
        </w:numPr>
      </w:pPr>
      <w:r>
        <w:rPr>
          <w:bCs/>
          <w:b/>
        </w:rPr>
        <w:t xml:space="preserve">Extreme events:</w:t>
      </w:r>
      <w:r>
        <w:t xml:space="preserve"> </w:t>
      </w:r>
      <w:r>
        <w:t xml:space="preserve">heat waves, cold waves, hail, cyclones, floods causing abrupt losses.</w:t>
      </w:r>
    </w:p>
    <w:p>
      <w:pPr>
        <w:pStyle w:val="FirstParagraph"/>
      </w:pPr>
      <w:r>
        <w:rPr>
          <w:bCs/>
          <w:b/>
        </w:rPr>
        <w:t xml:space="preserve">Indirect effects:</w:t>
      </w:r>
      <w:r>
        <w:t xml:space="preserve"> </w:t>
      </w:r>
      <w:r>
        <w:t xml:space="preserve">shifts in pest/disease ranges and generations (more generations per season at higher temperatures), weed competitiveness (C₄ weeds in C₃ crops), soil organic matter decomposition, salinity from sea-level rise in coastal areas, glacier-fed irrigation changes, water availability, pollinator decline.</w:t>
      </w:r>
    </w:p>
    <w:p>
      <w:pPr>
        <w:pStyle w:val="BodyText"/>
      </w:pPr>
      <w:r>
        <w:rPr>
          <w:bCs/>
          <w:b/>
        </w:rPr>
        <w:t xml:space="preserve">Projected impacts for India (ICAR/NICRA, IPCC):</w:t>
      </w:r>
      <w:r>
        <w:t xml:space="preserve"> </w:t>
      </w:r>
      <w:r>
        <w:t xml:space="preserve">without adaptation, rainfed rice yields may decline ~2.5% (2050) to ~5% (2080), irrigated rice ~7% (2050) to ~10% (2080); wheat ~6–25% by 2100; maize ~18–23%; some gains for chickpea; each 1 °C rise in mean temperature could reduce wheat production by ~4–6 Mt if unadapted.</w:t>
      </w:r>
    </w:p>
    <w:p>
      <w:pPr>
        <w:pStyle w:val="BodyText"/>
      </w:pPr>
      <w:r>
        <w:rPr>
          <w:bCs/>
          <w:b/>
        </w:rPr>
        <w:t xml:space="preserve">Adaptation:</w:t>
      </w:r>
      <w:r>
        <w:t xml:space="preserve"> </w:t>
      </w:r>
      <w:r>
        <w:t xml:space="preserve">heat- and drought-tolerant varieties, adjusting sowing dates (early wheat sowing to escape terminal heat), conservation agriculture, efficient irrigation (micro-irrigation, AWD), crop diversification, weather-based agro-advisories, crop insurance (PMFBY), climate-resilient villages (NICRA), integrated farming systems, early warning.</w:t>
      </w:r>
      <w:r>
        <w:t xml:space="preserve"> </w:t>
      </w:r>
      <w:r>
        <w:rPr>
          <w:bCs/>
          <w:b/>
        </w:rPr>
        <w:t xml:space="preserve">Mitigation:</w:t>
      </w:r>
      <w:r>
        <w:t xml:space="preserve"> </w:t>
      </w:r>
      <w:r>
        <w:t xml:space="preserve">AWD and DSR in rice, nitrogen-use efficiency (neem-coated urea, SSNM), improved livestock feed, residue management, agroforestry, renewable energy for irrigation.</w:t>
      </w:r>
    </w:p>
    <w:p>
      <w:pPr>
        <w:pStyle w:val="Heading2"/>
      </w:pPr>
      <w:r>
        <w:t xml:space="preserve">34.5 Climate Projections</w:t>
      </w:r>
    </w:p>
    <w:p>
      <w:pPr>
        <w:pStyle w:val="FirstParagraph"/>
      </w:pPr>
      <w:r>
        <w:rPr>
          <w:bCs/>
          <w:b/>
        </w:rPr>
        <w:t xml:space="preserve">Climate models:</w:t>
      </w:r>
      <w:r>
        <w:t xml:space="preserve"> </w:t>
      </w:r>
      <w:r>
        <w:t xml:space="preserve">General Circulation Models / Earth System Models (GCMs/ESMs) solve the physical equations for atmosphere, ocean, land, sea ice, carbon cycle on 3-D grids (~100 km). Coordinated experiments:</w:t>
      </w:r>
      <w:r>
        <w:t xml:space="preserve"> </w:t>
      </w:r>
      <w:r>
        <w:rPr>
          <w:bCs/>
          <w:b/>
        </w:rPr>
        <w:t xml:space="preserve">CMIP5</w:t>
      </w:r>
      <w:r>
        <w:t xml:space="preserve"> </w:t>
      </w:r>
      <w:r>
        <w:t xml:space="preserve">(used in IPCC AR5) and</w:t>
      </w:r>
      <w:r>
        <w:t xml:space="preserve"> </w:t>
      </w:r>
      <w:r>
        <w:rPr>
          <w:bCs/>
          <w:b/>
        </w:rPr>
        <w:t xml:space="preserve">CMIP6</w:t>
      </w:r>
      <w:r>
        <w:t xml:space="preserve"> </w:t>
      </w:r>
      <w:r>
        <w:t xml:space="preserve">(IPCC AR6). Indian contribution:</w:t>
      </w:r>
      <w:r>
        <w:t xml:space="preserve"> </w:t>
      </w:r>
      <w:r>
        <w:rPr>
          <w:bCs/>
          <w:b/>
        </w:rPr>
        <w:t xml:space="preserve">IITM Earth System Model (IITM-ESM)</w:t>
      </w:r>
      <w:r>
        <w:t xml:space="preserve"> </w:t>
      </w:r>
      <w:r>
        <w:t xml:space="preserve">in CMIP6.</w:t>
      </w:r>
    </w:p>
    <w:p>
      <w:pPr>
        <w:pStyle w:val="BodyText"/>
      </w:pPr>
      <w:r>
        <w:rPr>
          <w:bCs/>
          <w:b/>
        </w:rPr>
        <w:t xml:space="preserve">Scenarios: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Framework</w:t>
            </w:r>
          </w:p>
        </w:tc>
        <w:tc>
          <w:tcPr/>
          <w:p>
            <w:pPr>
              <w:pStyle w:val="Compact"/>
              <w:jc w:val="left"/>
            </w:pPr>
            <w:r>
              <w:t xml:space="preserve">Scenarios</w:t>
            </w:r>
          </w:p>
        </w:tc>
        <w:tc>
          <w:tcPr/>
          <w:p>
            <w:pPr>
              <w:pStyle w:val="Compact"/>
              <w:jc w:val="left"/>
            </w:pPr>
            <w:r>
              <w:t xml:space="preserve">Meaning</w:t>
            </w:r>
          </w:p>
        </w:tc>
      </w:tr>
      <w:tr>
        <w:tc>
          <w:tcPr/>
          <w:p>
            <w:pPr>
              <w:pStyle w:val="Compact"/>
              <w:jc w:val="left"/>
            </w:pPr>
            <w:r>
              <w:rPr>
                <w:bCs/>
                <w:b/>
              </w:rPr>
              <w:t xml:space="preserve">RCPs</w:t>
            </w:r>
            <w:r>
              <w:t xml:space="preserve"> </w:t>
            </w:r>
            <w:r>
              <w:t xml:space="preserve">(Representative Concentration Pathways, AR5)</w:t>
            </w:r>
          </w:p>
        </w:tc>
        <w:tc>
          <w:tcPr/>
          <w:p>
            <w:pPr>
              <w:pStyle w:val="Compact"/>
              <w:jc w:val="left"/>
            </w:pPr>
            <w:r>
              <w:t xml:space="preserve">RCP2.6, 4.5, 6.0, 8.5</w:t>
            </w:r>
          </w:p>
        </w:tc>
        <w:tc>
          <w:tcPr/>
          <w:p>
            <w:pPr>
              <w:pStyle w:val="Compact"/>
              <w:jc w:val="left"/>
            </w:pPr>
            <w:r>
              <w:t xml:space="preserve">Named by radiative forcing (W m⁻²) in 2100</w:t>
            </w:r>
          </w:p>
        </w:tc>
      </w:tr>
      <w:tr>
        <w:tc>
          <w:tcPr/>
          <w:p>
            <w:pPr>
              <w:pStyle w:val="Compact"/>
              <w:jc w:val="left"/>
            </w:pPr>
            <w:r>
              <w:rPr>
                <w:bCs/>
                <w:b/>
              </w:rPr>
              <w:t xml:space="preserve">SSPs</w:t>
            </w:r>
            <w:r>
              <w:t xml:space="preserve"> </w:t>
            </w:r>
            <w:r>
              <w:t xml:space="preserve">(Shared Socioeconomic Pathways, AR6)</w:t>
            </w:r>
          </w:p>
        </w:tc>
        <w:tc>
          <w:tcPr/>
          <w:p>
            <w:pPr>
              <w:pStyle w:val="Compact"/>
              <w:jc w:val="left"/>
            </w:pPr>
            <w:r>
              <w:t xml:space="preserve">SSP1-1.9, SSP1-2.6, SSP2-4.5, SSP3-7.0, SSP5-8.5</w:t>
            </w:r>
          </w:p>
        </w:tc>
        <w:tc>
          <w:tcPr/>
          <w:p>
            <w:pPr>
              <w:pStyle w:val="Compact"/>
              <w:jc w:val="left"/>
            </w:pPr>
            <w:r>
              <w:t xml:space="preserve">Socio-economic narrative (SSP1 sustainability, SSP2 middle of the road, SSP3 regional rivalry, SSP4 inequality, SSP5 fossil-fuelled development) + forcing level</w:t>
            </w:r>
          </w:p>
        </w:tc>
      </w:tr>
    </w:tbl>
    <w:p>
      <w:pPr>
        <w:pStyle w:val="BodyText"/>
      </w:pPr>
      <w:r>
        <w:rPr>
          <w:bCs/>
          <w:b/>
        </w:rPr>
        <w:t xml:space="preserve">AR6 projections (global surface temperature, 2081–2100 vs. 1850–1900):</w:t>
      </w:r>
      <w:r>
        <w:t xml:space="preserve"> </w:t>
      </w:r>
      <w:r>
        <w:t xml:space="preserve">SSP1-1.9 ~1.4 °C (1.0–1.8); SSP1-2.6 ~1.8 °C; SSP2-4.5 ~2.7 °C; SSP3-7.0 ~3.6 °C; SSP5-8.5 ~4.4 °C (3.3–5.7).</w:t>
      </w:r>
      <w:r>
        <w:t xml:space="preserve"> </w:t>
      </w:r>
      <w:r>
        <w:rPr>
          <w:bCs/>
          <w:b/>
        </w:rPr>
        <w:t xml:space="preserve">1.5 °C likely to be reached in the early 2030s</w:t>
      </w:r>
      <w:r>
        <w:t xml:space="preserve"> </w:t>
      </w:r>
      <w:r>
        <w:t xml:space="preserve">under all scenarios (20-year mean). Every additional 0.5 °C increases the intensity and frequency of hot extremes, heavy rainfall and agricultural/ecological droughts.</w:t>
      </w:r>
    </w:p>
    <w:p>
      <w:pPr>
        <w:pStyle w:val="BodyText"/>
      </w:pPr>
      <w:r>
        <w:rPr>
          <w:bCs/>
          <w:b/>
        </w:rPr>
        <w:t xml:space="preserve">India (MoES 2020 assessment; CMIP projections):</w:t>
      </w:r>
      <w:r>
        <w:t xml:space="preserve"> </w:t>
      </w:r>
      <w:r>
        <w:t xml:space="preserve">average temperature rise ~</w:t>
      </w:r>
      <w:r>
        <w:rPr>
          <w:bCs/>
          <w:b/>
        </w:rPr>
        <w:t xml:space="preserve">4.4 °C by 2100 (RCP8.5)</w:t>
      </w:r>
      <w:r>
        <w:t xml:space="preserve"> </w:t>
      </w:r>
      <w:r>
        <w:t xml:space="preserve">relative to 1976–2005; heat-wave frequency 3–4 times higher; summer monsoon rainfall likely to increase in mean with greater interannual variability and more extremes; sea level rise ~30 cm by 2100 in North Indian Ocean (RCP4.5 scenario estimates vary).</w:t>
      </w:r>
    </w:p>
    <w:p>
      <w:pPr>
        <w:pStyle w:val="BodyText"/>
      </w:pPr>
      <w:r>
        <w:rPr>
          <w:bCs/>
          <w:b/>
        </w:rPr>
        <w:t xml:space="preserve">Downscaling</w:t>
      </w:r>
      <w:r>
        <w:t xml:space="preserve"> </w:t>
      </w:r>
      <w:r>
        <w:t xml:space="preserve">(to make GCM output useful for agriculture):</w:t>
      </w:r>
    </w:p>
    <w:p>
      <w:pPr>
        <w:pStyle w:val="Compact"/>
        <w:numPr>
          <w:ilvl w:val="0"/>
          <w:numId w:val="1265"/>
        </w:numPr>
      </w:pPr>
      <w:r>
        <w:rPr>
          <w:bCs/>
          <w:b/>
        </w:rPr>
        <w:t xml:space="preserve">Dynamical downscaling</w:t>
      </w:r>
      <w:r>
        <w:t xml:space="preserve"> </w:t>
      </w:r>
      <w:r>
        <w:t xml:space="preserve">— regional climate models (RCMs) nested in GCMs (e.g.,</w:t>
      </w:r>
      <w:r>
        <w:t xml:space="preserve"> </w:t>
      </w:r>
      <w:r>
        <w:rPr>
          <w:bCs/>
          <w:b/>
        </w:rPr>
        <w:t xml:space="preserve">CORDEX South Asia</w:t>
      </w:r>
      <w:r>
        <w:t xml:space="preserve"> </w:t>
      </w:r>
      <w:r>
        <w:t xml:space="preserve">at ~25–50 km; PRECIS, RegCM, WRF).</w:t>
      </w:r>
    </w:p>
    <w:p>
      <w:pPr>
        <w:pStyle w:val="Compact"/>
        <w:numPr>
          <w:ilvl w:val="0"/>
          <w:numId w:val="1265"/>
        </w:numPr>
      </w:pPr>
      <w:r>
        <w:rPr>
          <w:bCs/>
          <w:b/>
        </w:rPr>
        <w:t xml:space="preserve">Statistical downscaling</w:t>
      </w:r>
      <w:r>
        <w:t xml:space="preserve"> </w:t>
      </w:r>
      <w:r>
        <w:t xml:space="preserve">— empirical relationships between large-scale predictors and local variables (regression, weather generators, delta method, quantile mapping</w:t>
      </w:r>
      <w:r>
        <w:t xml:space="preserve"> </w:t>
      </w:r>
      <w:r>
        <w:rPr>
          <w:bCs/>
          <w:b/>
        </w:rPr>
        <w:t xml:space="preserve">bias correction</w:t>
      </w:r>
      <w:r>
        <w:t xml:space="preserve">).</w:t>
      </w:r>
    </w:p>
    <w:p>
      <w:pPr>
        <w:pStyle w:val="FirstParagraph"/>
      </w:pPr>
      <w:r>
        <w:rPr>
          <w:bCs/>
          <w:b/>
        </w:rPr>
        <w:t xml:space="preserve">Using projections in agriculture:</w:t>
      </w:r>
      <w:r>
        <w:t xml:space="preserve"> </w:t>
      </w:r>
      <w:r>
        <w:t xml:space="preserve">downscaled, bias-corrected climate drives crop simulation models (DSSAT, InfoCrop, APSIM) under scenario × time-slice (2020s, 2050s, 2080s) to estimate impacts and test adaptations; uncertainty comes from scenario, model (use multi-model ensembles) and internal variability.</w:t>
      </w:r>
    </w:p>
    <w:p>
      <w:pPr>
        <w:pStyle w:val="CaptionedFigure"/>
      </w:pPr>
      <w:r>
        <w:drawing>
          <wp:inline>
            <wp:extent cx="5334000" cy="3227070"/>
            <wp:effectExtent b="0" l="0" r="0" t="0"/>
            <wp:docPr descr="Assessing climate change impact on a crop" title="" id="117" name="Picture"/>
            <a:graphic>
              <a:graphicData uri="http://schemas.openxmlformats.org/drawingml/2006/picture">
                <pic:pic>
                  <pic:nvPicPr>
                    <pic:cNvPr descr="/tmp/claude-0/-home-user-sonu/ab07c29a-21cd-5a4a-9d2d-68ad72d07153/scratchpad/build/../flows/flow_025.png" id="118" name="Picture"/>
                    <pic:cNvPicPr>
                      <a:picLocks noChangeArrowheads="1" noChangeAspect="1"/>
                    </pic:cNvPicPr>
                  </pic:nvPicPr>
                  <pic:blipFill>
                    <a:blip r:embed="rId116"/>
                    <a:stretch>
                      <a:fillRect/>
                    </a:stretch>
                  </pic:blipFill>
                  <pic:spPr bwMode="auto">
                    <a:xfrm>
                      <a:off x="0" y="0"/>
                      <a:ext cx="5334000" cy="3227070"/>
                    </a:xfrm>
                    <a:prstGeom prst="rect">
                      <a:avLst/>
                    </a:prstGeom>
                    <a:noFill/>
                    <a:ln w="9525">
                      <a:noFill/>
                      <a:headEnd/>
                      <a:tailEnd/>
                    </a:ln>
                  </pic:spPr>
                </pic:pic>
              </a:graphicData>
            </a:graphic>
          </wp:inline>
        </w:drawing>
      </w:r>
    </w:p>
    <w:p>
      <w:pPr>
        <w:pStyle w:val="ImageCaption"/>
      </w:pPr>
      <w:r>
        <w:t xml:space="preserve">Assessing climate change impact on a crop</w:t>
      </w:r>
    </w:p>
    <w:p>
      <w:pPr>
        <w:pStyle w:val="Heading3"/>
      </w:pPr>
      <w:r>
        <w:t xml:space="preserve">34.5.1 Likely interview questions</w:t>
      </w:r>
    </w:p>
    <w:p>
      <w:pPr>
        <w:pStyle w:val="FirstParagraph"/>
      </w:pPr>
      <w:r>
        <w:rPr>
          <w:bCs/>
          <w:b/>
        </w:rPr>
        <w:t xml:space="preserve">Q. Explain methanogenesis in paddy soils and how AWD reduces it.</w:t>
      </w:r>
      <w:r>
        <w:t xml:space="preserve"> </w:t>
      </w:r>
      <w:r>
        <w:t xml:space="preserve">Anaerobic archaea convert acetate and CO₂/H₂ to CH₄ below Eh ≈ −150 mV; periodic drying re-oxidises the soil, raising Eh and favouring methanotrophs.</w:t>
      </w:r>
    </w:p>
    <w:p>
      <w:pPr>
        <w:pStyle w:val="BodyText"/>
      </w:pPr>
      <w:r>
        <w:rPr>
          <w:bCs/>
          <w:b/>
        </w:rPr>
        <w:t xml:space="preserve">Q. Under what conditions is N₂O emission highest?</w:t>
      </w:r>
      <w:r>
        <w:t xml:space="preserve"> </w:t>
      </w:r>
      <w:r>
        <w:t xml:space="preserve">High nitrate/ammonium, available C, 60–80% water-filled pore space (partial anaerobiosis), warm temperature, low pH.</w:t>
      </w:r>
    </w:p>
    <w:p>
      <w:pPr>
        <w:pStyle w:val="BodyText"/>
      </w:pPr>
      <w:r>
        <w:rPr>
          <w:bCs/>
          <w:b/>
        </w:rPr>
        <w:t xml:space="preserve">Q. What is GWP? Give values for CH₄ and N₂O.</w:t>
      </w:r>
      <w:r>
        <w:t xml:space="preserve"> </w:t>
      </w:r>
      <w:r>
        <w:t xml:space="preserve">Warming relative to CO₂ over 100 years: CH₄ ~28–30, N₂O ~265–273.</w:t>
      </w:r>
    </w:p>
    <w:p>
      <w:pPr>
        <w:pStyle w:val="BodyText"/>
      </w:pPr>
      <w:r>
        <w:rPr>
          <w:bCs/>
          <w:b/>
        </w:rPr>
        <w:t xml:space="preserve">Q. Differentiate RCPs and SSPs.</w:t>
      </w:r>
      <w:r>
        <w:t xml:space="preserve"> </w:t>
      </w:r>
      <w:r>
        <w:t xml:space="preserve">RCPs specify radiative forcing pathways; SSPs combine socio-economic narratives with forcing levels (e.g., SSP2-4.5).</w:t>
      </w:r>
    </w:p>
    <w:p>
      <w:pPr>
        <w:pStyle w:val="BodyText"/>
      </w:pPr>
      <w:r>
        <w:rPr>
          <w:bCs/>
          <w:b/>
        </w:rPr>
        <w:t xml:space="preserve">Q. Why do C₃ crops benefit more from elevated CO₂?</w:t>
      </w:r>
      <w:r>
        <w:t xml:space="preserve"> </w:t>
      </w:r>
      <w:r>
        <w:t xml:space="preserve">Higher CO₂ suppresses photorespiration and increases Rubisco carboxylation; C₄ crops already concentrate CO₂.</w:t>
      </w:r>
    </w:p>
    <w:p>
      <w:pPr>
        <w:pStyle w:val="BodyText"/>
      </w:pPr>
      <w:r>
        <w:rPr>
          <w:bCs/>
          <w:b/>
        </w:rPr>
        <w:t xml:space="preserve">Q. What is the</w:t>
      </w:r>
      <w:r>
        <w:rPr>
          <w:bCs/>
          <w:b/>
        </w:rPr>
        <w:t xml:space="preserve"> </w:t>
      </w:r>
      <w:r>
        <w:rPr>
          <w:bCs/>
          <w:b/>
        </w:rPr>
        <w:t xml:space="preserve">“</w:t>
      </w:r>
      <w:r>
        <w:rPr>
          <w:bCs/>
          <w:b/>
        </w:rPr>
        <w:t xml:space="preserve">4 per 1000</w:t>
      </w:r>
      <w:r>
        <w:rPr>
          <w:bCs/>
          <w:b/>
        </w:rPr>
        <w:t xml:space="preserve">”</w:t>
      </w:r>
      <w:r>
        <w:rPr>
          <w:bCs/>
          <w:b/>
        </w:rPr>
        <w:t xml:space="preserve"> </w:t>
      </w:r>
      <w:r>
        <w:rPr>
          <w:bCs/>
          <w:b/>
        </w:rPr>
        <w:t xml:space="preserve">initiative?</w:t>
      </w:r>
      <w:r>
        <w:t xml:space="preserve"> </w:t>
      </w:r>
      <w:r>
        <w:t xml:space="preserve">Raising soil carbon stocks by 0.4% per year to offset atmospheric CO₂ rise and improve food security.</w:t>
      </w:r>
    </w:p>
    <w:p>
      <w:pPr>
        <w:pStyle w:val="Heading2"/>
      </w:pPr>
      <w:r>
        <w:t xml:space="preserve">34.6 Coupling of Surface-Emitted Methane and Heat Fluxes; GHG Emission Monitoring from Agriculture</w:t>
      </w:r>
    </w:p>
    <w:p>
      <w:pPr>
        <w:pStyle w:val="FirstParagraph"/>
      </w:pPr>
      <w:r>
        <w:t xml:space="preserve">Agriculture (particularly flooded-rice cultivation and livestock) is a major anthropogenic methane (CH4) source; SAC’s agriculture-domain GHG research studies the</w:t>
      </w:r>
      <w:r>
        <w:t xml:space="preserve"> </w:t>
      </w:r>
      <w:r>
        <w:rPr>
          <w:bCs/>
          <w:b/>
        </w:rPr>
        <w:t xml:space="preserve">coupling between surface-emitted methane flux and sensible/latent heat flux</w:t>
      </w:r>
      <w:r>
        <w:t xml:space="preserve">, using the same eddy-covariance instrumentation framework described in the relevant chapter, now extended with a methane-sensing gas analyser (tunable-diode-laser or cavity-ring-down CH4 IRGA analogue, Chapter 1, Section 1.6) alongside the standard CO2/H2O IRGA, sonic anemometer and radiation/soil-flux sensors, allowing simultaneous eddy-covariance measurement of CH4 flux together with H and LE — the</w:t>
      </w:r>
      <w:r>
        <w:t xml:space="preserve"> </w:t>
      </w:r>
      <w:r>
        <w:t xml:space="preserve">“</w:t>
      </w:r>
      <w:r>
        <w:t xml:space="preserve">coupling</w:t>
      </w:r>
      <w:r>
        <w:t xml:space="preserve">”</w:t>
      </w:r>
      <w:r>
        <w:t xml:space="preserve"> </w:t>
      </w:r>
      <w:r>
        <w:t xml:space="preserve">framing reflects the physical reality that methanogenesis in flooded-rice soils is itself temperature- and moisture-regime-dependent (i.e., governed by the same soil-thermal and water-balance state that the heat/water-flux measurements characterise), so that a joint (coupled) flux-and-micrometeorological dataset is needed to develop process-based, remote-sensing-upscalable agricultural-methane-emission models, directly supporting India’s national greenhouse-gas-inventory agricultural-sector estimation and monitoring-reporting-verification (MRV) requirements under international climate reporting.</w:t>
      </w:r>
    </w:p>
    <w:p>
      <w:pPr>
        <w:pStyle w:val="Heading2"/>
      </w:pPr>
      <w:r>
        <w:t xml:space="preserve">34.7 Carbon Studies in Agro-Climatic Zones and the Fibre Crop Information System</w:t>
      </w:r>
    </w:p>
    <w:p>
      <w:pPr>
        <w:pStyle w:val="FirstParagraph"/>
      </w:pPr>
      <w:r>
        <w:rPr>
          <w:bCs/>
          <w:b/>
        </w:rPr>
        <w:t xml:space="preserve">Carbon studies across India’s agro-climatic zones</w:t>
      </w:r>
      <w:r>
        <w:t xml:space="preserve">, conducted under the National Carbon Project framework, extend the soil-organic-carbon mapping methodology zone-by-zone to characterise how carbon-sequestration potential and current stock/flux status vary with the distinct climate-soil-cropping-system combinations that define each of India’s agro-climatic zones, informing zone-specific carbon-management/sequestration-enhancement recommendations. The</w:t>
      </w:r>
      <w:r>
        <w:t xml:space="preserve"> </w:t>
      </w:r>
      <w:r>
        <w:rPr>
          <w:bCs/>
          <w:b/>
        </w:rPr>
        <w:t xml:space="preserve">Fibre Crop Information System</w:t>
      </w:r>
      <w:r>
        <w:t xml:space="preserve"> </w:t>
      </w:r>
      <w:r>
        <w:t xml:space="preserve">is a dedicated crop-specific monitoring information system (paralleling the food-grain-crop-focused FASAL architecture) for India’s major fibre crops (principally cotton, and jute), integrating the SAR-based (cotton, Chapter 6) and optical-based (jute, an early FASAL forecast-procedure crop, Chapter 6, Section 6.1) area/condition monitoring procedures into a dedicated fibre-crop-sector information product line, reflecting the sector-specific economic importance of cotton and jute to India’s textile-industry raw-material planning.</w:t>
      </w:r>
    </w:p>
    <w:p>
      <w:pPr>
        <w:pStyle w:val="Heading1"/>
      </w:pPr>
      <w:r>
        <w:t xml:space="preserve">Chapter 35. Terrestrial Carbon Cycle and Forest Carbon–Water Fluxes</w:t>
      </w:r>
    </w:p>
    <w:p>
      <w:pPr>
        <w:pStyle w:val="Heading2"/>
      </w:pPr>
      <w:r>
        <w:t xml:space="preserve">35.1 The Net Ecosystem Exchange Partitioning Equation</w:t>
      </w:r>
    </w:p>
    <w:p>
      <w:pPr>
        <w:pStyle w:val="FirstParagraph"/>
      </w:pPr>
      <w:r>
        <w:t xml:space="preserve">As introduced in Chapters 1 and 9, eddy-covariance-measured Net Ecosystem Exchange is formally:</w:t>
      </w:r>
    </w:p>
    <w:p>
      <w:pPr>
        <w:pStyle w:val="BodyText"/>
      </w:pPr>
      <w:r>
        <w:rPr>
          <w:bCs/>
          <w:b/>
        </w:rPr>
        <w:t xml:space="preserve">NEE = Reco − GPP</w:t>
      </w:r>
    </w:p>
    <w:p>
      <w:pPr>
        <w:pStyle w:val="BodyText"/>
      </w:pPr>
      <w:r>
        <w:t xml:space="preserve">(sign convention: NEE negative indicates the ecosystem is a net carbon</w:t>
      </w:r>
      <w:r>
        <w:t xml:space="preserve"> </w:t>
      </w:r>
      <w:r>
        <w:rPr>
          <w:bCs/>
          <w:b/>
        </w:rPr>
        <w:t xml:space="preserve">sink</w:t>
      </w:r>
      <w:r>
        <w:t xml:space="preserve">, absorbing more CO2 via photosynthesis than it releases via respiration; NEE positive indicates a net</w:t>
      </w:r>
      <w:r>
        <w:t xml:space="preserve"> </w:t>
      </w:r>
      <w:r>
        <w:rPr>
          <w:bCs/>
          <w:b/>
        </w:rPr>
        <w:t xml:space="preserve">source</w:t>
      </w:r>
      <w:r>
        <w:t xml:space="preserve">) — where GPP (Gross Primary Productivity, the total photosynthetic carbon fixation) and Reco (total ecosystem respiration — the sum of autotrophic/plant respiration and heterotrophic/microbial-decomposition respiration) cannot be independently measured by the eddy-covariance tower alone (which measures only their net difference, NEE), and must be statistically</w:t>
      </w:r>
      <w:r>
        <w:t xml:space="preserve"> </w:t>
      </w:r>
      <w:r>
        <w:rPr>
          <w:bCs/>
          <w:b/>
        </w:rPr>
        <w:t xml:space="preserve">partitioned</w:t>
      </w:r>
      <w:r>
        <w:t xml:space="preserve"> </w:t>
      </w:r>
      <w:r>
        <w:t xml:space="preserve">from the measured NEE time series.</w:t>
      </w:r>
    </w:p>
    <w:p>
      <w:pPr>
        <w:pStyle w:val="Heading2"/>
      </w:pPr>
      <w:r>
        <w:t xml:space="preserve">35.2 Partitioning Methods</w:t>
      </w:r>
    </w:p>
    <w:p>
      <w:pPr>
        <w:pStyle w:val="FirstParagraph"/>
      </w:pPr>
      <w:r>
        <w:rPr>
          <w:bCs/>
          <w:b/>
        </w:rPr>
        <w:t xml:space="preserve">Nighttime-based partitioning:</w:t>
      </w:r>
      <w:r>
        <w:t xml:space="preserve"> </w:t>
      </w:r>
      <w:r>
        <w:t xml:space="preserve">at night, photosynthesis is zero (no light), so nighttime NEE = Reco directly; nighttime Reco observations are related to nighttime air/soil temperature via a temperature-response function (commonly an</w:t>
      </w:r>
      <w:r>
        <w:t xml:space="preserve"> </w:t>
      </w:r>
      <w:r>
        <w:rPr>
          <w:bCs/>
          <w:b/>
        </w:rPr>
        <w:t xml:space="preserve">Arrhenius-type</w:t>
      </w:r>
      <w:r>
        <w:t xml:space="preserve"> </w:t>
      </w:r>
      <w:r>
        <w:t xml:space="preserve">or the simpler empirical</w:t>
      </w:r>
      <w:r>
        <w:t xml:space="preserve"> </w:t>
      </w:r>
      <w:r>
        <w:rPr>
          <w:bCs/>
          <w:b/>
        </w:rPr>
        <w:t xml:space="preserve">Q10 exponential model</w:t>
      </w:r>
      <w:r>
        <w:t xml:space="preserve">, Section 31.3 below), and this fitted temperature-response relationship is then extrapolated to daytime temperatures to estimate daytime Reco (which cannot be measured directly during daylight, since daytime NEE reflects the</w:t>
      </w:r>
      <w:r>
        <w:t xml:space="preserve"> </w:t>
      </w:r>
      <w:r>
        <w:rPr>
          <w:iCs/>
          <w:i/>
        </w:rPr>
        <w:t xml:space="preserve">net</w:t>
      </w:r>
      <w:r>
        <w:t xml:space="preserve"> </w:t>
      </w:r>
      <w:r>
        <w:t xml:space="preserve">of simultaneous photosynthesis and respiration); GPP is then obtained as the residual,</w:t>
      </w:r>
      <w:r>
        <w:t xml:space="preserve"> </w:t>
      </w:r>
      <w:r>
        <w:rPr>
          <w:bCs/>
          <w:b/>
        </w:rPr>
        <w:t xml:space="preserve">GPP = Reco(estimated) − NEE(measured)</w:t>
      </w:r>
      <w:r>
        <w:t xml:space="preserve">.</w:t>
      </w:r>
    </w:p>
    <w:p>
      <w:pPr>
        <w:pStyle w:val="BodyText"/>
      </w:pPr>
      <w:r>
        <w:rPr>
          <w:bCs/>
          <w:b/>
        </w:rPr>
        <w:t xml:space="preserve">Light-response-curve-based partitioning:</w:t>
      </w:r>
      <w:r>
        <w:t xml:space="preserve"> </w:t>
      </w:r>
      <w:r>
        <w:t xml:space="preserve">an alternative/complementary approach fits a</w:t>
      </w:r>
      <w:r>
        <w:t xml:space="preserve"> </w:t>
      </w:r>
      <w:r>
        <w:rPr>
          <w:bCs/>
          <w:b/>
        </w:rPr>
        <w:t xml:space="preserve">rectangular hyperbolic light-response function</w:t>
      </w:r>
      <w:r>
        <w:t xml:space="preserve"> </w:t>
      </w:r>
      <w:r>
        <w:t xml:space="preserve">to daytime NEE data as a function of incident PAR:</w:t>
      </w:r>
    </w:p>
    <w:p>
      <w:pPr>
        <w:pStyle w:val="BodyText"/>
      </w:pPr>
      <w:r>
        <w:t xml:space="preserve">NEE = −[(α × PAR × GPPmax)/(α × PAR + GPPmax)] + Reco</w:t>
      </w:r>
    </w:p>
    <w:p>
      <w:pPr>
        <w:pStyle w:val="BodyText"/>
      </w:pPr>
      <w:r>
        <w:t xml:space="preserve">where α is the initial slope (apparent quantum yield/photosynthetic efficiency at very low light) and GPPmax is the light-saturated maximum photosynthetic rate — simultaneously solving for the daytime Reco intercept and the GPP-PAR relationship parameters from the daytime data alone, providing an internal cross-check against the nighttime-extrapolation method’s Reco estimate.</w:t>
      </w:r>
    </w:p>
    <w:p>
      <w:pPr>
        <w:pStyle w:val="Heading2"/>
      </w:pPr>
      <w:r>
        <w:t xml:space="preserve">35.3 The Q10 Temperature-Sensitivity Model of Respiration</w:t>
      </w:r>
    </w:p>
    <w:p>
      <w:pPr>
        <w:pStyle w:val="FirstParagraph"/>
      </w:pPr>
      <w:r>
        <w:t xml:space="preserve">Ecosystem (and, at finer scale, soil) respiration’s temperature dependence is classically modelled by the</w:t>
      </w:r>
      <w:r>
        <w:t xml:space="preserve"> </w:t>
      </w:r>
      <w:r>
        <w:rPr>
          <w:bCs/>
          <w:b/>
        </w:rPr>
        <w:t xml:space="preserve">Q10 relationship</w:t>
      </w:r>
      <w:r>
        <w:t xml:space="preserve">:</w:t>
      </w:r>
    </w:p>
    <w:p>
      <w:pPr>
        <w:pStyle w:val="BodyText"/>
      </w:pPr>
      <w:r>
        <w:rPr>
          <w:bCs/>
          <w:b/>
        </w:rPr>
        <w:t xml:space="preserve">R(T) = R(Tref) × Q10</w:t>
      </w:r>
      <w:r>
        <w:t xml:space="preserve">[^1]</w:t>
      </w:r>
    </w:p>
    <w:p>
      <w:pPr>
        <w:pStyle w:val="BodyText"/>
      </w:pPr>
      <w:r>
        <w:t xml:space="preserve">where R(Tref) is the respiration rate at a chosen reference temperature (commonly 10°C or 15°C), and Q10 is the</w:t>
      </w:r>
      <w:r>
        <w:t xml:space="preserve"> </w:t>
      </w:r>
      <w:r>
        <w:t xml:space="preserve">“</w:t>
      </w:r>
      <w:r>
        <w:t xml:space="preserve">temperature-sensitivity coefficient</w:t>
      </w:r>
      <w:r>
        <w:t xml:space="preserve">”</w:t>
      </w:r>
      <w:r>
        <w:t xml:space="preserve"> </w:t>
      </w:r>
      <w:r>
        <w:t xml:space="preserve">— the factor by which respiration rate increases for every 10°C rise in temperature (a typical empirical Q10 for soil/ecosystem respiration is in the range 1.5–3, commonly taken as ≈2, meaning respiration roughly doubles for every 10°C warming) — the exponential form directly reflecting the underlying Arrhenius temperature-dependence of the enzymatic reaction rates governing both plant and microbial respiration. This same Q10 relationship, applied specifically to flooded-soil</w:t>
      </w:r>
      <w:r>
        <w:t xml:space="preserve"> </w:t>
      </w:r>
      <w:r>
        <w:rPr>
          <w:bCs/>
          <w:b/>
        </w:rPr>
        <w:t xml:space="preserve">methanogenesis</w:t>
      </w:r>
      <w:r>
        <w:t xml:space="preserve"> </w:t>
      </w:r>
      <w:r>
        <w:t xml:space="preserve">(rather than aerobic respiration), underlies the temperature-dependence component of the coupled methane-and-heat-flux studies introduced in the relevant chapter — methane production in flooded rice soils, like aerobic respiration, is strongly temperature-accelerated, which is precisely why that chapter emphasised that a joint micrometeorological (soil-temperature-informed) and flux (direct CH4-flux) measurement programme is needed to develop a genuinely process-based, remote-sensing-upscalable agricultural methane model, rather than relying on flux measurements alone without their governing temperature/moisture context.</w:t>
      </w:r>
    </w:p>
    <w:p>
      <w:pPr>
        <w:pStyle w:val="Heading2"/>
      </w:pPr>
      <w:r>
        <w:t xml:space="preserve">35.4 Forest Carbon and Water Fluxes: Integrating Towers, Satellites and Models</w:t>
      </w:r>
    </w:p>
    <w:p>
      <w:pPr>
        <w:pStyle w:val="FirstParagraph"/>
      </w:pPr>
      <w:r>
        <w:t xml:space="preserve">Forests take up CO₂ through photosynthesis and release it by respiration; when uptake exceeds release they are</w:t>
      </w:r>
      <w:r>
        <w:t xml:space="preserve"> </w:t>
      </w:r>
      <w:r>
        <w:rPr>
          <w:bCs/>
          <w:b/>
        </w:rPr>
        <w:t xml:space="preserve">carbon sinks</w:t>
      </w:r>
      <w:r>
        <w:t xml:space="preserve">. They also return water to the atmosphere through</w:t>
      </w:r>
      <w:r>
        <w:t xml:space="preserve"> </w:t>
      </w:r>
      <w:r>
        <w:rPr>
          <w:bCs/>
          <w:b/>
        </w:rPr>
        <w:t xml:space="preserve">evapotranspiration</w:t>
      </w:r>
      <w:r>
        <w:t xml:space="preserve">. Carbon and water are</w:t>
      </w:r>
      <w:r>
        <w:t xml:space="preserve"> </w:t>
      </w:r>
      <w:r>
        <w:rPr>
          <w:bCs/>
          <w:b/>
        </w:rPr>
        <w:t xml:space="preserve">coupled at the stomata</w:t>
      </w:r>
      <w:r>
        <w:t xml:space="preserve"> </w:t>
      </w:r>
      <w:r>
        <w:t xml:space="preserve">— opening stomata for CO₂ loses water; closing them under drought or high VPD reduces both. Advances in modelling these fluxes (e.g., IIRS research on Indian sal forests by Dr. T. Watham and colleagues under ISRO-GBP) come from</w:t>
      </w:r>
      <w:r>
        <w:t xml:space="preserve"> </w:t>
      </w:r>
      <w:r>
        <w:rPr>
          <w:bCs/>
          <w:b/>
        </w:rPr>
        <w:t xml:space="preserve">combining three information sources</w:t>
      </w:r>
      <w:r>
        <w:t xml:space="preserv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Strength</w:t>
            </w:r>
          </w:p>
        </w:tc>
        <w:tc>
          <w:tcPr/>
          <w:p>
            <w:pPr>
              <w:pStyle w:val="Compact"/>
              <w:jc w:val="left"/>
            </w:pPr>
            <w:r>
              <w:t xml:space="preserve">Weakness</w:t>
            </w:r>
          </w:p>
        </w:tc>
      </w:tr>
      <w:tr>
        <w:tc>
          <w:tcPr/>
          <w:p>
            <w:pPr>
              <w:pStyle w:val="Compact"/>
              <w:jc w:val="left"/>
            </w:pPr>
            <w:r>
              <w:rPr>
                <w:bCs/>
                <w:b/>
              </w:rPr>
              <w:t xml:space="preserve">In situ</w:t>
            </w:r>
            <w:r>
              <w:t xml:space="preserve"> </w:t>
            </w:r>
            <w:r>
              <w:t xml:space="preserve">(eddy-covariance towers, biometric plots, chambers, sap flow)</w:t>
            </w:r>
          </w:p>
        </w:tc>
        <w:tc>
          <w:tcPr/>
          <w:p>
            <w:pPr>
              <w:pStyle w:val="Compact"/>
              <w:jc w:val="left"/>
            </w:pPr>
            <w:r>
              <w:t xml:space="preserve">Most accurate, direct, half-hourly</w:t>
            </w:r>
          </w:p>
        </w:tc>
        <w:tc>
          <w:tcPr/>
          <w:p>
            <w:pPr>
              <w:pStyle w:val="Compact"/>
              <w:jc w:val="left"/>
            </w:pPr>
            <w:r>
              <w:t xml:space="preserve">Footprint ~1 km²; costly; gaps</w:t>
            </w:r>
          </w:p>
        </w:tc>
      </w:tr>
      <w:tr>
        <w:tc>
          <w:tcPr/>
          <w:p>
            <w:pPr>
              <w:pStyle w:val="Compact"/>
              <w:jc w:val="left"/>
            </w:pPr>
            <w:r>
              <w:rPr>
                <w:bCs/>
                <w:b/>
              </w:rPr>
              <w:t xml:space="preserve">Satellite</w:t>
            </w:r>
          </w:p>
        </w:tc>
        <w:tc>
          <w:tcPr/>
          <w:p>
            <w:pPr>
              <w:pStyle w:val="Compact"/>
              <w:jc w:val="left"/>
            </w:pPr>
            <w:r>
              <w:t xml:space="preserve">Regional–global, repetitive</w:t>
            </w:r>
          </w:p>
        </w:tc>
        <w:tc>
          <w:tcPr/>
          <w:p>
            <w:pPr>
              <w:pStyle w:val="Compact"/>
              <w:jc w:val="left"/>
            </w:pPr>
            <w:r>
              <w:t xml:space="preserve">Indirect proxies (greenness, temperature)</w:t>
            </w:r>
          </w:p>
        </w:tc>
      </w:tr>
      <w:tr>
        <w:tc>
          <w:tcPr/>
          <w:p>
            <w:pPr>
              <w:pStyle w:val="Compact"/>
              <w:jc w:val="left"/>
            </w:pPr>
            <w:r>
              <w:rPr>
                <w:bCs/>
                <w:b/>
              </w:rPr>
              <w:t xml:space="preserve">Models</w:t>
            </w:r>
            <w:r>
              <w:t xml:space="preserve"> </w:t>
            </w:r>
            <w:r>
              <w:t xml:space="preserve">(LUE, process-based, ML)</w:t>
            </w:r>
          </w:p>
        </w:tc>
        <w:tc>
          <w:tcPr/>
          <w:p>
            <w:pPr>
              <w:pStyle w:val="Compact"/>
              <w:jc w:val="left"/>
            </w:pPr>
            <w:r>
              <w:t xml:space="preserve">Fill gaps, extrapolate, predict</w:t>
            </w:r>
          </w:p>
        </w:tc>
        <w:tc>
          <w:tcPr/>
          <w:p>
            <w:pPr>
              <w:pStyle w:val="Compact"/>
              <w:jc w:val="left"/>
            </w:pPr>
            <w:r>
              <w:t xml:space="preserve">Depend on parameters and inputs</w:t>
            </w:r>
          </w:p>
        </w:tc>
      </w:tr>
    </w:tbl>
    <w:p>
      <w:pPr>
        <w:pStyle w:val="BodyText"/>
      </w:pPr>
      <w:r>
        <w:t xml:space="preserve">Towers</w:t>
      </w:r>
      <w:r>
        <w:t xml:space="preserve"> </w:t>
      </w:r>
      <w:r>
        <w:rPr>
          <w:bCs/>
          <w:b/>
        </w:rPr>
        <w:t xml:space="preserve">calibrate and validate</w:t>
      </w:r>
      <w:r>
        <w:t xml:space="preserve"> </w:t>
      </w:r>
      <w:r>
        <w:t xml:space="preserve">satellite-driven models; models</w:t>
      </w:r>
      <w:r>
        <w:t xml:space="preserve"> </w:t>
      </w:r>
      <w:r>
        <w:rPr>
          <w:bCs/>
          <w:b/>
        </w:rPr>
        <w:t xml:space="preserve">scale</w:t>
      </w:r>
      <w:r>
        <w:t xml:space="preserve"> </w:t>
      </w:r>
      <w:r>
        <w:t xml:space="preserve">tower knowledge to regions.</w:t>
      </w:r>
    </w:p>
    <w:p>
      <w:pPr>
        <w:pStyle w:val="Heading3"/>
      </w:pPr>
      <w:r>
        <w:t xml:space="preserve">35.4.1 Flux vocabulary and sign conventions (complementing the NEE partitioning equations)</w:t>
      </w:r>
    </w:p>
    <w:p>
      <w:pPr>
        <w:pStyle w:val="Compact"/>
        <w:numPr>
          <w:ilvl w:val="0"/>
          <w:numId w:val="1266"/>
        </w:numPr>
      </w:pPr>
      <w:r>
        <w:rPr>
          <w:bCs/>
          <w:b/>
        </w:rPr>
        <w:t xml:space="preserve">GPP</w:t>
      </w:r>
      <w:r>
        <w:t xml:space="preserve"> </w:t>
      </w:r>
      <w:r>
        <w:t xml:space="preserve">(gross photosynthesis);</w:t>
      </w:r>
      <w:r>
        <w:t xml:space="preserve"> </w:t>
      </w:r>
      <w:r>
        <w:rPr>
          <w:bCs/>
          <w:b/>
        </w:rPr>
        <w:t xml:space="preserve">Ra</w:t>
      </w:r>
      <w:r>
        <w:t xml:space="preserve"> </w:t>
      </w:r>
      <w:r>
        <w:t xml:space="preserve">(autotrophic respiration);</w:t>
      </w:r>
      <w:r>
        <w:t xml:space="preserve"> </w:t>
      </w:r>
      <w:r>
        <w:rPr>
          <w:bCs/>
          <w:b/>
        </w:rPr>
        <w:t xml:space="preserve">Rh</w:t>
      </w:r>
      <w:r>
        <w:t xml:space="preserve"> </w:t>
      </w:r>
      <w:r>
        <w:t xml:space="preserve">(heterotrophic);</w:t>
      </w:r>
      <w:r>
        <w:t xml:space="preserve"> </w:t>
      </w:r>
      <w:r>
        <w:rPr>
          <w:bCs/>
          <w:b/>
        </w:rPr>
        <w:t xml:space="preserve">Reco = Ra + Rh</w:t>
      </w:r>
      <w:r>
        <w:t xml:space="preserve">;</w:t>
      </w:r>
      <w:r>
        <w:t xml:space="preserve"> </w:t>
      </w:r>
      <w:r>
        <w:rPr>
          <w:bCs/>
          <w:b/>
        </w:rPr>
        <w:t xml:space="preserve">NPP = GPP − Ra</w:t>
      </w:r>
      <w:r>
        <w:t xml:space="preserve">;</w:t>
      </w:r>
      <w:r>
        <w:t xml:space="preserve"> </w:t>
      </w:r>
      <w:r>
        <w:rPr>
          <w:bCs/>
          <w:b/>
        </w:rPr>
        <w:t xml:space="preserve">NEP = GPP − Reco = NPP − Rh</w:t>
      </w:r>
      <w:r>
        <w:t xml:space="preserve">;</w:t>
      </w:r>
      <w:r>
        <w:t xml:space="preserve"> </w:t>
      </w:r>
      <w:r>
        <w:rPr>
          <w:bCs/>
          <w:b/>
        </w:rPr>
        <w:t xml:space="preserve">NEE = Reco − GPP = −NEP</w:t>
      </w:r>
      <w:r>
        <w:t xml:space="preserve"> </w:t>
      </w:r>
      <w:r>
        <w:t xml:space="preserve">(micrometeorological convention:</w:t>
      </w:r>
      <w:r>
        <w:t xml:space="preserve"> </w:t>
      </w:r>
      <w:r>
        <w:rPr>
          <w:bCs/>
          <w:b/>
        </w:rPr>
        <w:t xml:space="preserve">negative = uptake</w:t>
      </w:r>
      <w:r>
        <w:t xml:space="preserve">);</w:t>
      </w:r>
      <w:r>
        <w:t xml:space="preserve"> </w:t>
      </w:r>
      <w:r>
        <w:rPr>
          <w:bCs/>
          <w:b/>
        </w:rPr>
        <w:t xml:space="preserve">NBP</w:t>
      </w:r>
      <w:r>
        <w:t xml:space="preserve"> </w:t>
      </w:r>
      <w:r>
        <w:t xml:space="preserve">= NEP − disturbance losses (fire, harvest).</w:t>
      </w:r>
    </w:p>
    <w:p>
      <w:pPr>
        <w:pStyle w:val="Compact"/>
        <w:numPr>
          <w:ilvl w:val="0"/>
          <w:numId w:val="1266"/>
        </w:numPr>
      </w:pPr>
      <w:r>
        <w:t xml:space="preserve">Water: ET = E + T (+ interception);</w:t>
      </w:r>
      <w:r>
        <w:t xml:space="preserve"> </w:t>
      </w:r>
      <w:r>
        <w:rPr>
          <w:bCs/>
          <w:b/>
        </w:rPr>
        <w:t xml:space="preserve">ecosystem WUE = GPP/ET</w:t>
      </w:r>
      <w:r>
        <w:t xml:space="preserve">; inherent WUE = GPP·VPD/ET.</w:t>
      </w:r>
    </w:p>
    <w:p>
      <w:pPr>
        <w:pStyle w:val="Compact"/>
        <w:numPr>
          <w:ilvl w:val="0"/>
          <w:numId w:val="1266"/>
        </w:numPr>
      </w:pPr>
      <w:r>
        <w:rPr>
          <w:bCs/>
          <w:b/>
        </w:rPr>
        <w:t xml:space="preserve">Conversions:</w:t>
      </w:r>
      <w:r>
        <w:t xml:space="preserve"> </w:t>
      </w:r>
      <w:r>
        <w:t xml:space="preserve">1 µmol CO₂ m⁻² s⁻¹ ≈ 1.04 g C m⁻² day⁻¹; 1 g C m⁻² yr⁻¹ = 0.01 t C ha⁻¹ yr⁻¹; CO₂ = C × 44/12; biomass carbon ≈ 0.47–0.50 × dry biomass; 1 mm day⁻¹ ET ≈ 28.4 W m⁻².</w:t>
      </w:r>
    </w:p>
    <w:p>
      <w:pPr>
        <w:pStyle w:val="Heading3"/>
      </w:pPr>
      <w:r>
        <w:t xml:space="preserve">35.4.2 Processing tower data into GPP and ET</w:t>
      </w:r>
    </w:p>
    <w:p>
      <w:pPr>
        <w:pStyle w:val="FirstParagraph"/>
      </w:pPr>
      <w:r>
        <w:t xml:space="preserve">After EC corrections (rotation, WPL, spectral, storage), fluxes undergo:</w:t>
      </w:r>
      <w:r>
        <w:t xml:space="preserve"> </w:t>
      </w:r>
      <w:r>
        <w:rPr>
          <w:bCs/>
          <w:b/>
        </w:rPr>
        <w:t xml:space="preserve">u* filtering</w:t>
      </w:r>
      <w:r>
        <w:t xml:space="preserve"> </w:t>
      </w:r>
      <w:r>
        <w:t xml:space="preserve">(reject calm-night data),</w:t>
      </w:r>
      <w:r>
        <w:t xml:space="preserve"> </w:t>
      </w:r>
      <w:r>
        <w:rPr>
          <w:bCs/>
          <w:b/>
        </w:rPr>
        <w:t xml:space="preserve">gap filling</w:t>
      </w:r>
      <w:r>
        <w:t xml:space="preserve"> </w:t>
      </w:r>
      <w:r>
        <w:t xml:space="preserve">(marginal distribution sampling, look-up tables, ANN/random forest),</w:t>
      </w:r>
      <w:r>
        <w:t xml:space="preserve"> </w:t>
      </w:r>
      <w:r>
        <w:rPr>
          <w:bCs/>
          <w:b/>
        </w:rPr>
        <w:t xml:space="preserve">partitioning</w:t>
      </w:r>
      <w:r>
        <w:t xml:space="preserve"> </w:t>
      </w:r>
      <w:r>
        <w:t xml:space="preserve">— night-time method: fit</w:t>
      </w:r>
      <w:r>
        <w:t xml:space="preserve"> </w:t>
      </w:r>
      <m:oMath>
        <m:sSub>
          <m:e>
            <m:r>
              <m:t>R</m:t>
            </m:r>
          </m:e>
          <m:sub>
            <m:r>
              <m:t>e</m:t>
            </m:r>
            <m:r>
              <m:t>c</m:t>
            </m:r>
            <m:r>
              <m:t>o</m:t>
            </m:r>
          </m:sub>
        </m:sSub>
        <m:r>
          <m:rPr>
            <m:sty m:val="p"/>
          </m:rPr>
          <m:t>=</m:t>
        </m:r>
        <m:sSub>
          <m:e>
            <m:r>
              <m:t>R</m:t>
            </m:r>
          </m:e>
          <m:sub>
            <m:r>
              <m:t>r</m:t>
            </m:r>
            <m:r>
              <m:t>e</m:t>
            </m:r>
            <m:r>
              <m:t>f</m:t>
            </m:r>
          </m:sub>
        </m:sSub>
        <m:r>
          <m:rPr>
            <m:sty m:val="p"/>
          </m:rPr>
          <m:t>exp</m:t>
        </m:r>
        <m:r>
          <m:t>​</m:t>
        </m:r>
        <m:d>
          <m:dPr>
            <m:begChr m:val="["/>
            <m:endChr m:val="]"/>
            <m:sepChr m:val=""/>
            <m:grow/>
          </m:dPr>
          <m:e>
            <m:sSub>
              <m:e>
                <m:r>
                  <m:t>E</m:t>
                </m:r>
              </m:e>
              <m:sub>
                <m:r>
                  <m:t>0</m:t>
                </m:r>
              </m:sub>
            </m:sSub>
            <m:d>
              <m:dPr>
                <m:begChr m:val="("/>
                <m:endChr m:val=")"/>
                <m:sepChr m:val=""/>
                <m:grow/>
              </m:dPr>
              <m:e>
                <m:f>
                  <m:fPr>
                    <m:type m:val="bar"/>
                  </m:fPr>
                  <m:num>
                    <m:r>
                      <m:t>1</m:t>
                    </m:r>
                  </m:num>
                  <m:den>
                    <m:sSub>
                      <m:e>
                        <m:r>
                          <m:t>T</m:t>
                        </m:r>
                      </m:e>
                      <m:sub>
                        <m:r>
                          <m:t>r</m:t>
                        </m:r>
                        <m:r>
                          <m:t>e</m:t>
                        </m:r>
                        <m:r>
                          <m:t>f</m:t>
                        </m:r>
                      </m:sub>
                    </m:sSub>
                    <m:r>
                      <m:rPr>
                        <m:sty m:val="p"/>
                      </m:rPr>
                      <m:t>−</m:t>
                    </m:r>
                    <m:sSub>
                      <m:e>
                        <m:r>
                          <m:t>T</m:t>
                        </m:r>
                      </m:e>
                      <m:sub>
                        <m:r>
                          <m:t>0</m:t>
                        </m:r>
                      </m:sub>
                    </m:sSub>
                  </m:den>
                </m:f>
                <m:r>
                  <m:rPr>
                    <m:sty m:val="p"/>
                  </m:rPr>
                  <m:t>−</m:t>
                </m:r>
                <m:f>
                  <m:fPr>
                    <m:type m:val="bar"/>
                  </m:fPr>
                  <m:num>
                    <m:r>
                      <m:t>1</m:t>
                    </m:r>
                  </m:num>
                  <m:den>
                    <m:r>
                      <m:t>T</m:t>
                    </m:r>
                    <m:r>
                      <m:rPr>
                        <m:sty m:val="p"/>
                      </m:rPr>
                      <m:t>−</m:t>
                    </m:r>
                    <m:sSub>
                      <m:e>
                        <m:r>
                          <m:t>T</m:t>
                        </m:r>
                      </m:e>
                      <m:sub>
                        <m:r>
                          <m:t>0</m:t>
                        </m:r>
                      </m:sub>
                    </m:sSub>
                  </m:den>
                </m:f>
              </m:e>
            </m:d>
          </m:e>
        </m:d>
      </m:oMath>
      <w:r>
        <w:t xml:space="preserve"> </w:t>
      </w:r>
      <w:r>
        <w:t xml:space="preserve">(Lloyd–Taylor) or</w:t>
      </w:r>
      <w:r>
        <w:t xml:space="preserve"> </w:t>
      </w:r>
      <m:oMath>
        <m:r>
          <m:t>R</m:t>
        </m:r>
        <m:r>
          <m:rPr>
            <m:sty m:val="p"/>
          </m:rPr>
          <m:t>=</m:t>
        </m:r>
        <m:sSub>
          <m:e>
            <m:r>
              <m:t>R</m:t>
            </m:r>
          </m:e>
          <m:sub>
            <m:r>
              <m:t>10</m:t>
            </m:r>
          </m:sub>
        </m:sSub>
        <m:sSubSup>
          <m:e>
            <m:r>
              <m:t>Q</m:t>
            </m:r>
          </m:e>
          <m:sub>
            <m:r>
              <m:t>10</m:t>
            </m:r>
          </m:sub>
          <m:sup>
            <m:d>
              <m:dPr>
                <m:begChr m:val="("/>
                <m:endChr m:val=")"/>
                <m:sepChr m:val=""/>
                <m:grow/>
              </m:dPr>
              <m:e>
                <m:r>
                  <m:t>T</m:t>
                </m:r>
                <m:r>
                  <m:rPr>
                    <m:sty m:val="p"/>
                  </m:rPr>
                  <m:t>−</m:t>
                </m:r>
                <m:r>
                  <m:t>10</m:t>
                </m:r>
              </m:e>
            </m:d>
            <m:r>
              <m:rPr>
                <m:sty m:val="p"/>
              </m:rPr>
              <m:t>/</m:t>
            </m:r>
            <m:r>
              <m:t>10</m:t>
            </m:r>
          </m:sup>
        </m:sSubSup>
      </m:oMath>
      <w:r>
        <w:t xml:space="preserve"> </w:t>
      </w:r>
      <w:r>
        <w:t xml:space="preserve">to night NEE, extrapolate to day,</w:t>
      </w:r>
      <w:r>
        <w:t xml:space="preserve"> </w:t>
      </w:r>
      <m:oMath>
        <m:r>
          <m:t>G</m:t>
        </m:r>
        <m:r>
          <m:t>P</m:t>
        </m:r>
        <m:r>
          <m:t>P</m:t>
        </m:r>
        <m:r>
          <m:rPr>
            <m:sty m:val="p"/>
          </m:rPr>
          <m:t>=</m:t>
        </m:r>
        <m:sSub>
          <m:e>
            <m:r>
              <m:t>R</m:t>
            </m:r>
          </m:e>
          <m:sub>
            <m:r>
              <m:t>e</m:t>
            </m:r>
            <m:r>
              <m:t>c</m:t>
            </m:r>
            <m:r>
              <m:t>o</m:t>
            </m:r>
          </m:sub>
        </m:sSub>
        <m:r>
          <m:rPr>
            <m:sty m:val="p"/>
          </m:rPr>
          <m:t>−</m:t>
        </m:r>
        <m:r>
          <m:t>N</m:t>
        </m:r>
        <m:r>
          <m:t>E</m:t>
        </m:r>
        <m:r>
          <m:t>E</m:t>
        </m:r>
      </m:oMath>
      <w:r>
        <w:t xml:space="preserve">; daytime method: light-response curve</w:t>
      </w:r>
    </w:p>
    <w:p>
      <w:pPr>
        <w:pStyle w:val="BodyText"/>
      </w:pPr>
      <m:oMathPara>
        <m:oMathParaPr>
          <m:jc m:val="center"/>
        </m:oMathParaPr>
        <m:oMath>
          <m:r>
            <m:t>N</m:t>
          </m:r>
          <m:r>
            <m:t>E</m:t>
          </m:r>
          <m:r>
            <m:t>E</m:t>
          </m:r>
          <m:r>
            <m:rPr>
              <m:sty m:val="p"/>
            </m:rPr>
            <m:t>=</m:t>
          </m:r>
          <m:r>
            <m:rPr>
              <m:sty m:val="p"/>
            </m:rPr>
            <m:t>−</m:t>
          </m:r>
          <m:f>
            <m:fPr>
              <m:type m:val="bar"/>
            </m:fPr>
            <m:num>
              <m:r>
                <m:t>α</m:t>
              </m:r>
              <m:r>
                <m:t>β</m:t>
              </m:r>
              <m:r>
                <m:t> </m:t>
              </m:r>
              <m:r>
                <m:t>P</m:t>
              </m:r>
              <m:r>
                <m:t>A</m:t>
              </m:r>
              <m:r>
                <m:t>R</m:t>
              </m:r>
            </m:num>
            <m:den>
              <m:r>
                <m:t>α</m:t>
              </m:r>
              <m:r>
                <m:t>P</m:t>
              </m:r>
              <m:r>
                <m:t>A</m:t>
              </m:r>
              <m:r>
                <m:t>R</m:t>
              </m:r>
              <m:r>
                <m:rPr>
                  <m:sty m:val="p"/>
                </m:rPr>
                <m:t>+</m:t>
              </m:r>
              <m:r>
                <m:t>β</m:t>
              </m:r>
            </m:den>
          </m:f>
          <m:r>
            <m:rPr>
              <m:sty m:val="p"/>
            </m:rPr>
            <m:t>+</m:t>
          </m:r>
          <m:r>
            <m:t>γ</m:t>
          </m:r>
          <m:r>
            <m:t>  </m:t>
          </m:r>
          <m:d>
            <m:dPr>
              <m:begChr m:val="("/>
              <m:endChr m:val=")"/>
              <m:sepChr m:val=""/>
              <m:grow/>
            </m:dPr>
            <m:e>
              <m:r>
                <m:t>α</m:t>
              </m:r>
              <m:r>
                <m:rPr>
                  <m:nor/>
                  <m:sty m:val="p"/>
                </m:rPr>
                <m:t> quantum yield</m:t>
              </m:r>
              <m:r>
                <m:rPr>
                  <m:sty m:val="p"/>
                </m:rPr>
                <m:t>,</m:t>
              </m:r>
              <m:r>
                <m:t> </m:t>
              </m:r>
              <m:r>
                <m:t>β</m:t>
              </m:r>
              <m:r>
                <m:rPr>
                  <m:nor/>
                  <m:sty m:val="p"/>
                </m:rPr>
                <m:t> max uptake</m:t>
              </m:r>
              <m:r>
                <m:rPr>
                  <m:sty m:val="p"/>
                </m:rPr>
                <m:t>,</m:t>
              </m:r>
              <m:r>
                <m:t> </m:t>
              </m:r>
              <m:r>
                <m:t>γ</m:t>
              </m:r>
              <m:r>
                <m:rPr>
                  <m:nor/>
                  <m:sty m:val="p"/>
                </m:rPr>
                <m:t> respiration</m:t>
              </m:r>
            </m:e>
          </m:d>
        </m:oMath>
      </m:oMathPara>
    </w:p>
    <w:p>
      <w:pPr>
        <w:pStyle w:val="FirstParagraph"/>
      </w:pPr>
      <w:r>
        <w:t xml:space="preserve">— and</w:t>
      </w:r>
      <w:r>
        <w:t xml:space="preserve"> </w:t>
      </w:r>
      <w:r>
        <w:rPr>
          <w:bCs/>
          <w:b/>
        </w:rPr>
        <w:t xml:space="preserve">energy balance closure</w:t>
      </w:r>
      <w:r>
        <w:t xml:space="preserve"> </w:t>
      </w:r>
      <w:r>
        <w:t xml:space="preserve">checks.</w:t>
      </w:r>
    </w:p>
    <w:p>
      <w:pPr>
        <w:pStyle w:val="Heading3"/>
      </w:pPr>
      <w:r>
        <w:t xml:space="preserve">35.4.3 Satellite light-use-efficiency models of GPP</w:t>
      </w:r>
    </w:p>
    <w:p>
      <w:pPr>
        <w:pStyle w:val="FirstParagraph"/>
      </w:pPr>
      <w:r>
        <w:t xml:space="preserve">General form:</w:t>
      </w:r>
      <w:r>
        <w:t xml:space="preserve"> </w:t>
      </w:r>
      <m:oMath>
        <m:r>
          <m:t>G</m:t>
        </m:r>
        <m:r>
          <m:t>P</m:t>
        </m:r>
        <m:r>
          <m:t>P</m:t>
        </m:r>
        <m:r>
          <m:rPr>
            <m:sty m:val="p"/>
          </m:rPr>
          <m:t>=</m:t>
        </m:r>
        <m:sSub>
          <m:e>
            <m:r>
              <m:t>ε</m:t>
            </m:r>
          </m:e>
          <m:sub>
            <m:r>
              <m:t>m</m:t>
            </m:r>
            <m:r>
              <m:t>a</m:t>
            </m:r>
            <m:r>
              <m:t>x</m:t>
            </m:r>
          </m:sub>
        </m:sSub>
        <m:r>
          <m:rPr>
            <m:sty m:val="p"/>
          </m:rPr>
          <m:t>×</m:t>
        </m:r>
        <m:r>
          <m:t>f</m:t>
        </m:r>
        <m:d>
          <m:dPr>
            <m:begChr m:val="("/>
            <m:endChr m:val=")"/>
            <m:sepChr m:val=""/>
            <m:grow/>
          </m:dPr>
          <m:e>
            <m:r>
              <m:t>T</m:t>
            </m:r>
          </m:e>
        </m:d>
        <m:r>
          <m:rPr>
            <m:sty m:val="p"/>
          </m:rPr>
          <m:t>×</m:t>
        </m:r>
        <m:r>
          <m:t>f</m:t>
        </m:r>
        <m:d>
          <m:dPr>
            <m:begChr m:val="("/>
            <m:endChr m:val=")"/>
            <m:sepChr m:val=""/>
            <m:grow/>
          </m:dPr>
          <m:e>
            <m:r>
              <m:t>W</m:t>
            </m:r>
          </m:e>
        </m:d>
        <m:r>
          <m:rPr>
            <m:sty m:val="p"/>
          </m:rPr>
          <m:t>×</m:t>
        </m:r>
        <m:sSub>
          <m:e>
            <m:r>
              <m:t>f</m:t>
            </m:r>
          </m:e>
          <m:sub>
            <m:r>
              <m:t>A</m:t>
            </m:r>
            <m:r>
              <m:t>P</m:t>
            </m:r>
            <m:r>
              <m:t>A</m:t>
            </m:r>
            <m:r>
              <m:t>R</m:t>
            </m:r>
          </m:sub>
        </m:sSub>
        <m:r>
          <m:rPr>
            <m:sty m:val="p"/>
          </m:rPr>
          <m:t>×</m:t>
        </m:r>
        <m:r>
          <m:t>P</m:t>
        </m:r>
        <m:r>
          <m:t>A</m:t>
        </m:r>
        <m:r>
          <m:t>R</m:t>
        </m:r>
      </m:oMath>
      <w:r>
        <w:t xml:space="preserve">.</w:t>
      </w:r>
    </w:p>
    <w:p>
      <w:pPr>
        <w:pStyle w:val="BodyText"/>
      </w:pPr>
      <w:r>
        <w:rPr>
          <w:bCs/>
          <w:b/>
        </w:rPr>
        <w:t xml:space="preserve">MODIS MOD17 (GPP/NPP, 500 m, 8-day):</w:t>
      </w:r>
    </w:p>
    <w:p>
      <w:pPr>
        <w:pStyle w:val="BodyText"/>
      </w:pPr>
      <m:oMathPara>
        <m:oMathParaPr>
          <m:jc m:val="center"/>
        </m:oMathParaPr>
        <m:oMath>
          <m:r>
            <m:t>G</m:t>
          </m:r>
          <m:r>
            <m:t>P</m:t>
          </m:r>
          <m:r>
            <m:t>P</m:t>
          </m:r>
          <m:r>
            <m:rPr>
              <m:sty m:val="p"/>
            </m:rPr>
            <m:t>=</m:t>
          </m:r>
          <m:sSub>
            <m:e>
              <m:r>
                <m:t>ε</m:t>
              </m:r>
            </m:e>
            <m:sub>
              <m:r>
                <m:t>m</m:t>
              </m:r>
              <m:r>
                <m:t>a</m:t>
              </m:r>
              <m:r>
                <m:t>x</m:t>
              </m:r>
            </m:sub>
          </m:sSub>
          <m:r>
            <m:rPr>
              <m:sty m:val="p"/>
            </m:rPr>
            <m:t>×</m:t>
          </m:r>
          <m:r>
            <m:t>f</m:t>
          </m:r>
          <m:d>
            <m:dPr>
              <m:begChr m:val="("/>
              <m:endChr m:val=")"/>
              <m:sepChr m:val=""/>
              <m:grow/>
            </m:dPr>
            <m:e>
              <m:sSub>
                <m:e>
                  <m:r>
                    <m:t>T</m:t>
                  </m:r>
                </m:e>
                <m:sub>
                  <m:r>
                    <m:t>m</m:t>
                  </m:r>
                  <m:r>
                    <m:t>i</m:t>
                  </m:r>
                  <m:r>
                    <m:t>n</m:t>
                  </m:r>
                </m:sub>
              </m:sSub>
            </m:e>
          </m:d>
          <m:r>
            <m:rPr>
              <m:sty m:val="p"/>
            </m:rPr>
            <m:t>×</m:t>
          </m:r>
          <m:r>
            <m:t>f</m:t>
          </m:r>
          <m:d>
            <m:dPr>
              <m:begChr m:val="("/>
              <m:endChr m:val=")"/>
              <m:sepChr m:val=""/>
              <m:grow/>
            </m:dPr>
            <m:e>
              <m:r>
                <m:t>V</m:t>
              </m:r>
              <m:r>
                <m:t>P</m:t>
              </m:r>
              <m:r>
                <m:t>D</m:t>
              </m:r>
            </m:e>
          </m:d>
          <m:r>
            <m:rPr>
              <m:sty m:val="p"/>
            </m:rPr>
            <m:t>×</m:t>
          </m:r>
          <m:r>
            <m:t>F</m:t>
          </m:r>
          <m:r>
            <m:t>P</m:t>
          </m:r>
          <m:r>
            <m:t>A</m:t>
          </m:r>
          <m:r>
            <m:t>R</m:t>
          </m:r>
          <m:r>
            <m:rPr>
              <m:sty m:val="p"/>
            </m:rPr>
            <m:t>×</m:t>
          </m:r>
          <m:d>
            <m:dPr>
              <m:begChr m:val="("/>
              <m:endChr m:val=")"/>
              <m:sepChr m:val=""/>
              <m:grow/>
            </m:dPr>
            <m:e>
              <m:r>
                <m:t>0.45</m:t>
              </m:r>
              <m:r>
                <m:t> </m:t>
              </m:r>
              <m:r>
                <m:t>S</m:t>
              </m:r>
              <m:sSub>
                <m:e>
                  <m:r>
                    <m:t>W</m:t>
                  </m:r>
                </m:e>
                <m:sub>
                  <m:r>
                    <m:t>r</m:t>
                  </m:r>
                  <m:r>
                    <m:t>a</m:t>
                  </m:r>
                  <m:r>
                    <m:t>d</m:t>
                  </m:r>
                </m:sub>
              </m:sSub>
            </m:e>
          </m:d>
        </m:oMath>
      </m:oMathPara>
    </w:p>
    <w:p>
      <w:pPr>
        <w:pStyle w:val="FirstParagraph"/>
      </w:pPr>
      <w:r>
        <w:t xml:space="preserve">with biome-specific</w:t>
      </w:r>
      <w:r>
        <w:t xml:space="preserve"> </w:t>
      </w:r>
      <m:oMath>
        <m:sSub>
          <m:e>
            <m:r>
              <m:t>ε</m:t>
            </m:r>
          </m:e>
          <m:sub>
            <m:r>
              <m:t>m</m:t>
            </m:r>
            <m:r>
              <m:t>a</m:t>
            </m:r>
            <m:r>
              <m:t>x</m:t>
            </m:r>
          </m:sub>
        </m:sSub>
      </m:oMath>
      <w:r>
        <w:t xml:space="preserve"> </w:t>
      </w:r>
      <w:r>
        <w:t xml:space="preserve">from a Biome Property Look-Up Table (BPLUT), FPAR from MOD15, and coarse reanalysis meteorology (GMAO/MERRA-2). Annual NPP = ΣGPP − maintenance − growth respiration.</w:t>
      </w:r>
      <w:r>
        <w:t xml:space="preserve"> </w:t>
      </w:r>
      <w:r>
        <w:rPr>
          <w:bCs/>
          <w:b/>
        </w:rPr>
        <w:t xml:space="preserve">Known issue in Indian tropical forests:</w:t>
      </w:r>
      <w:r>
        <w:t xml:space="preserve"> </w:t>
      </w:r>
      <w:r>
        <w:t xml:space="preserve">MOD17 tends to</w:t>
      </w:r>
      <w:r>
        <w:t xml:space="preserve"> </w:t>
      </w:r>
      <w:r>
        <w:rPr>
          <w:bCs/>
          <w:b/>
        </w:rPr>
        <w:t xml:space="preserve">underestimate GPP</w:t>
      </w:r>
      <w:r>
        <w:t xml:space="preserve"> </w:t>
      </w:r>
      <w:r>
        <w:t xml:space="preserve">(generic εmax too low, coarse meteorology, cloud-contaminated FPAR in monsoon).</w:t>
      </w:r>
    </w:p>
    <w:p>
      <w:pPr>
        <w:pStyle w:val="BodyText"/>
      </w:pPr>
      <w:r>
        <w:rPr>
          <w:bCs/>
          <w:b/>
        </w:rPr>
        <w:t xml:space="preserve">Vegetation Photosynthesis Model (VPM; Xiao et al., 2004):</w:t>
      </w:r>
    </w:p>
    <w:p>
      <w:pPr>
        <w:pStyle w:val="BodyText"/>
      </w:pPr>
      <m:oMathPara>
        <m:oMathParaPr>
          <m:jc m:val="center"/>
        </m:oMathParaPr>
        <m:oMath>
          <m:r>
            <m:t>G</m:t>
          </m:r>
          <m:r>
            <m:t>P</m:t>
          </m:r>
          <m:r>
            <m:t>P</m:t>
          </m:r>
          <m:r>
            <m:rPr>
              <m:sty m:val="p"/>
            </m:rPr>
            <m:t>=</m:t>
          </m:r>
          <m:sSub>
            <m:e>
              <m:r>
                <m:t>ε</m:t>
              </m:r>
            </m:e>
            <m:sub>
              <m:r>
                <m:t>g</m:t>
              </m:r>
            </m:sub>
          </m:sSub>
          <m:r>
            <m:rPr>
              <m:sty m:val="p"/>
            </m:rPr>
            <m:t>×</m:t>
          </m:r>
          <m:r>
            <m:t>F</m:t>
          </m:r>
          <m:r>
            <m:t>P</m:t>
          </m:r>
          <m:r>
            <m:t>A</m:t>
          </m:r>
          <m:sSub>
            <m:e>
              <m:r>
                <m:t>R</m:t>
              </m:r>
            </m:e>
            <m:sub>
              <m:r>
                <m:t>c</m:t>
              </m:r>
              <m:r>
                <m:t>h</m:t>
              </m:r>
              <m:r>
                <m:t>l</m:t>
              </m:r>
            </m:sub>
          </m:sSub>
          <m:r>
            <m:rPr>
              <m:sty m:val="p"/>
            </m:rPr>
            <m:t>×</m:t>
          </m:r>
          <m:r>
            <m:t>P</m:t>
          </m:r>
          <m:r>
            <m:t>A</m:t>
          </m:r>
          <m:r>
            <m:t>R</m:t>
          </m:r>
          <m:r>
            <m:rPr>
              <m:sty m:val="p"/>
            </m:rPr>
            <m:t>,</m:t>
          </m:r>
          <m:r>
            <m:t>  </m:t>
          </m:r>
          <m:r>
            <m:t>F</m:t>
          </m:r>
          <m:r>
            <m:t>P</m:t>
          </m:r>
          <m:r>
            <m:t>A</m:t>
          </m:r>
          <m:sSub>
            <m:e>
              <m:r>
                <m:t>R</m:t>
              </m:r>
            </m:e>
            <m:sub>
              <m:r>
                <m:t>c</m:t>
              </m:r>
              <m:r>
                <m:t>h</m:t>
              </m:r>
              <m:r>
                <m:t>l</m:t>
              </m:r>
            </m:sub>
          </m:sSub>
          <m:r>
            <m:rPr>
              <m:sty m:val="p"/>
            </m:rPr>
            <m:t>=</m:t>
          </m:r>
          <m:r>
            <m:t>a</m:t>
          </m:r>
          <m:r>
            <m:rPr>
              <m:sty m:val="p"/>
            </m:rPr>
            <m:t>⋅</m:t>
          </m:r>
          <m:r>
            <m:t>E</m:t>
          </m:r>
          <m:r>
            <m:t>V</m:t>
          </m:r>
          <m:r>
            <m:t>I</m:t>
          </m:r>
          <m:r>
            <m:t> </m:t>
          </m:r>
          <m:d>
            <m:dPr>
              <m:begChr m:val="("/>
              <m:endChr m:val=")"/>
              <m:sepChr m:val=""/>
              <m:grow/>
            </m:dPr>
            <m:e>
              <m:r>
                <m:t>a</m:t>
              </m:r>
              <m:r>
                <m:rPr>
                  <m:sty m:val="p"/>
                </m:rPr>
                <m:t>≈</m:t>
              </m:r>
              <m:r>
                <m:t>1</m:t>
              </m:r>
            </m:e>
          </m:d>
          <m:r>
            <m:rPr>
              <m:sty m:val="p"/>
            </m:rPr>
            <m:t>,</m:t>
          </m:r>
          <m:r>
            <m:t>  </m:t>
          </m:r>
          <m:sSub>
            <m:e>
              <m:r>
                <m:t>ε</m:t>
              </m:r>
            </m:e>
            <m:sub>
              <m:r>
                <m:t>g</m:t>
              </m:r>
            </m:sub>
          </m:sSub>
          <m:r>
            <m:rPr>
              <m:sty m:val="p"/>
            </m:rPr>
            <m:t>=</m:t>
          </m:r>
          <m:sSub>
            <m:e>
              <m:r>
                <m:t>ε</m:t>
              </m:r>
            </m:e>
            <m:sub>
              <m:r>
                <m:t>0</m:t>
              </m:r>
            </m:sub>
          </m:sSub>
          <m:r>
            <m:t> </m:t>
          </m:r>
          <m:sSub>
            <m:e>
              <m:r>
                <m:t>T</m:t>
              </m:r>
            </m:e>
            <m:sub>
              <m:r>
                <m:t>s</m:t>
              </m:r>
              <m:r>
                <m:t>c</m:t>
              </m:r>
              <m:r>
                <m:t>a</m:t>
              </m:r>
              <m:r>
                <m:t>l</m:t>
              </m:r>
              <m:r>
                <m:t>a</m:t>
              </m:r>
              <m:r>
                <m:t>r</m:t>
              </m:r>
            </m:sub>
          </m:sSub>
          <m:sSub>
            <m:e>
              <m:r>
                <m:t>W</m:t>
              </m:r>
            </m:e>
            <m:sub>
              <m:r>
                <m:t>s</m:t>
              </m:r>
              <m:r>
                <m:t>c</m:t>
              </m:r>
              <m:r>
                <m:t>a</m:t>
              </m:r>
              <m:r>
                <m:t>l</m:t>
              </m:r>
              <m:r>
                <m:t>a</m:t>
              </m:r>
              <m:r>
                <m:t>r</m:t>
              </m:r>
            </m:sub>
          </m:sSub>
          <m:sSub>
            <m:e>
              <m:r>
                <m:t>P</m:t>
              </m:r>
            </m:e>
            <m:sub>
              <m:r>
                <m:t>s</m:t>
              </m:r>
              <m:r>
                <m:t>c</m:t>
              </m:r>
              <m:r>
                <m:t>a</m:t>
              </m:r>
              <m:r>
                <m:t>l</m:t>
              </m:r>
              <m:r>
                <m:t>a</m:t>
              </m:r>
              <m:r>
                <m:t>r</m:t>
              </m:r>
            </m:sub>
          </m:sSub>
        </m:oMath>
      </m:oMathPara>
    </w:p>
    <w:p>
      <w:pPr>
        <w:pStyle w:val="FirstParagraph"/>
      </w:pPr>
      <m:oMathPara>
        <m:oMathParaPr>
          <m:jc m:val="center"/>
        </m:oMathParaPr>
        <m:oMath>
          <m:sSub>
            <m:e>
              <m:r>
                <m:t>W</m:t>
              </m:r>
            </m:e>
            <m:sub>
              <m:r>
                <m:t>s</m:t>
              </m:r>
              <m:r>
                <m:t>c</m:t>
              </m:r>
              <m:r>
                <m:t>a</m:t>
              </m:r>
              <m:r>
                <m:t>l</m:t>
              </m:r>
              <m:r>
                <m:t>a</m:t>
              </m:r>
              <m:r>
                <m:t>r</m:t>
              </m:r>
            </m:sub>
          </m:sSub>
          <m:r>
            <m:rPr>
              <m:sty m:val="p"/>
            </m:rPr>
            <m:t>=</m:t>
          </m:r>
          <m:f>
            <m:fPr>
              <m:type m:val="bar"/>
            </m:fPr>
            <m:num>
              <m:r>
                <m:t>1</m:t>
              </m:r>
              <m:r>
                <m:rPr>
                  <m:sty m:val="p"/>
                </m:rPr>
                <m:t>+</m:t>
              </m:r>
              <m:r>
                <m:t>L</m:t>
              </m:r>
              <m:r>
                <m:t>S</m:t>
              </m:r>
              <m:r>
                <m:t>W</m:t>
              </m:r>
              <m:r>
                <m:t>I</m:t>
              </m:r>
            </m:num>
            <m:den>
              <m:r>
                <m:t>1</m:t>
              </m:r>
              <m:r>
                <m:rPr>
                  <m:sty m:val="p"/>
                </m:rPr>
                <m:t>+</m:t>
              </m:r>
              <m:r>
                <m:t>L</m:t>
              </m:r>
              <m:r>
                <m:t>S</m:t>
              </m:r>
              <m:r>
                <m:t>W</m:t>
              </m:r>
              <m:sSub>
                <m:e>
                  <m:r>
                    <m:t>I</m:t>
                  </m:r>
                </m:e>
                <m:sub>
                  <m:r>
                    <m:t>m</m:t>
                  </m:r>
                  <m:r>
                    <m:t>a</m:t>
                  </m:r>
                  <m:r>
                    <m:t>x</m:t>
                  </m:r>
                </m:sub>
              </m:sSub>
            </m:den>
          </m:f>
          <m:r>
            <m:rPr>
              <m:sty m:val="p"/>
            </m:rPr>
            <m:t>,</m:t>
          </m:r>
          <m:r>
            <m:t>  </m:t>
          </m:r>
          <m:sSub>
            <m:e>
              <m:r>
                <m:t>T</m:t>
              </m:r>
            </m:e>
            <m:sub>
              <m:r>
                <m:t>s</m:t>
              </m:r>
              <m:r>
                <m:t>c</m:t>
              </m:r>
              <m:r>
                <m:t>a</m:t>
              </m:r>
              <m:r>
                <m:t>l</m:t>
              </m:r>
              <m:r>
                <m:t>a</m:t>
              </m:r>
              <m:r>
                <m:t>r</m:t>
              </m:r>
            </m:sub>
          </m:sSub>
          <m:r>
            <m:rPr>
              <m:sty m:val="p"/>
            </m:rPr>
            <m:t>=</m:t>
          </m:r>
          <m:f>
            <m:fPr>
              <m:type m:val="bar"/>
            </m:fPr>
            <m:num>
              <m:d>
                <m:dPr>
                  <m:begChr m:val="("/>
                  <m:endChr m:val=")"/>
                  <m:sepChr m:val=""/>
                  <m:grow/>
                </m:dPr>
                <m:e>
                  <m:r>
                    <m:t>T</m:t>
                  </m:r>
                  <m:r>
                    <m:rPr>
                      <m:sty m:val="p"/>
                    </m:rPr>
                    <m:t>−</m:t>
                  </m:r>
                  <m:sSub>
                    <m:e>
                      <m:r>
                        <m:t>T</m:t>
                      </m:r>
                    </m:e>
                    <m:sub>
                      <m:r>
                        <m:t>m</m:t>
                      </m:r>
                      <m:r>
                        <m:t>i</m:t>
                      </m:r>
                      <m:r>
                        <m:t>n</m:t>
                      </m:r>
                    </m:sub>
                  </m:sSub>
                </m:e>
              </m:d>
              <m:d>
                <m:dPr>
                  <m:begChr m:val="("/>
                  <m:endChr m:val=")"/>
                  <m:sepChr m:val=""/>
                  <m:grow/>
                </m:dPr>
                <m:e>
                  <m:r>
                    <m:t>T</m:t>
                  </m:r>
                  <m:r>
                    <m:rPr>
                      <m:sty m:val="p"/>
                    </m:rPr>
                    <m:t>−</m:t>
                  </m:r>
                  <m:sSub>
                    <m:e>
                      <m:r>
                        <m:t>T</m:t>
                      </m:r>
                    </m:e>
                    <m:sub>
                      <m:r>
                        <m:t>m</m:t>
                      </m:r>
                      <m:r>
                        <m:t>a</m:t>
                      </m:r>
                      <m:r>
                        <m:t>x</m:t>
                      </m:r>
                    </m:sub>
                  </m:sSub>
                </m:e>
              </m:d>
            </m:num>
            <m:den>
              <m:d>
                <m:dPr>
                  <m:begChr m:val="("/>
                  <m:endChr m:val=")"/>
                  <m:sepChr m:val=""/>
                  <m:grow/>
                </m:dPr>
                <m:e>
                  <m:r>
                    <m:t>T</m:t>
                  </m:r>
                  <m:r>
                    <m:rPr>
                      <m:sty m:val="p"/>
                    </m:rPr>
                    <m:t>−</m:t>
                  </m:r>
                  <m:sSub>
                    <m:e>
                      <m:r>
                        <m:t>T</m:t>
                      </m:r>
                    </m:e>
                    <m:sub>
                      <m:r>
                        <m:t>m</m:t>
                      </m:r>
                      <m:r>
                        <m:t>i</m:t>
                      </m:r>
                      <m:r>
                        <m:t>n</m:t>
                      </m:r>
                    </m:sub>
                  </m:sSub>
                </m:e>
              </m:d>
              <m:d>
                <m:dPr>
                  <m:begChr m:val="("/>
                  <m:endChr m:val=")"/>
                  <m:sepChr m:val=""/>
                  <m:grow/>
                </m:dPr>
                <m:e>
                  <m:r>
                    <m:t>T</m:t>
                  </m:r>
                  <m:r>
                    <m:rPr>
                      <m:sty m:val="p"/>
                    </m:rPr>
                    <m:t>−</m:t>
                  </m:r>
                  <m:sSub>
                    <m:e>
                      <m:r>
                        <m:t>T</m:t>
                      </m:r>
                    </m:e>
                    <m:sub>
                      <m:r>
                        <m:t>m</m:t>
                      </m:r>
                      <m:r>
                        <m:t>a</m:t>
                      </m:r>
                      <m:r>
                        <m:t>x</m:t>
                      </m:r>
                    </m:sub>
                  </m:sSub>
                </m:e>
              </m:d>
              <m:r>
                <m:rPr>
                  <m:sty m:val="p"/>
                </m:rPr>
                <m:t>−</m:t>
              </m:r>
              <m:sSup>
                <m:e>
                  <m:d>
                    <m:dPr>
                      <m:begChr m:val="("/>
                      <m:endChr m:val=")"/>
                      <m:sepChr m:val=""/>
                      <m:grow/>
                    </m:dPr>
                    <m:e>
                      <m:r>
                        <m:t>T</m:t>
                      </m:r>
                      <m:r>
                        <m:rPr>
                          <m:sty m:val="p"/>
                        </m:rPr>
                        <m:t>−</m:t>
                      </m:r>
                      <m:sSub>
                        <m:e>
                          <m:r>
                            <m:t>T</m:t>
                          </m:r>
                        </m:e>
                        <m:sub>
                          <m:r>
                            <m:t>o</m:t>
                          </m:r>
                          <m:r>
                            <m:t>p</m:t>
                          </m:r>
                          <m:r>
                            <m:t>t</m:t>
                          </m:r>
                        </m:sub>
                      </m:sSub>
                    </m:e>
                  </m:d>
                </m:e>
                <m:sup>
                  <m:r>
                    <m:t>2</m:t>
                  </m:r>
                </m:sup>
              </m:sSup>
            </m:den>
          </m:f>
        </m:oMath>
      </m:oMathPara>
    </w:p>
    <w:p>
      <w:pPr>
        <w:pStyle w:val="FirstParagraph"/>
      </w:pPr>
      <m:oMath>
        <m:sSub>
          <m:e>
            <m:r>
              <m:t>P</m:t>
            </m:r>
          </m:e>
          <m:sub>
            <m:r>
              <m:t>s</m:t>
            </m:r>
            <m:r>
              <m:t>c</m:t>
            </m:r>
            <m:r>
              <m:t>a</m:t>
            </m:r>
            <m:r>
              <m:t>l</m:t>
            </m:r>
            <m:r>
              <m:t>a</m:t>
            </m:r>
            <m:r>
              <m:t>r</m:t>
            </m:r>
          </m:sub>
        </m:sSub>
      </m:oMath>
      <w:r>
        <w:t xml:space="preserve"> </w:t>
      </w:r>
      <w:r>
        <w:t xml:space="preserve">accounts for leaf age (=(1+LSWI)/2 during leaf expansion, 1 after). Using</w:t>
      </w:r>
      <w:r>
        <w:t xml:space="preserve"> </w:t>
      </w:r>
      <w:r>
        <w:rPr>
          <w:bCs/>
          <w:b/>
        </w:rPr>
        <w:t xml:space="preserve">EVI</w:t>
      </w:r>
      <w:r>
        <w:t xml:space="preserve"> </w:t>
      </w:r>
      <w:r>
        <w:t xml:space="preserve">(less saturation than NDVI) and</w:t>
      </w:r>
      <w:r>
        <w:t xml:space="preserve"> </w:t>
      </w:r>
      <w:r>
        <w:rPr>
          <w:bCs/>
          <w:b/>
        </w:rPr>
        <w:t xml:space="preserve">LSWI</w:t>
      </w:r>
      <w:r>
        <w:t xml:space="preserve"> </w:t>
      </w:r>
      <w:r>
        <w:t xml:space="preserve">(canopy water — captures pre-monsoon stress), and calibrating</w:t>
      </w:r>
      <w:r>
        <w:t xml:space="preserve"> </w:t>
      </w:r>
      <m:oMath>
        <m:sSub>
          <m:e>
            <m:r>
              <m:t>ε</m:t>
            </m:r>
          </m:e>
          <m:sub>
            <m:r>
              <m:t>0</m:t>
            </m:r>
          </m:sub>
        </m:sSub>
      </m:oMath>
      <w:r>
        <w:t xml:space="preserve"> </w:t>
      </w:r>
      <w:r>
        <w:t xml:space="preserve">from tower light-response curves, VPM generally reproduces tower GPP better than MOD17 at Indian deciduous forest sites.</w:t>
      </w:r>
    </w:p>
    <w:p>
      <w:pPr>
        <w:pStyle w:val="BodyText"/>
      </w:pPr>
      <w:r>
        <w:rPr>
          <w:bCs/>
          <w:b/>
        </w:rPr>
        <w:t xml:space="preserve">CASA</w:t>
      </w:r>
      <w:r>
        <w:t xml:space="preserve"> </w:t>
      </w:r>
      <w:r>
        <w:t xml:space="preserve">(Potter et al., 1993):</w:t>
      </w:r>
      <w:r>
        <w:t xml:space="preserve"> </w:t>
      </w:r>
      <m:oMath>
        <m:r>
          <m:t>N</m:t>
        </m:r>
        <m:r>
          <m:t>P</m:t>
        </m:r>
        <m:r>
          <m:t>P</m:t>
        </m:r>
        <m:r>
          <m:rPr>
            <m:sty m:val="p"/>
          </m:rPr>
          <m:t>=</m:t>
        </m:r>
        <m:r>
          <m:t>A</m:t>
        </m:r>
        <m:r>
          <m:t>P</m:t>
        </m:r>
        <m:r>
          <m:t>A</m:t>
        </m:r>
        <m:r>
          <m:t>R</m:t>
        </m:r>
        <m:r>
          <m:rPr>
            <m:sty m:val="p"/>
          </m:rPr>
          <m:t>×</m:t>
        </m:r>
        <m:sSup>
          <m:e>
            <m:r>
              <m:t>ε</m:t>
            </m:r>
          </m:e>
          <m:sup>
            <m:r>
              <m:rPr>
                <m:sty m:val="p"/>
              </m:rPr>
              <m:t>*</m:t>
            </m:r>
          </m:sup>
        </m:sSup>
      </m:oMath>
      <w:r>
        <w:t xml:space="preserve">,</w:t>
      </w:r>
      <w:r>
        <w:t xml:space="preserve"> </w:t>
      </w:r>
      <m:oMath>
        <m:sSup>
          <m:e>
            <m:r>
              <m:t>ε</m:t>
            </m:r>
          </m:e>
          <m:sup>
            <m:r>
              <m:rPr>
                <m:sty m:val="p"/>
              </m:rPr>
              <m:t>*</m:t>
            </m:r>
          </m:sup>
        </m:sSup>
        <m:r>
          <m:rPr>
            <m:sty m:val="p"/>
          </m:rPr>
          <m:t>=</m:t>
        </m:r>
        <m:r>
          <m:t>0.389</m:t>
        </m:r>
      </m:oMath>
      <w:r>
        <w:t xml:space="preserve"> </w:t>
      </w:r>
      <w:r>
        <w:t xml:space="preserve">g C MJ⁻¹ × T₁ × T₂ × W. Others: C-Fix, GLO-PEM, EC-LUE, 3-PG.</w:t>
      </w:r>
    </w:p>
    <w:p>
      <w:pPr>
        <w:pStyle w:val="BodyText"/>
      </w:pPr>
      <w:r>
        <w:rPr>
          <w:bCs/>
          <w:b/>
        </w:rPr>
        <w:t xml:space="preserve">Solar-induced fluorescence (SIF)</w:t>
      </w:r>
      <w:r>
        <w:t xml:space="preserve"> </w:t>
      </w:r>
      <w:r>
        <w:t xml:space="preserve">— chlorophyll re-emission (650–850 nm) retrieved in Fraunhofer/O₂-A lines (GOME-2, OCO-2/3, TROPOMI; FLEX upcoming) — tracks</w:t>
      </w:r>
      <w:r>
        <w:t xml:space="preserve"> </w:t>
      </w:r>
      <w:r>
        <w:rPr>
          <w:iCs/>
          <w:i/>
        </w:rPr>
        <w:t xml:space="preserve">actual</w:t>
      </w:r>
      <w:r>
        <w:t xml:space="preserve"> </w:t>
      </w:r>
      <w:r>
        <w:t xml:space="preserve">photosynthesis (GPP ≈ k·SIF at canopy scale) and responds to stress before greenness declines.</w:t>
      </w:r>
    </w:p>
    <w:p>
      <w:pPr>
        <w:pStyle w:val="Heading3"/>
      </w:pPr>
      <w:r>
        <w:t xml:space="preserve">35.4.4 Process-based and data-driven models</w:t>
      </w:r>
    </w:p>
    <w:p>
      <w:pPr>
        <w:pStyle w:val="Compact"/>
        <w:numPr>
          <w:ilvl w:val="0"/>
          <w:numId w:val="1267"/>
        </w:numPr>
      </w:pPr>
      <w:r>
        <w:rPr>
          <w:bCs/>
          <w:b/>
        </w:rPr>
        <w:t xml:space="preserve">Biochemical photosynthesis:</w:t>
      </w:r>
      <w:r>
        <w:t xml:space="preserve"> </w:t>
      </w:r>
      <w:r>
        <w:t xml:space="preserve">Farquhar–von Caemmerer–Berry (Rubisco-limited</w:t>
      </w:r>
      <w:r>
        <w:t xml:space="preserve"> </w:t>
      </w:r>
      <m:oMath>
        <m:sSub>
          <m:e>
            <m:r>
              <m:t>V</m:t>
            </m:r>
          </m:e>
          <m:sub>
            <m:r>
              <m:t>c</m:t>
            </m:r>
            <m:r>
              <m:t>m</m:t>
            </m:r>
            <m:r>
              <m:t>a</m:t>
            </m:r>
            <m:r>
              <m:t>x</m:t>
            </m:r>
          </m:sub>
        </m:sSub>
      </m:oMath>
      <w:r>
        <w:t xml:space="preserve"> </w:t>
      </w:r>
      <w:r>
        <w:t xml:space="preserve">vs. electron-transport-limited</w:t>
      </w:r>
      <w:r>
        <w:t xml:space="preserve"> </w:t>
      </w:r>
      <m:oMath>
        <m:sSub>
          <m:e>
            <m:r>
              <m:t>J</m:t>
            </m:r>
          </m:e>
          <m:sub>
            <m:r>
              <m:t>m</m:t>
            </m:r>
            <m:r>
              <m:t>a</m:t>
            </m:r>
            <m:r>
              <m:t>x</m:t>
            </m:r>
          </m:sub>
        </m:sSub>
      </m:oMath>
      <w:r>
        <w:t xml:space="preserve">).</w:t>
      </w:r>
    </w:p>
    <w:p>
      <w:pPr>
        <w:pStyle w:val="Compact"/>
        <w:numPr>
          <w:ilvl w:val="0"/>
          <w:numId w:val="1267"/>
        </w:numPr>
      </w:pPr>
      <w:r>
        <w:rPr>
          <w:bCs/>
          <w:b/>
        </w:rPr>
        <w:t xml:space="preserve">Stomatal conductance (carbon–water coupling):</w:t>
      </w:r>
      <w:r>
        <w:t xml:space="preserve"> </w:t>
      </w:r>
      <w:r>
        <w:t xml:space="preserve">Ball–Berry</w:t>
      </w:r>
      <w:r>
        <w:t xml:space="preserve"> </w:t>
      </w:r>
      <m:oMath>
        <m:sSub>
          <m:e>
            <m:r>
              <m:t>g</m:t>
            </m:r>
          </m:e>
          <m:sub>
            <m:r>
              <m:t>s</m:t>
            </m:r>
          </m:sub>
        </m:sSub>
        <m:r>
          <m:rPr>
            <m:sty m:val="p"/>
          </m:rPr>
          <m:t>=</m:t>
        </m:r>
        <m:sSub>
          <m:e>
            <m:r>
              <m:t>g</m:t>
            </m:r>
          </m:e>
          <m:sub>
            <m:r>
              <m:t>0</m:t>
            </m:r>
          </m:sub>
        </m:sSub>
        <m:r>
          <m:rPr>
            <m:sty m:val="p"/>
          </m:rPr>
          <m:t>+</m:t>
        </m:r>
        <m:sSub>
          <m:e>
            <m:r>
              <m:t>g</m:t>
            </m:r>
          </m:e>
          <m:sub>
            <m:r>
              <m:t>1</m:t>
            </m:r>
          </m:sub>
        </m:sSub>
        <m:f>
          <m:fPr>
            <m:type m:val="bar"/>
          </m:fPr>
          <m:num>
            <m:r>
              <m:t>A</m:t>
            </m:r>
            <m:r>
              <m:t> </m:t>
            </m:r>
            <m:sSub>
              <m:e>
                <m:r>
                  <m:t>h</m:t>
                </m:r>
              </m:e>
              <m:sub>
                <m:r>
                  <m:t>s</m:t>
                </m:r>
              </m:sub>
            </m:sSub>
          </m:num>
          <m:den>
            <m:sSub>
              <m:e>
                <m:r>
                  <m:t>C</m:t>
                </m:r>
              </m:e>
              <m:sub>
                <m:r>
                  <m:t>s</m:t>
                </m:r>
              </m:sub>
            </m:sSub>
          </m:den>
        </m:f>
      </m:oMath>
      <w:r>
        <w:t xml:space="preserve">; Leuning; Medlyn.</w:t>
      </w:r>
    </w:p>
    <w:p>
      <w:pPr>
        <w:pStyle w:val="Compact"/>
        <w:numPr>
          <w:ilvl w:val="0"/>
          <w:numId w:val="1267"/>
        </w:numPr>
      </w:pPr>
      <w:r>
        <w:rPr>
          <w:bCs/>
          <w:b/>
        </w:rPr>
        <w:t xml:space="preserve">Ecosystem/land-surface models:</w:t>
      </w:r>
      <w:r>
        <w:t xml:space="preserve"> </w:t>
      </w:r>
      <w:r>
        <w:t xml:space="preserve">Biome-BGC, CENTURY, CLM, JULES, ORCHIDEE, LPJ, BEPS — simulate carbon, water and energy jointly; parameters (</w:t>
      </w:r>
      <m:oMath>
        <m:sSub>
          <m:e>
            <m:r>
              <m:t>V</m:t>
            </m:r>
          </m:e>
          <m:sub>
            <m:r>
              <m:t>c</m:t>
            </m:r>
            <m:r>
              <m:t>m</m:t>
            </m:r>
            <m:r>
              <m:t>a</m:t>
            </m:r>
            <m:r>
              <m:t>x</m:t>
            </m:r>
          </m:sub>
        </m:sSub>
      </m:oMath>
      <w:r>
        <w:t xml:space="preserve">, Q₁₀,</w:t>
      </w:r>
      <w:r>
        <w:t xml:space="preserve"> </w:t>
      </w:r>
      <m:oMath>
        <m:sSub>
          <m:e>
            <m:r>
              <m:t>g</m:t>
            </m:r>
          </m:e>
          <m:sub>
            <m:r>
              <m:t>1</m:t>
            </m:r>
          </m:sub>
        </m:sSub>
      </m:oMath>
      <w:r>
        <w:t xml:space="preserve">, rooting depth) calibrated against tower data.</w:t>
      </w:r>
    </w:p>
    <w:p>
      <w:pPr>
        <w:pStyle w:val="Compact"/>
        <w:numPr>
          <w:ilvl w:val="0"/>
          <w:numId w:val="1267"/>
        </w:numPr>
      </w:pPr>
      <w:r>
        <w:rPr>
          <w:bCs/>
          <w:b/>
        </w:rPr>
        <w:t xml:space="preserve">Machine-learning upscaling (FLUXCOM):</w:t>
      </w:r>
      <w:r>
        <w:t xml:space="preserve"> </w:t>
      </w:r>
      <w:r>
        <w:t xml:space="preserve">random forest/ANN/LSTM trained on FLUXNET with satellite + meteorological predictors;</w:t>
      </w:r>
      <w:r>
        <w:t xml:space="preserve"> </w:t>
      </w:r>
      <w:r>
        <w:rPr>
          <w:bCs/>
          <w:b/>
        </w:rPr>
        <w:t xml:space="preserve">hybrid</w:t>
      </w:r>
      <w:r>
        <w:t xml:space="preserve"> </w:t>
      </w:r>
      <w:r>
        <w:t xml:space="preserve">physics-ML models.</w:t>
      </w:r>
    </w:p>
    <w:p>
      <w:pPr>
        <w:pStyle w:val="Compact"/>
        <w:numPr>
          <w:ilvl w:val="0"/>
          <w:numId w:val="1267"/>
        </w:numPr>
      </w:pPr>
      <w:r>
        <w:rPr>
          <w:bCs/>
          <w:b/>
        </w:rPr>
        <w:t xml:space="preserve">Data assimilation / model–data fusion:</w:t>
      </w:r>
      <w:r>
        <w:t xml:space="preserve"> </w:t>
      </w:r>
      <w:r>
        <w:t xml:space="preserve">EnKF, 4D-Var, MCMC (e.g., CARDAMOM) assimilating LAI, SIF, biomass, soil moisture.</w:t>
      </w:r>
    </w:p>
    <w:p>
      <w:pPr>
        <w:pStyle w:val="Heading3"/>
      </w:pPr>
      <w:r>
        <w:t xml:space="preserve">35.4.5 Integration workflow</w:t>
      </w:r>
    </w:p>
    <w:p>
      <w:pPr>
        <w:pStyle w:val="CaptionedFigure"/>
      </w:pPr>
      <w:r>
        <w:drawing>
          <wp:inline>
            <wp:extent cx="5334000" cy="2987039"/>
            <wp:effectExtent b="0" l="0" r="0" t="0"/>
            <wp:docPr descr="Tower–satellite–model integration for forest carbon &amp; water fluxes" title="" id="120" name="Picture"/>
            <a:graphic>
              <a:graphicData uri="http://schemas.openxmlformats.org/drawingml/2006/picture">
                <pic:pic>
                  <pic:nvPicPr>
                    <pic:cNvPr descr="/tmp/claude-0/-home-user-sonu/ab07c29a-21cd-5a4a-9d2d-68ad72d07153/scratchpad/build/../flows/flow_026.png" id="121" name="Picture"/>
                    <pic:cNvPicPr>
                      <a:picLocks noChangeArrowheads="1" noChangeAspect="1"/>
                    </pic:cNvPicPr>
                  </pic:nvPicPr>
                  <pic:blipFill>
                    <a:blip r:embed="rId119"/>
                    <a:stretch>
                      <a:fillRect/>
                    </a:stretch>
                  </pic:blipFill>
                  <pic:spPr bwMode="auto">
                    <a:xfrm>
                      <a:off x="0" y="0"/>
                      <a:ext cx="5334000" cy="2987039"/>
                    </a:xfrm>
                    <a:prstGeom prst="rect">
                      <a:avLst/>
                    </a:prstGeom>
                    <a:noFill/>
                    <a:ln w="9525">
                      <a:noFill/>
                      <a:headEnd/>
                      <a:tailEnd/>
                    </a:ln>
                  </pic:spPr>
                </pic:pic>
              </a:graphicData>
            </a:graphic>
          </wp:inline>
        </w:drawing>
      </w:r>
    </w:p>
    <w:p>
      <w:pPr>
        <w:pStyle w:val="ImageCaption"/>
      </w:pPr>
      <w:r>
        <w:t xml:space="preserve">Tower–satellite–model integration for forest carbon &amp; water fluxes</w:t>
      </w:r>
    </w:p>
    <w:p>
      <w:pPr>
        <w:pStyle w:val="BodyText"/>
      </w:pPr>
      <w:r>
        <w:rPr>
          <w:bCs/>
          <w:b/>
        </w:rPr>
        <w:t xml:space="preserve">Matching tower and pixel:</w:t>
      </w:r>
      <w:r>
        <w:t xml:space="preserve"> </w:t>
      </w:r>
      <w:r>
        <w:t xml:space="preserve">select pixels within the tower</w:t>
      </w:r>
      <w:r>
        <w:t xml:space="preserve"> </w:t>
      </w:r>
      <w:r>
        <w:rPr>
          <w:bCs/>
          <w:b/>
        </w:rPr>
        <w:t xml:space="preserve">footprint</w:t>
      </w:r>
      <w:r>
        <w:t xml:space="preserve"> </w:t>
      </w:r>
      <w:r>
        <w:t xml:space="preserve">(e.g., 3×3 MODIS 500 m window), aggregate half-hourly fluxes to the satellite composite period (8/16-day), compute R², RMSE, bias; account for representativeness error from heterogeneity.</w:t>
      </w:r>
    </w:p>
    <w:p>
      <w:pPr>
        <w:pStyle w:val="Heading3"/>
      </w:pPr>
      <w:r>
        <w:t xml:space="preserve">35.4.6 Typical behaviour of an Indian tropical moist deciduous (sal) forest</w:t>
      </w:r>
    </w:p>
    <w:p>
      <w:pPr>
        <w:pStyle w:val="Compact"/>
        <w:numPr>
          <w:ilvl w:val="0"/>
          <w:numId w:val="1268"/>
        </w:numPr>
      </w:pPr>
      <w:r>
        <w:rPr>
          <w:bCs/>
          <w:b/>
        </w:rPr>
        <w:t xml:space="preserve">Diurnal:</w:t>
      </w:r>
      <w:r>
        <w:t xml:space="preserve"> </w:t>
      </w:r>
      <w:r>
        <w:t xml:space="preserve">peak uptake near midday;</w:t>
      </w:r>
      <w:r>
        <w:t xml:space="preserve"> </w:t>
      </w:r>
      <w:r>
        <w:rPr>
          <w:bCs/>
          <w:b/>
        </w:rPr>
        <w:t xml:space="preserve">midday depression</w:t>
      </w:r>
      <w:r>
        <w:t xml:space="preserve"> </w:t>
      </w:r>
      <w:r>
        <w:t xml:space="preserve">on hot, high-VPD days (stomatal closure); night-time respiratory release.</w:t>
      </w:r>
    </w:p>
    <w:p>
      <w:pPr>
        <w:pStyle w:val="Compact"/>
        <w:numPr>
          <w:ilvl w:val="0"/>
          <w:numId w:val="1268"/>
        </w:numPr>
      </w:pPr>
      <w:r>
        <w:rPr>
          <w:bCs/>
          <w:b/>
        </w:rPr>
        <w:t xml:space="preserve">Seasonal:</w:t>
      </w:r>
      <w:r>
        <w:t xml:space="preserve"> </w:t>
      </w:r>
      <w:r>
        <w:t xml:space="preserve">pre-monsoon (Mar–Jun) — leaf fall/flush, high temperature/VPD, low soil moisture → reduced uptake, water-limited ET; monsoon (Jul–Sep) — full canopy, high ET and GPP but reduced PAR under clouds (and poor optical data); post-monsoon/winter (Oct–Feb) — clear skies, moist soils → strong uptake, lower respiration.</w:t>
      </w:r>
    </w:p>
    <w:p>
      <w:pPr>
        <w:pStyle w:val="Compact"/>
        <w:numPr>
          <w:ilvl w:val="0"/>
          <w:numId w:val="1268"/>
        </w:numPr>
      </w:pPr>
      <w:r>
        <w:rPr>
          <w:bCs/>
          <w:b/>
        </w:rPr>
        <w:t xml:space="preserve">Annual:</w:t>
      </w:r>
      <w:r>
        <w:t xml:space="preserve"> </w:t>
      </w:r>
      <w:r>
        <w:t xml:space="preserve">generally a net carbon sink; drivers — PAR (short-term), VPD and soil moisture (seasonal), temperature (respiration).</w:t>
      </w:r>
    </w:p>
    <w:p>
      <w:pPr>
        <w:pStyle w:val="Heading3"/>
      </w:pPr>
      <w:r>
        <w:t xml:space="preserve">35.4.7 Frontiers</w:t>
      </w:r>
    </w:p>
    <w:p>
      <w:pPr>
        <w:pStyle w:val="FirstParagraph"/>
      </w:pPr>
      <w:r>
        <w:t xml:space="preserve">Expanding flux networks (FLUXNET, standardised ONEFlux processing; Indian networks under ISRO-GBP and MoES), SIF missions, high-resolution thermal ET (ECOSTRESS;</w:t>
      </w:r>
      <w:r>
        <w:t xml:space="preserve"> </w:t>
      </w:r>
      <w:r>
        <w:rPr>
          <w:bCs/>
          <w:b/>
        </w:rPr>
        <w:t xml:space="preserve">ISRO–CNES TRISHNA</w:t>
      </w:r>
      <w:r>
        <w:t xml:space="preserve">), structure and biomass missions (GEDI, ICESat-2,</w:t>
      </w:r>
      <w:r>
        <w:t xml:space="preserve"> </w:t>
      </w:r>
      <w:r>
        <w:rPr>
          <w:bCs/>
          <w:b/>
        </w:rPr>
        <w:t xml:space="preserve">NISAR</w:t>
      </w:r>
      <w:r>
        <w:t xml:space="preserve">, ESA BIOMASS, PolInSAR/TomoSAR), geostationary diurnal monitoring (INSAT-3D/3DR/3DS), AI/ML hybrids, data assimilation and ecosystem digital twins, isotopes and carbonyl sulphide for partitioning, UAV LiDAR and PhenoCams, and reconciliation of bottom-up (tower + model) with top-down (OCO-2/3, GOSAT inversions) budgets — supporting India’s NDC goal of an additional</w:t>
      </w:r>
      <w:r>
        <w:t xml:space="preserve"> </w:t>
      </w:r>
      <w:r>
        <w:rPr>
          <w:bCs/>
          <w:b/>
        </w:rPr>
        <w:t xml:space="preserve">2.5–3 Gt CO₂e</w:t>
      </w:r>
      <w:r>
        <w:t xml:space="preserve"> </w:t>
      </w:r>
      <w:r>
        <w:t xml:space="preserve">forest/tree sink by 2030.</w:t>
      </w:r>
    </w:p>
    <w:p>
      <w:pPr>
        <w:pStyle w:val="Heading3"/>
      </w:pPr>
      <w:r>
        <w:t xml:space="preserve">35.4.8 Likely interview questions</w:t>
      </w:r>
    </w:p>
    <w:p>
      <w:pPr>
        <w:pStyle w:val="FirstParagraph"/>
      </w:pPr>
      <w:r>
        <w:rPr>
          <w:bCs/>
          <w:b/>
        </w:rPr>
        <w:t xml:space="preserve">Q. Write the VPM equations and explain why it suits deciduous tropical forests.</w:t>
      </w:r>
      <w:r>
        <w:t xml:space="preserve"> </w:t>
      </w:r>
      <m:oMath>
        <m:r>
          <m:t>G</m:t>
        </m:r>
        <m:r>
          <m:t>P</m:t>
        </m:r>
        <m:r>
          <m:t>P</m:t>
        </m:r>
        <m:r>
          <m:rPr>
            <m:sty m:val="p"/>
          </m:rPr>
          <m:t>=</m:t>
        </m:r>
        <m:sSub>
          <m:e>
            <m:r>
              <m:t>ε</m:t>
            </m:r>
          </m:e>
          <m:sub>
            <m:r>
              <m:t>0</m:t>
            </m:r>
          </m:sub>
        </m:sSub>
        <m:sSub>
          <m:e>
            <m:r>
              <m:t>T</m:t>
            </m:r>
          </m:e>
          <m:sub>
            <m:r>
              <m:t>s</m:t>
            </m:r>
          </m:sub>
        </m:sSub>
        <m:sSub>
          <m:e>
            <m:r>
              <m:t>W</m:t>
            </m:r>
          </m:e>
          <m:sub>
            <m:r>
              <m:t>s</m:t>
            </m:r>
          </m:sub>
        </m:sSub>
        <m:sSub>
          <m:e>
            <m:r>
              <m:t>P</m:t>
            </m:r>
          </m:e>
          <m:sub>
            <m:r>
              <m:t>s</m:t>
            </m:r>
          </m:sub>
        </m:sSub>
        <m:r>
          <m:rPr>
            <m:sty m:val="p"/>
          </m:rPr>
          <m:t>×</m:t>
        </m:r>
        <m:r>
          <m:t>E</m:t>
        </m:r>
        <m:r>
          <m:t>V</m:t>
        </m:r>
        <m:r>
          <m:t>I</m:t>
        </m:r>
        <m:r>
          <m:rPr>
            <m:sty m:val="p"/>
          </m:rPr>
          <m:t>×</m:t>
        </m:r>
        <m:r>
          <m:t>P</m:t>
        </m:r>
        <m:r>
          <m:t>A</m:t>
        </m:r>
        <m:r>
          <m:t>R</m:t>
        </m:r>
      </m:oMath>
      <w:r>
        <w:t xml:space="preserve">,</w:t>
      </w:r>
      <w:r>
        <w:t xml:space="preserve"> </w:t>
      </w:r>
      <m:oMath>
        <m:sSub>
          <m:e>
            <m:r>
              <m:t>W</m:t>
            </m:r>
          </m:e>
          <m:sub>
            <m:r>
              <m:t>s</m:t>
            </m:r>
          </m:sub>
        </m:sSub>
        <m:r>
          <m:rPr>
            <m:sty m:val="p"/>
          </m:rPr>
          <m:t>=</m:t>
        </m:r>
        <m:d>
          <m:dPr>
            <m:begChr m:val="("/>
            <m:endChr m:val=")"/>
            <m:sepChr m:val=""/>
            <m:grow/>
          </m:dPr>
          <m:e>
            <m:r>
              <m:t>1</m:t>
            </m:r>
            <m:r>
              <m:rPr>
                <m:sty m:val="p"/>
              </m:rPr>
              <m:t>+</m:t>
            </m:r>
            <m:r>
              <m:t>L</m:t>
            </m:r>
            <m:r>
              <m:t>S</m:t>
            </m:r>
            <m:r>
              <m:t>W</m:t>
            </m:r>
            <m:r>
              <m:t>I</m:t>
            </m:r>
          </m:e>
        </m:d>
        <m:r>
          <m:rPr>
            <m:sty m:val="p"/>
          </m:rPr>
          <m:t>/</m:t>
        </m:r>
        <m:d>
          <m:dPr>
            <m:begChr m:val="("/>
            <m:endChr m:val=")"/>
            <m:sepChr m:val=""/>
            <m:grow/>
          </m:dPr>
          <m:e>
            <m:r>
              <m:t>1</m:t>
            </m:r>
            <m:r>
              <m:rPr>
                <m:sty m:val="p"/>
              </m:rPr>
              <m:t>+</m:t>
            </m:r>
            <m:r>
              <m:t>L</m:t>
            </m:r>
            <m:r>
              <m:t>S</m:t>
            </m:r>
            <m:r>
              <m:t>W</m:t>
            </m:r>
            <m:sSub>
              <m:e>
                <m:r>
                  <m:t>I</m:t>
                </m:r>
              </m:e>
              <m:sub>
                <m:r>
                  <m:t>m</m:t>
                </m:r>
                <m:r>
                  <m:t>a</m:t>
                </m:r>
                <m:r>
                  <m:t>x</m:t>
                </m:r>
              </m:sub>
            </m:sSub>
          </m:e>
        </m:d>
      </m:oMath>
      <w:r>
        <w:t xml:space="preserve">; EVI avoids saturation and LSWI captures moisture stress and leaf phenology.</w:t>
      </w:r>
    </w:p>
    <w:p>
      <w:pPr>
        <w:pStyle w:val="BodyText"/>
      </w:pPr>
      <w:r>
        <w:rPr>
          <w:bCs/>
          <w:b/>
        </w:rPr>
        <w:t xml:space="preserve">Q. Why does MOD17 underestimate GPP in Indian forests?</w:t>
      </w:r>
      <w:r>
        <w:t xml:space="preserve"> </w:t>
      </w:r>
      <w:r>
        <w:t xml:space="preserve">Generic biome εmax, coarse meteorology and cloud-affected FPAR.</w:t>
      </w:r>
    </w:p>
    <w:p>
      <w:pPr>
        <w:pStyle w:val="BodyText"/>
      </w:pPr>
      <w:r>
        <w:rPr>
          <w:bCs/>
          <w:b/>
        </w:rPr>
        <w:t xml:space="preserve">Q. How is GPP obtained from tower NEE?</w:t>
      </w:r>
      <w:r>
        <w:t xml:space="preserve"> </w:t>
      </w:r>
      <w:r>
        <w:t xml:space="preserve">Partitioning — fit respiration–temperature to night NEE, extrapolate to daytime Reco, GPP = Reco − NEE (or daytime light-response fitting).</w:t>
      </w:r>
    </w:p>
    <w:p>
      <w:pPr>
        <w:pStyle w:val="BodyText"/>
      </w:pPr>
      <w:r>
        <w:rPr>
          <w:bCs/>
          <w:b/>
        </w:rPr>
        <w:t xml:space="preserve">Q. How are tower and satellite data matched?</w:t>
      </w:r>
      <w:r>
        <w:t xml:space="preserve"> </w:t>
      </w:r>
      <w:r>
        <w:t xml:space="preserve">Footprint-based pixel selection, temporal aggregation to composite periods, statistical comparison.</w:t>
      </w:r>
    </w:p>
    <w:p>
      <w:pPr>
        <w:pStyle w:val="Heading2"/>
      </w:pPr>
      <w:r>
        <w:t xml:space="preserve">35.5 Scaling Point-Flux Measurements to Regional Carbon Budgets — the Role of Remote Sensing</w:t>
      </w:r>
    </w:p>
    <w:p>
      <w:pPr>
        <w:pStyle w:val="FirstParagraph"/>
      </w:pPr>
      <w:r>
        <w:t xml:space="preserve">A single eddy-covariance tower measures NEE/GPP/Reco only within its immediate footprint — typically at most a few km². Producing a regional or national carbon-budget estimate requires</w:t>
      </w:r>
      <w:r>
        <w:t xml:space="preserve"> </w:t>
      </w:r>
      <w:r>
        <w:rPr>
          <w:bCs/>
          <w:b/>
        </w:rPr>
        <w:t xml:space="preserve">upscaling</w:t>
      </w:r>
      <w:r>
        <w:t xml:space="preserve"> </w:t>
      </w:r>
      <w:r>
        <w:t xml:space="preserve">this point information across the full landscape, and remote sensing provides the essential spatial-extrapolation bridge via two complementary approaches:</w:t>
      </w:r>
    </w:p>
    <w:p>
      <w:pPr>
        <w:pStyle w:val="Compact"/>
        <w:numPr>
          <w:ilvl w:val="0"/>
          <w:numId w:val="1269"/>
        </w:numPr>
      </w:pPr>
      <w:r>
        <w:rPr>
          <w:bCs/>
          <w:b/>
        </w:rPr>
        <w:t xml:space="preserve">Light-Use-Efficiency (LUE) upscaling:</w:t>
      </w:r>
      <w:r>
        <w:t xml:space="preserve"> </w:t>
      </w:r>
      <w:r>
        <w:t xml:space="preserve">using the GPP = APAR × LUE relationship, with APAR computed from satellite NDVI/fAPAR at every pixel across the landscape and LUE either held at a biome-specific constant value or dynamically adjusted using SIF, land-surface temperature and/or VPD stress-reduction factors — the tower flux data are used specifically to</w:t>
      </w:r>
      <w:r>
        <w:t xml:space="preserve"> </w:t>
      </w:r>
      <w:r>
        <w:rPr>
          <w:bCs/>
          <w:b/>
        </w:rPr>
        <w:t xml:space="preserve">calibrate and validate</w:t>
      </w:r>
      <w:r>
        <w:t xml:space="preserve"> </w:t>
      </w:r>
      <w:r>
        <w:t xml:space="preserve">the satellite-driven LUE-model parameters (biome-specific maximum LUE, stress-response-function shape) at the tower footprint scale before the calibrated model is applied landscape-wide.</w:t>
      </w:r>
    </w:p>
    <w:p>
      <w:pPr>
        <w:pStyle w:val="Compact"/>
        <w:numPr>
          <w:ilvl w:val="0"/>
          <w:numId w:val="1269"/>
        </w:numPr>
      </w:pPr>
      <w:r>
        <w:rPr>
          <w:bCs/>
          <w:b/>
        </w:rPr>
        <w:t xml:space="preserve">Machine-learning upscaling:</w:t>
      </w:r>
      <w:r>
        <w:t xml:space="preserve"> </w:t>
      </w:r>
      <w:r>
        <w:t xml:space="preserve">training a machine-learning model directly on the relationship between a network of eddy-covariance towers’ measured GPP/NEE and co-located remote-sensing/meteorological predictor variables, then applying the trained model to predict GPP/NEE at every pixel across the region where only the remote-sensing/meteorological predictors (not direct flux measurements) are available — an increasingly common approach (e.g., the international FLUXCOM initiative) directly analogous in logic to the machine-learning component of FASAL’s yield-forecasting ensemble, here applied to carbon flux rather than agricultural yield.</w:t>
      </w:r>
    </w:p>
    <w:p>
      <w:pPr>
        <w:pStyle w:val="Heading2"/>
      </w:pPr>
      <w:r>
        <w:t xml:space="preserve">35.6 Assembling the Full Terrestrial Carbon Budget</w:t>
      </w:r>
    </w:p>
    <w:p>
      <w:pPr>
        <w:pStyle w:val="FirstParagraph"/>
      </w:pPr>
      <w:r>
        <w:t xml:space="preserve">A complete terrestrial carbon-budget assessment, as pursued under SAC’s National Carbon Project and NICES framework, integrates:</w:t>
      </w:r>
      <w:r>
        <w:t xml:space="preserve"> </w:t>
      </w:r>
      <w:r>
        <w:rPr>
          <w:bCs/>
          <w:b/>
        </w:rPr>
        <w:t xml:space="preserve">soil organic carbon stock and stock-change</w:t>
      </w:r>
      <w:r>
        <w:t xml:space="preserve">;</w:t>
      </w:r>
      <w:r>
        <w:t xml:space="preserve"> </w:t>
      </w:r>
      <w:r>
        <w:rPr>
          <w:bCs/>
          <w:b/>
        </w:rPr>
        <w:t xml:space="preserve">forest above/below-ground biomass carbon stock and stock-change</w:t>
      </w:r>
      <w:r>
        <w:t xml:space="preserve">;</w:t>
      </w:r>
      <w:r>
        <w:t xml:space="preserve"> </w:t>
      </w:r>
      <w:r>
        <w:rPr>
          <w:bCs/>
          <w:b/>
        </w:rPr>
        <w:t xml:space="preserve">agricultural-ecosystem NEE/GPP-Reco flux</w:t>
      </w:r>
      <w:r>
        <w:t xml:space="preserve"> </w:t>
      </w:r>
      <w:r>
        <w:t xml:space="preserve">(this chapter, upscaled via LUE or machine-learning methods); and</w:t>
      </w:r>
      <w:r>
        <w:t xml:space="preserve"> </w:t>
      </w:r>
      <w:r>
        <w:rPr>
          <w:bCs/>
          <w:b/>
        </w:rPr>
        <w:t xml:space="preserve">agricultural GHG (particularly CH4 and N2O) emission fluxes</w:t>
      </w:r>
      <w:r>
        <w:t xml:space="preserve"> </w:t>
      </w:r>
      <w:r>
        <w:t xml:space="preserve">— together forming the multi-pool, multi-flux national terrestrial carbon-and-GHG accounting base that supports India’s UNFCCC national GHG inventory reporting and UNCCD land-degradation-neutrality commitments, and illustrating, as a fitting closing synthesis point for this manual, how the seemingly separate instrumentation, soil-science, forestry and statistical/machine-learning material developed across this manual’s individual chapters is, in SAC’s actual operational practice, integrated into a small number of genuinely cross-cutting national assessment programmes.</w:t>
      </w:r>
    </w:p>
    <w:p>
      <w:pPr>
        <w:pStyle w:val="Heading2"/>
      </w:pPr>
      <w:r>
        <w:t xml:space="preserve">35.7 Synergistic Multi-Sensor Retrieval of Forest Biophysical and Biochemical Parameters</w:t>
      </w:r>
    </w:p>
    <w:p>
      <w:pPr>
        <w:pStyle w:val="FirstParagraph"/>
      </w:pPr>
      <w:r>
        <w:t xml:space="preserve">The Indian Institute of Remote Sensing (IIRS), Dehradun, structures its forest-ecology research around the</w:t>
      </w:r>
      <w:r>
        <w:t xml:space="preserve"> </w:t>
      </w:r>
      <w:r>
        <w:rPr>
          <w:bCs/>
          <w:b/>
        </w:rPr>
        <w:t xml:space="preserve">synergistic use of hyperspectral, LiDAR, microwave (SAR) and Ground Penetrating Radar (GPR)</w:t>
      </w:r>
      <w:r>
        <w:t xml:space="preserve"> </w:t>
      </w:r>
      <w:r>
        <w:t xml:space="preserve">data, because no single sensor type retrieves the full set of forest structural and functional parameters required for carbon, biodiversity and productivity assessment:</w:t>
      </w:r>
    </w:p>
    <w:p>
      <w:pPr>
        <w:pStyle w:val="Compact"/>
        <w:numPr>
          <w:ilvl w:val="0"/>
          <w:numId w:val="1270"/>
        </w:numPr>
      </w:pPr>
      <w:r>
        <w:rPr>
          <w:bCs/>
          <w:b/>
        </w:rPr>
        <w:t xml:space="preserve">Hyperspectral data</w:t>
      </w:r>
      <w:r>
        <w:t xml:space="preserve"> </w:t>
      </w:r>
      <w:r>
        <w:t xml:space="preserve">(narrow, contiguous bands, typically 5–10 nm bandwidth across 400–2500 nm) retrieve</w:t>
      </w:r>
      <w:r>
        <w:t xml:space="preserve"> </w:t>
      </w:r>
      <w:r>
        <w:rPr>
          <w:bCs/>
          <w:b/>
        </w:rPr>
        <w:t xml:space="preserve">biochemical</w:t>
      </w:r>
      <w:r>
        <w:t xml:space="preserve"> </w:t>
      </w:r>
      <w:r>
        <w:t xml:space="preserve">parameters — leaf/canopy chlorophyll, nitrogen, water content, lignin/cellulose — by exploiting specific narrow diagnostic absorption features (e.g., chlorophyll absorption near 670 nm and the red-edge inflection near 700–740 nm; water absorption near 970, 1200, 1450 and 1940 nm; protein/nitrogen-related absorption near 2060 and 2180 nm; lignin/cellulose features near 2100 and 2300 nm) that broadband multispectral sensors cannot resolve, typically via</w:t>
      </w:r>
      <w:r>
        <w:t xml:space="preserve"> </w:t>
      </w:r>
      <w:r>
        <w:rPr>
          <w:bCs/>
          <w:b/>
        </w:rPr>
        <w:t xml:space="preserve">Partial Least Squares Regression (PLSR)</w:t>
      </w:r>
      <w:r>
        <w:t xml:space="preserve"> </w:t>
      </w:r>
      <w:r>
        <w:t xml:space="preserve">or narrow-band vegetation-index empirical models relating these absorption-feature depths/positions to laboratory-measured leaf biochemistry.</w:t>
      </w:r>
    </w:p>
    <w:p>
      <w:pPr>
        <w:pStyle w:val="Compact"/>
        <w:numPr>
          <w:ilvl w:val="0"/>
          <w:numId w:val="1270"/>
        </w:numPr>
      </w:pPr>
      <w:r>
        <w:rPr>
          <w:bCs/>
          <w:b/>
        </w:rPr>
        <w:t xml:space="preserve">LiDAR (Light Detection and Ranging)</w:t>
      </w:r>
      <w:r>
        <w:t xml:space="preserve"> </w:t>
      </w:r>
      <w:r>
        <w:t xml:space="preserve">directly retrieves</w:t>
      </w:r>
      <w:r>
        <w:t xml:space="preserve"> </w:t>
      </w:r>
      <w:r>
        <w:rPr>
          <w:bCs/>
          <w:b/>
        </w:rPr>
        <w:t xml:space="preserve">three-dimensional canopy structure</w:t>
      </w:r>
      <w:r>
        <w:t xml:space="preserve"> </w:t>
      </w:r>
      <w:r>
        <w:t xml:space="preserve">— canopy height, vertical foliage-density profile, canopy-cover fraction and (via ground-return classification within the point cloud) sub-canopy terrain, by measuring the round-trip travel time of laser pulses reflected from the canopy and ground, from which range (and hence height above ground once terrain is subtracted) is computed as Range = (c × Δt)/2 (c = speed of light, Δt = pulse round-trip time); full-waveform LiDAR additionally records the complete vertical distribution of returned energy, enabling detailed canopy vertical-structure (foliage-density-profile) reconstruction beyond simple discrete-return point clouds.</w:t>
      </w:r>
    </w:p>
    <w:p>
      <w:pPr>
        <w:pStyle w:val="Compact"/>
        <w:numPr>
          <w:ilvl w:val="0"/>
          <w:numId w:val="1270"/>
        </w:numPr>
      </w:pPr>
      <w:r>
        <w:rPr>
          <w:bCs/>
          <w:b/>
        </w:rPr>
        <w:t xml:space="preserve">SAR (L- and S-band, as in NISAR, Chapter 3)</w:t>
      </w:r>
      <w:r>
        <w:t xml:space="preserve"> </w:t>
      </w:r>
      <w:r>
        <w:t xml:space="preserve">retrieves canopy structure/biomass through volume-scattering interaction with woody/foliar canopy elements, with longer wavelengths (L-band) penetrating deeper into and interacting more strongly with larger woody structural elements (trunks, large branches), making L-band backscatter/interferometric-coherence more sensitive to above-ground woody biomass than shorter-wavelength (S-, C-, X-band) SAR, though L-band backscatter itself</w:t>
      </w:r>
      <w:r>
        <w:t xml:space="preserve"> </w:t>
      </w:r>
      <w:r>
        <w:rPr>
          <w:bCs/>
          <w:b/>
        </w:rPr>
        <w:t xml:space="preserve">saturates</w:t>
      </w:r>
      <w:r>
        <w:t xml:space="preserve"> </w:t>
      </w:r>
      <w:r>
        <w:t xml:space="preserve">at moderate-to-high biomass levels (typically above ~100–150 t/ha, depending on forest type and configuration), a well-known SAR-biomass-retrieval limitation motivating the combined use of</w:t>
      </w:r>
      <w:r>
        <w:t xml:space="preserve"> </w:t>
      </w:r>
      <w:r>
        <w:rPr>
          <w:bCs/>
          <w:b/>
        </w:rPr>
        <w:t xml:space="preserve">SAR interferometric coherence and polarimetric decomposition</w:t>
      </w:r>
      <w:r>
        <w:t xml:space="preserve"> </w:t>
      </w:r>
      <w:r>
        <w:t xml:space="preserve">(rather than backscatter intensity alone) and combination with LiDAR-derived structural metrics for higher-biomass forest types.</w:t>
      </w:r>
    </w:p>
    <w:p>
      <w:pPr>
        <w:pStyle w:val="Compact"/>
        <w:numPr>
          <w:ilvl w:val="0"/>
          <w:numId w:val="1270"/>
        </w:numPr>
      </w:pPr>
      <w:r>
        <w:rPr>
          <w:bCs/>
          <w:b/>
        </w:rPr>
        <w:t xml:space="preserve">Ground Penetrating Radar (GPR)</w:t>
      </w:r>
      <w:r>
        <w:t xml:space="preserve"> </w:t>
      </w:r>
      <w:r>
        <w:t xml:space="preserve">— an in-situ (not airborne/spaceborne in typical forestry deployment) geophysical technique transmitting electromagnetic pulses into the subsurface and recording reflections from dielectric-property discontinuities, used in forest-ecology research primarily for</w:t>
      </w:r>
      <w:r>
        <w:t xml:space="preserve"> </w:t>
      </w:r>
      <w:r>
        <w:rPr>
          <w:bCs/>
          <w:b/>
        </w:rPr>
        <w:t xml:space="preserve">root biomass/structure characterisation</w:t>
      </w:r>
      <w:r>
        <w:t xml:space="preserve"> </w:t>
      </w:r>
      <w:r>
        <w:t xml:space="preserve">and soil-profile studies supporting below-ground carbon-pool estimation, complementing the above-ground-focused optical/LiDAR/SAR techniques.</w:t>
      </w:r>
    </w:p>
    <w:p>
      <w:pPr>
        <w:pStyle w:val="Heading2"/>
      </w:pPr>
      <w:r>
        <w:t xml:space="preserve">35.8 Three-Dimensional Forest Structure Description and Spatial Distribution</w:t>
      </w:r>
    </w:p>
    <w:p>
      <w:pPr>
        <w:pStyle w:val="FirstParagraph"/>
      </w:pPr>
      <w:r>
        <w:t xml:space="preserve">Combining LiDAR-derived canopy-height/vertical-profile metrics with SAR-derived structural/biomass information and optical-hyperspectral biochemical retrievals allows a genuinely</w:t>
      </w:r>
      <w:r>
        <w:t xml:space="preserve"> </w:t>
      </w:r>
      <w:r>
        <w:rPr>
          <w:bCs/>
          <w:b/>
        </w:rPr>
        <w:t xml:space="preserve">three-dimensional characterisation of forest structure</w:t>
      </w:r>
      <w:r>
        <w:t xml:space="preserve"> </w:t>
      </w:r>
      <w:r>
        <w:t xml:space="preserve">— canopy height, vertical layering (understorey/midstorey/overstorey stratification), horizontal canopy-gap/crown-closure pattern and biomass distribution — mapped spatially across a landscape (rather than only at discrete field-plot locations), which is the technical foundation for IIRS’s forest cover change analysis, spatial biomass estimation, and inputs to forest working-plan and wildlife-management-plan preparation (which require spatially explicit stand-structure and habitat-quality information, not just aggregate area/cover statistics).</w:t>
      </w:r>
    </w:p>
    <w:p>
      <w:pPr>
        <w:pStyle w:val="Heading2"/>
      </w:pPr>
      <w:r>
        <w:t xml:space="preserve">35.9 Carbon Pool and Flux Measurement for Forest Productivity Assessment</w:t>
      </w:r>
    </w:p>
    <w:p>
      <w:pPr>
        <w:pStyle w:val="Heading3"/>
      </w:pPr>
      <w:r>
        <w:t xml:space="preserve">35.9.1 Forest carbon pools</w:t>
      </w:r>
    </w:p>
    <w:p>
      <w:pPr>
        <w:pStyle w:val="FirstParagraph"/>
      </w:pPr>
      <w:r>
        <w:t xml:space="preserve">The IPCC framework recognises five forest carbon pools:</w:t>
      </w:r>
      <w:r>
        <w:t xml:space="preserve"> </w:t>
      </w:r>
      <w:r>
        <w:rPr>
          <w:bCs/>
          <w:b/>
        </w:rPr>
        <w:t xml:space="preserve">above-ground biomass</w:t>
      </w:r>
      <w:r>
        <w:t xml:space="preserve"> </w:t>
      </w:r>
      <w:r>
        <w:t xml:space="preserve">(AGB — the primary pool estimated via the LiDAR/SAR/hyperspectral synergy above, converted from biomass to carbon using standard carbon-fraction factors, typically ~0.47–0.5 of dry biomass),</w:t>
      </w:r>
      <w:r>
        <w:t xml:space="preserve"> </w:t>
      </w:r>
      <w:r>
        <w:rPr>
          <w:bCs/>
          <w:b/>
        </w:rPr>
        <w:t xml:space="preserve">below-ground biomass</w:t>
      </w:r>
      <w:r>
        <w:t xml:space="preserve"> </w:t>
      </w:r>
      <w:r>
        <w:t xml:space="preserve">(root biomass, often estimated via allometric root:shoot ratios rather than direct remote-sensing retrieval, supplemented by GPR-based root studies),</w:t>
      </w:r>
      <w:r>
        <w:t xml:space="preserve"> </w:t>
      </w:r>
      <w:r>
        <w:rPr>
          <w:bCs/>
          <w:b/>
        </w:rPr>
        <w:t xml:space="preserve">dead wood</w:t>
      </w:r>
      <w:r>
        <w:t xml:space="preserve">,</w:t>
      </w:r>
      <w:r>
        <w:t xml:space="preserve"> </w:t>
      </w:r>
      <w:r>
        <w:rPr>
          <w:bCs/>
          <w:b/>
        </w:rPr>
        <w:t xml:space="preserve">litter</w:t>
      </w:r>
      <w:r>
        <w:t xml:space="preserve">, and</w:t>
      </w:r>
      <w:r>
        <w:t xml:space="preserve"> </w:t>
      </w:r>
      <w:r>
        <w:rPr>
          <w:bCs/>
          <w:b/>
        </w:rPr>
        <w:t xml:space="preserve">soil organic carbon</w:t>
      </w:r>
      <w:r>
        <w:t xml:space="preserve">.</w:t>
      </w:r>
    </w:p>
    <w:p>
      <w:pPr>
        <w:pStyle w:val="Heading3"/>
      </w:pPr>
      <w:r>
        <w:t xml:space="preserve">35.9.2 Flux measurement — eddy covariance over forest canopies</w:t>
      </w:r>
    </w:p>
    <w:p>
      <w:pPr>
        <w:pStyle w:val="FirstParagraph"/>
      </w:pPr>
      <w:r>
        <w:t xml:space="preserve">Net Ecosystem Exchange (NEE) of CO2 over forest ecosystems is measured using the same eddy-covariance principle described in the relevant chapter, with towers mounted well above the canopy top to ensure the sensor operates within the fully turbulent, horizontally homogeneous surface layer above the roughness sub-layer created by individual tree crowns. NEE is partitioned into</w:t>
      </w:r>
      <w:r>
        <w:t xml:space="preserve"> </w:t>
      </w:r>
      <w:r>
        <w:rPr>
          <w:bCs/>
          <w:b/>
        </w:rPr>
        <w:t xml:space="preserve">Gross Primary Productivity (GPP)</w:t>
      </w:r>
      <w:r>
        <w:t xml:space="preserve"> </w:t>
      </w:r>
      <w:r>
        <w:t xml:space="preserve">and</w:t>
      </w:r>
      <w:r>
        <w:t xml:space="preserve"> </w:t>
      </w:r>
      <w:r>
        <w:rPr>
          <w:bCs/>
          <w:b/>
        </w:rPr>
        <w:t xml:space="preserve">ecosystem respiration (Reco)</w:t>
      </w:r>
      <w:r>
        <w:t xml:space="preserve"> </w:t>
      </w:r>
      <w:r>
        <w:t xml:space="preserve">using standard flux-partitioning methods (nighttime-respiration extrapolation or light-response-curve fitting, as introduced in the relevant chapter), directly supporting</w:t>
      </w:r>
      <w:r>
        <w:t xml:space="preserve"> </w:t>
      </w:r>
      <w:r>
        <w:rPr>
          <w:bCs/>
          <w:b/>
        </w:rPr>
        <w:t xml:space="preserve">forest productivity assessment</w:t>
      </w:r>
      <w:r>
        <w:t xml:space="preserve"> </w:t>
      </w:r>
      <w:r>
        <w:t xml:space="preserve">and providing the ground-validation flux data against which satellite-derived GPP products (e.g., SIF-based GPP, Chapter 2, Section 2.1.4, and light-use-efficiency-model GPP) are calibrated.</w:t>
      </w:r>
    </w:p>
    <w:p>
      <w:pPr>
        <w:pStyle w:val="Heading2"/>
      </w:pPr>
      <w:r>
        <w:t xml:space="preserve">35.10 Climate Change Impact on Forests and Species Distribution Modelling</w:t>
      </w:r>
    </w:p>
    <w:p>
      <w:pPr>
        <w:pStyle w:val="FirstParagraph"/>
      </w:pPr>
      <w:r>
        <w:t xml:space="preserve">IIRS forest-ecology research on climate-change impact combines</w:t>
      </w:r>
      <w:r>
        <w:t xml:space="preserve"> </w:t>
      </w:r>
      <w:r>
        <w:rPr>
          <w:bCs/>
          <w:b/>
        </w:rPr>
        <w:t xml:space="preserve">species distribution modelling (SDM)</w:t>
      </w:r>
      <w:r>
        <w:t xml:space="preserve"> </w:t>
      </w:r>
      <w:r>
        <w:t xml:space="preserve">— statistical/machine-learning models (e.g., MaxEnt, generalised linear/additive models, random forests) relating current species occurrence records to a suite of environmental predictor layers (climate variables, terrain, soil, remote-sensing-derived vegetation/productivity indices) to characterise a species’ realised environmental niche, then projecting that fitted niche model onto future climate-scenario predictor layers to forecast potential future distribution shifts — with</w:t>
      </w:r>
      <w:r>
        <w:t xml:space="preserve"> </w:t>
      </w:r>
      <w:r>
        <w:rPr>
          <w:bCs/>
          <w:b/>
        </w:rPr>
        <w:t xml:space="preserve">plant invasion risk modelling</w:t>
      </w:r>
      <w:r>
        <w:t xml:space="preserve">, an application of the same SDM methodology to invasive species, predicting which currently uninvaded areas are climatically/environmentally suitable for future invasion, informing early-intervention prioritisation. Collectively, these studies model</w:t>
      </w:r>
      <w:r>
        <w:t xml:space="preserve"> </w:t>
      </w:r>
      <w:r>
        <w:rPr>
          <w:bCs/>
          <w:b/>
        </w:rPr>
        <w:t xml:space="preserve">species loss and changes in plant-community composition</w:t>
      </w:r>
      <w:r>
        <w:t xml:space="preserve"> </w:t>
      </w:r>
      <w:r>
        <w:t xml:space="preserve">under projected climate scenarios, integrated with the ecosystem-vulnerability framework above.</w:t>
      </w:r>
    </w:p>
    <w:p>
      <w:pPr>
        <w:pStyle w:val="Heading2"/>
      </w:pPr>
      <w:r>
        <w:t xml:space="preserve">35.11 Ecological and Wildlife Corridor Modelling and Connectivity Analysis</w:t>
      </w:r>
    </w:p>
    <w:p>
      <w:pPr>
        <w:pStyle w:val="FirstParagraph"/>
      </w:pPr>
      <w:r>
        <w:t xml:space="preserve">Wildlife corridor/connectivity modelling uses</w:t>
      </w:r>
      <w:r>
        <w:t xml:space="preserve"> </w:t>
      </w:r>
      <w:r>
        <w:rPr>
          <w:bCs/>
          <w:b/>
        </w:rPr>
        <w:t xml:space="preserve">landscape-resistance-surface</w:t>
      </w:r>
      <w:r>
        <w:t xml:space="preserve"> </w:t>
      </w:r>
      <w:r>
        <w:t xml:space="preserve">analysis — assigning each landscape grid cell a</w:t>
      </w:r>
      <w:r>
        <w:t xml:space="preserve"> </w:t>
      </w:r>
      <w:r>
        <w:t xml:space="preserve">“</w:t>
      </w:r>
      <w:r>
        <w:t xml:space="preserve">resistance</w:t>
      </w:r>
      <w:r>
        <w:t xml:space="preserve">”</w:t>
      </w:r>
      <w:r>
        <w:t xml:space="preserve"> </w:t>
      </w:r>
      <w:r>
        <w:t xml:space="preserve">value reflecting how difficult/costly it is for a target species to move through that cell (based on land-cover type, human disturbance, terrain), then applying</w:t>
      </w:r>
      <w:r>
        <w:t xml:space="preserve"> </w:t>
      </w:r>
      <w:r>
        <w:rPr>
          <w:bCs/>
          <w:b/>
        </w:rPr>
        <w:t xml:space="preserve">least-cost-path</w:t>
      </w:r>
      <w:r>
        <w:t xml:space="preserve"> </w:t>
      </w:r>
      <w:r>
        <w:t xml:space="preserve">or</w:t>
      </w:r>
      <w:r>
        <w:t xml:space="preserve"> </w:t>
      </w:r>
      <w:r>
        <w:rPr>
          <w:bCs/>
          <w:b/>
        </w:rPr>
        <w:t xml:space="preserve">circuit-theory-based</w:t>
      </w:r>
      <w:r>
        <w:t xml:space="preserve"> </w:t>
      </w:r>
      <w:r>
        <w:t xml:space="preserve">(treating the landscape as an electrical-resistance network, where current-flow analogues represent the probability/intensity of animal movement across all possible paths, not just the single least-cost path) connectivity algorithms to identify optimal corridor routes linking core habitat patches — directly supporting wildlife management-plan preparation and protected-area-network design by identifying where habitat fragmentation most critically severs population connectivity.</w:t>
      </w:r>
    </w:p>
    <w:p>
      <w:pPr>
        <w:pStyle w:val="Heading2"/>
      </w:pPr>
      <w:r>
        <w:t xml:space="preserve">35.12 Community-Level Biodiversity Characterisation</w:t>
      </w:r>
    </w:p>
    <w:p>
      <w:pPr>
        <w:pStyle w:val="FirstParagraph"/>
      </w:pPr>
      <w:r>
        <w:t xml:space="preserve">The</w:t>
      </w:r>
      <w:r>
        <w:t xml:space="preserve"> </w:t>
      </w:r>
      <w:r>
        <w:rPr>
          <w:bCs/>
          <w:b/>
        </w:rPr>
        <w:t xml:space="preserve">Biodiversity Characterisation at Landscape/Community Level</w:t>
      </w:r>
      <w:r>
        <w:t xml:space="preserve"> </w:t>
      </w:r>
      <w:r>
        <w:t xml:space="preserve">programme (a long-running DBT–DOS, Department of Biotechnology–Department of Space, collaborative national programme) maps</w:t>
      </w:r>
      <w:r>
        <w:t xml:space="preserve"> </w:t>
      </w:r>
      <w:r>
        <w:rPr>
          <w:bCs/>
          <w:b/>
        </w:rPr>
        <w:t xml:space="preserve">vegetation-type/community distribution, species richness/diversity indicators, and disturbance regime</w:t>
      </w:r>
      <w:r>
        <w:t xml:space="preserve"> </w:t>
      </w:r>
      <w:r>
        <w:t xml:space="preserve">across India’s biogeographic zones by combining high-resolution satellite classification (vegetation-type/community-level mapping, distinguished from simple land-cover classification by its finer floristic-community resolution, informed by extensive field-plot floristic sampling) with landscape-level fragmentation, porosity and disturbance-index metrics computed from spatial pattern analysis of the vegetation-type map, producing a spatially explicit national biodiversity-characterisation database used for conservation-priority-area identification and protected-area-network gap analysis.</w:t>
      </w:r>
    </w:p>
    <w:p>
      <w:pPr>
        <w:pStyle w:val="Heading2"/>
      </w:pPr>
      <w:r>
        <w:t xml:space="preserve">35.13 Forest Carbon Sequestration Studies</w:t>
      </w:r>
    </w:p>
    <w:p>
      <w:pPr>
        <w:pStyle w:val="FirstParagraph"/>
      </w:pPr>
      <w:r>
        <w:t xml:space="preserve">Forest carbon-sequestration assessment integrates the above-ground/below-ground biomass-carbon-pool estimation with periodic (multi-date) remeasurement to estimate the</w:t>
      </w:r>
      <w:r>
        <w:t xml:space="preserve"> </w:t>
      </w:r>
      <w:r>
        <w:rPr>
          <w:bCs/>
          <w:b/>
        </w:rPr>
        <w:t xml:space="preserve">net carbon sequestration rate</w:t>
      </w:r>
      <w:r>
        <w:t xml:space="preserve"> </w:t>
      </w:r>
      <w:r>
        <w:t xml:space="preserve">(change in carbon stock per unit time), supporting India’s</w:t>
      </w:r>
      <w:r>
        <w:t xml:space="preserve"> </w:t>
      </w:r>
      <w:r>
        <w:rPr>
          <w:bCs/>
          <w:b/>
        </w:rPr>
        <w:t xml:space="preserve">REDD+</w:t>
      </w:r>
      <w:r>
        <w:t xml:space="preserve"> </w:t>
      </w:r>
      <w:r>
        <w:t xml:space="preserve">(Reducing Emissions from Deforestation and forest Degradation,</w:t>
      </w:r>
      <w:r>
        <w:t xml:space="preserve"> </w:t>
      </w:r>
      <w:r>
        <w:t xml:space="preserve">“</w:t>
      </w:r>
      <w:r>
        <w:t xml:space="preserve">plus</w:t>
      </w:r>
      <w:r>
        <w:t xml:space="preserve">”</w:t>
      </w:r>
      <w:r>
        <w:t xml:space="preserve"> </w:t>
      </w:r>
      <w:r>
        <w:t xml:space="preserve">conservation/sustainable-management/enhancement of forest carbon stocks) reporting obligations and national greenhouse-gas-inventory forestry-sector estimation, complementing the soil-carbon component of the National Carbon Project.</w:t>
      </w:r>
    </w:p>
    <w:p>
      <w:pPr>
        <w:pStyle w:val="Heading2"/>
      </w:pPr>
      <w:r>
        <w:t xml:space="preserve">35.14 Forest Cover and Growing Stock Assessment — the Biennial State of Forest Report Methodology</w:t>
      </w:r>
    </w:p>
    <w:p>
      <w:pPr>
        <w:pStyle w:val="FirstParagraph"/>
      </w:pPr>
      <w:r>
        <w:t xml:space="preserve">India’s biennial</w:t>
      </w:r>
      <w:r>
        <w:t xml:space="preserve"> </w:t>
      </w:r>
      <w:r>
        <w:rPr>
          <w:bCs/>
          <w:b/>
        </w:rPr>
        <w:t xml:space="preserve">State of Forest Report</w:t>
      </w:r>
      <w:r>
        <w:t xml:space="preserve"> </w:t>
      </w:r>
      <w:r>
        <w:t xml:space="preserve">(prepared by the Forest Survey of India, an organisation distinct from ISRO/DoS but a major consumer/collaborator of ISRO satellite data and methodology) classifies forest cover using a</w:t>
      </w:r>
      <w:r>
        <w:t xml:space="preserve"> </w:t>
      </w:r>
      <w:r>
        <w:rPr>
          <w:bCs/>
          <w:b/>
        </w:rPr>
        <w:t xml:space="preserve">canopy-density-threshold approach</w:t>
      </w:r>
      <w:r>
        <w:t xml:space="preserve"> </w:t>
      </w:r>
      <w:r>
        <w:t xml:space="preserve">applied to moderate-resolution (historically LISS-III-class, now increasingly supplemented by finer-resolution data) satellite imagery:</w:t>
      </w:r>
      <w:r>
        <w:t xml:space="preserve"> </w:t>
      </w:r>
      <w:r>
        <w:rPr>
          <w:bCs/>
          <w:b/>
        </w:rPr>
        <w:t xml:space="preserve">Very Dense Forest</w:t>
      </w:r>
      <w:r>
        <w:t xml:space="preserve"> </w:t>
      </w:r>
      <w:r>
        <w:t xml:space="preserve">(canopy density ≥70%),</w:t>
      </w:r>
      <w:r>
        <w:t xml:space="preserve"> </w:t>
      </w:r>
      <w:r>
        <w:rPr>
          <w:bCs/>
          <w:b/>
        </w:rPr>
        <w:t xml:space="preserve">Moderately Dense Forest</w:t>
      </w:r>
      <w:r>
        <w:t xml:space="preserve"> </w:t>
      </w:r>
      <w:r>
        <w:t xml:space="preserve">(40–70%),</w:t>
      </w:r>
      <w:r>
        <w:t xml:space="preserve"> </w:t>
      </w:r>
      <w:r>
        <w:rPr>
          <w:bCs/>
          <w:b/>
        </w:rPr>
        <w:t xml:space="preserve">Open Forest</w:t>
      </w:r>
      <w:r>
        <w:t xml:space="preserve"> </w:t>
      </w:r>
      <w:r>
        <w:t xml:space="preserve">(10–40%), and</w:t>
      </w:r>
      <w:r>
        <w:t xml:space="preserve"> </w:t>
      </w:r>
      <w:r>
        <w:rPr>
          <w:bCs/>
          <w:b/>
        </w:rPr>
        <w:t xml:space="preserve">Scrub</w:t>
      </w:r>
      <w:r>
        <w:t xml:space="preserve"> </w:t>
      </w:r>
      <w:r>
        <w:t xml:space="preserve">(&lt;10% canopy density but with forest-land-use character) — canopy density itself estimated via supervised classification calibrated against field-measured canopy-cover reference plots, with the classification periodically cross-validated against high-resolution imagery and field inventory.</w:t>
      </w:r>
      <w:r>
        <w:t xml:space="preserve"> </w:t>
      </w:r>
      <w:r>
        <w:rPr>
          <w:bCs/>
          <w:b/>
        </w:rPr>
        <w:t xml:space="preserve">Growing stock</w:t>
      </w:r>
      <w:r>
        <w:t xml:space="preserve"> </w:t>
      </w:r>
      <w:r>
        <w:t xml:space="preserve">(the standing wood volume in a forest, expressed as m³/ha) is estimated by combining this remote-sensing forest-cover/density stratification with</w:t>
      </w:r>
      <w:r>
        <w:t xml:space="preserve"> </w:t>
      </w:r>
      <w:r>
        <w:rPr>
          <w:bCs/>
          <w:b/>
        </w:rPr>
        <w:t xml:space="preserve">field-based volume-equation</w:t>
      </w:r>
      <w:r>
        <w:t xml:space="preserve"> </w:t>
      </w:r>
      <w:r>
        <w:t xml:space="preserve">sampling (species-specific allometric equations relating tree diameter-at-breast-height and height, measured in field sample plots, to individual-tree wood volume, aggregated to a per-hectare stocking density) — remote sensing here provides the spatial stratification and extrapolation framework, while the actual volume/biomass-per-unit-area calibration remains fundamentally field-plot-based, an important nuance paralleling the CCE-anchored rather than purely-remote-sensing-derived nature of India’s official crop-yield statistics: both domains use remote sensing primarily to extend and spatially distribute a necessarily limited number of accurate field measurements, not to wholly replace field measurement.</w:t>
      </w:r>
    </w:p>
    <w:p>
      <w:pPr>
        <w:pStyle w:val="Heading2"/>
      </w:pPr>
      <w:r>
        <w:t xml:space="preserve">35.15 Canopy Height Models from LiDAR Point Clouds</w:t>
      </w:r>
    </w:p>
    <w:p>
      <w:pPr>
        <w:pStyle w:val="FirstParagraph"/>
      </w:pPr>
      <w:r>
        <w:t xml:space="preserve">A practical extension of the LiDAR discussion in the relevant chapter: a</w:t>
      </w:r>
      <w:r>
        <w:t xml:space="preserve"> </w:t>
      </w:r>
      <w:r>
        <w:rPr>
          <w:bCs/>
          <w:b/>
        </w:rPr>
        <w:t xml:space="preserve">Canopy Height Model (CHM)</w:t>
      </w:r>
      <w:r>
        <w:t xml:space="preserve"> </w:t>
      </w:r>
      <w:r>
        <w:t xml:space="preserve">is derived by first classifying the raw LiDAR point cloud into</w:t>
      </w:r>
      <w:r>
        <w:t xml:space="preserve"> </w:t>
      </w:r>
      <w:r>
        <w:rPr>
          <w:bCs/>
          <w:b/>
        </w:rPr>
        <w:t xml:space="preserve">ground returns</w:t>
      </w:r>
      <w:r>
        <w:t xml:space="preserve"> </w:t>
      </w:r>
      <w:r>
        <w:t xml:space="preserve">(the last/lowest return in a given footprint, assumed to represent bare-earth terrain, used to interpolate a</w:t>
      </w:r>
      <w:r>
        <w:t xml:space="preserve"> </w:t>
      </w:r>
      <w:r>
        <w:rPr>
          <w:bCs/>
          <w:b/>
        </w:rPr>
        <w:t xml:space="preserve">Digital Terrain Model, DTM</w:t>
      </w:r>
      <w:r>
        <w:t xml:space="preserve">) and</w:t>
      </w:r>
      <w:r>
        <w:t xml:space="preserve"> </w:t>
      </w:r>
      <w:r>
        <w:rPr>
          <w:bCs/>
          <w:b/>
        </w:rPr>
        <w:t xml:space="preserve">non-ground (vegetation/canopy) returns</w:t>
      </w:r>
      <w:r>
        <w:t xml:space="preserve">; a</w:t>
      </w:r>
      <w:r>
        <w:t xml:space="preserve"> </w:t>
      </w:r>
      <w:r>
        <w:rPr>
          <w:bCs/>
          <w:b/>
        </w:rPr>
        <w:t xml:space="preserve">Digital Surface Model (DSM)</w:t>
      </w:r>
      <w:r>
        <w:t xml:space="preserve"> </w:t>
      </w:r>
      <w:r>
        <w:t xml:space="preserve">is then interpolated from the highest return in each footprint (representing the top of whatever surface — canopy, building, terrain — first intercepted the laser pulse); and the CHM is computed simply as</w:t>
      </w:r>
      <w:r>
        <w:t xml:space="preserve"> </w:t>
      </w:r>
      <w:r>
        <w:rPr>
          <w:bCs/>
          <w:b/>
        </w:rPr>
        <w:t xml:space="preserve">CHM = DSM − DTM</w:t>
      </w:r>
      <w:r>
        <w:t xml:space="preserve">, giving the height of vegetation (or built structures) above the actual bare-ground terrain at every point — the direct three-dimensional-structure product referenced generically in the relevant chapter, and the practical computational route by which airborne/spaceborne LiDAR (and, prospectively, photon-counting LiDAR missions such as NASA’s GEDI, whose data is increasingly used alongside the sensor-synergy approach of the relevant chapter) delivers individual-tree or stand-level canopy-height information for biomass-model calibration.</w:t>
      </w:r>
    </w:p>
    <w:p>
      <w:pPr>
        <w:pStyle w:val="Heading1"/>
      </w:pPr>
      <w:r>
        <w:t xml:space="preserve">Chapter 36. Forest Fire and Forest Degradation Assessment</w:t>
      </w:r>
    </w:p>
    <w:p>
      <w:pPr>
        <w:pStyle w:val="Heading2"/>
      </w:pPr>
      <w:r>
        <w:t xml:space="preserve">36.1 Forest Fires: Nature, Types and Impacts</w:t>
      </w:r>
    </w:p>
    <w:p>
      <w:pPr>
        <w:pStyle w:val="FirstParagraph"/>
      </w:pPr>
      <w:r>
        <w:t xml:space="preserve">Fire has shaped landscape structure, species composition and nutrient cycling for millennia, and initiates natural vegetation succession — but uncontrolled or misused fire causes severe environmental and socio-economic damage. In India (forest cover ~21–22% of geographical area), forest fires are a major cause of forest degradation: Forest Survey of India data indicate that a large share of forest area is fire-prone, with severe/frequent fire affecting ~6% of forests; ~90% of fires are human-caused (shifting cultivation, clearing for grazing and minor forest produce collection, carelessness, land-use conversion). Losses include timber and increment, biodiversity, soil fertility and moisture, water sources, wildlife habitat, livelihoods (~65 million tribal people depend on non-timber forest products), and carbon.</w:t>
      </w:r>
    </w:p>
    <w:p>
      <w:pPr>
        <w:pStyle w:val="BodyText"/>
      </w:pPr>
      <w:r>
        <w:rPr>
          <w:bCs/>
          <w:b/>
        </w:rPr>
        <w:t xml:space="preserve">Fire triangle:</w:t>
      </w:r>
      <w:r>
        <w:t xml:space="preserve"> </w:t>
      </w:r>
      <w:r>
        <w:t xml:space="preserve">fuel + heat + oxygen; fire behaviour is controlled by</w:t>
      </w:r>
      <w:r>
        <w:t xml:space="preserve"> </w:t>
      </w:r>
      <w:r>
        <w:rPr>
          <w:bCs/>
          <w:b/>
        </w:rPr>
        <w:t xml:space="preserve">fuel</w:t>
      </w:r>
      <w:r>
        <w:t xml:space="preserve"> </w:t>
      </w:r>
      <w:r>
        <w:t xml:space="preserve">(type, load, moisture, continuity),</w:t>
      </w:r>
      <w:r>
        <w:t xml:space="preserve"> </w:t>
      </w:r>
      <w:r>
        <w:rPr>
          <w:bCs/>
          <w:b/>
        </w:rPr>
        <w:t xml:space="preserve">weather</w:t>
      </w:r>
      <w:r>
        <w:t xml:space="preserve"> </w:t>
      </w:r>
      <w:r>
        <w:t xml:space="preserve">(temperature, humidity, wind, drought) and</w:t>
      </w:r>
      <w:r>
        <w:t xml:space="preserve"> </w:t>
      </w:r>
      <w:r>
        <w:rPr>
          <w:bCs/>
          <w:b/>
        </w:rPr>
        <w:t xml:space="preserve">topography</w:t>
      </w:r>
      <w:r>
        <w:t xml:space="preserve"> </w:t>
      </w:r>
      <w:r>
        <w:t xml:space="preserve">(slope speeds upslope spread; south/south-west-facing aspects drier).</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Fire type</w:t>
            </w:r>
          </w:p>
        </w:tc>
        <w:tc>
          <w:tcPr/>
          <w:p>
            <w:pPr>
              <w:pStyle w:val="Compact"/>
              <w:jc w:val="left"/>
            </w:pPr>
            <w:r>
              <w:t xml:space="preserve">Where it burns</w:t>
            </w:r>
          </w:p>
        </w:tc>
        <w:tc>
          <w:tcPr/>
          <w:p>
            <w:pPr>
              <w:pStyle w:val="Compact"/>
              <w:jc w:val="left"/>
            </w:pPr>
            <w:r>
              <w:t xml:space="preserve">Occurrence</w:t>
            </w:r>
          </w:p>
        </w:tc>
      </w:tr>
      <w:tr>
        <w:tc>
          <w:tcPr/>
          <w:p>
            <w:pPr>
              <w:pStyle w:val="Compact"/>
              <w:jc w:val="left"/>
            </w:pPr>
            <w:r>
              <w:rPr>
                <w:bCs/>
                <w:b/>
              </w:rPr>
              <w:t xml:space="preserve">Ground fire</w:t>
            </w:r>
          </w:p>
        </w:tc>
        <w:tc>
          <w:tcPr/>
          <w:p>
            <w:pPr>
              <w:pStyle w:val="Compact"/>
              <w:jc w:val="left"/>
            </w:pPr>
            <w:r>
              <w:t xml:space="preserve">Humus and peat layers below litter; intense heat, little flame</w:t>
            </w:r>
          </w:p>
        </w:tc>
        <w:tc>
          <w:tcPr/>
          <w:p>
            <w:pPr>
              <w:pStyle w:val="Compact"/>
              <w:jc w:val="left"/>
            </w:pPr>
            <w:r>
              <w:t xml:space="preserve">Rare; high-altitude fir/spruce forests</w:t>
            </w:r>
          </w:p>
        </w:tc>
      </w:tr>
      <w:tr>
        <w:tc>
          <w:tcPr/>
          <w:p>
            <w:pPr>
              <w:pStyle w:val="Compact"/>
              <w:jc w:val="left"/>
            </w:pPr>
            <w:r>
              <w:rPr>
                <w:bCs/>
                <w:b/>
              </w:rPr>
              <w:t xml:space="preserve">Surface fire</w:t>
            </w:r>
          </w:p>
        </w:tc>
        <w:tc>
          <w:tcPr/>
          <w:p>
            <w:pPr>
              <w:pStyle w:val="Compact"/>
              <w:jc w:val="left"/>
            </w:pPr>
            <w:r>
              <w:t xml:space="preserve">Litter, ground cover, shrubs, regeneration</w:t>
            </w:r>
          </w:p>
        </w:tc>
        <w:tc>
          <w:tcPr/>
          <w:p>
            <w:pPr>
              <w:pStyle w:val="Compact"/>
              <w:jc w:val="left"/>
            </w:pPr>
            <w:r>
              <w:rPr>
                <w:bCs/>
                <w:b/>
              </w:rPr>
              <w:t xml:space="preserve">Most common</w:t>
            </w:r>
            <w:r>
              <w:t xml:space="preserve"> </w:t>
            </w:r>
            <w:r>
              <w:t xml:space="preserve">in all fire-prone Indian forests (dry deciduous, sal, teak)</w:t>
            </w:r>
          </w:p>
        </w:tc>
      </w:tr>
      <w:tr>
        <w:tc>
          <w:tcPr/>
          <w:p>
            <w:pPr>
              <w:pStyle w:val="Compact"/>
              <w:jc w:val="left"/>
            </w:pPr>
            <w:r>
              <w:rPr>
                <w:bCs/>
                <w:b/>
              </w:rPr>
              <w:t xml:space="preserve">Crown fire</w:t>
            </w:r>
          </w:p>
        </w:tc>
        <w:tc>
          <w:tcPr/>
          <w:p>
            <w:pPr>
              <w:pStyle w:val="Compact"/>
              <w:jc w:val="left"/>
            </w:pPr>
            <w:r>
              <w:t xml:space="preserve">Tree crowns, consuming foliage and usually killing trees</w:t>
            </w:r>
          </w:p>
        </w:tc>
        <w:tc>
          <w:tcPr/>
          <w:p>
            <w:pPr>
              <w:pStyle w:val="Compact"/>
              <w:jc w:val="left"/>
            </w:pPr>
            <w:r>
              <w:t xml:space="preserve">Low-level coniferous (chir pine) forests of the Siwaliks and Himalaya</w:t>
            </w:r>
          </w:p>
        </w:tc>
      </w:tr>
    </w:tbl>
    <w:p>
      <w:pPr>
        <w:pStyle w:val="BodyText"/>
      </w:pPr>
      <w:r>
        <w:rPr>
          <w:bCs/>
          <w:b/>
        </w:rPr>
        <w:t xml:space="preserve">Fire seasons in India:</w:t>
      </w:r>
      <w:r>
        <w:t xml:space="preserve"> </w:t>
      </w:r>
      <w:r>
        <w:t xml:space="preserve">February–June overall; northern plains Feb–Jun; northern hills Apr–Jun (major Himalayan fires 1995, 2016, 2021); southern India Jan–May. Vulnerability: coniferous and dry deciduous forests most prone; NE India high occurrence due to jhum.</w:t>
      </w:r>
    </w:p>
    <w:p>
      <w:pPr>
        <w:pStyle w:val="BodyText"/>
      </w:pPr>
      <w:r>
        <w:rPr>
          <w:bCs/>
          <w:b/>
        </w:rPr>
        <w:t xml:space="preserve">Global and atmospheric impacts:</w:t>
      </w:r>
      <w:r>
        <w:t xml:space="preserve"> </w:t>
      </w:r>
      <w:r>
        <w:t xml:space="preserve">biomass burning contributes large fractions of gross CO₂, CO, CH₄, NOx, tropospheric ozone precursors, methyl chloride and black/organic carbon aerosols; savanna burning (Africa — the</w:t>
      </w:r>
      <w:r>
        <w:t xml:space="preserve"> </w:t>
      </w:r>
      <w:r>
        <w:t xml:space="preserve">“</w:t>
      </w:r>
      <w:r>
        <w:t xml:space="preserve">burn centre</w:t>
      </w:r>
      <w:r>
        <w:t xml:space="preserve">”</w:t>
      </w:r>
      <w:r>
        <w:t xml:space="preserve"> </w:t>
      </w:r>
      <w:r>
        <w:t xml:space="preserve">of the planet) dominates global burned biomass (~3.7 Pg dry matter yr⁻¹ of ~8.7 Pg total; ~3.9 Pg C yr⁻¹ released). Large fire episodes (Indonesia 1997–98) caused</w:t>
      </w:r>
      <w:r>
        <w:t xml:space="preserve"> </w:t>
      </w:r>
      <w:r>
        <w:rPr>
          <w:bCs/>
          <w:b/>
        </w:rPr>
        <w:t xml:space="preserve">transboundary haze</w:t>
      </w:r>
      <w:r>
        <w:t xml:space="preserve"> </w:t>
      </w:r>
      <w:r>
        <w:t xml:space="preserve">affecting health of millions in South-East Asia, prompting</w:t>
      </w:r>
      <w:r>
        <w:t xml:space="preserve"> </w:t>
      </w:r>
      <w:r>
        <w:rPr>
          <w:bCs/>
          <w:b/>
        </w:rPr>
        <w:t xml:space="preserve">ASEAN</w:t>
      </w:r>
      <w:r>
        <w:t xml:space="preserve"> </w:t>
      </w:r>
      <w:r>
        <w:t xml:space="preserve">cooperation (haze agreements, fire danger rating systems based on the Canadian Forest Fire Danger Rating System — FFMC, DMC, ISI indices).</w:t>
      </w:r>
    </w:p>
    <w:p>
      <w:pPr>
        <w:pStyle w:val="Heading2"/>
      </w:pPr>
      <w:r>
        <w:t xml:space="preserve">36.2 Remote Sensing for Fire Management — Four Stages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Information needed</w:t>
            </w:r>
          </w:p>
        </w:tc>
        <w:tc>
          <w:tcPr/>
          <w:p>
            <w:pPr>
              <w:pStyle w:val="Compact"/>
              <w:jc w:val="left"/>
            </w:pPr>
            <w:r>
              <w:t xml:space="preserve">Sensors / methods</w:t>
            </w:r>
          </w:p>
        </w:tc>
      </w:tr>
      <w:tr>
        <w:tc>
          <w:tcPr/>
          <w:p>
            <w:pPr>
              <w:pStyle w:val="Compact"/>
              <w:jc w:val="left"/>
            </w:pPr>
            <w:r>
              <w:rPr>
                <w:bCs/>
                <w:b/>
              </w:rPr>
              <w:t xml:space="preserve">1. Fire potential / risk</w:t>
            </w:r>
          </w:p>
        </w:tc>
        <w:tc>
          <w:tcPr/>
          <w:p>
            <w:pPr>
              <w:pStyle w:val="Compact"/>
              <w:jc w:val="left"/>
            </w:pPr>
            <w:r>
              <w:t xml:space="preserve">Fuel type and load (land-cover map), live fuel moisture (vegetation vigour), dead fuel moisture (weather)</w:t>
            </w:r>
          </w:p>
        </w:tc>
        <w:tc>
          <w:tcPr/>
          <w:p>
            <w:pPr>
              <w:pStyle w:val="Compact"/>
              <w:jc w:val="left"/>
            </w:pPr>
            <w:r>
              <w:t xml:space="preserve">High-resolution land cover (IRS LISS, Landsat, Sentinel-2); NDVI/NDWI time series (AVHRR, MODIS, WiFS/AWiFS); weather data; fire danger indices</w:t>
            </w:r>
          </w:p>
        </w:tc>
      </w:tr>
      <w:tr>
        <w:tc>
          <w:tcPr/>
          <w:p>
            <w:pPr>
              <w:pStyle w:val="Compact"/>
              <w:jc w:val="left"/>
            </w:pPr>
            <w:r>
              <w:rPr>
                <w:bCs/>
                <w:b/>
              </w:rPr>
              <w:t xml:space="preserve">2. Fire detection</w:t>
            </w:r>
          </w:p>
        </w:tc>
        <w:tc>
          <w:tcPr/>
          <w:p>
            <w:pPr>
              <w:pStyle w:val="Compact"/>
              <w:jc w:val="left"/>
            </w:pPr>
            <w:r>
              <w:t xml:space="preserve">Location and time of active fires</w:t>
            </w:r>
          </w:p>
        </w:tc>
        <w:tc>
          <w:tcPr/>
          <w:p>
            <w:pPr>
              <w:pStyle w:val="Compact"/>
              <w:jc w:val="left"/>
            </w:pPr>
            <w:r>
              <w:t xml:space="preserve">Thermal/MIR hot-spot detection: AVHRR (3.7 µm),</w:t>
            </w:r>
            <w:r>
              <w:t xml:space="preserve"> </w:t>
            </w:r>
            <w:r>
              <w:rPr>
                <w:bCs/>
                <w:b/>
              </w:rPr>
              <w:t xml:space="preserve">MODIS (MOD14), VIIRS (375 m)</w:t>
            </w:r>
            <w:r>
              <w:t xml:space="preserve">, DMSP-OLS night lights, geostationary (INSAT-3D/3DR, GOES, Himawari); contextual algorithms comparing 3.7 µm and 11 µm brightness with background</w:t>
            </w:r>
          </w:p>
        </w:tc>
      </w:tr>
      <w:tr>
        <w:tc>
          <w:tcPr/>
          <w:p>
            <w:pPr>
              <w:pStyle w:val="Compact"/>
              <w:jc w:val="left"/>
            </w:pPr>
            <w:r>
              <w:rPr>
                <w:bCs/>
                <w:b/>
              </w:rPr>
              <w:t xml:space="preserve">3. Fire monitoring</w:t>
            </w:r>
          </w:p>
        </w:tc>
        <w:tc>
          <w:tcPr/>
          <w:p>
            <w:pPr>
              <w:pStyle w:val="Compact"/>
              <w:jc w:val="left"/>
            </w:pPr>
            <w:r>
              <w:t xml:space="preserve">Spread and active perimeter</w:t>
            </w:r>
          </w:p>
        </w:tc>
        <w:tc>
          <w:tcPr/>
          <w:p>
            <w:pPr>
              <w:pStyle w:val="Compact"/>
              <w:jc w:val="left"/>
            </w:pPr>
            <w:r>
              <w:t xml:space="preserve">Repeated satellite passes; airborne thermal IR for tactical suppression mapping</w:t>
            </w:r>
          </w:p>
        </w:tc>
      </w:tr>
      <w:tr>
        <w:tc>
          <w:tcPr/>
          <w:p>
            <w:pPr>
              <w:pStyle w:val="Compact"/>
              <w:jc w:val="left"/>
            </w:pPr>
            <w:r>
              <w:rPr>
                <w:bCs/>
                <w:b/>
              </w:rPr>
              <w:t xml:space="preserve">4. Post-fire assessment</w:t>
            </w:r>
          </w:p>
        </w:tc>
        <w:tc>
          <w:tcPr/>
          <w:p>
            <w:pPr>
              <w:pStyle w:val="Compact"/>
              <w:jc w:val="left"/>
            </w:pPr>
            <w:r>
              <w:t xml:space="preserve">Burned area, severity, recovery</w:t>
            </w:r>
          </w:p>
        </w:tc>
        <w:tc>
          <w:tcPr/>
          <w:p>
            <w:pPr>
              <w:pStyle w:val="Compact"/>
              <w:jc w:val="left"/>
            </w:pPr>
            <w:r>
              <w:t xml:space="preserve">Optical (dNBR from Landsat/Sentinel-2; burned-area products MCD64), SAR (fire scars in boreal forests, biomass regeneration), multi-resolution studies of regeneration and land-cover change</w:t>
            </w:r>
          </w:p>
        </w:tc>
      </w:tr>
    </w:tbl>
    <w:p>
      <w:pPr>
        <w:pStyle w:val="BodyText"/>
      </w:pPr>
      <w:r>
        <w:t xml:space="preserve">FSI’s</w:t>
      </w:r>
      <w:r>
        <w:t xml:space="preserve"> </w:t>
      </w:r>
      <w:r>
        <w:rPr>
          <w:bCs/>
          <w:b/>
        </w:rPr>
        <w:t xml:space="preserve">Forest Fire Alert System</w:t>
      </w:r>
      <w:r>
        <w:t xml:space="preserve"> </w:t>
      </w:r>
      <w:r>
        <w:t xml:space="preserve">uses MODIS and SNPP-VIIRS active fires (with NRSC) to send SMS/e-mail alerts to forest officials; NRSC Bhuvan provides fire products.</w:t>
      </w:r>
    </w:p>
    <w:p>
      <w:pPr>
        <w:pStyle w:val="Heading2"/>
      </w:pPr>
      <w:r>
        <w:t xml:space="preserve">36.3 GIS-Based Fire Risk Zonation</w:t>
      </w:r>
    </w:p>
    <w:p>
      <w:pPr>
        <w:pStyle w:val="FirstParagraph"/>
      </w:pPr>
      <w:r>
        <w:t xml:space="preserve">Fire risk is modelled as a weighted combination of factors, for example (Rajaji National Park studies, IIRS):</w:t>
      </w:r>
    </w:p>
    <w:p>
      <w:pPr>
        <w:pStyle w:val="BodyText"/>
      </w:pPr>
      <m:oMathPara>
        <m:oMathParaPr>
          <m:jc m:val="center"/>
        </m:oMathParaPr>
        <m:oMath>
          <m:r>
            <m:t>C</m:t>
          </m:r>
          <m:r>
            <m:t>F</m:t>
          </m:r>
          <m:r>
            <m:t>R</m:t>
          </m:r>
          <m:r>
            <m:t>I</m:t>
          </m:r>
          <m:r>
            <m:t>S</m:t>
          </m:r>
          <m:r>
            <m:t>K</m:t>
          </m:r>
          <m:r>
            <m:rPr>
              <m:sty m:val="p"/>
            </m:rPr>
            <m:t>=</m:t>
          </m:r>
          <m:r>
            <m:t>4</m:t>
          </m:r>
          <m:r>
            <m:t> </m:t>
          </m:r>
          <m:r>
            <m:t>F</m:t>
          </m:r>
          <m:r>
            <m:t>U</m:t>
          </m:r>
          <m:r>
            <m:t>I</m:t>
          </m:r>
          <m:r>
            <m:rPr>
              <m:sty m:val="p"/>
            </m:rPr>
            <m:t>+</m:t>
          </m:r>
          <m:r>
            <m:t>3</m:t>
          </m:r>
          <m:r>
            <m:t> </m:t>
          </m:r>
          <m:r>
            <m:t>A</m:t>
          </m:r>
          <m:r>
            <m:t>S</m:t>
          </m:r>
          <m:r>
            <m:t>I</m:t>
          </m:r>
          <m:r>
            <m:rPr>
              <m:sty m:val="p"/>
            </m:rPr>
            <m:t>+</m:t>
          </m:r>
          <m:r>
            <m:t>2</m:t>
          </m:r>
          <m:r>
            <m:t> </m:t>
          </m:r>
          <m:r>
            <m:t>S</m:t>
          </m:r>
          <m:r>
            <m:t>L</m:t>
          </m:r>
          <m:r>
            <m:t>I</m:t>
          </m:r>
          <m:r>
            <m:rPr>
              <m:sty m:val="p"/>
            </m:rPr>
            <m:t>+</m:t>
          </m:r>
          <m:r>
            <m:t>A</m:t>
          </m:r>
          <m:r>
            <m:t>C</m:t>
          </m:r>
          <m:r>
            <m:t>I</m:t>
          </m:r>
          <m:r>
            <m:rPr>
              <m:sty m:val="p"/>
            </m:rPr>
            <m:t>+</m:t>
          </m:r>
          <m:r>
            <m:t>E</m:t>
          </m:r>
          <m:r>
            <m:t>L</m:t>
          </m:r>
          <m:r>
            <m:t>I</m:t>
          </m:r>
        </m:oMath>
      </m:oMathPara>
    </w:p>
    <w:p>
      <w:pPr>
        <w:pStyle w:val="FirstParagraph"/>
      </w:pPr>
      <w:r>
        <w:t xml:space="preserve">(FUI fuel-type index from vegetation type/density, ASI aspect index, SLI slope index, ACI accessibility/distance to roads and settlements index, ELI elevation index; fuel weighted highest because of flammability, aspect next because sun-facing slopes dry fuels). Another formulation (Dholkhand range):</w:t>
      </w:r>
    </w:p>
    <w:p>
      <w:pPr>
        <w:pStyle w:val="BodyText"/>
      </w:pPr>
      <m:oMathPara>
        <m:oMathParaPr>
          <m:jc m:val="center"/>
        </m:oMathParaPr>
        <m:oMath>
          <m:r>
            <m:t>F</m:t>
          </m:r>
          <m:r>
            <m:t>R</m:t>
          </m:r>
          <m:r>
            <m:rPr>
              <m:sty m:val="p"/>
            </m:rPr>
            <m:t>=</m:t>
          </m:r>
          <m:r>
            <m:t>10</m:t>
          </m:r>
          <m:r>
            <m:t> </m:t>
          </m:r>
          <m:sSub>
            <m:e>
              <m:r>
                <m:t>V</m:t>
              </m:r>
            </m:e>
            <m:sub>
              <m:r>
                <m:t>i</m:t>
              </m:r>
            </m:sub>
          </m:sSub>
          <m:r>
            <m:t> </m:t>
          </m:r>
          <m:d>
            <m:dPr>
              <m:begChr m:val="("/>
              <m:endChr m:val=")"/>
              <m:sepChr m:val=""/>
              <m:grow/>
            </m:dPr>
            <m:e>
              <m:r>
                <m:t>5</m:t>
              </m:r>
              <m:sSub>
                <m:e>
                  <m:r>
                    <m:t>H</m:t>
                  </m:r>
                </m:e>
                <m:sub>
                  <m:r>
                    <m:t>j</m:t>
                  </m:r>
                </m:sub>
              </m:sSub>
              <m:r>
                <m:rPr>
                  <m:sty m:val="p"/>
                </m:rPr>
                <m:t>+</m:t>
              </m:r>
              <m:r>
                <m:t>5</m:t>
              </m:r>
              <m:sSub>
                <m:e>
                  <m:r>
                    <m:t>R</m:t>
                  </m:r>
                </m:e>
                <m:sub>
                  <m:r>
                    <m:t>k</m:t>
                  </m:r>
                </m:sub>
              </m:sSub>
              <m:r>
                <m:rPr>
                  <m:sty m:val="p"/>
                </m:rPr>
                <m:t>+</m:t>
              </m:r>
              <m:r>
                <m:t>3</m:t>
              </m:r>
              <m:sSub>
                <m:e>
                  <m:r>
                    <m:t>S</m:t>
                  </m:r>
                </m:e>
                <m:sub>
                  <m:r>
                    <m:t>l</m:t>
                  </m:r>
                </m:sub>
              </m:sSub>
            </m:e>
          </m:d>
        </m:oMath>
      </m:oMathPara>
    </w:p>
    <w:p>
      <w:pPr>
        <w:pStyle w:val="FirstParagraph"/>
      </w:pPr>
      <w:r>
        <w:t xml:space="preserve">(V vegetation class, H proximity to habitation, R roads/fire lines, S slope).</w:t>
      </w:r>
      <w:r>
        <w:t xml:space="preserve"> </w:t>
      </w:r>
      <w:r>
        <w:rPr>
          <w:bCs/>
          <w:b/>
        </w:rPr>
        <w:t xml:space="preserve">Gir protected area (Gujarat)</w:t>
      </w:r>
      <w:r>
        <w:t xml:space="preserve"> </w:t>
      </w:r>
      <w:r>
        <w:t xml:space="preserve">study: IRS LISS-III vegetation map, WiFS fire scars over several seasons, roads (proximity), temperature, humidity, rainfall, water bodies and settlements → multi-parametric weighted index → six risk zones; very high/high zones lay at PA fringes or within ~100 m of roads with temperature &gt; 40 °C and RH &lt; 35%.</w:t>
      </w:r>
    </w:p>
    <w:p>
      <w:pPr>
        <w:pStyle w:val="BodyText"/>
      </w:pPr>
      <w:r>
        <w:rPr>
          <w:bCs/>
          <w:b/>
        </w:rPr>
        <w:t xml:space="preserve">Response routing:</w:t>
      </w:r>
      <w:r>
        <w:t xml:space="preserve"> </w:t>
      </w:r>
      <w:r>
        <w:t xml:space="preserve">cost surfaces from vegetation type (non-directional cost) and DEM slope (directional cost) give least-cost</w:t>
      </w:r>
      <w:r>
        <w:t xml:space="preserve"> </w:t>
      </w:r>
      <w:r>
        <w:rPr>
          <w:bCs/>
          <w:b/>
        </w:rPr>
        <w:t xml:space="preserve">response routes</w:t>
      </w:r>
      <w:r>
        <w:t xml:space="preserve"> </w:t>
      </w:r>
      <w:r>
        <w:t xml:space="preserve">from range headquarters to high-risk zones (GIS path analysis).</w:t>
      </w:r>
    </w:p>
    <w:p>
      <w:pPr>
        <w:pStyle w:val="BodyText"/>
      </w:pPr>
      <w:r>
        <w:rPr>
          <w:bCs/>
          <w:b/>
        </w:rPr>
        <w:t xml:space="preserve">Burnt-area mapping example (Tehri Garhwal, 1995 fires):</w:t>
      </w:r>
      <w:r>
        <w:t xml:space="preserve"> </w:t>
      </w:r>
      <w:r>
        <w:t xml:space="preserve">IRS-1B LISS-II pre- and post-fire images; supervised MLC with enhanced composites (IR, NDVI, intensity) estimated ~20% of the district affected (burnt forest, partially burnt/active fire, burnt grass/scrub) with ~88% accuracy.</w:t>
      </w:r>
    </w:p>
    <w:p>
      <w:pPr>
        <w:pStyle w:val="CaptionedFigure"/>
      </w:pPr>
      <w:r>
        <w:drawing>
          <wp:inline>
            <wp:extent cx="5334000" cy="2867024"/>
            <wp:effectExtent b="0" l="0" r="0" t="0"/>
            <wp:docPr descr="GIS forest fire risk zonation and response planning" title="" id="123" name="Picture"/>
            <a:graphic>
              <a:graphicData uri="http://schemas.openxmlformats.org/drawingml/2006/picture">
                <pic:pic>
                  <pic:nvPicPr>
                    <pic:cNvPr descr="/tmp/claude-0/-home-user-sonu/ab07c29a-21cd-5a4a-9d2d-68ad72d07153/scratchpad/build/../flows/flow_027.png" id="124" name="Picture"/>
                    <pic:cNvPicPr>
                      <a:picLocks noChangeArrowheads="1" noChangeAspect="1"/>
                    </pic:cNvPicPr>
                  </pic:nvPicPr>
                  <pic:blipFill>
                    <a:blip r:embed="rId122"/>
                    <a:stretch>
                      <a:fillRect/>
                    </a:stretch>
                  </pic:blipFill>
                  <pic:spPr bwMode="auto">
                    <a:xfrm>
                      <a:off x="0" y="0"/>
                      <a:ext cx="5334000" cy="2867024"/>
                    </a:xfrm>
                    <a:prstGeom prst="rect">
                      <a:avLst/>
                    </a:prstGeom>
                    <a:noFill/>
                    <a:ln w="9525">
                      <a:noFill/>
                      <a:headEnd/>
                      <a:tailEnd/>
                    </a:ln>
                  </pic:spPr>
                </pic:pic>
              </a:graphicData>
            </a:graphic>
          </wp:inline>
        </w:drawing>
      </w:r>
    </w:p>
    <w:p>
      <w:pPr>
        <w:pStyle w:val="ImageCaption"/>
      </w:pPr>
      <w:r>
        <w:t xml:space="preserve">GIS forest fire risk zonation and response planning</w:t>
      </w:r>
    </w:p>
    <w:p>
      <w:pPr>
        <w:pStyle w:val="Heading2"/>
      </w:pPr>
      <w:r>
        <w:t xml:space="preserve">36.4 Forest Degradation Assessment</w:t>
      </w:r>
    </w:p>
    <w:p>
      <w:pPr>
        <w:pStyle w:val="Heading3"/>
      </w:pPr>
      <w:r>
        <w:t xml:space="preserve">36.4.1 Deforestation monitoring</w:t>
      </w:r>
    </w:p>
    <w:p>
      <w:pPr>
        <w:pStyle w:val="FirstParagraph"/>
      </w:pPr>
      <w:r>
        <w:t xml:space="preserve">Multi-date classification (forest types, non-forest) from Landsat/IRS reveals deforestation rates, links to population density and</w:t>
      </w:r>
      <w:r>
        <w:t xml:space="preserve"> </w:t>
      </w:r>
      <w:r>
        <w:rPr>
          <w:bCs/>
          <w:b/>
        </w:rPr>
        <w:t xml:space="preserve">jhum</w:t>
      </w:r>
      <w:r>
        <w:t xml:space="preserve"> </w:t>
      </w:r>
      <w:r>
        <w:t xml:space="preserve">(shifting cultivation slash-and-burn visible in imagery).</w:t>
      </w:r>
      <w:r>
        <w:t xml:space="preserve"> </w:t>
      </w:r>
      <w:r>
        <w:rPr>
          <w:bCs/>
          <w:b/>
        </w:rPr>
        <w:t xml:space="preserve">Example — Sonitpur district, Assam:</w:t>
      </w:r>
      <w:r>
        <w:t xml:space="preserve"> </w:t>
      </w:r>
      <w:r>
        <w:t xml:space="preserve">Landsat TM/IRS LISS-III (1994, 1999, 2001) showed loss of moist deciduous and semi-evergreen forests (~86.7 km² 1994–99; ~145 km² 1999–2001) — among the highest deforestation rates reported in the country, with loss of high-biodiversity moist deciduous forest.</w:t>
      </w:r>
    </w:p>
    <w:p>
      <w:pPr>
        <w:pStyle w:val="Heading3"/>
      </w:pPr>
      <w:r>
        <w:t xml:space="preserve">36.4.2 Forest canopy density (FCD) mapping — the biophysical model</w:t>
      </w:r>
    </w:p>
    <w:p>
      <w:pPr>
        <w:pStyle w:val="FirstParagraph"/>
      </w:pPr>
      <w:r>
        <w:t xml:space="preserve">The</w:t>
      </w:r>
      <w:r>
        <w:t xml:space="preserve"> </w:t>
      </w:r>
      <w:r>
        <w:rPr>
          <w:bCs/>
          <w:b/>
        </w:rPr>
        <w:t xml:space="preserve">FCD model</w:t>
      </w:r>
      <w:r>
        <w:t xml:space="preserve"> </w:t>
      </w:r>
      <w:r>
        <w:t xml:space="preserve">(ITTO–JOFCA; Rikimaru) derives canopy density (%) per pixel from four indices computed from Landsat TM/ETM+ (or similar):</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Index</w:t>
            </w:r>
          </w:p>
        </w:tc>
        <w:tc>
          <w:tcPr/>
          <w:p>
            <w:pPr>
              <w:pStyle w:val="Compact"/>
              <w:jc w:val="left"/>
            </w:pPr>
            <w:r>
              <w:t xml:space="preserve">Behaviour with increasing forest density</w:t>
            </w:r>
          </w:p>
        </w:tc>
      </w:tr>
      <w:tr>
        <w:tc>
          <w:tcPr/>
          <w:p>
            <w:pPr>
              <w:pStyle w:val="Compact"/>
              <w:jc w:val="left"/>
            </w:pPr>
            <w:r>
              <w:rPr>
                <w:bCs/>
                <w:b/>
              </w:rPr>
              <w:t xml:space="preserve">Advanced Vegetation Index (AVI)</w:t>
            </w:r>
          </w:p>
        </w:tc>
        <w:tc>
          <w:tcPr/>
          <w:p>
            <w:pPr>
              <w:pStyle w:val="Compact"/>
              <w:jc w:val="left"/>
            </w:pPr>
            <w:r>
              <w:t xml:space="preserve">Increases with vegetation quantity (sensitive, saturates early)</w:t>
            </w:r>
          </w:p>
        </w:tc>
      </w:tr>
      <w:tr>
        <w:tc>
          <w:tcPr/>
          <w:p>
            <w:pPr>
              <w:pStyle w:val="Compact"/>
              <w:jc w:val="left"/>
            </w:pPr>
            <w:r>
              <w:rPr>
                <w:bCs/>
                <w:b/>
              </w:rPr>
              <w:t xml:space="preserve">Bare Soil Index (BI)</w:t>
            </w:r>
          </w:p>
        </w:tc>
        <w:tc>
          <w:tcPr/>
          <w:p>
            <w:pPr>
              <w:pStyle w:val="Compact"/>
              <w:jc w:val="left"/>
            </w:pPr>
            <w:r>
              <w:t xml:space="preserve">Decreases (bare soil exposure)</w:t>
            </w:r>
          </w:p>
        </w:tc>
      </w:tr>
      <w:tr>
        <w:tc>
          <w:tcPr/>
          <w:p>
            <w:pPr>
              <w:pStyle w:val="Compact"/>
              <w:jc w:val="left"/>
            </w:pPr>
            <w:r>
              <w:rPr>
                <w:bCs/>
                <w:b/>
              </w:rPr>
              <w:t xml:space="preserve">Shadow Index (SI)</w:t>
            </w:r>
            <w:r>
              <w:t xml:space="preserve"> </w:t>
            </w:r>
            <w:r>
              <w:t xml:space="preserve">/ Scaled SI (SSI)</w:t>
            </w:r>
          </w:p>
        </w:tc>
        <w:tc>
          <w:tcPr/>
          <w:p>
            <w:pPr>
              <w:pStyle w:val="Compact"/>
              <w:jc w:val="left"/>
            </w:pPr>
            <w:r>
              <w:rPr>
                <w:bCs/>
                <w:b/>
              </w:rPr>
              <w:t xml:space="preserve">Increases with tree canopy</w:t>
            </w:r>
            <w:r>
              <w:t xml:space="preserve"> </w:t>
            </w:r>
            <w:r>
              <w:t xml:space="preserve">(tall trees cast shadow) — separates canopy from ground vegetation</w:t>
            </w:r>
          </w:p>
        </w:tc>
      </w:tr>
      <w:tr>
        <w:tc>
          <w:tcPr/>
          <w:p>
            <w:pPr>
              <w:pStyle w:val="Compact"/>
              <w:jc w:val="left"/>
            </w:pPr>
            <w:r>
              <w:rPr>
                <w:bCs/>
                <w:b/>
              </w:rPr>
              <w:t xml:space="preserve">Thermal Index (TI)</w:t>
            </w:r>
          </w:p>
        </w:tc>
        <w:tc>
          <w:tcPr/>
          <w:p>
            <w:pPr>
              <w:pStyle w:val="Compact"/>
              <w:jc w:val="left"/>
            </w:pPr>
            <w:r>
              <w:t xml:space="preserve">Decreases (canopy cools; bare dark soil warm)</w:t>
            </w:r>
          </w:p>
        </w:tc>
      </w:tr>
    </w:tbl>
    <w:p>
      <w:pPr>
        <w:pStyle w:val="BodyText"/>
      </w:pPr>
      <w:r>
        <w:t xml:space="preserve">Steps: VI and BI (highly negatively correlated) → principal-component combination →</w:t>
      </w:r>
      <w:r>
        <w:t xml:space="preserve"> </w:t>
      </w:r>
      <w:r>
        <w:rPr>
          <w:bCs/>
          <w:b/>
        </w:rPr>
        <w:t xml:space="preserve">vegetation density (VD)</w:t>
      </w:r>
      <w:r>
        <w:t xml:space="preserve">, scaled 0–100%; SI scaled to SSI (0–100); then</w:t>
      </w:r>
    </w:p>
    <w:p>
      <w:pPr>
        <w:pStyle w:val="BodyText"/>
      </w:pPr>
      <m:oMathPara>
        <m:oMathParaPr>
          <m:jc m:val="center"/>
        </m:oMathParaPr>
        <m:oMath>
          <m:r>
            <m:t>F</m:t>
          </m:r>
          <m:r>
            <m:t>C</m:t>
          </m:r>
          <m:r>
            <m:t>D</m:t>
          </m:r>
          <m:r>
            <m:rPr>
              <m:sty m:val="p"/>
            </m:rPr>
            <m:t>=</m:t>
          </m:r>
          <m:rad>
            <m:radPr>
              <m:degHide m:val="on"/>
            </m:radPr>
            <m:deg/>
            <m:e>
              <m:r>
                <m:t>V</m:t>
              </m:r>
              <m:r>
                <m:t>D</m:t>
              </m:r>
              <m:r>
                <m:rPr>
                  <m:sty m:val="p"/>
                </m:rPr>
                <m:t>×</m:t>
              </m:r>
              <m:r>
                <m:t>S</m:t>
              </m:r>
              <m:r>
                <m:t>S</m:t>
              </m:r>
              <m:r>
                <m:t>I</m:t>
              </m:r>
              <m:r>
                <m:rPr>
                  <m:sty m:val="p"/>
                </m:rPr>
                <m:t>+</m:t>
              </m:r>
              <m:r>
                <m:t>1</m:t>
              </m:r>
            </m:e>
          </m:rad>
          <m:r>
            <m:rPr>
              <m:sty m:val="p"/>
            </m:rPr>
            <m:t>−</m:t>
          </m:r>
          <m:r>
            <m:t>1</m:t>
          </m:r>
        </m:oMath>
      </m:oMathPara>
    </w:p>
    <w:p>
      <w:pPr>
        <w:pStyle w:val="FirstParagraph"/>
      </w:pPr>
      <w:r>
        <w:t xml:space="preserve">(integration of two percentage-scaled measures). In a Doon Valley study, FCD-mapper results (5 density classes: &gt; 80, 60–80, 40–60, 20–40, &lt; 20%) gave ~80% accuracy versus ~88% for object-based segmentation and ~72% for visual interpretation, with high correlation (r ≈ 0.95 with visual) and far less time and manpower.</w:t>
      </w:r>
      <w:r>
        <w:t xml:space="preserve"> </w:t>
      </w:r>
      <w:r>
        <w:rPr>
          <w:bCs/>
          <w:b/>
        </w:rPr>
        <w:t xml:space="preserve">Applications:</w:t>
      </w:r>
      <w:r>
        <w:t xml:space="preserve"> </w:t>
      </w:r>
      <w:r>
        <w:t xml:space="preserve">afforestation/gap planting priorities, rehabilitation of logged areas, working plans, wildlife habitat, disease/insect damage detection (e.g., sal heartwood borer infestation reduced canopy density between 1996 and 2002), timber extraction planning, and change detection (logging and reforestation).</w:t>
      </w:r>
    </w:p>
    <w:p>
      <w:pPr>
        <w:pStyle w:val="Heading3"/>
      </w:pPr>
      <w:r>
        <w:t xml:space="preserve">36.4.3 Likely interview questions</w:t>
      </w:r>
    </w:p>
    <w:p>
      <w:pPr>
        <w:pStyle w:val="FirstParagraph"/>
      </w:pPr>
      <w:r>
        <w:rPr>
          <w:bCs/>
          <w:b/>
        </w:rPr>
        <w:t xml:space="preserve">Q. Which spectral channel detects active fires and why?</w:t>
      </w:r>
      <w:r>
        <w:t xml:space="preserve"> </w:t>
      </w:r>
      <w:r>
        <w:t xml:space="preserve">~3.7–4 µm MIR — fire temperatures (800–1000 K) peak there (Wien), so sub-pixel fires sharply raise MIR radiance relative to 11 µm.</w:t>
      </w:r>
    </w:p>
    <w:p>
      <w:pPr>
        <w:pStyle w:val="BodyText"/>
      </w:pPr>
      <w:r>
        <w:rPr>
          <w:bCs/>
          <w:b/>
        </w:rPr>
        <w:t xml:space="preserve">Q. What factors and weights go into a fire-risk index?</w:t>
      </w:r>
      <w:r>
        <w:t xml:space="preserve"> </w:t>
      </w:r>
      <w:r>
        <w:t xml:space="preserve">Fuel type/density (highest), aspect, slope, proximity to roads/settlements, elevation, weather; combined by weighted overlay.</w:t>
      </w:r>
    </w:p>
    <w:p>
      <w:pPr>
        <w:pStyle w:val="BodyText"/>
      </w:pPr>
      <w:r>
        <w:rPr>
          <w:bCs/>
          <w:b/>
        </w:rPr>
        <w:t xml:space="preserve">Q. Explain the FCD model.</w:t>
      </w:r>
      <w:r>
        <w:t xml:space="preserve"> </w:t>
      </w:r>
      <w:r>
        <w:t xml:space="preserve">Combines AVI, BI, SI and TI; VD from VI–BI, SSI from shadow index; FCD = √(VD·SSI + 1) − 1.</w:t>
      </w:r>
    </w:p>
    <w:p>
      <w:pPr>
        <w:pStyle w:val="BodyText"/>
      </w:pPr>
      <w:r>
        <w:rPr>
          <w:bCs/>
          <w:b/>
        </w:rPr>
        <w:t xml:space="preserve">Q. What is dNBR?</w:t>
      </w:r>
      <w:r>
        <w:t xml:space="preserve"> </w:t>
      </w:r>
      <w:r>
        <w:t xml:space="preserve">Pre-fire minus post-fire Normalized Burn Ratio [(NIR − SWIR)/(NIR + SWIR)], a burn-severity measure.</w:t>
      </w:r>
    </w:p>
    <w:p>
      <w:pPr>
        <w:pStyle w:val="Heading2"/>
      </w:pPr>
      <w:r>
        <w:t xml:space="preserve">36.5 Ecosystem Vulnerability Assessment and Forest Fire Risk Modelling</w:t>
      </w:r>
    </w:p>
    <w:p>
      <w:pPr>
        <w:pStyle w:val="Heading3"/>
      </w:pPr>
      <w:r>
        <w:t xml:space="preserve">36.5.1 Vulnerability assessment framework</w:t>
      </w:r>
    </w:p>
    <w:p>
      <w:pPr>
        <w:pStyle w:val="FirstParagraph"/>
      </w:pPr>
      <w:r>
        <w:t xml:space="preserve">Ecosystem vulnerability is conventionally assessed within the IPCC framework as a function of three components —</w:t>
      </w:r>
      <w:r>
        <w:t xml:space="preserve"> </w:t>
      </w:r>
      <w:r>
        <w:rPr>
          <w:bCs/>
          <w:b/>
        </w:rPr>
        <w:t xml:space="preserve">Exposure</w:t>
      </w:r>
      <w:r>
        <w:t xml:space="preserve"> </w:t>
      </w:r>
      <w:r>
        <w:t xml:space="preserve">(magnitude of the climatic/anthropogenic stressor a given location experiences),</w:t>
      </w:r>
      <w:r>
        <w:t xml:space="preserve"> </w:t>
      </w:r>
      <w:r>
        <w:rPr>
          <w:bCs/>
          <w:b/>
        </w:rPr>
        <w:t xml:space="preserve">Sensitivity</w:t>
      </w:r>
      <w:r>
        <w:t xml:space="preserve"> </w:t>
      </w:r>
      <w:r>
        <w:t xml:space="preserve">(the degree to which the ecosystem’s structure/function is affected by a given exposure level, dependent on species composition, structural diversity, existing degradation status) and</w:t>
      </w:r>
      <w:r>
        <w:t xml:space="preserve"> </w:t>
      </w:r>
      <w:r>
        <w:rPr>
          <w:bCs/>
          <w:b/>
        </w:rPr>
        <w:t xml:space="preserve">Adaptive Capacity</w:t>
      </w:r>
      <w:r>
        <w:t xml:space="preserve"> </w:t>
      </w:r>
      <w:r>
        <w:t xml:space="preserve">(the ecosystem’s/associated management system’s ability to adjust/recover) — combined (commonly via a GIS-based multi-criteria weighted-overlay or index approach) into a composite vulnerability index, mapped spatially to identify priority conservation/intervention areas, with IIRS’s</w:t>
      </w:r>
      <w:r>
        <w:t xml:space="preserve"> </w:t>
      </w:r>
      <w:r>
        <w:t xml:space="preserve">“</w:t>
      </w:r>
      <w:r>
        <w:t xml:space="preserve">Vulnerability Assessment of Mountain Ecosystems due to Climate Change</w:t>
      </w:r>
      <w:r>
        <w:t xml:space="preserve">”</w:t>
      </w:r>
      <w:r>
        <w:t xml:space="preserve"> </w:t>
      </w:r>
      <w:r>
        <w:t xml:space="preserve">work specifically focused on Himalayan ecosystem-structure and functional-change assessment under this framework.</w:t>
      </w:r>
    </w:p>
    <w:p>
      <w:pPr>
        <w:pStyle w:val="Heading3"/>
      </w:pPr>
      <w:r>
        <w:t xml:space="preserve">36.5.2 Forest fire risk modelling</w:t>
      </w:r>
    </w:p>
    <w:p>
      <w:pPr>
        <w:pStyle w:val="FirstParagraph"/>
      </w:pPr>
      <w:r>
        <w:t xml:space="preserve">Forest fire</w:t>
      </w:r>
      <w:r>
        <w:t xml:space="preserve"> </w:t>
      </w:r>
      <w:r>
        <w:rPr>
          <w:bCs/>
          <w:b/>
        </w:rPr>
        <w:t xml:space="preserve">risk</w:t>
      </w:r>
      <w:r>
        <w:t xml:space="preserve"> </w:t>
      </w:r>
      <w:r>
        <w:t xml:space="preserve">(susceptibility, as distinct from the active-fire detection described in the relevant chapter) modelling combines multiple causal/conditioning factors in a GIS-based statistical or machine-learning susceptibility model:</w:t>
      </w:r>
      <w:r>
        <w:t xml:space="preserve"> </w:t>
      </w:r>
      <w:r>
        <w:rPr>
          <w:bCs/>
          <w:b/>
        </w:rPr>
        <w:t xml:space="preserve">fuel load/type</w:t>
      </w:r>
      <w:r>
        <w:t xml:space="preserve"> </w:t>
      </w:r>
      <w:r>
        <w:t xml:space="preserve">(from forest-type and canopy-density mapping),</w:t>
      </w:r>
      <w:r>
        <w:t xml:space="preserve"> </w:t>
      </w:r>
      <w:r>
        <w:rPr>
          <w:bCs/>
          <w:b/>
        </w:rPr>
        <w:t xml:space="preserve">terrain factors</w:t>
      </w:r>
      <w:r>
        <w:t xml:space="preserve"> </w:t>
      </w:r>
      <w:r>
        <w:t xml:space="preserve">(slope, aspect — south-facing slopes in the northern hemisphere receive more solar radiation, drier fuel; and elevation),</w:t>
      </w:r>
      <w:r>
        <w:t xml:space="preserve"> </w:t>
      </w:r>
      <w:r>
        <w:rPr>
          <w:bCs/>
          <w:b/>
        </w:rPr>
        <w:t xml:space="preserve">climatic factors</w:t>
      </w:r>
      <w:r>
        <w:t xml:space="preserve"> </w:t>
      </w:r>
      <w:r>
        <w:t xml:space="preserve">(temperature, humidity, and antecedent dryness indices),</w:t>
      </w:r>
      <w:r>
        <w:t xml:space="preserve"> </w:t>
      </w:r>
      <w:r>
        <w:rPr>
          <w:bCs/>
          <w:b/>
        </w:rPr>
        <w:t xml:space="preserve">proximity to human-activity/ignition sources</w:t>
      </w:r>
      <w:r>
        <w:t xml:space="preserve"> </w:t>
      </w:r>
      <w:r>
        <w:t xml:space="preserve">(roads, settlements, agricultural-burning-adjacent forest edges), and</w:t>
      </w:r>
      <w:r>
        <w:t xml:space="preserve"> </w:t>
      </w:r>
      <w:r>
        <w:rPr>
          <w:bCs/>
          <w:b/>
        </w:rPr>
        <w:t xml:space="preserve">historical fire-occurrence records</w:t>
      </w:r>
      <w:r>
        <w:t xml:space="preserve"> </w:t>
      </w:r>
      <w:r>
        <w:t xml:space="preserve">used to train/validate the model, producing a spatial fire-risk-probability map used for pre-season resource pre-positioning and, combined with the real-time hotspot-detection Forest Fire Alert System, for active-season response prioritisation.</w:t>
      </w:r>
    </w:p>
    <w:p>
      <w:pPr>
        <w:pStyle w:val="PartTitle"/>
      </w:pPr>
      <w:r>
        <w:t xml:space="preserve">Part V</w:t>
      </w:r>
      <w:r>
        <w:br/>
      </w:r>
      <w:r>
        <w:t xml:space="preserve">Crop Monitoring, Modelling and ISRO Programmes</w:t>
      </w:r>
    </w:p>
    <w:p>
      <w:pPr>
        <w:pStyle w:val="PartSub"/>
      </w:pPr>
      <w:r>
        <w:t xml:space="preserve">From crop maps to forecasts, insurance, precision farming and India’s operational programmes</w:t>
      </w:r>
    </w:p>
    <w:p>
      <w:pPr>
        <w:pStyle w:val="Heading1"/>
      </w:pPr>
      <w:r>
        <w:t xml:space="preserve">Chapter 37. Crop Monitoring: Phenology, Classification and Crop Condition</w:t>
      </w:r>
    </w:p>
    <w:p>
      <w:pPr>
        <w:pStyle w:val="Heading2"/>
      </w:pPr>
      <w:r>
        <w:t xml:space="preserve">37.1 Introduction and Conceptual Framework</w:t>
      </w:r>
    </w:p>
    <w:p>
      <w:pPr>
        <w:pStyle w:val="FirstParagraph"/>
      </w:pPr>
      <w:r>
        <w:t xml:space="preserve">Crop monitoring using remote sensing (RS) rests on a simple physical fact: green, healthy vegetation interacts with solar radiation in a very distinctive way across the electromagnetic spectrum. Chlorophyll and other leaf pigments strongly absorb red and blue light for photosynthesis while reflecting green light (giving leaves their colour), and the internal cellular structure of a leaf (spongy mesophyll) causes very high reflectance in the near-infrared (NIR, ~750–1300 nm) — often 40–50%, compared to only 10–15% for other conditions of the same materials. This</w:t>
      </w:r>
      <w:r>
        <w:t xml:space="preserve"> </w:t>
      </w:r>
      <w:r>
        <w:t xml:space="preserve">“</w:t>
      </w:r>
      <w:r>
        <w:t xml:space="preserve">red-edge</w:t>
      </w:r>
      <w:r>
        <w:t xml:space="preserve">”</w:t>
      </w:r>
      <w:r>
        <w:t xml:space="preserve"> </w:t>
      </w:r>
      <w:r>
        <w:t xml:space="preserve">transition — a steep rise in reflectance between about 680 nm and 750 nm — is one of the most information-rich regions of the spectrum for vegetation.</w:t>
      </w:r>
    </w:p>
    <w:p>
      <w:pPr>
        <w:pStyle w:val="BodyText"/>
      </w:pPr>
      <w:r>
        <w:t xml:space="preserve">As a crop grows, senesces, is stressed, or is affected by water deficit, pests, or nutrient deficiency, the shape and magnitude of this red/NIR reflectance contrast change measurably before the change is even visible to the human eye. This is the physical basis of essentially all optical vegetation monitoring: multispectral and hyperspectral sensors on satellites (Sentinel-2, Landsat, MODIS, Resourcesat/AWiFS-LISS, PlanetScope) capture this signal repeatedly over the growing season, and mathematical combinations of spectral bands — vegetation indices (VIs) — are used to compress this information into interpretable, near-linear proxies of vegetation amount, vigour, and stress.</w:t>
      </w:r>
    </w:p>
    <w:p>
      <w:pPr>
        <w:pStyle w:val="BodyText"/>
      </w:pPr>
      <w:r>
        <w:t xml:space="preserve">For a country like India, where over 50% of the workforce depends on agriculture, RS-based crop monitoring underpins national programmes such as ISRO’s</w:t>
      </w:r>
      <w:r>
        <w:t xml:space="preserve"> </w:t>
      </w:r>
      <w:r>
        <w:rPr>
          <w:bCs/>
          <w:b/>
        </w:rPr>
        <w:t xml:space="preserve">FASAL</w:t>
      </w:r>
      <w:r>
        <w:t xml:space="preserve"> </w:t>
      </w:r>
      <w:r>
        <w:t xml:space="preserve">(Forecasting Agricultural output using Space, Agro-meteorology and Land based observations) and CHAMAN (Coordinated Horticulture Assessment and Management using geoiNformatics) — which combine multi-date satellite VI time series, agro-meteorological models, and field-level ground truth to forecast crop production for major crops (rice, wheat, sorghum, groundnut, mustard, cotton, sugarcane, jute, potato) across multiple states, months before harvest.</w:t>
      </w:r>
    </w:p>
    <w:p>
      <w:pPr>
        <w:pStyle w:val="BodyText"/>
      </w:pPr>
      <w:r>
        <w:t xml:space="preserve">This chapter covers the five pillars of RS-based crop monitoring: (1) vegetation indices and their agronomic interpretation, (2) time-series phenology extraction, (3) crop type classification and mapping, (4) SAR-based monitoring (crucial for cloud-prone Kharif/monsoon-season cropping), and (5) crop condition/stress assessment and (6) acreage estimation methodology with accuracy assessment — the statistical backbone that makes RS-derived crop statistics operationally credible.</w:t>
      </w:r>
    </w:p>
    <w:p>
      <w:pPr>
        <w:pStyle w:val="Heading2"/>
      </w:pPr>
      <w:r>
        <w:t xml:space="preserve">37.2 The Smoothed NDVI Time-Series Curve</w:t>
      </w:r>
    </w:p>
    <w:p>
      <w:pPr>
        <w:pStyle w:val="FirstParagraph"/>
      </w:pPr>
      <w:r>
        <w:t xml:space="preserve">Raw NDVI observations from any operational sensor are noisy — contaminated by residual cloud/haze, sensor-view-angle (BRDF, Chapter 2, Section 2.3) variation, and atmospheric-correction imperfection — so the first step in any phenological-metric-extraction workflow is</w:t>
      </w:r>
      <w:r>
        <w:t xml:space="preserve"> </w:t>
      </w:r>
      <w:r>
        <w:rPr>
          <w:bCs/>
          <w:b/>
        </w:rPr>
        <w:t xml:space="preserve">temporal smoothing/filtering</w:t>
      </w:r>
      <w:r>
        <w:t xml:space="preserve"> </w:t>
      </w:r>
      <w:r>
        <w:t xml:space="preserve">of the raw multi-date NDVI series for each pixel, using techniques such as the</w:t>
      </w:r>
      <w:r>
        <w:t xml:space="preserve"> </w:t>
      </w:r>
      <w:r>
        <w:rPr>
          <w:bCs/>
          <w:b/>
        </w:rPr>
        <w:t xml:space="preserve">Savitzky-Golay filter</w:t>
      </w:r>
      <w:r>
        <w:t xml:space="preserve"> </w:t>
      </w:r>
      <w:r>
        <w:t xml:space="preserve">(a local polynomial least-squares smoother preserving the underlying curve’s shape better than a simple moving average),</w:t>
      </w:r>
      <w:r>
        <w:t xml:space="preserve"> </w:t>
      </w:r>
      <w:r>
        <w:rPr>
          <w:bCs/>
          <w:b/>
        </w:rPr>
        <w:t xml:space="preserve">asymmetric Gaussian function fitting</w:t>
      </w:r>
      <w:r>
        <w:t xml:space="preserve">,</w:t>
      </w:r>
      <w:r>
        <w:t xml:space="preserve"> </w:t>
      </w:r>
      <w:r>
        <w:rPr>
          <w:bCs/>
          <w:b/>
        </w:rPr>
        <w:t xml:space="preserve">double-logistic function fitting</w:t>
      </w:r>
      <w:r>
        <w:t xml:space="preserve"> </w:t>
      </w:r>
      <w:r>
        <w:t xml:space="preserve">(fitting the rising, green-up limb and the falling, senescence limb of the seasonal curve each as a separate logistic function, joined at the peak), or the</w:t>
      </w:r>
      <w:r>
        <w:t xml:space="preserve"> </w:t>
      </w:r>
      <w:r>
        <w:rPr>
          <w:bCs/>
          <w:b/>
        </w:rPr>
        <w:t xml:space="preserve">Whittaker smoother</w:t>
      </w:r>
      <w:r>
        <w:t xml:space="preserve"> </w:t>
      </w:r>
      <w:r>
        <w:t xml:space="preserve">(a penalised-least-squares smoother balancing fidelity to the observed data against a smoothness penalty on the fitted curve’s second derivative) — the internationally standard software implementing this general approach is</w:t>
      </w:r>
      <w:r>
        <w:t xml:space="preserve"> </w:t>
      </w:r>
      <w:r>
        <w:rPr>
          <w:bCs/>
          <w:b/>
        </w:rPr>
        <w:t xml:space="preserve">TIMESAT</w:t>
      </w:r>
      <w:r>
        <w:t xml:space="preserve">, whose methodology (or close equivalents) underlies most operational crop-calendar and phenology-mapping products, including SAC/MNCFC’s own sowing-date and crop-stage-mapping procedures referenced throughout Chapters 6, 16 and 24.</w:t>
      </w:r>
    </w:p>
    <w:p>
      <w:pPr>
        <w:pStyle w:val="Heading2"/>
      </w:pPr>
      <w:r>
        <w:t xml:space="preserve">37.3 Standard Phenological Metrics Extracted from the Smoothed Curve</w:t>
      </w:r>
    </w:p>
    <w:p>
      <w:pPr>
        <w:pStyle w:val="Compact"/>
        <w:numPr>
          <w:ilvl w:val="0"/>
          <w:numId w:val="1271"/>
        </w:numPr>
      </w:pPr>
      <w:r>
        <w:rPr>
          <w:bCs/>
          <w:b/>
        </w:rPr>
        <w:t xml:space="preserve">Start of Season (SOS):</w:t>
      </w:r>
      <w:r>
        <w:t xml:space="preserve"> </w:t>
      </w:r>
      <w:r>
        <w:t xml:space="preserve">the date at which the smoothed NDVI curve first crosses a defined threshold above its dormant/background (pre-green-up) level on its rising limb — commonly defined either as a fixed absolute NDVI threshold, or (more robustly across heterogeneous crop types/soil backgrounds) as a fixed percentage (e.g., 20%) of the amplitude between the curve’s base level and its seasonal maximum — interpreted agronomically as the effective</w:t>
      </w:r>
      <w:r>
        <w:t xml:space="preserve"> </w:t>
      </w:r>
      <w:r>
        <w:rPr>
          <w:bCs/>
          <w:b/>
        </w:rPr>
        <w:t xml:space="preserve">emergence/early-vegetative-establishment date</w:t>
      </w:r>
      <w:r>
        <w:t xml:space="preserve">, and, when cross-referenced against known sowing-to-emergence duration, used to back-calculate an inferred</w:t>
      </w:r>
      <w:r>
        <w:t xml:space="preserve"> </w:t>
      </w:r>
      <w:r>
        <w:rPr>
          <w:bCs/>
          <w:b/>
        </w:rPr>
        <w:t xml:space="preserve">sowing date</w:t>
      </w:r>
      <w:r>
        <w:t xml:space="preserve"> </w:t>
      </w:r>
      <w:r>
        <w:t xml:space="preserve">even without direct sowing-date ground observation (the sowing-date-inference application referenced in the mustard-aphid case study, Chapter 16, Section 16.3).</w:t>
      </w:r>
    </w:p>
    <w:p>
      <w:pPr>
        <w:pStyle w:val="Compact"/>
        <w:numPr>
          <w:ilvl w:val="0"/>
          <w:numId w:val="1271"/>
        </w:numPr>
      </w:pPr>
      <w:r>
        <w:rPr>
          <w:bCs/>
          <w:b/>
        </w:rPr>
        <w:t xml:space="preserve">End of Season (EOS):</w:t>
      </w:r>
      <w:r>
        <w:t xml:space="preserve"> </w:t>
      </w:r>
      <w:r>
        <w:t xml:space="preserve">the analogous threshold-crossing date on the curve’s falling (senescence) limb, interpreted as the effective</w:t>
      </w:r>
      <w:r>
        <w:t xml:space="preserve"> </w:t>
      </w:r>
      <w:r>
        <w:rPr>
          <w:bCs/>
          <w:b/>
        </w:rPr>
        <w:t xml:space="preserve">physiological maturity/harvest-readiness date</w:t>
      </w:r>
      <w:r>
        <w:t xml:space="preserve">.</w:t>
      </w:r>
    </w:p>
    <w:p>
      <w:pPr>
        <w:pStyle w:val="Compact"/>
        <w:numPr>
          <w:ilvl w:val="0"/>
          <w:numId w:val="1271"/>
        </w:numPr>
      </w:pPr>
      <w:r>
        <w:rPr>
          <w:bCs/>
          <w:b/>
        </w:rPr>
        <w:t xml:space="preserve">Length of Season (LOS):</w:t>
      </w:r>
      <w:r>
        <w:t xml:space="preserve"> </w:t>
      </w:r>
      <w:r>
        <w:t xml:space="preserve">EOS − SOS, the total crop-growth-cycle duration, itself a useful crop-type-discrimination feature (short-duration pulses/vegetables versus longer-duration cereals versus year-round perennial horticulture) and a direct cross-check against expected agronomic crop-duration norms for the mapped crop type.</w:t>
      </w:r>
    </w:p>
    <w:p>
      <w:pPr>
        <w:pStyle w:val="Compact"/>
        <w:numPr>
          <w:ilvl w:val="0"/>
          <w:numId w:val="1271"/>
        </w:numPr>
      </w:pPr>
      <w:r>
        <w:rPr>
          <w:bCs/>
          <w:b/>
        </w:rPr>
        <w:t xml:space="preserve">Time of Peak (POS, Peak of Season) and Peak Value:</w:t>
      </w:r>
      <w:r>
        <w:t xml:space="preserve"> </w:t>
      </w:r>
      <w:r>
        <w:t xml:space="preserve">the date and NDVI magnitude of the curve’s seasonal maximum, commonly used as a single-date proxy for peak canopy development/maximum LAI, and the conventional timing at which a single</w:t>
      </w:r>
      <w:r>
        <w:t xml:space="preserve"> </w:t>
      </w:r>
      <w:r>
        <w:t xml:space="preserve">“</w:t>
      </w:r>
      <w:r>
        <w:t xml:space="preserve">snapshot</w:t>
      </w:r>
      <w:r>
        <w:t xml:space="preserve">”</w:t>
      </w:r>
      <w:r>
        <w:t xml:space="preserve"> </w:t>
      </w:r>
      <w:r>
        <w:t xml:space="preserve">crop-condition assessment is most informative if only one acquisition date is available.</w:t>
      </w:r>
    </w:p>
    <w:p>
      <w:pPr>
        <w:pStyle w:val="Compact"/>
        <w:numPr>
          <w:ilvl w:val="0"/>
          <w:numId w:val="1271"/>
        </w:numPr>
      </w:pPr>
      <w:r>
        <w:rPr>
          <w:bCs/>
          <w:b/>
        </w:rPr>
        <w:t xml:space="preserve">Amplitude:</w:t>
      </w:r>
      <w:r>
        <w:t xml:space="preserve"> </w:t>
      </w:r>
      <w:r>
        <w:t xml:space="preserve">Peak Value − base/dormant-season level, an indicator of overall canopy-vigour intensity achieved during the season, sensitive to both genetic yield potential and the degree of stress experienced.</w:t>
      </w:r>
    </w:p>
    <w:p>
      <w:pPr>
        <w:pStyle w:val="Compact"/>
        <w:numPr>
          <w:ilvl w:val="0"/>
          <w:numId w:val="1271"/>
        </w:numPr>
      </w:pPr>
      <w:r>
        <w:rPr>
          <w:bCs/>
          <w:b/>
        </w:rPr>
        <w:t xml:space="preserve">Time-Integrated NDVI (or Season-Integrated NDVI,</w:t>
      </w:r>
      <w:r>
        <w:rPr>
          <w:bCs/>
          <w:b/>
        </w:rPr>
        <w:t xml:space="preserve"> </w:t>
      </w:r>
      <w:r>
        <w:rPr>
          <w:bCs/>
          <w:b/>
        </w:rPr>
        <w:t xml:space="preserve">“</w:t>
      </w:r>
      <w:r>
        <w:rPr>
          <w:bCs/>
          <w:b/>
        </w:rPr>
        <w:t xml:space="preserve">Integral</w:t>
      </w:r>
      <w:r>
        <w:rPr>
          <w:bCs/>
          <w:b/>
        </w:rPr>
        <w:t xml:space="preserve">”</w:t>
      </w:r>
      <w:r>
        <w:rPr>
          <w:bCs/>
          <w:b/>
        </w:rPr>
        <w:t xml:space="preserve">):</w:t>
      </w:r>
      <w:r>
        <w:t xml:space="preserve"> </w:t>
      </w:r>
      <w:r>
        <w:t xml:space="preserve">the area under the smoothed NDVI curve between SOS and EOS (computed by numerical integration, e.g., the trapezoidal rule, over the smoothed daily/composite time series) — widely used as a single-number proxy for total seasonal photosynthetic activity, and, through the Radiation Use Efficiency relationship, as a direct empirical predictor of total seasonal biomass/yield in MLR-type statistical yield models, since integrated NDVI captures the combined effect of both canopy-development intensity (amplitude) and duration (LOS) that neither metric alone fully represents.</w:t>
      </w:r>
    </w:p>
    <w:p>
      <w:pPr>
        <w:pStyle w:val="Compact"/>
        <w:numPr>
          <w:ilvl w:val="0"/>
          <w:numId w:val="1271"/>
        </w:numPr>
      </w:pPr>
      <w:r>
        <w:rPr>
          <w:bCs/>
          <w:b/>
        </w:rPr>
        <w:t xml:space="preserve">Rate of green-up / rate of senescence:</w:t>
      </w:r>
      <w:r>
        <w:t xml:space="preserve"> </w:t>
      </w:r>
      <w:r>
        <w:t xml:space="preserve">the slope of the rising/falling limb respectively (ΔNDVI/Δtime over the relevant portion of the curve), sensitive to the rapidity of canopy establishment or dieback — an abnormally rapid, premature senescence-rate increase is itself a candidate stress/disease-anomaly indicator, complementing the absolute-NDVI-departure anomaly-detection logic of the relevant chapter.</w:t>
      </w:r>
    </w:p>
    <w:p>
      <w:pPr>
        <w:pStyle w:val="Heading2"/>
      </w:pPr>
      <w:r>
        <w:t xml:space="preserve">37.4 Multi-Cropping and Double-Peak Curve Decomposition</w:t>
      </w:r>
    </w:p>
    <w:p>
      <w:pPr>
        <w:pStyle w:val="FirstParagraph"/>
      </w:pPr>
      <w:r>
        <w:t xml:space="preserve">Many Indian agricultural landscapes show</w:t>
      </w:r>
      <w:r>
        <w:t xml:space="preserve"> </w:t>
      </w:r>
      <w:r>
        <w:rPr>
          <w:bCs/>
          <w:b/>
        </w:rPr>
        <w:t xml:space="preserve">two (or more) distinct NDVI peaks per year</w:t>
      </w:r>
      <w:r>
        <w:t xml:space="preserve"> </w:t>
      </w:r>
      <w:r>
        <w:t xml:space="preserve">on the same pixel/field — a kharif crop followed by a rabi crop (or, in some tracts, three cropping seasons) — requiring the smoothing/fitting algorithm to correctly identify and separately characterise multiple SOS-EOS cycles within a single annual time series, rather than erroneously treating the entire year as one prolonged, double-humped</w:t>
      </w:r>
      <w:r>
        <w:t xml:space="preserve"> </w:t>
      </w:r>
      <w:r>
        <w:t xml:space="preserve">“</w:t>
      </w:r>
      <w:r>
        <w:t xml:space="preserve">season.</w:t>
      </w:r>
      <w:r>
        <w:t xml:space="preserve">”</w:t>
      </w:r>
      <w:r>
        <w:t xml:space="preserve"> </w:t>
      </w:r>
      <w:r>
        <w:t xml:space="preserve">Correct multi-peak decomposition is essential to accurately computing cropping intensity (Gross Cropped Area/Net Sown Area, Chapter 10, Section 10.1.2) and to correctly attributing each phenological-metric set to the correct constituent crop (kharif rice’s SOS-EOS window versus the subsequent rabi wheat’s SOS-EOS window on the same physical field) — a non-trivial algorithmic problem distinguishing operationally mature multi-crop phenology-mapping systems from simpler single-season implementations.</w:t>
      </w:r>
    </w:p>
    <w:p>
      <w:pPr>
        <w:pStyle w:val="Heading2"/>
      </w:pPr>
      <w:r>
        <w:t xml:space="preserve">37.5 Anomaly Detection Using Phenological Metrics</w:t>
      </w:r>
    </w:p>
    <w:p>
      <w:pPr>
        <w:pStyle w:val="FirstParagraph"/>
      </w:pPr>
      <w:r>
        <w:t xml:space="preserve">Beyond describing a single season’s curve, phenological metrics enable</w:t>
      </w:r>
      <w:r>
        <w:t xml:space="preserve"> </w:t>
      </w:r>
      <w:r>
        <w:rPr>
          <w:bCs/>
          <w:b/>
        </w:rPr>
        <w:t xml:space="preserve">historical anomaly detection</w:t>
      </w:r>
      <w:r>
        <w:t xml:space="preserve">: comparing the current season’s SOS against the multi-year median/expected SOS for that pixel/agro-climatic zone flags anomalously delayed or early sowing (itself informative for drought/waterlogging-onset assessment, since delayed SOS is a common early symptom of insufficient sowing-window moisture); comparing current-season integrated NDVI against the historical distribution provides a direct, quantitative</w:t>
      </w:r>
      <w:r>
        <w:t xml:space="preserve"> </w:t>
      </w:r>
      <w:r>
        <w:t xml:space="preserve">“</w:t>
      </w:r>
      <w:r>
        <w:t xml:space="preserve">how does this season compare to normal</w:t>
      </w:r>
      <w:r>
        <w:t xml:space="preserve">”</w:t>
      </w:r>
      <w:r>
        <w:t xml:space="preserve"> </w:t>
      </w:r>
      <w:r>
        <w:t xml:space="preserve">drought/vigour-anomaly statistic, methodologically related to but more information-rich than the simpler single-date Vegetation Condition Index approach mentioned in the relevant chapter, since it synthesises the entire season’s development rather than a single date’s snapshot.</w:t>
      </w:r>
    </w:p>
    <w:p>
      <w:pPr>
        <w:pStyle w:val="Heading2"/>
      </w:pPr>
      <w:r>
        <w:t xml:space="preserve">37.6 Crop Type Classification and Mapping</w:t>
      </w:r>
    </w:p>
    <w:p>
      <w:pPr>
        <w:pStyle w:val="Heading3"/>
      </w:pPr>
      <w:r>
        <w:t xml:space="preserve">37.6.1 The Classification Problem</w:t>
      </w:r>
    </w:p>
    <w:p>
      <w:pPr>
        <w:pStyle w:val="FirstParagraph"/>
      </w:pPr>
      <w:r>
        <w:t xml:space="preserve">Crop type classification assigns each pixel (or, increasingly, each field-parcel/object) in a satellite image to a crop class (wheat, rice, cotton, sugarcane, etc.) based on its spectral, and increasingly spectral-temporal, signature. Unlike land-cover classification which is often relatively static, crop classification must exploit the</w:t>
      </w:r>
      <w:r>
        <w:t xml:space="preserve"> </w:t>
      </w:r>
      <w:r>
        <w:rPr>
          <w:bCs/>
          <w:b/>
        </w:rPr>
        <w:t xml:space="preserve">temporal dimension</w:t>
      </w:r>
      <w:r>
        <w:t xml:space="preserve"> </w:t>
      </w:r>
      <w:r>
        <w:t xml:space="preserve">because many crops are spectrally similar at any single date but diverge strongly in their phenological trajectory (sowing date, peak timing, harvest date differ by crop and cultivar).</w:t>
      </w:r>
    </w:p>
    <w:p>
      <w:pPr>
        <w:pStyle w:val="Heading3"/>
      </w:pPr>
      <w:r>
        <w:t xml:space="preserve">37.6.2 Supervised vs. Unsupervised Classification</w:t>
      </w:r>
    </w:p>
    <w:p>
      <w:pPr>
        <w:pStyle w:val="FirstParagraph"/>
      </w:pPr>
      <w:r>
        <w:rPr>
          <w:bCs/>
          <w:b/>
        </w:rPr>
        <w:t xml:space="preserve">Unsupervised classification</w:t>
      </w:r>
      <w:r>
        <w:t xml:space="preserve"> </w:t>
      </w:r>
      <w:r>
        <w:t xml:space="preserve">(e.g., ISODATA, K-means clustering) groups pixels into spectrally distinct clusters purely from the statistics of the image itself, without a priori labelled samples; clusters are then labelled post hoc using ancillary knowledge or field visits. It is fast and useful for initial land-cover stratification or where ground truth is scarce, but clusters do not necessarily correspond to agronomically meaningful crop-type boundaries, and the same crop may split across multiple spectral clusters due to variety, sowing date, or management differences.</w:t>
      </w:r>
    </w:p>
    <w:p>
      <w:pPr>
        <w:pStyle w:val="BodyText"/>
      </w:pPr>
      <w:r>
        <w:rPr>
          <w:bCs/>
          <w:b/>
        </w:rPr>
        <w:t xml:space="preserve">Supervised classification</w:t>
      </w:r>
      <w:r>
        <w:t xml:space="preserve"> </w:t>
      </w:r>
      <w:r>
        <w:t xml:space="preserve">requires a training dataset of pixels/fields with known crop-type labels (from field surveys, farmer interviews, or crop-cutting experiment locations) which is used to train a classifier (statistical, machine-learning, or deep-learning) to generalise crop-type prediction to unlabelled pixels. This is the operational standard for national crop-mapping programmes because it produces agronomically interpretable, verifiable maps, at the cost of requiring representative, well-distributed ground-truth samples covering the spectral-temporal diversity of each crop class.</w:t>
      </w:r>
    </w:p>
    <w:p>
      <w:pPr>
        <w:pStyle w:val="Heading3"/>
      </w:pPr>
      <w:r>
        <w:t xml:space="preserve">37.6.3 Classical and Machine-Learning Classifiers</w:t>
      </w:r>
    </w:p>
    <w:p>
      <w:pPr>
        <w:pStyle w:val="Compact"/>
        <w:numPr>
          <w:ilvl w:val="0"/>
          <w:numId w:val="1272"/>
        </w:numPr>
      </w:pPr>
      <w:r>
        <w:rPr>
          <w:bCs/>
          <w:b/>
        </w:rPr>
        <w:t xml:space="preserve">Maximum Likelihood Classifier (MLC)</w:t>
      </w:r>
      <w:r>
        <w:t xml:space="preserve">: a parametric statistical classifier assuming Gaussian distribution of class spectral signatures; historically the default in most RS software, computationally cheap, but degrades with non-normal, high-dimensional (many bands/dates), or highly overlapping class distributions typical of multi-temporal crop data.</w:t>
      </w:r>
    </w:p>
    <w:p>
      <w:pPr>
        <w:pStyle w:val="Compact"/>
        <w:numPr>
          <w:ilvl w:val="0"/>
          <w:numId w:val="1272"/>
        </w:numPr>
      </w:pPr>
      <w:r>
        <w:rPr>
          <w:bCs/>
          <w:b/>
        </w:rPr>
        <w:t xml:space="preserve">Decision Tree (DT)</w:t>
      </w:r>
      <w:r>
        <w:t xml:space="preserve">: a non-parametric classifier that recursively partitions feature space using threshold rules on individual bands/indices/dates (e.g.,</w:t>
      </w:r>
      <w:r>
        <w:t xml:space="preserve"> </w:t>
      </w:r>
      <w:r>
        <w:t xml:space="preserve">“</w:t>
      </w:r>
      <w:r>
        <w:t xml:space="preserve">if NDVI on date X &gt; 0.5 and NDVI on date Y &lt; 0.3 → rice</w:t>
      </w:r>
      <w:r>
        <w:t xml:space="preserve">”</w:t>
      </w:r>
      <w:r>
        <w:t xml:space="preserve">). DTs are interpretable and handle non-normal/non-linear data well but a single tree tends to overfit and is unstable to small training-data changes.</w:t>
      </w:r>
    </w:p>
    <w:p>
      <w:pPr>
        <w:pStyle w:val="Compact"/>
        <w:numPr>
          <w:ilvl w:val="0"/>
          <w:numId w:val="1272"/>
        </w:numPr>
      </w:pPr>
      <w:r>
        <w:rPr>
          <w:bCs/>
          <w:b/>
        </w:rPr>
        <w:t xml:space="preserve">Random Forest (RF)</w:t>
      </w:r>
      <w:r>
        <w:t xml:space="preserve">: an ensemble of many decision trees, each trained on a bootstrap sample of the data and a random subset of features at each split, with the final class assigned by majority vote. RF is currently the most widely used classifier in operational multi-temporal crop-type mapping (including Sentinel-1/2-based national crop maps) because it: handles high-dimensional multi-temporal, multi-index feature stacks well; is relatively insensitive to noisy/irrelevant features; provides variable-importance rankings (useful for identifying the most discriminative acquisition dates/bands); and is robust to overfitting relative to single trees, generally outperforming SVM and MLC in comparative studies for large-area multi-class crop mapping (per multiple Sentinel-2 RF crop-classification studies, e.g., Sonobe et al., Orynbaikyzy et al.).</w:t>
      </w:r>
    </w:p>
    <w:p>
      <w:pPr>
        <w:pStyle w:val="Compact"/>
        <w:numPr>
          <w:ilvl w:val="0"/>
          <w:numId w:val="1272"/>
        </w:numPr>
      </w:pPr>
      <w:r>
        <w:rPr>
          <w:bCs/>
          <w:b/>
        </w:rPr>
        <w:t xml:space="preserve">Support Vector Machine (SVM)</w:t>
      </w:r>
      <w:r>
        <w:t xml:space="preserve">: finds the optimal separating hyperplane(s) (with kernel functions, e.g., RBF, for non-linear separation) that maximise the margin between classes in feature space. SVMs perform very well with limited training samples and high-dimensional data (a common real-world constraint given the cost of ground truth), and are often competitive with or superior to RF for classes with small, well-separated training sets, but are more sensitive to kernel/parameter tuning and scale less efficiently to very large datasets.</w:t>
      </w:r>
    </w:p>
    <w:p>
      <w:pPr>
        <w:pStyle w:val="Compact"/>
        <w:numPr>
          <w:ilvl w:val="0"/>
          <w:numId w:val="1272"/>
        </w:numPr>
      </w:pPr>
      <w:r>
        <w:rPr>
          <w:bCs/>
          <w:b/>
        </w:rPr>
        <w:t xml:space="preserve">Deep Learning — CNN</w:t>
      </w:r>
      <w:r>
        <w:t xml:space="preserve">: Convolutional Neural Networks exploit</w:t>
      </w:r>
      <w:r>
        <w:t xml:space="preserve"> </w:t>
      </w:r>
      <w:r>
        <w:rPr>
          <w:bCs/>
          <w:b/>
        </w:rPr>
        <w:t xml:space="preserve">spatial context</w:t>
      </w:r>
      <w:r>
        <w:t xml:space="preserve"> </w:t>
      </w:r>
      <w:r>
        <w:t xml:space="preserve">(texture, shape, neighbouring pixel patterns) in addition to spectral values, useful for distinguishing crops with similar spectral signatures but different field geometry/planting pattern (e.g., orchard rows vs. field crops), and for object-based field-boundary-aware classification.</w:t>
      </w:r>
    </w:p>
    <w:p>
      <w:pPr>
        <w:pStyle w:val="Compact"/>
        <w:numPr>
          <w:ilvl w:val="0"/>
          <w:numId w:val="1272"/>
        </w:numPr>
      </w:pPr>
      <w:r>
        <w:rPr>
          <w:bCs/>
          <w:b/>
        </w:rPr>
        <w:t xml:space="preserve">Deep Learning — LSTM/RNN</w:t>
      </w:r>
      <w:r>
        <w:t xml:space="preserve">: Long Short-Term Memory networks (a type of recurrent neural network) are explicitly designed to model</w:t>
      </w:r>
      <w:r>
        <w:t xml:space="preserve"> </w:t>
      </w:r>
      <w:r>
        <w:rPr>
          <w:bCs/>
          <w:b/>
        </w:rPr>
        <w:t xml:space="preserve">sequential/temporal dependencies</w:t>
      </w:r>
      <w:r>
        <w:t xml:space="preserve">, making them naturally suited to crop classification from full-season satellite image time series, since they can learn phenological growth-stage transition patterns directly from data without hand-crafted temporal features, often outperforming RF when abundant training time series data is available, at the cost of needing larger training datasets and more computational resources, and being less interpretable (</w:t>
      </w:r>
      <w:r>
        <w:t xml:space="preserve">“</w:t>
      </w:r>
      <w:r>
        <w:t xml:space="preserve">black box</w:t>
      </w:r>
      <w:r>
        <w:t xml:space="preserve">”</w:t>
      </w:r>
      <w:r>
        <w:t xml:space="preserve">).</w:t>
      </w:r>
    </w:p>
    <w:p>
      <w:pPr>
        <w:pStyle w:val="Compact"/>
        <w:numPr>
          <w:ilvl w:val="0"/>
          <w:numId w:val="1272"/>
        </w:numPr>
      </w:pPr>
      <w:r>
        <w:rPr>
          <w:bCs/>
          <w:b/>
        </w:rPr>
        <w:t xml:space="preserve">Hybrid CNN-LSTM / Transformer architectures</w:t>
      </w:r>
      <w:r>
        <w:t xml:space="preserve">: increasingly used in recent literature (2022+) to jointly capture spatial and temporal patterns, and self-attention-based temporal transformers are emerging as state-of-the-art for large-scale crop-type mapping (e.g., in EU CAP-monitoring and similar national programmes), though operational uptake in developing-country agencies still favours RF/SVM for robustness and interpretability with limited training data.</w:t>
      </w:r>
    </w:p>
    <w:p>
      <w:pPr>
        <w:pStyle w:val="Heading3"/>
      </w:pPr>
      <w:r>
        <w:t xml:space="preserve">37.6.4 Spectral-Temporal and Multi-Temporal Approaches</w:t>
      </w:r>
    </w:p>
    <w:p>
      <w:pPr>
        <w:pStyle w:val="FirstParagraph"/>
      </w:pPr>
      <w:r>
        <w:t xml:space="preserve">Because instantaneous (single-date) spectral separability between crops is often poor, the dominant operational strategy is</w:t>
      </w:r>
      <w:r>
        <w:t xml:space="preserve"> </w:t>
      </w:r>
      <w:r>
        <w:rPr>
          <w:bCs/>
          <w:b/>
        </w:rPr>
        <w:t xml:space="preserve">multi-temporal classification</w:t>
      </w:r>
      <w:r>
        <w:t xml:space="preserve">: stacking VI/band values from multiple acquisition dates spanning the growing season as input features to the classifier, so that the classifier effectively learns each crop’s phenological signature (timing of green-up, peak, senescence) rather than relying on a single spectral snapshot. This is why cloud-penetrating SAR is so valuable during the Kharif/monsoon season in India, when optical time series are frequently gap-ridden.</w:t>
      </w:r>
    </w:p>
    <w:p>
      <w:pPr>
        <w:pStyle w:val="BodyText"/>
      </w:pPr>
      <w:r>
        <w:rPr>
          <w:bCs/>
          <w:b/>
        </w:rPr>
        <w:t xml:space="preserve">Object-based image analysis (OBIA)</w:t>
      </w:r>
      <w:r>
        <w:t xml:space="preserve"> </w:t>
      </w:r>
      <w:r>
        <w:t xml:space="preserve">is increasingly combined with pixel-based classifiers: image segmentation first groups pixels into homogeneous field-like objects (respecting field boundaries, often derived from cadastral or segmentation algorithms), and classification is performed per object using aggregated (mean, median) spectral-temporal statistics — reducing salt-and-pepper noise and better matching the agronomic reality that a field is typically mono-cropped.</w:t>
      </w:r>
    </w:p>
    <w:p>
      <w:pPr>
        <w:pStyle w:val="Heading3"/>
      </w:pPr>
      <w:r>
        <w:t xml:space="preserve">37.6.5 Classifier Comparison Table</w:t>
      </w:r>
    </w:p>
    <w:tbl>
      <w:tblPr>
        <w:tblStyle w:val="Table"/>
        <w:tblW w:type="pct" w:w="4953"/>
        <w:jc w:val="left"/>
        <w:tblLook w:firstRow="1" w:lastRow="0" w:firstColumn="0" w:lastColumn="0" w:noHBand="0" w:noVBand="0" w:val="0020"/>
      </w:tblPr>
      <w:tblGrid>
        <w:gridCol w:w="777"/>
        <w:gridCol w:w="999"/>
        <w:gridCol w:w="1554"/>
        <w:gridCol w:w="1221"/>
        <w:gridCol w:w="1221"/>
        <w:gridCol w:w="2072"/>
      </w:tblGrid>
      <w:tr>
        <w:trPr>
          <w:tblHeader w:val="true"/>
        </w:trPr>
        <w:tc>
          <w:tcPr/>
          <w:p>
            <w:pPr>
              <w:pStyle w:val="Compact"/>
              <w:jc w:val="left"/>
            </w:pPr>
            <w:r>
              <w:t xml:space="preserve">Classifier</w:t>
            </w:r>
          </w:p>
        </w:tc>
        <w:tc>
          <w:tcPr/>
          <w:p>
            <w:pPr>
              <w:pStyle w:val="Compact"/>
              <w:jc w:val="left"/>
            </w:pPr>
            <w:r>
              <w:t xml:space="preserve">Type</w:t>
            </w:r>
          </w:p>
        </w:tc>
        <w:tc>
          <w:tcPr/>
          <w:p>
            <w:pPr>
              <w:pStyle w:val="Compact"/>
              <w:jc w:val="left"/>
            </w:pPr>
            <w:r>
              <w:t xml:space="preserve">Handles Multi-Temporal Data</w:t>
            </w:r>
          </w:p>
        </w:tc>
        <w:tc>
          <w:tcPr/>
          <w:p>
            <w:pPr>
              <w:pStyle w:val="Compact"/>
              <w:jc w:val="left"/>
            </w:pPr>
            <w:r>
              <w:t xml:space="preserve">Training Data Need</w:t>
            </w:r>
          </w:p>
        </w:tc>
        <w:tc>
          <w:tcPr/>
          <w:p>
            <w:pPr>
              <w:pStyle w:val="Compact"/>
              <w:jc w:val="left"/>
            </w:pPr>
            <w:r>
              <w:t xml:space="preserve">Interpretability</w:t>
            </w:r>
          </w:p>
        </w:tc>
        <w:tc>
          <w:tcPr/>
          <w:p>
            <w:pPr>
              <w:pStyle w:val="Compact"/>
              <w:jc w:val="left"/>
            </w:pPr>
            <w:r>
              <w:t xml:space="preserve">Typical Use Case</w:t>
            </w:r>
          </w:p>
        </w:tc>
      </w:tr>
      <w:tr>
        <w:tc>
          <w:tcPr/>
          <w:p>
            <w:pPr>
              <w:pStyle w:val="Compact"/>
              <w:jc w:val="left"/>
            </w:pPr>
            <w:r>
              <w:t xml:space="preserve">Maximum Likelihood</w:t>
            </w:r>
          </w:p>
        </w:tc>
        <w:tc>
          <w:tcPr/>
          <w:p>
            <w:pPr>
              <w:pStyle w:val="Compact"/>
              <w:jc w:val="left"/>
            </w:pPr>
            <w:r>
              <w:t xml:space="preserve">Parametric statistical</w:t>
            </w:r>
          </w:p>
        </w:tc>
        <w:tc>
          <w:tcPr/>
          <w:p>
            <w:pPr>
              <w:pStyle w:val="Compact"/>
              <w:jc w:val="left"/>
            </w:pPr>
            <w:r>
              <w:t xml:space="preserve">Poor with high dimensionality</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Legacy/simple single-date classification</w:t>
            </w:r>
          </w:p>
        </w:tc>
      </w:tr>
      <w:tr>
        <w:tc>
          <w:tcPr/>
          <w:p>
            <w:pPr>
              <w:pStyle w:val="Compact"/>
              <w:jc w:val="left"/>
            </w:pPr>
            <w:r>
              <w:t xml:space="preserve">Decision Tree</w:t>
            </w:r>
          </w:p>
        </w:tc>
        <w:tc>
          <w:tcPr/>
          <w:p>
            <w:pPr>
              <w:pStyle w:val="Compact"/>
              <w:jc w:val="left"/>
            </w:pPr>
            <w:r>
              <w:t xml:space="preserve">Rule-based</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High</w:t>
            </w:r>
          </w:p>
        </w:tc>
        <w:tc>
          <w:tcPr/>
          <w:p>
            <w:pPr>
              <w:pStyle w:val="Compact"/>
              <w:jc w:val="left"/>
            </w:pPr>
            <w:r>
              <w:t xml:space="preserve">Quick interpretable rule sets</w:t>
            </w:r>
          </w:p>
        </w:tc>
      </w:tr>
      <w:tr>
        <w:tc>
          <w:tcPr/>
          <w:p>
            <w:pPr>
              <w:pStyle w:val="Compact"/>
              <w:jc w:val="left"/>
            </w:pPr>
            <w:r>
              <w:t xml:space="preserve">Random Forest</w:t>
            </w:r>
          </w:p>
        </w:tc>
        <w:tc>
          <w:tcPr/>
          <w:p>
            <w:pPr>
              <w:pStyle w:val="Compact"/>
              <w:jc w:val="left"/>
            </w:pPr>
            <w:r>
              <w:t xml:space="preserve">Ensemble (bagging)</w:t>
            </w:r>
          </w:p>
        </w:tc>
        <w:tc>
          <w:tcPr/>
          <w:p>
            <w:pPr>
              <w:pStyle w:val="Compact"/>
              <w:jc w:val="left"/>
            </w:pPr>
            <w:r>
              <w:t xml:space="preserve">Excellent</w:t>
            </w:r>
          </w:p>
        </w:tc>
        <w:tc>
          <w:tcPr/>
          <w:p>
            <w:pPr>
              <w:pStyle w:val="Compact"/>
              <w:jc w:val="left"/>
            </w:pPr>
            <w:r>
              <w:t xml:space="preserve">Moderate</w:t>
            </w:r>
          </w:p>
        </w:tc>
        <w:tc>
          <w:tcPr/>
          <w:p>
            <w:pPr>
              <w:pStyle w:val="Compact"/>
              <w:jc w:val="left"/>
            </w:pPr>
            <w:r>
              <w:t xml:space="preserve">Moderate (variable importance)</w:t>
            </w:r>
          </w:p>
        </w:tc>
        <w:tc>
          <w:tcPr/>
          <w:p>
            <w:pPr>
              <w:pStyle w:val="Compact"/>
              <w:jc w:val="left"/>
            </w:pPr>
            <w:r>
              <w:t xml:space="preserve">Operational multi-temporal crop mapping (most common)</w:t>
            </w:r>
          </w:p>
        </w:tc>
      </w:tr>
      <w:tr>
        <w:tc>
          <w:tcPr/>
          <w:p>
            <w:pPr>
              <w:pStyle w:val="Compact"/>
              <w:jc w:val="left"/>
            </w:pPr>
            <w:r>
              <w:t xml:space="preserve">SVM</w:t>
            </w:r>
          </w:p>
        </w:tc>
        <w:tc>
          <w:tcPr/>
          <w:p>
            <w:pPr>
              <w:pStyle w:val="Compact"/>
              <w:jc w:val="left"/>
            </w:pPr>
            <w:r>
              <w:t xml:space="preserve">Margin-based, kernel</w:t>
            </w:r>
          </w:p>
        </w:tc>
        <w:tc>
          <w:tcPr/>
          <w:p>
            <w:pPr>
              <w:pStyle w:val="Compact"/>
              <w:jc w:val="left"/>
            </w:pPr>
            <w:r>
              <w:t xml:space="preserve">Good</w:t>
            </w:r>
          </w:p>
        </w:tc>
        <w:tc>
          <w:tcPr/>
          <w:p>
            <w:pPr>
              <w:pStyle w:val="Compact"/>
              <w:jc w:val="left"/>
            </w:pPr>
            <w:r>
              <w:t xml:space="preserve">Low (works with small samples)</w:t>
            </w:r>
          </w:p>
        </w:tc>
        <w:tc>
          <w:tcPr/>
          <w:p>
            <w:pPr>
              <w:pStyle w:val="Compact"/>
              <w:jc w:val="left"/>
            </w:pPr>
            <w:r>
              <w:t xml:space="preserve">Low-moderate</w:t>
            </w:r>
          </w:p>
        </w:tc>
        <w:tc>
          <w:tcPr/>
          <w:p>
            <w:pPr>
              <w:pStyle w:val="Compact"/>
              <w:jc w:val="left"/>
            </w:pPr>
            <w:r>
              <w:t xml:space="preserve">Limited-ground-truth scenarios, high-dimensional data</w:t>
            </w:r>
          </w:p>
        </w:tc>
      </w:tr>
      <w:tr>
        <w:tc>
          <w:tcPr/>
          <w:p>
            <w:pPr>
              <w:pStyle w:val="Compact"/>
              <w:jc w:val="left"/>
            </w:pPr>
            <w:r>
              <w:t xml:space="preserve">CNN</w:t>
            </w:r>
          </w:p>
        </w:tc>
        <w:tc>
          <w:tcPr/>
          <w:p>
            <w:pPr>
              <w:pStyle w:val="Compact"/>
              <w:jc w:val="left"/>
            </w:pPr>
            <w:r>
              <w:t xml:space="preserve">Deep learning (spatial)</w:t>
            </w:r>
          </w:p>
        </w:tc>
        <w:tc>
          <w:tcPr/>
          <w:p>
            <w:pPr>
              <w:pStyle w:val="Compact"/>
              <w:jc w:val="left"/>
            </w:pPr>
            <w:r>
              <w:t xml:space="preserve">Good (with 3D/spatio-temporal variants)</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Field-geometry/texture-aware classification</w:t>
            </w:r>
          </w:p>
        </w:tc>
      </w:tr>
      <w:tr>
        <w:tc>
          <w:tcPr/>
          <w:p>
            <w:pPr>
              <w:pStyle w:val="Compact"/>
              <w:jc w:val="left"/>
            </w:pPr>
            <w:r>
              <w:t xml:space="preserve">LSTM/RNN</w:t>
            </w:r>
          </w:p>
        </w:tc>
        <w:tc>
          <w:tcPr/>
          <w:p>
            <w:pPr>
              <w:pStyle w:val="Compact"/>
              <w:jc w:val="left"/>
            </w:pPr>
            <w:r>
              <w:t xml:space="preserve">Deep learning (temporal)</w:t>
            </w:r>
          </w:p>
        </w:tc>
        <w:tc>
          <w:tcPr/>
          <w:p>
            <w:pPr>
              <w:pStyle w:val="Compact"/>
              <w:jc w:val="left"/>
            </w:pPr>
            <w:r>
              <w:t xml:space="preserve">Excellent</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Full-season time-series-driven classification</w:t>
            </w:r>
          </w:p>
        </w:tc>
      </w:tr>
    </w:tbl>
    <w:p>
      <w:pPr>
        <w:pStyle w:val="Heading2"/>
      </w:pPr>
      <w:r>
        <w:t xml:space="preserve">37.7 SAR-Based Crop Monitoring and Classification</w:t>
      </w:r>
    </w:p>
    <w:p>
      <w:pPr>
        <w:pStyle w:val="Heading3"/>
      </w:pPr>
      <w:r>
        <w:t xml:space="preserve">37.7.1 Why SAR</w:t>
      </w:r>
    </w:p>
    <w:p>
      <w:pPr>
        <w:pStyle w:val="FirstParagraph"/>
      </w:pPr>
      <w:r>
        <w:t xml:space="preserve">Synthetic Aperture Radar (SAR) is an active microwave sensor that transmits its own energy and measures the backscattered signal, operating in wavelengths (X-band ~3 cm, C-band ~5.6 cm, L-band ~23 cm) that penetrate cloud cover and haze and function irrespective of solar illumination (day/night acquisition). This is decisive for Indian Kharif-season (monsoon, June–October) crop monitoring, where persistent cloud cover during peak rice/cotton/soybean growth stages routinely blocks 60–80% of potential optical acquisitions over weeks-long windows — precisely the period when timely acreage and condition monitoring matters most. SAR missions relevant to Indian agriculture include Sentinel-1 (C-band, freely available, 6/12-day repeat), RADARSAT, TerraSAR-X/TanDEM-X, and ISRO’s own RISAT/EOS SAR series (C-band and, upcoming, NISAR — a joint NASA-ISRO L/S-band mission specifically designed with agricultural biomass and soil-moisture applications as core objectives).</w:t>
      </w:r>
    </w:p>
    <w:p>
      <w:pPr>
        <w:pStyle w:val="Heading3"/>
      </w:pPr>
      <w:r>
        <w:t xml:space="preserve">37.7.2 Physical Basis of Backscatter from Crops</w:t>
      </w:r>
    </w:p>
    <w:p>
      <w:pPr>
        <w:pStyle w:val="FirstParagraph"/>
      </w:pPr>
      <w:r>
        <w:t xml:space="preserve">Radar backscatter intensity (σ⁰, sigma naught, measured in dB) from a crop canopy depends on:</w:t>
      </w:r>
    </w:p>
    <w:p>
      <w:pPr>
        <w:pStyle w:val="Compact"/>
        <w:numPr>
          <w:ilvl w:val="0"/>
          <w:numId w:val="1273"/>
        </w:numPr>
      </w:pPr>
      <w:r>
        <w:rPr>
          <w:bCs/>
          <w:b/>
        </w:rPr>
        <w:t xml:space="preserve">Dielectric constant</w:t>
      </w:r>
      <w:r>
        <w:t xml:space="preserve">, driven primarily by water content of the vegetation and underlying soil moisture — wet biomass/soil scatters far more strongly than dry.</w:t>
      </w:r>
    </w:p>
    <w:p>
      <w:pPr>
        <w:pStyle w:val="Compact"/>
        <w:numPr>
          <w:ilvl w:val="0"/>
          <w:numId w:val="1273"/>
        </w:numPr>
      </w:pPr>
      <w:r>
        <w:rPr>
          <w:bCs/>
          <w:b/>
        </w:rPr>
        <w:t xml:space="preserve">Canopy structure/geometry</w:t>
      </w:r>
      <w:r>
        <w:t xml:space="preserve">: stem/leaf orientation, density, and size relative to the radar wavelength govern the scattering mechanism — volume scattering (within-canopy multiple bounces, dominant in dense leafy canopies), surface scattering (from soil or a smooth canopy top), and double-bounce scattering (dominant in structured, vertically-oriented canopies over a specular surface, e.g., stalks over flooded water).</w:t>
      </w:r>
    </w:p>
    <w:p>
      <w:pPr>
        <w:pStyle w:val="Compact"/>
        <w:numPr>
          <w:ilvl w:val="0"/>
          <w:numId w:val="1273"/>
        </w:numPr>
      </w:pPr>
      <w:r>
        <w:rPr>
          <w:bCs/>
          <w:b/>
        </w:rPr>
        <w:t xml:space="preserve">Polarisation</w:t>
      </w:r>
      <w:r>
        <w:t xml:space="preserve">: co-polarised channels (VV, HH) are more sensitive to surface/double-bounce scattering, while cross-polarised channels (VH, HV) are more sensitive to volume scattering from canopy structure, so the cross-pol/co-pol ratio is a strong proxy for vegetation structural development.</w:t>
      </w:r>
    </w:p>
    <w:p>
      <w:pPr>
        <w:pStyle w:val="Heading3"/>
      </w:pPr>
      <w:r>
        <w:t xml:space="preserve">37.7.3 Paddy/Rice: The Canonical SAR Crop-Monitoring Case</w:t>
      </w:r>
    </w:p>
    <w:p>
      <w:pPr>
        <w:pStyle w:val="FirstParagraph"/>
      </w:pPr>
      <w:r>
        <w:t xml:space="preserve">Rice is the crop for which SAR-based monitoring is most mature and operationally deployed, because its cultivation involves a highly distinctive, temporally sharp backscatter signature:</w:t>
      </w:r>
    </w:p>
    <w:p>
      <w:pPr>
        <w:numPr>
          <w:ilvl w:val="0"/>
          <w:numId w:val="1274"/>
        </w:numPr>
      </w:pPr>
      <w:r>
        <w:rPr>
          <w:bCs/>
          <w:b/>
        </w:rPr>
        <w:t xml:space="preserve">Transplanting/flooding stage</w:t>
      </w:r>
      <w:r>
        <w:t xml:space="preserve">: the flooded, smooth water surface acts as a specular reflector, producing very</w:t>
      </w:r>
      <w:r>
        <w:t xml:space="preserve"> </w:t>
      </w:r>
      <w:r>
        <w:rPr>
          <w:bCs/>
          <w:b/>
        </w:rPr>
        <w:t xml:space="preserve">low backscatter</w:t>
      </w:r>
      <w:r>
        <w:t xml:space="preserve"> </w:t>
      </w:r>
      <w:r>
        <w:t xml:space="preserve">(radar energy reflects away from the sensor,</w:t>
      </w:r>
      <w:r>
        <w:t xml:space="preserve"> </w:t>
      </w:r>
      <w:r>
        <w:t xml:space="preserve">“</w:t>
      </w:r>
      <w:r>
        <w:t xml:space="preserve">mirror-like</w:t>
      </w:r>
      <w:r>
        <w:t xml:space="preserve">”</w:t>
      </w:r>
      <w:r>
        <w:t xml:space="preserve"> </w:t>
      </w:r>
      <w:r>
        <w:t xml:space="preserve">reflection) — this sharp backscatter minimum is a unique and easily detectable signature not shared by other crops.</w:t>
      </w:r>
    </w:p>
    <w:p>
      <w:pPr>
        <w:numPr>
          <w:ilvl w:val="0"/>
          <w:numId w:val="1274"/>
        </w:numPr>
      </w:pPr>
      <w:r>
        <w:rPr>
          <w:bCs/>
          <w:b/>
        </w:rPr>
        <w:t xml:space="preserve">Early vegetative growth</w:t>
      </w:r>
      <w:r>
        <w:t xml:space="preserve">: as seedlings emerge above the water, the combination of vertical stalks over a smooth flooded surface produces strong</w:t>
      </w:r>
      <w:r>
        <w:t xml:space="preserve"> </w:t>
      </w:r>
      <w:r>
        <w:rPr>
          <w:bCs/>
          <w:b/>
        </w:rPr>
        <w:t xml:space="preserve">double-bounce scattering</w:t>
      </w:r>
      <w:r>
        <w:t xml:space="preserve">, causing backscatter to rise sharply (a rapid increase of several dB over just 2–4 weeks) — this steep, characteristic rising limb is the primary discriminator used in automated rice-mapping algorithms.</w:t>
      </w:r>
    </w:p>
    <w:p>
      <w:pPr>
        <w:numPr>
          <w:ilvl w:val="0"/>
          <w:numId w:val="1274"/>
        </w:numPr>
      </w:pPr>
      <w:r>
        <w:rPr>
          <w:bCs/>
          <w:b/>
        </w:rPr>
        <w:t xml:space="preserve">Peak vegetative/reproductive stage</w:t>
      </w:r>
      <w:r>
        <w:t xml:space="preserve">: as canopy closes and volume scattering from stems and leaves dominates, backscatter reaches and plateaus near a</w:t>
      </w:r>
      <w:r>
        <w:t xml:space="preserve"> </w:t>
      </w:r>
      <w:r>
        <w:rPr>
          <w:bCs/>
          <w:b/>
        </w:rPr>
        <w:t xml:space="preserve">maximum</w:t>
      </w:r>
      <w:r>
        <w:t xml:space="preserve">.</w:t>
      </w:r>
    </w:p>
    <w:p>
      <w:pPr>
        <w:numPr>
          <w:ilvl w:val="0"/>
          <w:numId w:val="1274"/>
        </w:numPr>
      </w:pPr>
      <w:r>
        <w:rPr>
          <w:bCs/>
          <w:b/>
        </w:rPr>
        <w:t xml:space="preserve">Ripening/senescence</w:t>
      </w:r>
      <w:r>
        <w:t xml:space="preserve">: backscatter gradually declines as the canopy dries and water content drops, sometimes with a secondary field-draining minimum before harvest.</w:t>
      </w:r>
    </w:p>
    <w:p>
      <w:pPr>
        <w:pStyle w:val="FirstParagraph"/>
      </w:pPr>
      <w:r>
        <w:t xml:space="preserve">This</w:t>
      </w:r>
      <w:r>
        <w:t xml:space="preserve"> </w:t>
      </w:r>
      <w:r>
        <w:t xml:space="preserve">“</w:t>
      </w:r>
      <w:r>
        <w:t xml:space="preserve">low–sharp rise–plateau–decline</w:t>
      </w:r>
      <w:r>
        <w:t xml:space="preserve">”</w:t>
      </w:r>
      <w:r>
        <w:t xml:space="preserve"> </w:t>
      </w:r>
      <w:r>
        <w:t xml:space="preserve">temporal trajectory is highly distinctive and is exploited by widely validated automated paddy-mapping algorithms (e.g., using Sentinel-1 VH time series) that search for the characteristic sharp backscatter increase following a flooding-associated minimum — an approach demonstrated to work robustly across different sowing dates and cloudy monsoon regions specifically because it does not depend on optical data at all. This is why paddy/rice acreage estimation is one of the flagship SAR applications in Indian agricultural remote sensing (used operationally within FASAL-linked and state-level paddy-transplantation-monitoring systems).</w:t>
      </w:r>
    </w:p>
    <w:p>
      <w:pPr>
        <w:pStyle w:val="Heading3"/>
      </w:pPr>
      <w:r>
        <w:t xml:space="preserve">37.7.4 Polarimetric SAR (PolSAR) Features</w:t>
      </w:r>
    </w:p>
    <w:p>
      <w:pPr>
        <w:pStyle w:val="FirstParagraph"/>
      </w:pPr>
      <w:r>
        <w:t xml:space="preserve">Full polarimetric SAR (quad-pol: HH, HV, VH, VV, with phase information) enables</w:t>
      </w:r>
      <w:r>
        <w:t xml:space="preserve"> </w:t>
      </w:r>
      <w:r>
        <w:rPr>
          <w:bCs/>
          <w:b/>
        </w:rPr>
        <w:t xml:space="preserve">scattering-mechanism decomposition</w:t>
      </w:r>
      <w:r>
        <w:t xml:space="preserve"> </w:t>
      </w:r>
      <w:r>
        <w:t xml:space="preserve">(e.g., Freeman-Durden, Cloude-Pottier/entropy-alpha-anisotropy decompositions) that separates the total backscattered signal into surface, double-bounce, and volume scattering components — directly interpretable in terms of crop growth stage (e.g., rising double-bounce component tracks paddy stem emergence; rising volume-scattering component tracks canopy leaf development in broadleaf crops like soybean/cotton). Key derived PolSAR features used in crop classification include:</w:t>
      </w:r>
    </w:p>
    <w:p>
      <w:pPr>
        <w:pStyle w:val="Compact"/>
        <w:numPr>
          <w:ilvl w:val="0"/>
          <w:numId w:val="1275"/>
        </w:numPr>
      </w:pPr>
      <w:r>
        <w:rPr>
          <w:bCs/>
          <w:b/>
        </w:rPr>
        <w:t xml:space="preserve">Backscatter ratios</w:t>
      </w:r>
      <w:r>
        <w:t xml:space="preserve"> </w:t>
      </w:r>
      <w:r>
        <w:t xml:space="preserve">(VH/VV, cross-pol/co-pol ratio) — track structural/canopy development independent of absolute calibration drift.</w:t>
      </w:r>
    </w:p>
    <w:p>
      <w:pPr>
        <w:pStyle w:val="Compact"/>
        <w:numPr>
          <w:ilvl w:val="0"/>
          <w:numId w:val="1275"/>
        </w:numPr>
      </w:pPr>
      <w:r>
        <w:rPr>
          <w:bCs/>
          <w:b/>
        </w:rPr>
        <w:t xml:space="preserve">Entropy (H)</w:t>
      </w:r>
      <w:r>
        <w:t xml:space="preserve"> </w:t>
      </w:r>
      <w:r>
        <w:t xml:space="preserve">— measures randomness of the scattering mechanism (low entropy = single dominant mechanism, e.g., bare soil surface scattering; high entropy = mixed/complex scattering, e.g., dense mixed canopy).</w:t>
      </w:r>
    </w:p>
    <w:p>
      <w:pPr>
        <w:pStyle w:val="Compact"/>
        <w:numPr>
          <w:ilvl w:val="0"/>
          <w:numId w:val="1275"/>
        </w:numPr>
      </w:pPr>
      <w:r>
        <w:rPr>
          <w:bCs/>
          <w:b/>
        </w:rPr>
        <w:t xml:space="preserve">Alpha angle (α)</w:t>
      </w:r>
      <w:r>
        <w:t xml:space="preserve"> </w:t>
      </w:r>
      <w:r>
        <w:t xml:space="preserve">— indicates the dominant scattering type (surface, volume, or double-bounce) on a continuous scale.</w:t>
      </w:r>
    </w:p>
    <w:p>
      <w:pPr>
        <w:pStyle w:val="Compact"/>
        <w:numPr>
          <w:ilvl w:val="0"/>
          <w:numId w:val="1275"/>
        </w:numPr>
      </w:pPr>
      <w:r>
        <w:rPr>
          <w:bCs/>
          <w:b/>
        </w:rPr>
        <w:t xml:space="preserve">Coherence/interferometric coherence</w:t>
      </w:r>
      <w:r>
        <w:t xml:space="preserve"> </w:t>
      </w:r>
      <w:r>
        <w:t xml:space="preserve">(from repeat-pass InSAR pairs) — decorrelates rapidly for growing/changing vegetation and is itself a useful change/growth-stage indicator.</w:t>
      </w:r>
    </w:p>
    <w:p>
      <w:pPr>
        <w:pStyle w:val="Heading3"/>
      </w:pPr>
      <w:r>
        <w:t xml:space="preserve">37.7.5 Time-Series SAR Classification</w:t>
      </w:r>
    </w:p>
    <w:p>
      <w:pPr>
        <w:pStyle w:val="FirstParagraph"/>
      </w:pPr>
      <w:r>
        <w:t xml:space="preserve">Since single-date SAR backscatter alone poorly discriminates between structurally similar crops, operational SAR crop classification — like optical classification — is fundamentally multi-temporal: dense time series of backscatter (and derived ratios/polarimetric features) across the growing season are stacked as classifier input features (RF, SVM, or LSTM, per Section 4) to capture each crop’s characteristic backscatter growth trajectory. Fusion of SAR and optical time series (e.g., Sentinel-1 + Sentinel-2) is now the state-of-the-art operational approach, since SAR fills optical data gaps during cloudy periods while optical data provides superior spectral discrimination during clear-sky windows — an approach validated in numerous Sentinel-1/2 crop-mapping studies for both temperate and monsoon-affected cropping systems, including specifically for rice-field mapping using dense Sentinel-1A SAR time series.</w:t>
      </w:r>
    </w:p>
    <w:p>
      <w:pPr>
        <w:pStyle w:val="Heading2"/>
      </w:pPr>
      <w:r>
        <w:t xml:space="preserve">37.8 Deep Dive: Why SAR is Indispensable for Kharif Rice Mapping</w:t>
      </w:r>
    </w:p>
    <w:p>
      <w:pPr>
        <w:pStyle w:val="FirstParagraph"/>
      </w:pPr>
      <w:r>
        <w:t xml:space="preserve">Kharif (monsoon-season) rice is grown across roughly 40 million hectares in India, overwhelmingly during exactly the months (June–October) when the Indian monsoon delivers persistent, extensive multi-day cloud cover across the eastern and coastal rice belts in particular — West Bengal, Odisha, coastal Andhra Pradesh, and much of eastern UP/Bihar. A single optical satellite typically needs several usable (cloud-free) acquisitions across the growing season to reliably classify a crop by its temporal growth-curve signature (as discussed in the mixed-pixel section); during a strong monsoon spell, weeks can pass without a single fully cloud-free optical scene over the core rice belt, and any optical-only classification attempted from the few available (often cloud-edge-contaminated) scenes is both temporally sparse and systematically biased toward whatever brief clear-sky windows happened to occur, rather than representing the true crop-growth trajectory.</w:t>
      </w:r>
    </w:p>
    <w:p>
      <w:pPr>
        <w:pStyle w:val="BodyText"/>
      </w:pPr>
      <w:r>
        <w:t xml:space="preserve">Synthetic Aperture Radar (SAR), such as the C-band Sentinel-1 or India's own RISAT-1/EOS-04, is an active microwave sensor: it illuminates the ground with its own transmitted microwave pulse and measures the backscattered energy, rather than depending on reflected sunlight. Microwaves at C-band wavelengths (~5.6 cm) readily penetrate cloud, haze and (largely) light-to-moderate rain, so SAR acquires a usable image on essentially every overpass regardless of monsoon cloud cover — making it the only sensor type that can deliver a genuinely dense, regular multi-temporal time series through the kharif season.</w:t>
      </w:r>
    </w:p>
    <w:p>
      <w:pPr>
        <w:pStyle w:val="BodyText"/>
      </w:pPr>
      <w:r>
        <w:t xml:space="preserve">SAR is not merely a cloud-cover workaround for rice specifically — it is unusually well-suited to detecting the rice growth cycle on physical grounds. Standing water in a freshly transplanted, flooded paddy field is a smooth specular reflector: it scatters the incident radar pulse away from the sensor (specular/forward scattering), producing a characteristically very low backscatter. As the rice canopy establishes and grows, the vertical, closely-spaced stems and leaves introduce increasing volume scattering (multiple internal reflections within the canopy) and double-bounce scattering (pulse reflects off the water surface then off a vertical stem, or vice versa, returning strongly to the sensor), so backscatter rises sharply and characteristically through the vegetative and reproductive stages before declining again as the crop dries down toward harvest. This flooding-to-canopy-closure backscatter trajectory — very low, then a sharp, large-magnitude rise, then decline — is visually and statistically distinctive from almost every other crop and land-cover type's SAR time series, making rice one of the most reliably SAR-classifiable crops globally, independent of the cloud-cover argument. In short: SAR is indispensable for kharif rice not only because optical imagery is often simply unavailable when needed, but because the specific physics of flooded-canopy microwave scattering gives SAR a uniquely strong, almost fingerprint-like discriminating signal for rice that optical reflectance does not offer as cleanly.</w:t>
      </w:r>
    </w:p>
    <w:p>
      <w:pPr>
        <w:pStyle w:val="Heading2"/>
      </w:pPr>
      <w:r>
        <w:t xml:space="preserve">37.9 Crop Condition and Stress Assessment</w:t>
      </w:r>
    </w:p>
    <w:p>
      <w:pPr>
        <w:pStyle w:val="Heading3"/>
      </w:pPr>
      <w:r>
        <w:t xml:space="preserve">37.9.1 The Anomaly-Detection Paradigm</w:t>
      </w:r>
    </w:p>
    <w:p>
      <w:pPr>
        <w:pStyle w:val="FirstParagraph"/>
      </w:pPr>
      <w:r>
        <w:t xml:space="preserve">Rather than interpreting a single VI value in isolation, operational crop-condition monitoring compares the</w:t>
      </w:r>
      <w:r>
        <w:t xml:space="preserve"> </w:t>
      </w:r>
      <w:r>
        <w:rPr>
          <w:bCs/>
          <w:b/>
        </w:rPr>
        <w:t xml:space="preserve">current-season VI trajectory against a multi-year historical baseline</w:t>
      </w:r>
      <w:r>
        <w:t xml:space="preserve"> </w:t>
      </w:r>
      <w:r>
        <w:t xml:space="preserve">(typically a 10–15+ year median or mean derived from a consistent long-term sensor record such as MODIS or AVHRR) at the same location and same phenological timing (dekad/8-day/16-day composite). Deviations — expressed as anomalies or standardized departures — flag above- or below-normal crop condition long before ground-based crop-cutting surveys are feasible, enabling early-warning and mid-season corrective action (irrigation scheduling, pest/disease response, insurance triggers).</w:t>
      </w:r>
    </w:p>
    <w:p>
      <w:pPr>
        <w:pStyle w:val="Heading3"/>
      </w:pPr>
      <w:r>
        <w:t xml:space="preserve">37.9.2 Standardized Indices</w:t>
      </w:r>
    </w:p>
    <w:p>
      <w:pPr>
        <w:pStyle w:val="Compact"/>
        <w:numPr>
          <w:ilvl w:val="0"/>
          <w:numId w:val="1276"/>
        </w:numPr>
      </w:pPr>
      <w:r>
        <w:rPr>
          <w:bCs/>
          <w:b/>
        </w:rPr>
        <w:t xml:space="preserve">VCI (Vegetation Condition Index)</w:t>
      </w:r>
      <w:r>
        <w:t xml:space="preserve">, Kogan (1995): rescales current NDVI relative to the historical minimum and maximum observed for that location/period:</w:t>
      </w:r>
    </w:p>
    <w:p>
      <w:pPr>
        <w:pStyle w:val="FirstParagraph"/>
      </w:pPr>
      <w:r>
        <w:t xml:space="preserve">VCI = 100 × (NDVI_current − NDVI_min) / (NDVI_max − NDVI_min)</w:t>
      </w:r>
    </w:p>
    <w:p>
      <w:pPr>
        <w:pStyle w:val="BodyText"/>
      </w:pPr>
      <w:r>
        <w:t xml:space="preserve">VCI values near 50 indicate near-normal conditions; low VCI (&lt;35) is commonly used as a drought/vegetation-stress indicator, and near 100 indicates conditions at or near the historical best.</w:t>
      </w:r>
    </w:p>
    <w:p>
      <w:pPr>
        <w:pStyle w:val="Compact"/>
        <w:numPr>
          <w:ilvl w:val="0"/>
          <w:numId w:val="1277"/>
        </w:numPr>
      </w:pPr>
      <w:r>
        <w:rPr>
          <w:bCs/>
          <w:b/>
        </w:rPr>
        <w:t xml:space="preserve">TCI (Temperature Condition Index)</w:t>
      </w:r>
      <w:r>
        <w:t xml:space="preserve">: an analogous rescaling applied to land surface temperature (LST, typically thermal-band derived), since elevated canopy/land temperature (reduced transpirational cooling) is itself a robust stress indicator — often combined with VCI into a composite</w:t>
      </w:r>
      <w:r>
        <w:t xml:space="preserve"> </w:t>
      </w:r>
      <w:r>
        <w:rPr>
          <w:bCs/>
          <w:b/>
        </w:rPr>
        <w:t xml:space="preserve">VHI (Vegetation Health Index)</w:t>
      </w:r>
      <w:r>
        <w:t xml:space="preserve"> </w:t>
      </w:r>
      <w:r>
        <w:t xml:space="preserve">= a×VCI + (1−a)×TCI, balancing greenness-based and thermal-stress-based information (particularly useful because VCI alone can lag behind the onset of stress, while canopy temperature responds more rapidly to water-stress-induced stomatal closure).</w:t>
      </w:r>
    </w:p>
    <w:p>
      <w:pPr>
        <w:pStyle w:val="Compact"/>
        <w:numPr>
          <w:ilvl w:val="0"/>
          <w:numId w:val="1277"/>
        </w:numPr>
      </w:pPr>
      <w:r>
        <w:rPr>
          <w:bCs/>
          <w:b/>
        </w:rPr>
        <w:t xml:space="preserve">Standardized NDVI/EVI anomaly (Z-score)</w:t>
      </w:r>
      <w:r>
        <w:t xml:space="preserve">: (VI_current − VI_mean_climatology) / VI_std_dev_climatology, statistically comparable across regions/crops with different absolute VI ranges, commonly used in operational agricultural drought bulletins.</w:t>
      </w:r>
    </w:p>
    <w:p>
      <w:pPr>
        <w:pStyle w:val="Compact"/>
        <w:numPr>
          <w:ilvl w:val="0"/>
          <w:numId w:val="1277"/>
        </w:numPr>
      </w:pPr>
      <w:r>
        <w:rPr>
          <w:bCs/>
          <w:b/>
        </w:rPr>
        <w:t xml:space="preserve">Crop condition/health composite indices</w:t>
      </w:r>
      <w:r>
        <w:t xml:space="preserve">: many operational systems (e.g., USDA’s VegDRI, ISRO/MNCFC’s agricultural drought and crop-condition products under FASAL) combine multiple standardized indicators (VCI, precipitation/rainfall anomaly, soil moisture anomaly, and sometimes SPI — Standardized Precipitation Index) into composite crop-condition/drought severity classifications (e.g., normal, moderate stress, severe stress) mapped at district/sub-district level for early-warning bulletins.</w:t>
      </w:r>
    </w:p>
    <w:p>
      <w:pPr>
        <w:pStyle w:val="Heading3"/>
      </w:pPr>
      <w:r>
        <w:t xml:space="preserve">37.9.3 Practical Application Notes</w:t>
      </w:r>
    </w:p>
    <w:p>
      <w:pPr>
        <w:pStyle w:val="FirstParagraph"/>
      </w:pPr>
      <w:r>
        <w:t xml:space="preserve">Anomaly-based stress detection is most reliable when: (a) the historical baseline is sufficiently long and consistent (sensor continuity/cross-calibration matters — MODIS’s 20+ year record is preferred over shorter records); (b) comparisons are made at equivalent phenological timing rather than calendar date, since sowing-date shifts alone can create false</w:t>
      </w:r>
      <w:r>
        <w:t xml:space="preserve"> </w:t>
      </w:r>
      <w:r>
        <w:t xml:space="preserve">“</w:t>
      </w:r>
      <w:r>
        <w:t xml:space="preserve">stress</w:t>
      </w:r>
      <w:r>
        <w:t xml:space="preserve">”</w:t>
      </w:r>
      <w:r>
        <w:t xml:space="preserve"> </w:t>
      </w:r>
      <w:r>
        <w:t xml:space="preserve">signals if not accounted for; and (c) results are cross-validated against independent indicators (rainfall deficit, soil moisture, and where possible, ground crop-condition reports) since a negative VI anomaly can arise from causes other than crop stress (e.g., delayed sowing, cropping-pattern shift, or cloud/data-quality artefacts).</w:t>
      </w:r>
    </w:p>
    <w:p>
      <w:pPr>
        <w:pStyle w:val="Heading2"/>
      </w:pPr>
      <w:r>
        <w:t xml:space="preserve">37.10 Deep Dive: Mixed Pixels, Fragmented Landholdings and Intercropping</w:t>
      </w:r>
    </w:p>
    <w:p>
      <w:pPr>
        <w:pStyle w:val="FirstParagraph"/>
      </w:pPr>
      <w:r>
        <w:t xml:space="preserve">The Indo-Gangetic Plains present possibly the hardest acreage/classification problem any Indian RS-agriculture system has to solve, for three compounding reasons. First, mixed pixels: even a "medium-resolution" pixel — AWiFS at 56 m, or even Sentinel-2/LISS-IV at 10–24 m — can straddle several different smallholder fields at once if those fields are smaller than the pixel, so the recorded spectral signature is a linear (or non-linear, if there is genuine intercropping) mixture of multiple crop types' reflectance rather than a pure signal for any one of them, degrading both classification accuracy and any biophysical-parameter (LAI, biomass) retrieval that assumes pixel purity. Second, fragmented landholding: average operational holding sizes across much of the IGP are well under one hectare, and are often further sub-divided into multiple non-contiguous parcels per farmer with different sowing dates, cultivars and management even for the nominally same crop — so the "one field, one phenology" assumption that classical single-date or simple-regression classification implicitly relies on breaks down at exactly the spatial scale most of India actually farms at. Third, intercropping and close crop-calendar overlap (e.g., wheat and mustard sown in adjoining or interspersed strips, or a legume intercropped within a cereal) produces spectral signatures that do not correspond to any single-crop training class at all.</w:t>
      </w:r>
    </w:p>
    <w:p>
      <w:pPr>
        <w:pStyle w:val="BodyText"/>
      </w:pPr>
      <w:r>
        <w:t xml:space="preserve">Smart Sampling Technique (SMT) and temporal-profile (phenology-curve) matching partially — not fully — mitigate this. Rather than classifying from a single or few image dates, the full-season multi-temporal vegetation-index trajectory (the "growth curve" — how NDVI rises through vegetative growth, peaks near heading/flowering, and declines through senescence) is used as the classification feature, because different crops (and different cultivars/sowing dates of the same crop) have measurably different, repeatable curve shapes even when their reflectance is near-identical on any single date; this reduces (but, given genuine sub-pixel mixing, cannot eliminate) confusion between spectrally similar crops. SMT's stratification-by-growth-curve-similarity (described in the YES-TECH section) then ensures that wherever within-stratum spectral/phenological heterogeneity remains high — precisely where mixed pixels and fragmentation are worst — sampling density (CCE allocation) is increased rather than kept uniform, so the ground-truth correction effort is concentrated exactly where the remote-sensing-alone estimate is least reliable. The honest limitation to state in an interview: neither technique restores true sub-field spatial resolution; they are statistically optimal ways of managing residual uncertainty given the resolution actually available, which is why very-high-resolution (Cartosat-3, or commercial sub-metre) imagery and SAR-optical fusion remain active areas of improvement specifically for the IGP.</w:t>
      </w:r>
    </w:p>
    <w:p>
      <w:pPr>
        <w:pStyle w:val="Heading1"/>
      </w:pPr>
      <w:r>
        <w:t xml:space="preserve">Chapter 38. Crop Acreage Estimation and the FASAL Programme</w:t>
      </w:r>
    </w:p>
    <w:p>
      <w:pPr>
        <w:pStyle w:val="Heading2"/>
      </w:pPr>
      <w:r>
        <w:t xml:space="preserve">38.1 Why Crop Forecasting Is Needed</w:t>
      </w:r>
    </w:p>
    <w:p>
      <w:pPr>
        <w:pStyle w:val="FirstParagraph"/>
      </w:pPr>
      <w:r>
        <w:t xml:space="preserve">Timely, reliable estimates of crop area, condition and likely production — well ahead of harvest — are essential for national food-security planning (buffer stocking, import/export decisions, price stabilisation), for early warning of regional shortfalls, and for insurance/compensation triggers. Traditional crop estimation in India relied on General Crop Estimation Surveys (GCES) using crop-cutting experiments (CCEs) — physically harvesting and weighing produce from small randomly located sample plots — which, while considered a reliable ground-truth 'gold standard', are labour-intensive, slow (results available only well after harvest), and cannot give early-season, pre-harvest forecasts. This gap motivated the shift toward remote-sensing and agrometeorology-based forecasting, integrated under the multi-agency FASAL programme.</w:t>
      </w:r>
    </w:p>
    <w:p>
      <w:pPr>
        <w:pStyle w:val="Heading2"/>
      </w:pPr>
      <w:r>
        <w:t xml:space="preserve">38.2 CAPE: Crop Acreage and Production Estimation</w:t>
      </w:r>
    </w:p>
    <w:tbl>
      <w:tblPr>
        <w:tblStyle w:val="Table"/>
        <w:tblW w:type="pct" w:w="5000"/>
        <w:jc w:val="left"/>
        <w:tblLook w:firstRow="0" w:lastRow="0" w:firstColumn="0" w:lastColumn="0" w:noHBand="0" w:noVBand="0" w:val="0000"/>
      </w:tblPr>
      <w:tblGrid>
        <w:gridCol w:w="828"/>
        <w:gridCol w:w="7091"/>
      </w:tblGrid>
      <w:tr>
        <w:tc>
          <w:tcPr/>
          <w:p>
            <w:pPr>
              <w:pStyle w:val="Compact"/>
              <w:jc w:val="left"/>
            </w:pPr>
            <w:r>
              <w:rPr>
                <w:bCs/>
                <w:b/>
              </w:rPr>
              <w:t xml:space="preserve">Who</w:t>
            </w:r>
          </w:p>
        </w:tc>
        <w:tc>
          <w:tcPr/>
          <w:p>
            <w:pPr>
              <w:pStyle w:val="Compact"/>
              <w:jc w:val="left"/>
            </w:pPr>
            <w:r>
              <w:t xml:space="preserve">Department of Space (SAC as lead) with Ministry of Agriculture, RRSCs, state agriculture departments and State Remote Sensing Centres.</w:t>
            </w:r>
          </w:p>
        </w:tc>
      </w:tr>
      <w:tr>
        <w:tc>
          <w:tcPr/>
          <w:p>
            <w:pPr>
              <w:pStyle w:val="Compact"/>
              <w:jc w:val="left"/>
            </w:pPr>
            <w:r>
              <w:rPr>
                <w:bCs/>
                <w:b/>
              </w:rPr>
              <w:t xml:space="preserve">When</w:t>
            </w:r>
          </w:p>
        </w:tc>
        <w:tc>
          <w:tcPr/>
          <w:p>
            <w:pPr>
              <w:pStyle w:val="Compact"/>
              <w:jc w:val="left"/>
            </w:pPr>
            <w:r>
              <w:t xml:space="preserve">1980s to mid-2000s (merged into FASAL).</w:t>
            </w:r>
          </w:p>
        </w:tc>
      </w:tr>
      <w:tr>
        <w:tc>
          <w:tcPr/>
          <w:p>
            <w:pPr>
              <w:pStyle w:val="Compact"/>
              <w:jc w:val="left"/>
            </w:pPr>
            <w:r>
              <w:rPr>
                <w:bCs/>
                <w:b/>
              </w:rPr>
              <w:t xml:space="preserve">Objective</w:t>
            </w:r>
          </w:p>
        </w:tc>
        <w:tc>
          <w:tcPr/>
          <w:p>
            <w:pPr>
              <w:pStyle w:val="Compact"/>
              <w:jc w:val="left"/>
            </w:pPr>
            <w:r>
              <w:rPr>
                <w:bCs/>
                <w:b/>
              </w:rPr>
              <w:t xml:space="preserve">Pre-harvest</w:t>
            </w:r>
            <w:r>
              <w:t xml:space="preserve"> </w:t>
            </w:r>
            <w:r>
              <w:t xml:space="preserve">estimates of crop area and production at district, state and national level.</w:t>
            </w:r>
          </w:p>
        </w:tc>
      </w:tr>
      <w:tr>
        <w:tc>
          <w:tcPr/>
          <w:p>
            <w:pPr>
              <w:pStyle w:val="Compact"/>
              <w:jc w:val="left"/>
            </w:pPr>
            <w:r>
              <w:rPr>
                <w:bCs/>
                <w:b/>
              </w:rPr>
              <w:t xml:space="preserve">Crops</w:t>
            </w:r>
          </w:p>
        </w:tc>
        <w:tc>
          <w:tcPr/>
          <w:p>
            <w:pPr>
              <w:pStyle w:val="Compact"/>
              <w:jc w:val="left"/>
            </w:pPr>
            <w:r>
              <w:t xml:space="preserve">Wheat, kharif rice, sorghum, groundnut, cotton, rapeseed-mustard, sugarcane and others.</w:t>
            </w:r>
          </w:p>
        </w:tc>
      </w:tr>
      <w:tr>
        <w:tc>
          <w:tcPr/>
          <w:p>
            <w:pPr>
              <w:pStyle w:val="Compact"/>
              <w:jc w:val="left"/>
            </w:pPr>
            <w:r>
              <w:rPr>
                <w:bCs/>
                <w:b/>
              </w:rPr>
              <w:t xml:space="preserve">Data</w:t>
            </w:r>
          </w:p>
        </w:tc>
        <w:tc>
          <w:tcPr/>
          <w:p>
            <w:pPr>
              <w:pStyle w:val="Compact"/>
              <w:jc w:val="left"/>
            </w:pPr>
            <w:r>
              <w:t xml:space="preserve">Landsat MSS/TM initially, then IRS-1A/1B LISS-I/II, IRS-1C/1D LISS-III/WiFS.</w:t>
            </w:r>
          </w:p>
        </w:tc>
      </w:tr>
      <w:tr>
        <w:tc>
          <w:tcPr/>
          <w:p>
            <w:pPr>
              <w:pStyle w:val="Compact"/>
              <w:jc w:val="left"/>
            </w:pPr>
            <w:r>
              <w:rPr>
                <w:bCs/>
                <w:b/>
              </w:rPr>
              <w:t xml:space="preserve">Method</w:t>
            </w:r>
          </w:p>
        </w:tc>
        <w:tc>
          <w:tcPr/>
          <w:p>
            <w:pPr>
              <w:jc w:val="left"/>
            </w:pPr>
            <w:r>
              <w:rPr>
                <w:bCs/>
                <w:b/>
              </w:rPr>
              <w:t xml:space="preserve">Area:</w:t>
            </w:r>
            <w:r>
              <w:t xml:space="preserve"> </w:t>
            </w:r>
            <w:r>
              <w:t xml:space="preserve">stratified random sampling of segments (e.g. 5 km × 5 km), supervised classification (maximum likelihood), ground truth.</w:t>
            </w:r>
          </w:p>
          <w:p>
            <w:pPr>
              <w:jc w:val="left"/>
            </w:pPr>
            <w:r>
              <w:rPr>
                <w:bCs/>
                <w:b/>
              </w:rPr>
              <w:t xml:space="preserve">Yield:</w:t>
            </w:r>
            <w:r>
              <w:t xml:space="preserve"> </w:t>
            </w:r>
            <w:r>
              <w:t xml:space="preserve">spectral (NDVI-based) and agromet (weather-based) regression models.</w:t>
            </w:r>
          </w:p>
          <w:p>
            <w:pPr>
              <w:jc w:val="left"/>
            </w:pPr>
            <w:r>
              <w:t xml:space="preserve">Target accuracy of about</w:t>
            </w:r>
            <w:r>
              <w:t xml:space="preserve"> </w:t>
            </w:r>
            <w:r>
              <w:rPr>
                <w:bCs/>
                <w:b/>
              </w:rPr>
              <w:t xml:space="preserve">90% at 90% confidence</w:t>
            </w:r>
            <w:r>
              <w:t xml:space="preserve">.</w:t>
            </w:r>
          </w:p>
        </w:tc>
      </w:tr>
      <w:tr>
        <w:tc>
          <w:tcPr/>
          <w:p>
            <w:pPr>
              <w:pStyle w:val="Compact"/>
              <w:jc w:val="left"/>
            </w:pPr>
            <w:r>
              <w:rPr>
                <w:bCs/>
                <w:b/>
              </w:rPr>
              <w:t xml:space="preserve">Outcome</w:t>
            </w:r>
          </w:p>
        </w:tc>
        <w:tc>
          <w:tcPr/>
          <w:p>
            <w:pPr>
              <w:pStyle w:val="Compact"/>
              <w:jc w:val="left"/>
            </w:pPr>
            <w:r>
              <w:t xml:space="preserve">Proved that satellite-based crop forecasts were reliable in India. The direct predecessor of FASAL.</w:t>
            </w:r>
          </w:p>
        </w:tc>
      </w:tr>
    </w:tbl>
    <w:p>
      <w:pPr>
        <w:pStyle w:val="BodyText"/>
      </w:pPr>
      <w:r>
        <w:rPr>
          <w:bCs/>
          <w:b/>
        </w:rPr>
        <w:t xml:space="preserve">Interview points</w:t>
      </w:r>
    </w:p>
    <w:p>
      <w:pPr>
        <w:numPr>
          <w:ilvl w:val="0"/>
          <w:numId w:val="1278"/>
        </w:numPr>
      </w:pPr>
      <w:r>
        <w:t xml:space="preserve">CAPE gave a single forecast, about 1 month before harvest. FASAL extended this to</w:t>
      </w:r>
      <w:r>
        <w:t xml:space="preserve"> </w:t>
      </w:r>
      <w:r>
        <w:rPr>
          <w:bCs/>
          <w:b/>
        </w:rPr>
        <w:t xml:space="preserve">multiple forecasts</w:t>
      </w:r>
      <w:r>
        <w:t xml:space="preserve"> </w:t>
      </w:r>
      <w:r>
        <w:t xml:space="preserve">during the season.</w:t>
      </w:r>
    </w:p>
    <w:p>
      <w:pPr>
        <w:numPr>
          <w:ilvl w:val="0"/>
          <w:numId w:val="1278"/>
        </w:numPr>
      </w:pPr>
      <w:r>
        <w:t xml:space="preserve">Key limitation: optical data only, so kharif rice under monsoon clouds was difficult. RISAT-1 SAR later solved this.</w:t>
      </w:r>
    </w:p>
    <w:p>
      <w:pPr>
        <w:pStyle w:val="Heading2"/>
      </w:pPr>
      <w:r>
        <w:t xml:space="preserve">38.3 Evolution and Structure of FASAL</w:t>
      </w:r>
    </w:p>
    <w:p>
      <w:pPr>
        <w:pStyle w:val="FirstParagraph"/>
      </w:pPr>
      <w:r>
        <w:rPr>
          <w:bCs/>
          <w:b/>
        </w:rPr>
        <w:t xml:space="preserve">FASAL</w:t>
      </w:r>
      <w:r>
        <w:t xml:space="preserve"> </w:t>
      </w:r>
      <w:r>
        <w:t xml:space="preserve">— Forecasting Agricultural output using Space, Agro-meteorology and Land based observations — is the umbrella national programme (formally launched 2006–08, building on more than two decades of prior ISRO/SAC crop-forecasting R&amp;D dating to the CAPE — Crop Acreage and Production Estimation — project of the 1980s) under which the Department of Agriculture and Farmers’ Welfare (DA&amp;FW), through the</w:t>
      </w:r>
      <w:r>
        <w:t xml:space="preserve"> </w:t>
      </w:r>
      <w:r>
        <w:rPr>
          <w:bCs/>
          <w:b/>
        </w:rPr>
        <w:t xml:space="preserve">Mahalanobis National Crop Forecast Centre (MNCFC)</w:t>
      </w:r>
      <w:r>
        <w:t xml:space="preserve"> </w:t>
      </w:r>
      <w:r>
        <w:t xml:space="preserve">at Pusa, New Delhi, and the Space Applications Centre (SAC), ISRO, jointly generate pre-harvest, in-season crop area and production forecasts for India’s major crops, at multiple forecast rounds through the growing season (early-, mid- and end-season forecasts, each with progressively improving accuracy as more of the growing season’s imagery/weather data becomes available).</w:t>
      </w:r>
    </w:p>
    <w:p>
      <w:pPr>
        <w:pStyle w:val="BodyText"/>
      </w:pPr>
      <w:r>
        <w:t xml:space="preserve">FASAL forecasts nine major crops as its original mandate (rice, wheat, sorghum/jowar, rapeseed-mustard, groundnut, sugarcane, cotton, potato, and pearl millet/bajra, with jute among others explicitly cited as receiving early forecast-procedure development), and is designed around</w:t>
      </w:r>
      <w:r>
        <w:t xml:space="preserve"> </w:t>
      </w:r>
      <w:r>
        <w:rPr>
          <w:bCs/>
          <w:b/>
        </w:rPr>
        <w:t xml:space="preserve">three complementary, independently cross-checked approaches</w:t>
      </w:r>
      <w:r>
        <w:t xml:space="preserve">, whose convergence/divergence is itself used as an internal accuracy check:</w:t>
      </w:r>
    </w:p>
    <w:p>
      <w:pPr>
        <w:pStyle w:val="Compact"/>
        <w:numPr>
          <w:ilvl w:val="0"/>
          <w:numId w:val="1279"/>
        </w:numPr>
      </w:pPr>
      <w:r>
        <w:rPr>
          <w:bCs/>
          <w:b/>
        </w:rPr>
        <w:t xml:space="preserve">The Multiple Linear Regression (MLR) / statistical approach</w:t>
      </w:r>
      <w:r>
        <w:t xml:space="preserve">, relating district-level historical yield to remote-sensing vegetation-index time series (NDVI at fixed fortnightly intervals through the season) and agro-meteorological variables, calibrated using the historical Crop Cutting Experiment (CCE) yield record.</w:t>
      </w:r>
    </w:p>
    <w:p>
      <w:pPr>
        <w:pStyle w:val="Compact"/>
        <w:numPr>
          <w:ilvl w:val="0"/>
          <w:numId w:val="1279"/>
        </w:numPr>
      </w:pPr>
      <w:r>
        <w:rPr>
          <w:bCs/>
          <w:b/>
        </w:rPr>
        <w:t xml:space="preserve">The semi-physical / crop-growth-simulation-model approach</w:t>
      </w:r>
      <w:r>
        <w:t xml:space="preserve">, running process-based crop-simulation models (e.g., WOFOST-type or India-specific models such as InfoCrop) forced with observed/forecast weather and remote-sensing-derived canopy-state updates (LAI, biomass) via data assimilation, to simulate yield mechanistically rather than empirically.</w:t>
      </w:r>
    </w:p>
    <w:p>
      <w:pPr>
        <w:pStyle w:val="Compact"/>
        <w:numPr>
          <w:ilvl w:val="0"/>
          <w:numId w:val="1279"/>
        </w:numPr>
      </w:pPr>
      <w:r>
        <w:rPr>
          <w:bCs/>
          <w:b/>
        </w:rPr>
        <w:t xml:space="preserve">The machine-learning approach</w:t>
      </w:r>
      <w:r>
        <w:t xml:space="preserve">, increasingly incorporated (random forest, gradient boosting, and more recently deep-learning models) trained on multi-year remote-sensing time series, weather and yield data, contributing alongside the above two as an ensemble member — explicitly identified as a current SAC/MNCFC direction to</w:t>
      </w:r>
      <w:r>
        <w:t xml:space="preserve"> </w:t>
      </w:r>
      <w:r>
        <w:t xml:space="preserve">“</w:t>
      </w:r>
      <w:r>
        <w:t xml:space="preserve">reduce the dependence on manual CCEs.</w:t>
      </w:r>
      <w:r>
        <w:t xml:space="preserve">”</w:t>
      </w:r>
    </w:p>
    <w:p>
      <w:pPr>
        <w:pStyle w:val="Heading3"/>
      </w:pPr>
      <w:r>
        <w:t xml:space="preserve">38.3.1 Crop area estimation — the four classical procedural approaches</w:t>
      </w:r>
    </w:p>
    <w:p>
      <w:pPr>
        <w:pStyle w:val="FirstParagraph"/>
      </w:pPr>
      <w:r>
        <w:t xml:space="preserve">A cornerstone interview topic is the set of</w:t>
      </w:r>
      <w:r>
        <w:t xml:space="preserve"> </w:t>
      </w:r>
      <w:r>
        <w:rPr>
          <w:bCs/>
          <w:b/>
        </w:rPr>
        <w:t xml:space="preserve">methods by which satellite-derived crop area is scaled from the sample/pixel level to district/state/national totals</w:t>
      </w:r>
      <w:r>
        <w:t xml:space="preserve">, since a satellite image alone (a) may have classification/spectral-confusion error at the pixel level, and (b) needs to be related to the</w:t>
      </w:r>
      <w:r>
        <w:t xml:space="preserve"> </w:t>
      </w:r>
      <w:r>
        <w:t xml:space="preserve">“</w:t>
      </w:r>
      <w:r>
        <w:t xml:space="preserve">ground truth</w:t>
      </w:r>
      <w:r>
        <w:t xml:space="preserve">”</w:t>
      </w:r>
      <w:r>
        <w:t xml:space="preserve"> </w:t>
      </w:r>
      <w:r>
        <w:t xml:space="preserve">statistical unit (village/tehsil) used by the agricultural-statistics system. Four established methods are used, singly or in combination, depending on crop, sensor and data availability:</w:t>
      </w:r>
    </w:p>
    <w:p>
      <w:pPr>
        <w:pStyle w:val="Compact"/>
        <w:numPr>
          <w:ilvl w:val="0"/>
          <w:numId w:val="1280"/>
        </w:numPr>
      </w:pPr>
      <w:r>
        <w:rPr>
          <w:bCs/>
          <w:b/>
        </w:rPr>
        <w:t xml:space="preserve">Complete enumeration (wall-to-wall / census approach):</w:t>
      </w:r>
      <w:r>
        <w:t xml:space="preserve"> </w:t>
      </w:r>
      <w:r>
        <w:t xml:space="preserve">every pixel of satellite imagery covering the entire study area (district/state/country) is classified (using supervised or hybrid classification, ground-truthed by field visits) to directly generate a complete crop-area map, from which area statistics are tabulated by administrative unit through simple pixel-counting (pixel area × number of crop-classified pixels). This is the most direct and, where classification accuracy is high and cloud-free imagery available, most accurate method, but is computationally and logistically demanding at national scale and, for optical sensors, constrained by cloud cover during the kharif season — hence its more routine use with wide-swath, high-repeat sensors (AWiFS) or, increasingly, with cloud-penetrating SAR (RISAT/EOS-04) for kharif rice.</w:t>
      </w:r>
    </w:p>
    <w:p>
      <w:pPr>
        <w:pStyle w:val="Compact"/>
        <w:numPr>
          <w:ilvl w:val="0"/>
          <w:numId w:val="1280"/>
        </w:numPr>
      </w:pPr>
      <w:r>
        <w:rPr>
          <w:bCs/>
          <w:b/>
        </w:rPr>
        <w:t xml:space="preserve">Sampling-segment approach:</w:t>
      </w:r>
      <w:r>
        <w:t xml:space="preserve"> </w:t>
      </w:r>
      <w:r>
        <w:t xml:space="preserve">rather than classifying the entire area, a statistically designed sample of small area</w:t>
      </w:r>
      <w:r>
        <w:t xml:space="preserve"> </w:t>
      </w:r>
      <w:r>
        <w:t xml:space="preserve">“</w:t>
      </w:r>
      <w:r>
        <w:t xml:space="preserve">segments</w:t>
      </w:r>
      <w:r>
        <w:t xml:space="preserve">”</w:t>
      </w:r>
      <w:r>
        <w:t xml:space="preserve"> </w:t>
      </w:r>
      <w:r>
        <w:t xml:space="preserve">(e.g., a grid of ~10×10 km segments, or field-level sample points) is selected using a probability-sampling design (typically stratified by agro-climatic zone/cropping pattern); satellite imagery is classified only within these sample segments (at high spatial resolution), and segment-level crop-proportion estimates are expanded to the larger area using appropriate sampling-design expansion (weighting) factors and standard-error estimation, analogous in statistical logic to a stratified random sample survey but using a satellite-classified proportion, rather than a field-enumerator’s count, as the observation at each sample unit — this is the method historically associated with the original CAPE project design and remains central to sub-national/district-level acreage estimation where wall-to-wall high-resolution classification is not feasible.</w:t>
      </w:r>
    </w:p>
    <w:p>
      <w:pPr>
        <w:pStyle w:val="Compact"/>
        <w:numPr>
          <w:ilvl w:val="0"/>
          <w:numId w:val="1280"/>
        </w:numPr>
      </w:pPr>
      <w:r>
        <w:rPr>
          <w:bCs/>
          <w:b/>
        </w:rPr>
        <w:t xml:space="preserve">Disaggregation approach:</w:t>
      </w:r>
      <w:r>
        <w:t xml:space="preserve"> </w:t>
      </w:r>
      <w:r>
        <w:t xml:space="preserve">used when a</w:t>
      </w:r>
      <w:r>
        <w:t xml:space="preserve"> </w:t>
      </w:r>
      <w:r>
        <w:rPr>
          <w:iCs/>
          <w:i/>
        </w:rPr>
        <w:t xml:space="preserve">reliable total crop area figure is already available at a coarser administrative level</w:t>
      </w:r>
      <w:r>
        <w:t xml:space="preserve"> </w:t>
      </w:r>
      <w:r>
        <w:t xml:space="preserve">(e.g., from the regular agricultural-statistics/Girdawari record at district level) but its finer spatial distribution (e.g., which specific villages/pixels within the district) is unknown or needed for targeting/monitoring purposes; satellite classification is used to</w:t>
      </w:r>
      <w:r>
        <w:t xml:space="preserve"> </w:t>
      </w:r>
      <w:r>
        <w:rPr>
          <w:iCs/>
          <w:i/>
        </w:rPr>
        <w:t xml:space="preserve">proportionally disaggregate</w:t>
      </w:r>
      <w:r>
        <w:t xml:space="preserve"> </w:t>
      </w:r>
      <w:r>
        <w:t xml:space="preserve">the known coarse-level total down to finer spatial units, using the</w:t>
      </w:r>
      <w:r>
        <w:t xml:space="preserve"> </w:t>
      </w:r>
      <w:r>
        <w:rPr>
          <w:iCs/>
          <w:i/>
        </w:rPr>
        <w:t xml:space="preserve">relative</w:t>
      </w:r>
      <w:r>
        <w:t xml:space="preserve"> </w:t>
      </w:r>
      <w:r>
        <w:t xml:space="preserve">(not absolute) spatial pattern of the classified crop signal as the disaggregation weight — i.e., satellite data determines the</w:t>
      </w:r>
      <w:r>
        <w:t xml:space="preserve"> </w:t>
      </w:r>
      <w:r>
        <w:rPr>
          <w:iCs/>
          <w:i/>
        </w:rPr>
        <w:t xml:space="preserve">spatial distribution</w:t>
      </w:r>
      <w:r>
        <w:t xml:space="preserve">, while the</w:t>
      </w:r>
      <w:r>
        <w:t xml:space="preserve"> </w:t>
      </w:r>
      <w:r>
        <w:rPr>
          <w:iCs/>
          <w:i/>
        </w:rPr>
        <w:t xml:space="preserve">total</w:t>
      </w:r>
      <w:r>
        <w:t xml:space="preserve"> </w:t>
      </w:r>
      <w:r>
        <w:t xml:space="preserve">area is anchored to (and constrained not to exceed the reliability of) the independently known statistical total.</w:t>
      </w:r>
    </w:p>
    <w:p>
      <w:pPr>
        <w:pStyle w:val="Compact"/>
        <w:numPr>
          <w:ilvl w:val="0"/>
          <w:numId w:val="1280"/>
        </w:numPr>
      </w:pPr>
      <w:r>
        <w:rPr>
          <w:bCs/>
          <w:b/>
        </w:rPr>
        <w:t xml:space="preserve">Aggregation approach:</w:t>
      </w:r>
      <w:r>
        <w:t xml:space="preserve"> </w:t>
      </w:r>
      <w:r>
        <w:t xml:space="preserve">the converse logic — satellite-classified area estimates are first generated independently at a fine spatial/administrative unit (e.g., village or micro-watershed) using local classification and ground-truth calibration, and these fine-unit estimates are then</w:t>
      </w:r>
      <w:r>
        <w:t xml:space="preserve"> </w:t>
      </w:r>
      <w:r>
        <w:rPr>
          <w:bCs/>
          <w:b/>
        </w:rPr>
        <w:t xml:space="preserve">summed (aggregated) upward</w:t>
      </w:r>
      <w:r>
        <w:t xml:space="preserve"> </w:t>
      </w:r>
      <w:r>
        <w:t xml:space="preserve">to obtain district/state/national totals; this approach is preferred when reliable independent totals do not already exist at any coarser level and the satellite-based fine-unit estimate is itself the primary/best-available area statistic, in contrast to disaggregation where an independently-known coarse total is authoritative and satellite data only refines its spatial pattern.</w:t>
      </w:r>
    </w:p>
    <w:p>
      <w:pPr>
        <w:pStyle w:val="FirstParagraph"/>
      </w:pPr>
      <w:r>
        <w:rPr>
          <w:iCs/>
          <w:i/>
        </w:rPr>
        <w:t xml:space="preserve">Interview-relevant distinction to state explicitly if asked: disaggregation moves</w:t>
      </w:r>
      <w:r>
        <w:rPr>
          <w:iCs/>
          <w:i/>
        </w:rPr>
        <w:t xml:space="preserve"> </w:t>
      </w:r>
      <w:r>
        <w:rPr>
          <w:bCs/>
          <w:b/>
          <w:iCs/>
          <w:i/>
        </w:rPr>
        <w:t xml:space="preserve">coarse-to-fine</w:t>
      </w:r>
      <w:r>
        <w:rPr>
          <w:iCs/>
          <w:i/>
        </w:rPr>
        <w:t xml:space="preserve"> </w:t>
      </w:r>
      <w:r>
        <w:rPr>
          <w:iCs/>
          <w:i/>
        </w:rPr>
        <w:t xml:space="preserve">using satellite data only for the spatial pattern (total is fixed externally); aggregation moves</w:t>
      </w:r>
      <w:r>
        <w:rPr>
          <w:iCs/>
          <w:i/>
        </w:rPr>
        <w:t xml:space="preserve"> </w:t>
      </w:r>
      <w:r>
        <w:rPr>
          <w:bCs/>
          <w:b/>
          <w:iCs/>
          <w:i/>
        </w:rPr>
        <w:t xml:space="preserve">fine-to-coarse</w:t>
      </w:r>
      <w:r>
        <w:rPr>
          <w:iCs/>
          <w:i/>
        </w:rPr>
        <w:t xml:space="preserve">, with satellite data supplying both the pattern and the total at the base unit. Complete enumeration and sample-segment are, respectively, full-coverage and probability-sampled versions of a single-scale direct estimation, distinguished from each other primarily by computational/data-volume economy versus classification-accuracy trade-offs.</w:t>
      </w:r>
    </w:p>
    <w:p>
      <w:pPr>
        <w:pStyle w:val="CaptionedFigure"/>
      </w:pPr>
      <w:r>
        <w:drawing>
          <wp:inline>
            <wp:extent cx="5334000" cy="3592285"/>
            <wp:effectExtent b="0" l="0" r="0" t="0"/>
            <wp:docPr descr="Figure: The four approaches to satellite-based crop area estimation — complete enumeration, sample segment, disaggregation and aggregation — and how each feeds district/state/national crop-area statistics." title="" id="126" name="Picture"/>
            <a:graphic>
              <a:graphicData uri="http://schemas.openxmlformats.org/drawingml/2006/picture">
                <pic:pic>
                  <pic:nvPicPr>
                    <pic:cNvPr descr="up/media/media/image7.png" id="127" name="Picture"/>
                    <pic:cNvPicPr>
                      <a:picLocks noChangeArrowheads="1" noChangeAspect="1"/>
                    </pic:cNvPicPr>
                  </pic:nvPicPr>
                  <pic:blipFill>
                    <a:blip r:embed="rId125"/>
                    <a:stretch>
                      <a:fillRect/>
                    </a:stretch>
                  </pic:blipFill>
                  <pic:spPr bwMode="auto">
                    <a:xfrm>
                      <a:off x="0" y="0"/>
                      <a:ext cx="5334000" cy="3592285"/>
                    </a:xfrm>
                    <a:prstGeom prst="rect">
                      <a:avLst/>
                    </a:prstGeom>
                    <a:noFill/>
                    <a:ln w="9525">
                      <a:noFill/>
                      <a:headEnd/>
                      <a:tailEnd/>
                    </a:ln>
                  </pic:spPr>
                </pic:pic>
              </a:graphicData>
            </a:graphic>
          </wp:inline>
        </w:drawing>
      </w:r>
    </w:p>
    <w:p>
      <w:pPr>
        <w:pStyle w:val="ImageCaption"/>
      </w:pPr>
      <w:r>
        <w:t xml:space="preserve">Figure: The four approaches to satellite-based crop area estimation — complete enumeration, sample segment, disaggregation and aggregation — and how each feeds district/state/national crop-area statistics.</w:t>
      </w:r>
    </w:p>
    <w:p>
      <w:pPr>
        <w:pStyle w:val="BodyText"/>
      </w:pPr>
      <w:r>
        <w:t xml:space="preserve">Figure: The four approaches to satellite-based crop area estimation — complete enumeration, sample segment, disaggregation and aggregation — and how each feeds district/state/national crop-area statistics.</w:t>
      </w:r>
    </w:p>
    <w:p>
      <w:pPr>
        <w:pStyle w:val="Heading2"/>
      </w:pPr>
      <w:r>
        <w:t xml:space="preserve">38.4 Crop Acreage Estimation Methodology</w:t>
      </w:r>
    </w:p>
    <w:p>
      <w:pPr>
        <w:pStyle w:val="Heading3"/>
      </w:pPr>
      <w:r>
        <w:t xml:space="preserve">38.4.1 The Estimation Problem</w:t>
      </w:r>
    </w:p>
    <w:p>
      <w:pPr>
        <w:pStyle w:val="FirstParagraph"/>
      </w:pPr>
      <w:r>
        <w:t xml:space="preserve">Crop acreage (area under a specific crop) is a foundational statistic for production forecasting (Production = Area × Yield), agricultural insurance (e.g., India’s Pradhan Mantri Fasal Bima Yojana, which increasingly uses RS-based yield and area estimates), and policy planning. RS-based acreage estimation must produce area figures that are both</w:t>
      </w:r>
      <w:r>
        <w:t xml:space="preserve"> </w:t>
      </w:r>
      <w:r>
        <w:rPr>
          <w:bCs/>
          <w:b/>
        </w:rPr>
        <w:t xml:space="preserve">spatially explicit</w:t>
      </w:r>
      <w:r>
        <w:t xml:space="preserve"> </w:t>
      </w:r>
      <w:r>
        <w:t xml:space="preserve">(a classified map) and</w:t>
      </w:r>
      <w:r>
        <w:t xml:space="preserve"> </w:t>
      </w:r>
      <w:r>
        <w:rPr>
          <w:bCs/>
          <w:b/>
        </w:rPr>
        <w:t xml:space="preserve">statistically defensible</w:t>
      </w:r>
      <w:r>
        <w:t xml:space="preserve"> </w:t>
      </w:r>
      <w:r>
        <w:t xml:space="preserve">(with quantified accuracy), since simply summing classified pixels (</w:t>
      </w:r>
      <w:r>
        <w:t xml:space="preserve">“</w:t>
      </w:r>
      <w:r>
        <w:t xml:space="preserve">pixel-counting</w:t>
      </w:r>
      <w:r>
        <w:t xml:space="preserve">”</w:t>
      </w:r>
      <w:r>
        <w:t xml:space="preserve">) is well known to be biased by classification errors unless corrected.</w:t>
      </w:r>
    </w:p>
    <w:p>
      <w:pPr>
        <w:pStyle w:val="Heading3"/>
      </w:pPr>
      <w:r>
        <w:t xml:space="preserve">38.4.2 Sampling Framework and Ground Truth</w:t>
      </w:r>
    </w:p>
    <w:p>
      <w:pPr>
        <w:pStyle w:val="FirstParagraph"/>
      </w:pPr>
      <w:r>
        <w:t xml:space="preserve">Because it is infeasible to visit every field, RS-based acreage estimation programmes use a designed statistical sampling framework:</w:t>
      </w:r>
    </w:p>
    <w:p>
      <w:pPr>
        <w:pStyle w:val="Compact"/>
        <w:numPr>
          <w:ilvl w:val="0"/>
          <w:numId w:val="1281"/>
        </w:numPr>
      </w:pPr>
      <w:r>
        <w:rPr>
          <w:bCs/>
          <w:b/>
        </w:rPr>
        <w:t xml:space="preserve">Stratified random sampling</w:t>
      </w:r>
      <w:r>
        <w:t xml:space="preserve">: the study area is first stratified by agro-climatic zone, administrative unit (district/taluka), or preliminary crop-dominance classes (derived from a first-pass unsupervised or coarse classification), and then a specified number of sample points/segments are randomly selected within each stratum, proportional to stratum area or crop prevalence. Stratification improves precision (reduces variance) relative to simple random sampling for a given sample size, because it ensures adequate representation of rare classes/strata (e.g., a minor but locally important crop) that a purely random sample might under-sample.</w:t>
      </w:r>
    </w:p>
    <w:p>
      <w:pPr>
        <w:pStyle w:val="Compact"/>
        <w:numPr>
          <w:ilvl w:val="0"/>
          <w:numId w:val="1281"/>
        </w:numPr>
      </w:pPr>
      <w:r>
        <w:rPr>
          <w:bCs/>
          <w:b/>
        </w:rPr>
        <w:t xml:space="preserve">Segment/sample-unit design</w:t>
      </w:r>
      <w:r>
        <w:t xml:space="preserve">: rather than point samples, many operational programmes (following the classical multi-stage area-frame sampling approaches used by USDA NASS and adapted in Indian programmes) use small area segments (e.g., ~2×2 km cells or PSU — primary sampling units) within which all fields are enumerated/verified — improving field-boundary alignment with imagery and enabling area (not just presence/absence) estimation.</w:t>
      </w:r>
    </w:p>
    <w:p>
      <w:pPr>
        <w:pStyle w:val="Compact"/>
        <w:numPr>
          <w:ilvl w:val="0"/>
          <w:numId w:val="1281"/>
        </w:numPr>
      </w:pPr>
      <w:r>
        <w:rPr>
          <w:bCs/>
          <w:b/>
        </w:rPr>
        <w:t xml:space="preserve">Ground truth collection</w:t>
      </w:r>
      <w:r>
        <w:t xml:space="preserve">: field-level crop identification is gathered via ground visits, farmer interviews, GPS-tagged photographs (increasingly via mobile</w:t>
      </w:r>
      <w:r>
        <w:t xml:space="preserve"> </w:t>
      </w:r>
      <w:r>
        <w:t xml:space="preserve">“</w:t>
      </w:r>
      <w:r>
        <w:t xml:space="preserve">crowdsourced</w:t>
      </w:r>
      <w:r>
        <w:t xml:space="preserve">”</w:t>
      </w:r>
      <w:r>
        <w:t xml:space="preserve"> </w:t>
      </w:r>
      <w:r>
        <w:t xml:space="preserve">ground-truth apps), and cross-referenced with crop-cutting experiment (CCE) locations used for yield estimation, so that the same or co-located samples can serve both classification training/validation and yield-model calibration. Timing of ground truth collection must be synchronised with satellite overpasses/crop growth stage to correctly label the crop present at the time of imaging, since fields are often rotated within a season (India’s multiple cropping seasons compound this challenge).</w:t>
      </w:r>
    </w:p>
    <w:p>
      <w:pPr>
        <w:pStyle w:val="Compact"/>
        <w:numPr>
          <w:ilvl w:val="0"/>
          <w:numId w:val="1281"/>
        </w:numPr>
      </w:pPr>
      <w:r>
        <w:rPr>
          <w:bCs/>
          <w:b/>
        </w:rPr>
        <w:t xml:space="preserve">Two-stage design in FASAL-type systems</w:t>
      </w:r>
      <w:r>
        <w:t xml:space="preserve">: a first, coarser stage uses wall-to-wall multi-temporal satellite classification to produce a crop-type/crop-condition map; a second stage uses statistically designed ground samples both to train the classifier and to independently validate/calibrate the resulting area estimates, often using a</w:t>
      </w:r>
      <w:r>
        <w:t xml:space="preserve"> </w:t>
      </w:r>
      <w:r>
        <w:rPr>
          <w:bCs/>
          <w:b/>
        </w:rPr>
        <w:t xml:space="preserve">regression or ratio estimator</w:t>
      </w:r>
      <w:r>
        <w:t xml:space="preserve"> </w:t>
      </w:r>
      <w:r>
        <w:t xml:space="preserve">that adjusts the classified-pixel-count area using the sample-based accuracy figures (bias correction), rather than relying on naive pixel counting.</w:t>
      </w:r>
    </w:p>
    <w:p>
      <w:pPr>
        <w:pStyle w:val="Heading3"/>
      </w:pPr>
      <w:r>
        <w:t xml:space="preserve">38.4.3 Accuracy Assessment</w:t>
      </w:r>
    </w:p>
    <w:p>
      <w:pPr>
        <w:pStyle w:val="FirstParagraph"/>
      </w:pPr>
      <w:r>
        <w:rPr>
          <w:bCs/>
          <w:b/>
        </w:rPr>
        <w:t xml:space="preserve">Confusion (error) matrix</w:t>
      </w:r>
      <w:r>
        <w:t xml:space="preserve">: the standard tool for accuracy assessment cross-tabulates classified-map labels (rows or columns, by convention) against independently collected reference/ground-truth labels (the other axis) for a statistically valid, independent (not used in training) validation sample set. From this matrix:</w:t>
      </w:r>
    </w:p>
    <w:p>
      <w:pPr>
        <w:pStyle w:val="Compact"/>
        <w:numPr>
          <w:ilvl w:val="0"/>
          <w:numId w:val="1282"/>
        </w:numPr>
      </w:pPr>
      <w:r>
        <w:rPr>
          <w:bCs/>
          <w:b/>
        </w:rPr>
        <w:t xml:space="preserve">Overall Accuracy</w:t>
      </w:r>
      <w:r>
        <w:t xml:space="preserve"> </w:t>
      </w:r>
      <w:r>
        <w:t xml:space="preserve">= sum of diagonal (correctly classified) cells ÷ total samples — a single overall summary, but can be misleading when classes are highly imbalanced (a dominant class can inflate overall accuracy while minor classes are poorly mapped).</w:t>
      </w:r>
    </w:p>
    <w:p>
      <w:pPr>
        <w:pStyle w:val="Compact"/>
        <w:numPr>
          <w:ilvl w:val="0"/>
          <w:numId w:val="1282"/>
        </w:numPr>
      </w:pPr>
      <w:r>
        <w:rPr>
          <w:bCs/>
          <w:b/>
        </w:rPr>
        <w:t xml:space="preserve">Producer’s Accuracy</w:t>
      </w:r>
      <w:r>
        <w:t xml:space="preserve"> </w:t>
      </w:r>
      <w:r>
        <w:t xml:space="preserve">(per class) = correctly classified samples of a class ÷ total</w:t>
      </w:r>
      <w:r>
        <w:t xml:space="preserve"> </w:t>
      </w:r>
      <w:r>
        <w:rPr>
          <w:iCs/>
          <w:i/>
        </w:rPr>
        <w:t xml:space="preserve">reference</w:t>
      </w:r>
      <w:r>
        <w:t xml:space="preserve"> </w:t>
      </w:r>
      <w:r>
        <w:t xml:space="preserve">(ground-truth) samples of that class — reflects the probability that a real-world instance of that crop is correctly captured on the map (its complement is the omission error — how much of a crop’s actual area was missed/left out).</w:t>
      </w:r>
    </w:p>
    <w:p>
      <w:pPr>
        <w:pStyle w:val="Compact"/>
        <w:numPr>
          <w:ilvl w:val="0"/>
          <w:numId w:val="1282"/>
        </w:numPr>
      </w:pPr>
      <w:r>
        <w:rPr>
          <w:bCs/>
          <w:b/>
        </w:rPr>
        <w:t xml:space="preserve">User’s Accuracy</w:t>
      </w:r>
      <w:r>
        <w:t xml:space="preserve"> </w:t>
      </w:r>
      <w:r>
        <w:t xml:space="preserve">(per class) = correctly classified samples of a class ÷ total samples</w:t>
      </w:r>
      <w:r>
        <w:t xml:space="preserve"> </w:t>
      </w:r>
      <w:r>
        <w:rPr>
          <w:iCs/>
          <w:i/>
        </w:rPr>
        <w:t xml:space="preserve">classified as</w:t>
      </w:r>
      <w:r>
        <w:t xml:space="preserve"> </w:t>
      </w:r>
      <w:r>
        <w:t xml:space="preserve">that class on the map — reflects the probability that a pixel/field labelled as that crop on the map is actually that crop in reality (its complement is the commission error — how much of the mapped area for a crop is actually wrong, i.e. some other class incorrectly included).</w:t>
      </w:r>
    </w:p>
    <w:p>
      <w:pPr>
        <w:pStyle w:val="Compact"/>
        <w:numPr>
          <w:ilvl w:val="0"/>
          <w:numId w:val="1282"/>
        </w:numPr>
      </w:pPr>
      <w:r>
        <w:rPr>
          <w:bCs/>
          <w:b/>
        </w:rPr>
        <w:t xml:space="preserve">Kappa coefficient (κ)</w:t>
      </w:r>
      <w:r>
        <w:t xml:space="preserve">: a chance-corrected agreement statistic, κ = (P_o − P_e)/(1 − P_e), where P_o is observed overall accuracy and P_e is the accuracy expected by random chance given the marginal totals of the confusion matrix. Kappa values are conventionally interpreted on a qualitative scale (e.g., &gt;0.80 =</w:t>
      </w:r>
      <w:r>
        <w:t xml:space="preserve"> </w:t>
      </w:r>
      <w:r>
        <w:t xml:space="preserve">“</w:t>
      </w:r>
      <w:r>
        <w:t xml:space="preserve">almost perfect,</w:t>
      </w:r>
      <w:r>
        <w:t xml:space="preserve">”</w:t>
      </w:r>
      <w:r>
        <w:t xml:space="preserve"> </w:t>
      </w:r>
      <w:r>
        <w:t xml:space="preserve">0.60–0.80 =</w:t>
      </w:r>
      <w:r>
        <w:t xml:space="preserve"> </w:t>
      </w:r>
      <w:r>
        <w:t xml:space="preserve">“</w:t>
      </w:r>
      <w:r>
        <w:t xml:space="preserve">substantial,</w:t>
      </w:r>
      <w:r>
        <w:t xml:space="preserve">”</w:t>
      </w:r>
      <w:r>
        <w:t xml:space="preserve"> </w:t>
      </w:r>
      <w:r>
        <w:t xml:space="preserve">0.40–0.60 =</w:t>
      </w:r>
      <w:r>
        <w:t xml:space="preserve"> </w:t>
      </w:r>
      <w:r>
        <w:t xml:space="preserve">“</w:t>
      </w:r>
      <w:r>
        <w:t xml:space="preserve">moderate</w:t>
      </w:r>
      <w:r>
        <w:t xml:space="preserve">”</w:t>
      </w:r>
      <w:r>
        <w:t xml:space="preserve"> </w:t>
      </w:r>
      <w:r>
        <w:t xml:space="preserve">agreement), though it should be noted that several recent methodological papers have critiqued the kappa coefficient as an unreliable or even misleading metric for comparing thematic-map accuracy across studies, since it can behave counter-intuitively with class imbalance, and modern best practice increasingly favours reporting overall/user’s/producer’s accuracies directly (with confidence intervals) alongside or instead of kappa.</w:t>
      </w:r>
    </w:p>
    <w:p>
      <w:pPr>
        <w:pStyle w:val="Heading3"/>
      </w:pPr>
      <w:r>
        <w:t xml:space="preserve">38.4.4 Area Estimation from the Confusion Matrix</w:t>
      </w:r>
    </w:p>
    <w:p>
      <w:pPr>
        <w:pStyle w:val="FirstParagraph"/>
      </w:pPr>
      <w:r>
        <w:t xml:space="preserve">Best practice (following Olofsson et al.’s widely cited</w:t>
      </w:r>
      <w:r>
        <w:t xml:space="preserve"> </w:t>
      </w:r>
      <w:r>
        <w:t xml:space="preserve">“</w:t>
      </w:r>
      <w:r>
        <w:t xml:space="preserve">good practices</w:t>
      </w:r>
      <w:r>
        <w:t xml:space="preserve">”</w:t>
      </w:r>
      <w:r>
        <w:t xml:space="preserve"> </w:t>
      </w:r>
      <w:r>
        <w:t xml:space="preserve">framework) does not simply sum classified pixel counts to get final crop area; instead it uses the error matrix (constructed from a</w:t>
      </w:r>
      <w:r>
        <w:t xml:space="preserve"> </w:t>
      </w:r>
      <w:r>
        <w:rPr>
          <w:bCs/>
          <w:b/>
        </w:rPr>
        <w:t xml:space="preserve">probability sample</w:t>
      </w:r>
      <w:r>
        <w:t xml:space="preserve">, so that class proportions in the matrix are statistically representative) to compute a</w:t>
      </w:r>
      <w:r>
        <w:t xml:space="preserve"> </w:t>
      </w:r>
      <w:r>
        <w:rPr>
          <w:bCs/>
          <w:b/>
        </w:rPr>
        <w:t xml:space="preserve">bias-adjusted area estimate</w:t>
      </w:r>
      <w:r>
        <w:t xml:space="preserve"> </w:t>
      </w:r>
      <w:r>
        <w:t xml:space="preserve">for each class, along with a formal standard error/confidence interval — accounting for both omission and commission error simultaneously, which pixel-counting alone cannot do. This stratified-estimator approach is now the recommended standard for national/sub-national crop-area reporting from RS classification, including in India’s operational area-estimation programmes.</w:t>
      </w:r>
    </w:p>
    <w:p>
      <w:pPr>
        <w:pStyle w:val="BodyText"/>
      </w:pPr>
      <w:r>
        <w:drawing>
          <wp:inline>
            <wp:extent cx="5334000" cy="5599759"/>
            <wp:effectExtent b="0" l="0" r="0" t="0"/>
            <wp:docPr descr="" title="" id="129" name="Picture"/>
            <a:graphic>
              <a:graphicData uri="http://schemas.openxmlformats.org/drawingml/2006/picture">
                <pic:pic>
                  <pic:nvPicPr>
                    <pic:cNvPr descr="up/media/media/image10.png" id="130" name="Picture"/>
                    <pic:cNvPicPr>
                      <a:picLocks noChangeArrowheads="1" noChangeAspect="1"/>
                    </pic:cNvPicPr>
                  </pic:nvPicPr>
                  <pic:blipFill>
                    <a:blip r:embed="rId128"/>
                    <a:stretch>
                      <a:fillRect/>
                    </a:stretch>
                  </pic:blipFill>
                  <pic:spPr bwMode="auto">
                    <a:xfrm>
                      <a:off x="0" y="0"/>
                      <a:ext cx="5334000" cy="5599759"/>
                    </a:xfrm>
                    <a:prstGeom prst="rect">
                      <a:avLst/>
                    </a:prstGeom>
                    <a:noFill/>
                    <a:ln w="9525">
                      <a:noFill/>
                      <a:headEnd/>
                      <a:tailEnd/>
                    </a:ln>
                  </pic:spPr>
                </pic:pic>
              </a:graphicData>
            </a:graphic>
          </wp:inline>
        </w:drawing>
      </w:r>
    </w:p>
    <w:p>
      <w:pPr>
        <w:pStyle w:val="BodyText"/>
      </w:pPr>
      <w:r>
        <w:rPr>
          <w:bCs/>
          <w:b/>
        </w:rPr>
        <w:t xml:space="preserve">Figure: Methodological Flow for Satellite-Based Crop Acreage Estimation, from stratified sampling design through bias-corrected area estimation.</w:t>
      </w:r>
    </w:p>
    <w:p>
      <w:pPr>
        <w:pStyle w:val="Heading2"/>
      </w:pPr>
      <w:r>
        <w:t xml:space="preserve">38.5 Crop Acreage and Production Estimation Methodology — Remote Sensing vs. Traditional Statistics</w:t>
      </w:r>
    </w:p>
    <w:p>
      <w:pPr>
        <w:pStyle w:val="FirstParagraph"/>
      </w:pPr>
      <w:r>
        <w:t xml:space="preserve">India’s traditional agricultural statistics system rests on the</w:t>
      </w:r>
      <w:r>
        <w:t xml:space="preserve"> </w:t>
      </w:r>
      <w:r>
        <w:rPr>
          <w:bCs/>
          <w:b/>
        </w:rPr>
        <w:t xml:space="preserve">General Crop Estimation Survey (GCES)</w:t>
      </w:r>
      <w:r>
        <w:t xml:space="preserve"> </w:t>
      </w:r>
      <w:r>
        <w:t xml:space="preserve">framework: states conduct</w:t>
      </w:r>
      <w:r>
        <w:t xml:space="preserve"> </w:t>
      </w:r>
      <w:r>
        <w:rPr>
          <w:bCs/>
          <w:b/>
        </w:rPr>
        <w:t xml:space="preserve">Crop Cutting Experiments (CCEs)</w:t>
      </w:r>
      <w:r>
        <w:t xml:space="preserve"> </w:t>
      </w:r>
      <w:r>
        <w:t xml:space="preserve">— physically harvesting and weighing produce from randomly selected small plots within randomly selected fields/villages, following a statistically designed</w:t>
      </w:r>
      <w:r>
        <w:t xml:space="preserve"> </w:t>
      </w:r>
      <w:r>
        <w:rPr>
          <w:bCs/>
          <w:b/>
        </w:rPr>
        <w:t xml:space="preserve">stratified multi-stage sampling</w:t>
      </w:r>
      <w:r>
        <w:t xml:space="preserve"> </w:t>
      </w:r>
      <w:r>
        <w:t xml:space="preserve">scheme — to estimate average yield per unit area for each crop and district. This, combined with reported/estimated area under cultivation (from village-level land records — the</w:t>
      </w:r>
      <w:r>
        <w:t xml:space="preserve"> </w:t>
      </w:r>
      <w:r>
        <w:t xml:space="preserve">“</w:t>
      </w:r>
      <w:r>
        <w:t xml:space="preserve">Girdawari</w:t>
      </w:r>
      <w:r>
        <w:t xml:space="preserve">”</w:t>
      </w:r>
      <w:r>
        <w:t xml:space="preserve"> </w:t>
      </w:r>
      <w:r>
        <w:t xml:space="preserve">system, patwari-reported area statements, etc.), produces the</w:t>
      </w:r>
      <w:r>
        <w:t xml:space="preserve"> </w:t>
      </w:r>
      <w:r>
        <w:t xml:space="preserve">“</w:t>
      </w:r>
      <w:r>
        <w:t xml:space="preserve">final</w:t>
      </w:r>
      <w:r>
        <w:t xml:space="preserve">”</w:t>
      </w:r>
      <w:r>
        <w:t xml:space="preserve"> </w:t>
      </w:r>
      <w:r>
        <w:t xml:space="preserve">official production estimates, historically released many months after harvest.</w:t>
      </w:r>
    </w:p>
    <w:p>
      <w:pPr>
        <w:pStyle w:val="BodyText"/>
      </w:pPr>
      <w:r>
        <w:t xml:space="preserve">This system, while statistically rigorous in principle, has well-known limitations: it is</w:t>
      </w:r>
      <w:r>
        <w:t xml:space="preserve"> </w:t>
      </w:r>
      <w:r>
        <w:rPr>
          <w:bCs/>
          <w:b/>
        </w:rPr>
        <w:t xml:space="preserve">labour-intensive, slow (final figures often lag a full season), susceptible to non-random/non-random-representative sampling errors, and potentially vulnerable to reporting bias</w:t>
      </w:r>
      <w:r>
        <w:t xml:space="preserve"> </w:t>
      </w:r>
      <w:r>
        <w:t xml:space="preserve">— particularly relevant where CCE-based yields also feed into crop insurance payouts (creating an incentive problem the government has sought to address via DGCES digitisation and RS cross-validation).</w:t>
      </w:r>
    </w:p>
    <w:p>
      <w:pPr>
        <w:pStyle w:val="BodyText"/>
      </w:pPr>
      <w:r>
        <w:t xml:space="preserve">Remote sensing complements this by providing: -</w:t>
      </w:r>
      <w:r>
        <w:t xml:space="preserve"> </w:t>
      </w:r>
      <w:r>
        <w:rPr>
          <w:bCs/>
          <w:b/>
        </w:rPr>
        <w:t xml:space="preserve">Synoptic, spatially-exhaustive area estimation</w:t>
      </w:r>
      <w:r>
        <w:t xml:space="preserve"> </w:t>
      </w:r>
      <w:r>
        <w:t xml:space="preserve">— satellite classification can, in principle, delineate the</w:t>
      </w:r>
      <w:r>
        <w:t xml:space="preserve"> </w:t>
      </w:r>
      <w:r>
        <w:rPr>
          <w:iCs/>
          <w:i/>
        </w:rPr>
        <w:t xml:space="preserve">entire</w:t>
      </w:r>
      <w:r>
        <w:t xml:space="preserve"> </w:t>
      </w:r>
      <w:r>
        <w:t xml:space="preserve">area under a given crop within a district, rather than relying on land-record aggregation, and can flag inconsistencies between reported and observed sown area (relevant to the crop-insurance</w:t>
      </w:r>
      <w:r>
        <w:t xml:space="preserve"> </w:t>
      </w:r>
      <w:r>
        <w:t xml:space="preserve">“</w:t>
      </w:r>
      <w:r>
        <w:t xml:space="preserve">moral hazard</w:t>
      </w:r>
      <w:r>
        <w:t xml:space="preserve">”</w:t>
      </w:r>
      <w:r>
        <w:t xml:space="preserve"> </w:t>
      </w:r>
      <w:r>
        <w:t xml:space="preserve">problem where farmers may over-report sown area for a crop with poor prospects). -</w:t>
      </w:r>
      <w:r>
        <w:t xml:space="preserve"> </w:t>
      </w:r>
      <w:r>
        <w:rPr>
          <w:bCs/>
          <w:b/>
        </w:rPr>
        <w:t xml:space="preserve">Independent, faster, mid-season yield/production signals</w:t>
      </w:r>
      <w:r>
        <w:t xml:space="preserve"> </w:t>
      </w:r>
      <w:r>
        <w:t xml:space="preserve">through spectral or crop-simulation-model approaches (as in FASAL), well ahead of the CCE-based final figures. -</w:t>
      </w:r>
      <w:r>
        <w:t xml:space="preserve"> </w:t>
      </w:r>
      <w:r>
        <w:rPr>
          <w:bCs/>
          <w:b/>
        </w:rPr>
        <w:t xml:space="preserve">A basis for optimising CCE sampling itself</w:t>
      </w:r>
      <w:r>
        <w:t xml:space="preserve"> </w:t>
      </w:r>
      <w:r>
        <w:t xml:space="preserve">— SAC (Ahmedabad), coordinated by MNCFC, has run pilot studies under PMFBY specifically to develop a standard operating procedure for using remote sensing (homogeneous crop-area stratification) to</w:t>
      </w:r>
      <w:r>
        <w:t xml:space="preserve"> </w:t>
      </w:r>
      <w:r>
        <w:rPr>
          <w:bCs/>
          <w:b/>
        </w:rPr>
        <w:t xml:space="preserve">optimise the number and location of CCEs required</w:t>
      </w:r>
      <w:r>
        <w:t xml:space="preserve">, so that fewer but better-targeted crop-cutting experiments can achieve the same or better statistical precision — directly reducing survey cost and turnaround time.</w:t>
      </w:r>
    </w:p>
    <w:p>
      <w:pPr>
        <w:pStyle w:val="BodyText"/>
      </w:pPr>
      <w:r>
        <w:t xml:space="preserve">Broadly, the Indian approach (as embodied in FASAL/DGCES) is not</w:t>
      </w:r>
      <w:r>
        <w:t xml:space="preserve"> </w:t>
      </w:r>
      <w:r>
        <w:t xml:space="preserve">“</w:t>
      </w:r>
      <w:r>
        <w:t xml:space="preserve">remote sensing</w:t>
      </w:r>
      <w:r>
        <w:t xml:space="preserve"> </w:t>
      </w:r>
      <w:r>
        <w:rPr>
          <w:iCs/>
          <w:i/>
        </w:rPr>
        <w:t xml:space="preserve">replacing</w:t>
      </w:r>
      <w:r>
        <w:t xml:space="preserve"> </w:t>
      </w:r>
      <w:r>
        <w:t xml:space="preserve">ground statistics</w:t>
      </w:r>
      <w:r>
        <w:t xml:space="preserve">”</w:t>
      </w:r>
      <w:r>
        <w:t xml:space="preserve"> </w:t>
      </w:r>
      <w:r>
        <w:t xml:space="preserve">but a</w:t>
      </w:r>
      <w:r>
        <w:t xml:space="preserve"> </w:t>
      </w:r>
      <w:r>
        <w:rPr>
          <w:bCs/>
          <w:b/>
        </w:rPr>
        <w:t xml:space="preserve">convergence architecture</w:t>
      </w:r>
      <w:r>
        <w:t xml:space="preserve">: RS-based estimates, agromet models, econometric models and CCE ground truth are all generated in parallel and cross-validated/reconciled, with RS increasingly used for early warning, spatial disaggregation, and sampling optimisation, while CCEs (now digitised) remain the statistically authoritative final benchmark.</w:t>
      </w:r>
    </w:p>
    <w:p>
      <w:pPr>
        <w:pStyle w:val="Heading2"/>
      </w:pPr>
      <w:r>
        <w:t xml:space="preserve">38.6 Crop-wise FASAL Procedure Summaries</w:t>
      </w:r>
    </w:p>
    <w:p>
      <w:pPr>
        <w:pStyle w:val="FirstParagraph"/>
      </w:pPr>
      <w:r>
        <w:t xml:space="preserve">Each FASAL crop has a tailored monitoring procedure reflecting its specific growing season, cloud-cover exposure, canopy characteristics and the sensor best suited to it. This section summarises the operational logic crop-by-crop — a frequent interview format (</w:t>
      </w:r>
      <w:r>
        <w:t xml:space="preserve">“</w:t>
      </w:r>
      <w:r>
        <w:t xml:space="preserve">how would you monitor crop X specifically?</w:t>
      </w:r>
      <w:r>
        <w:t xml:space="preserve">”</w:t>
      </w:r>
      <w:r>
        <w:t xml:space="preserve">).</w:t>
      </w:r>
    </w:p>
    <w:p>
      <w:pPr>
        <w:pStyle w:val="Heading3"/>
      </w:pPr>
      <w:r>
        <w:t xml:space="preserve">38.6.1 Rice (kharif and rabi)</w:t>
      </w:r>
    </w:p>
    <w:p>
      <w:pPr>
        <w:pStyle w:val="FirstParagraph"/>
      </w:pPr>
      <w:r>
        <w:t xml:space="preserve">Rice is grown under standing water for much of its vegetative stage, making it the crop for which the SAR backscatter growth-signature methodology is most diagnostic and most operationally mature (SASYA, Chapter 6, Section 6.5). The kharif season’s heavy monsoon cloud cover makes optical-only monitoring unreliable, so EOS-04 SAR is the primary operational data source, acquired at a frequency sufficient to capture the transplanting-to-maturity backscatter trajectory (low–rise–plateau). Rabi rice (grown in eastern/southern India under residual monsoon or irrigation water) benefits from generally clearer post-monsoon skies, allowing greater use of optical (AWiFS/LISS) time series alongside SAR confirmation.</w:t>
      </w:r>
    </w:p>
    <w:p>
      <w:pPr>
        <w:pStyle w:val="Heading3"/>
      </w:pPr>
      <w:r>
        <w:t xml:space="preserve">38.6.2 Wheat</w:t>
      </w:r>
    </w:p>
    <w:p>
      <w:pPr>
        <w:pStyle w:val="FirstParagraph"/>
      </w:pPr>
      <w:r>
        <w:t xml:space="preserve">Grown entirely in the rabi (winter) season under generally clear skies, wheat is well suited to optical AWiFS/LISS-III NDVI time-series monitoring through its vegetative-to-grain-filling growth curve, with the MLR/statistical yield model historically well calibrated given wheat’s long FASAL monitoring history. Yellow rust early-warning is layered on top of the routine area/yield monitoring specifically for the wheat crop given its major disease-risk profile in northern India.</w:t>
      </w:r>
    </w:p>
    <w:p>
      <w:pPr>
        <w:pStyle w:val="Heading3"/>
      </w:pPr>
      <w:r>
        <w:t xml:space="preserve">38.6.3 Sugarcane</w:t>
      </w:r>
    </w:p>
    <w:p>
      <w:pPr>
        <w:pStyle w:val="FirstParagraph"/>
      </w:pPr>
      <w:r>
        <w:t xml:space="preserve">A long-duration (10–18 month), perennial-appearing crop that does not follow the sharp single-season green-up/senescence curve of annual crops, making its area estimation and</w:t>
      </w:r>
      <w:r>
        <w:t xml:space="preserve"> </w:t>
      </w:r>
      <w:r>
        <w:t xml:space="preserve">“</w:t>
      </w:r>
      <w:r>
        <w:t xml:space="preserve">early area estimation</w:t>
      </w:r>
      <w:r>
        <w:t xml:space="preserve">”</w:t>
      </w:r>
      <w:r>
        <w:t xml:space="preserve"> </w:t>
      </w:r>
      <w:r>
        <w:t xml:space="preserve">procedure development (explicitly cited among current FASAL R&amp;D priorities) require an extended-duration, AWiFS-based multi-date time-series classification approach specifically calibrated to distinguish sugarcane’s characteristic sustained, high, slowly-varying NDVI trajectory from both perennial horticultural crops (orchards, Section 18.1.7) and other annual crops.</w:t>
      </w:r>
    </w:p>
    <w:p>
      <w:pPr>
        <w:pStyle w:val="Heading3"/>
      </w:pPr>
      <w:r>
        <w:t xml:space="preserve">38.6.4 Cotton and Soybean</w:t>
      </w:r>
    </w:p>
    <w:p>
      <w:pPr>
        <w:pStyle w:val="FirstParagraph"/>
      </w:pPr>
      <w:r>
        <w:t xml:space="preserve">Both are kharif-season crops grown under the same monsoon-cloud-cover constraint as rice, making SAR the primary data source for their</w:t>
      </w:r>
      <w:r>
        <w:t xml:space="preserve"> </w:t>
      </w:r>
      <w:r>
        <w:t xml:space="preserve">“</w:t>
      </w:r>
      <w:r>
        <w:t xml:space="preserve">new-sensor</w:t>
      </w:r>
      <w:r>
        <w:t xml:space="preserve">”</w:t>
      </w:r>
      <w:r>
        <w:t xml:space="preserve"> </w:t>
      </w:r>
      <w:r>
        <w:t xml:space="preserve">area-estimation procedures (explicitly cited as an active FASAL R&amp;D priority, Chapter 13, Section 13.8) — though, unlike rice, neither crop is grown under standing water, so their SAR backscatter signature is governed by canopy volume-scattering development alone (rising cross-pol/VH backscatter and DpRVI, Chapter 2, Section 2.4, as canopy LAI increases) rather than the flooded-paddy double-bounce mechanism, requiring separately calibrated crop-specific classification training.</w:t>
      </w:r>
    </w:p>
    <w:p>
      <w:pPr>
        <w:pStyle w:val="Heading3"/>
      </w:pPr>
      <w:r>
        <w:t xml:space="preserve">38.6.5 Rapeseed–Mustard</w:t>
      </w:r>
    </w:p>
    <w:p>
      <w:pPr>
        <w:pStyle w:val="FirstParagraph"/>
      </w:pPr>
      <w:r>
        <w:t xml:space="preserve">A rabi oilseed crop grown mainly in Rajasthan, Haryana, Punjab and Uttar Pradesh, one of FASAL’s original six forecast-procedure-developed crops, monitored via optical AWiFS/LISS NDVI time series through its winter growing season; specifically also the crop targeted by the mustard-aphid geospatial pest-forewarning technique.</w:t>
      </w:r>
    </w:p>
    <w:p>
      <w:pPr>
        <w:pStyle w:val="Heading3"/>
      </w:pPr>
      <w:r>
        <w:t xml:space="preserve">38.6.6 Groundnut, Potato, Pearl Millet (Bajra), Jute</w:t>
      </w:r>
    </w:p>
    <w:p>
      <w:pPr>
        <w:pStyle w:val="FirstParagraph"/>
      </w:pPr>
      <w:r>
        <w:t xml:space="preserve">Groundnut (kharif, largely southern/western India) and pearl millet (kharif, semi-arid tracts) are both monitored using the standard AWiFS-based within-season area/condition approach; potato (rabi, short-duration, high-value) requires higher temporal frequency given its shorter growth window; jute (kharif, eastern India, particularly West Bengal/Bihar/Assam) was among the original crops receiving early FASAL forecast-procedure development, monitored under the Fibre Crop Information System alongside cotton.</w:t>
      </w:r>
    </w:p>
    <w:p>
      <w:pPr>
        <w:pStyle w:val="Heading3"/>
      </w:pPr>
      <w:r>
        <w:t xml:space="preserve">38.6.7 Horticulture Crops (Perennial)</w:t>
      </w:r>
    </w:p>
    <w:p>
      <w:pPr>
        <w:pStyle w:val="FirstParagraph"/>
      </w:pPr>
      <w:r>
        <w:t xml:space="preserve">As detailed in the relevant chapter, perennial horticultural/plantation crops require high-resolution (LISS-IV, Cartosat) sensors and multi-date, multi-year imagery to distinguish their evergreen/semi-evergreen canopy signature from both annual field crops and natural forest cover, and texture-based (not purely spectral) classification to resolve individual orchard blocks below the footprint of moderate-resolution sensors.</w:t>
      </w:r>
    </w:p>
    <w:p>
      <w:pPr>
        <w:pStyle w:val="Heading2"/>
      </w:pPr>
      <w:r>
        <w:t xml:space="preserve">38.7 District/State-Level Crop Yield Forecasting in India: The FASAL Approach</w:t>
      </w:r>
    </w:p>
    <w:p>
      <w:pPr>
        <w:pStyle w:val="FirstParagraph"/>
      </w:pPr>
      <w:r>
        <w:t xml:space="preserve">India’s operational multi-agency programme for pre-harvest crop production forecasting is</w:t>
      </w:r>
      <w:r>
        <w:t xml:space="preserve"> </w:t>
      </w:r>
      <w:r>
        <w:rPr>
          <w:bCs/>
          <w:b/>
        </w:rPr>
        <w:t xml:space="preserve">FASAL (Forecasting Agricultural output using Space, Agro-meteorology and Land-based observations)</w:t>
      </w:r>
      <w:r>
        <w:t xml:space="preserve">, coordinated by the Mahalanobis National Crop Forecast Centre (MNCFC, under the Department of Agriculture and Farmers Welfare), with technical contributions from ISRO/Space Applications Centre (satellite-based crop acreage and condition assessment), the India Meteorological Department (IMD, weather and agromet data), and ICAR-IASRI (statistical/agromet model development), building on the earlier CAPE (Crop Acreage and Production Estimation) project.</w:t>
      </w:r>
    </w:p>
    <w:p>
      <w:pPr>
        <w:pStyle w:val="Heading3"/>
      </w:pPr>
      <w:r>
        <w:t xml:space="preserve">38.7.1 Multiple Forecasts at Increasing Lead Times</w:t>
      </w:r>
    </w:p>
    <w:p>
      <w:pPr>
        <w:pStyle w:val="FirstParagraph"/>
      </w:pPr>
      <w:r>
        <w:t xml:space="preserve">A distinguishing feature of the FASAL methodology is that it does</w:t>
      </w:r>
      <w:r>
        <w:t xml:space="preserve"> </w:t>
      </w:r>
      <w:r>
        <w:rPr>
          <w:bCs/>
          <w:b/>
        </w:rPr>
        <w:t xml:space="preserve">not rely on a single model</w:t>
      </w:r>
      <w:r>
        <w:t xml:space="preserve">, but issues a series of successive, progressively refined forecasts through the crop season, using different methods best suited to the data available at each lead time:</w:t>
      </w:r>
    </w:p>
    <w:p>
      <w:pPr>
        <w:numPr>
          <w:ilvl w:val="0"/>
          <w:numId w:val="1283"/>
        </w:numPr>
      </w:pPr>
      <w:r>
        <w:rPr>
          <w:bCs/>
          <w:b/>
        </w:rPr>
        <w:t xml:space="preserve">Pre-season / early-season forecasts</w:t>
      </w:r>
      <w:r>
        <w:t xml:space="preserve"> </w:t>
      </w:r>
      <w:r>
        <w:t xml:space="preserve">rely primarily on agrometeorological models (regression on weather indices/normals and historical trend), since satellite crop-condition information is not yet available or the crop canopy is too sparse for reliable spectral discrimination.</w:t>
      </w:r>
    </w:p>
    <w:p>
      <w:pPr>
        <w:numPr>
          <w:ilvl w:val="0"/>
          <w:numId w:val="1283"/>
        </w:numPr>
      </w:pPr>
      <w:r>
        <w:rPr>
          <w:bCs/>
          <w:b/>
        </w:rPr>
        <w:t xml:space="preserve">Mid-season forecasts</w:t>
      </w:r>
      <w:r>
        <w:t xml:space="preserve">, once the crop canopy has developed sufficiently for reliable satellite discrimination and vegetation-index buildup, incorporate remote-sensing-based spectral-yield models (NDVI/vegetation-index regressions and/or crop condition assessment) alongside the agromet model, and increasingly a</w:t>
      </w:r>
      <w:r>
        <w:t xml:space="preserve"> </w:t>
      </w:r>
      <w:r>
        <w:rPr>
          <w:bCs/>
          <w:b/>
        </w:rPr>
        <w:t xml:space="preserve">dynamic crop-simulation model</w:t>
      </w:r>
      <w:r>
        <w:t xml:space="preserve"> </w:t>
      </w:r>
      <w:r>
        <w:t xml:space="preserve">(WOFOST and other models have been evaluated/used within the FASAL multi-model framework) run with in-season observed weather.</w:t>
      </w:r>
    </w:p>
    <w:p>
      <w:pPr>
        <w:numPr>
          <w:ilvl w:val="0"/>
          <w:numId w:val="1283"/>
        </w:numPr>
      </w:pPr>
      <w:r>
        <w:rPr>
          <w:bCs/>
          <w:b/>
        </w:rPr>
        <w:t xml:space="preserve">Near-harvest forecasts</w:t>
      </w:r>
      <w:r>
        <w:t xml:space="preserve"> </w:t>
      </w:r>
      <w:r>
        <w:t xml:space="preserve">integrate all three streams — agromet, remote sensing, and crop-simulation-model outputs — often through an</w:t>
      </w:r>
      <w:r>
        <w:t xml:space="preserve"> </w:t>
      </w:r>
      <w:r>
        <w:rPr>
          <w:bCs/>
          <w:b/>
        </w:rPr>
        <w:t xml:space="preserve">ensemble/weighted-combination</w:t>
      </w:r>
      <w:r>
        <w:t xml:space="preserve"> </w:t>
      </w:r>
      <w:r>
        <w:t xml:space="preserve">framework, with weights informed by each method’s historical (cross-validated) performance for that crop/region, alongside independent satellite-based crop acreage estimates (multi-date satellite classification of standing crop area, essential because production = area × yield, and acreage itself must be estimated/verified via remote sensing rather than assumed static).</w:t>
      </w:r>
    </w:p>
    <w:p>
      <w:pPr>
        <w:pStyle w:val="Heading3"/>
      </w:pPr>
      <w:r>
        <w:t xml:space="preserve">38.7.2 Multi-Model, Multi-Agency Cross-Validation</w:t>
      </w:r>
    </w:p>
    <w:p>
      <w:pPr>
        <w:pStyle w:val="FirstParagraph"/>
      </w:pPr>
      <w:r>
        <w:t xml:space="preserve">FASAL forecasts are validated against yield estimates from</w:t>
      </w:r>
      <w:r>
        <w:t xml:space="preserve"> </w:t>
      </w:r>
      <w:r>
        <w:rPr>
          <w:bCs/>
          <w:b/>
        </w:rPr>
        <w:t xml:space="preserve">Crop Cutting Experiments (CCEs)</w:t>
      </w:r>
      <w:r>
        <w:t xml:space="preserve"> </w:t>
      </w:r>
      <w:r>
        <w:t xml:space="preserve">conducted under the General Crop Estimation Surveys, and the multiple independent model streams (statistical agromet, remote-sensing regression, and crop-simulation model) serve as a mutual cross-check: convergent forecasts across methods increase confidence, while divergence flags districts/seasons requiring closer field verification, additional ground-truth collection, or method refinement. This multi-model ensemble philosophy — rather than commitment to any single</w:t>
      </w:r>
      <w:r>
        <w:t xml:space="preserve"> </w:t>
      </w:r>
      <w:r>
        <w:t xml:space="preserve">“</w:t>
      </w:r>
      <w:r>
        <w:t xml:space="preserve">best</w:t>
      </w:r>
      <w:r>
        <w:t xml:space="preserve">”</w:t>
      </w:r>
      <w:r>
        <w:t xml:space="preserve"> </w:t>
      </w:r>
      <w:r>
        <w:t xml:space="preserve">model — is explicitly the operational lesson embodied in FASAL and is analogous internationally to the EU’s MARS system and to crop monitoring frameworks under the GEOGLAM (Group on Earth Observations Global Agricultural Monitoring) initiative, of which India is an active partner (providing crop condition assessments for wheat and rice within GEOGLAM’s Crop Monitor reports).</w:t>
      </w:r>
    </w:p>
    <w:p>
      <w:pPr>
        <w:pStyle w:val="Heading3"/>
      </w:pPr>
      <w:r>
        <w:t xml:space="preserve">38.7.3 Crops and Coverage</w:t>
      </w:r>
    </w:p>
    <w:p>
      <w:pPr>
        <w:pStyle w:val="FirstParagraph"/>
      </w:pPr>
      <w:r>
        <w:t xml:space="preserve">FASAL began with a focus on major crops of national food-security importance — wheat, rice, and subsequently oilseeds, cotton, jute, and other commercial crops — with district-level forecasts progressively aggregated to state and national estimates, issued at multiple points in the season (typically several forecast rounds per crop per season, from pre-sowing/early-season through near-harvest).</w:t>
      </w:r>
    </w:p>
    <w:p>
      <w:pPr>
        <w:pStyle w:val="Heading2"/>
      </w:pPr>
      <w:r>
        <w:t xml:space="preserve">38.8 CROPSAP — Crop Pest Surveillance and Advisory Project</w:t>
      </w:r>
    </w:p>
    <w:p>
      <w:pPr>
        <w:pStyle w:val="FirstParagraph"/>
      </w:pPr>
      <w:r>
        <w:t xml:space="preserve">CROPSAP (originally a Maharashtra state initiative, subsequently referenced as a model for pest-surveillance-linked advisory nationally) integrates real-time pest/disease scouting data with weather information (since many crop pests and pathogens have well-established weather-triggered outbreak thresholds — e.g., blast disease in rice favoured by high humidity and moderate temperature, aphid outbreaks favoured by specific temperature/humidity windows) to issue targeted Integrated Pest Management (IPM) advisories, reducing indiscriminate pesticide use.</w:t>
      </w:r>
    </w:p>
    <w:p>
      <w:pPr>
        <w:pStyle w:val="Heading2"/>
      </w:pPr>
      <w:r>
        <w:t xml:space="preserve">38.9 District-Level and State-Level Crop Estimation (DES)</w:t>
      </w:r>
    </w:p>
    <w:p>
      <w:pPr>
        <w:pStyle w:val="FirstParagraph"/>
      </w:pPr>
      <w:r>
        <w:t xml:space="preserve">The Directorate of Economics and Statistics (DES), Department of Agriculture and Farmers Welfare, is the custodian of India's official crop production statistics, historically compiled from General Crop Estimation Surveys and crop-cutting experiments conducted by state revenue/agriculture departments. FASAL forecasts are designed to complement (not replace) this official statistical machinery, providing earlier, remote-sensing-informed indications ahead of the DES's own post-harvest confirmed estimates; over time, satellite/technology-based estimation (including CCE-agriculture apps for digitised, geo-tagged crop-cutting) has also been used to modernise the DES's own ground survey process.</w:t>
      </w:r>
    </w:p>
    <w:p>
      <w:pPr>
        <w:pStyle w:val="Heading2"/>
      </w:pPr>
      <w:r>
        <w:t xml:space="preserve">38.10 Other related programmes worth knowing by name</w:t>
      </w:r>
    </w:p>
    <w:p>
      <w:pPr>
        <w:numPr>
          <w:ilvl w:val="0"/>
          <w:numId w:val="1284"/>
        </w:numPr>
      </w:pPr>
      <w:r>
        <w:rPr>
          <w:bCs/>
          <w:b/>
        </w:rPr>
        <w:t xml:space="preserve">CHAMAN</w:t>
      </w:r>
      <w:r>
        <w:t xml:space="preserve"> </w:t>
      </w:r>
      <w:r>
        <w:t xml:space="preserve">(Coordinated Horticulture Assessment and Management using geoinformatics) — the horticulture-sector analogue of FASAL; uses satellite RS for area and production estimation of fruits, vegetables and plantation crops.</w:t>
      </w:r>
    </w:p>
    <w:p>
      <w:pPr>
        <w:numPr>
          <w:ilvl w:val="0"/>
          <w:numId w:val="1284"/>
        </w:numPr>
      </w:pPr>
      <w:r>
        <w:rPr>
          <w:bCs/>
          <w:b/>
        </w:rPr>
        <w:t xml:space="preserve">GKMS</w:t>
      </w:r>
      <w:r>
        <w:t xml:space="preserve"> </w:t>
      </w:r>
      <w:r>
        <w:t xml:space="preserve">(Gramin Krishi Mausam Seva) — district-level agromet advisory service; combines satellite meteorological products with IMD forecasts to issue crop- and location-specific advisories to farmers.</w:t>
      </w:r>
    </w:p>
    <w:p>
      <w:pPr>
        <w:numPr>
          <w:ilvl w:val="0"/>
          <w:numId w:val="1284"/>
        </w:numPr>
      </w:pPr>
      <w:r>
        <w:rPr>
          <w:bCs/>
          <w:b/>
        </w:rPr>
        <w:t xml:space="preserve">Soil Health Card / land-use mapping</w:t>
      </w:r>
      <w:r>
        <w:t xml:space="preserve"> </w:t>
      </w:r>
      <w:r>
        <w:t xml:space="preserve">initiatives — increasingly draw on RS-derived soil and cropping-pattern layers.</w:t>
      </w:r>
    </w:p>
    <w:p>
      <w:pPr>
        <w:numPr>
          <w:ilvl w:val="0"/>
          <w:numId w:val="1284"/>
        </w:numPr>
      </w:pPr>
      <w:r>
        <w:rPr>
          <w:bCs/>
          <w:b/>
        </w:rPr>
        <w:t xml:space="preserve">Crop residue burning monitoring</w:t>
      </w:r>
      <w:r>
        <w:t xml:space="preserve"> </w:t>
      </w:r>
      <w:r>
        <w:t xml:space="preserve">and</w:t>
      </w:r>
      <w:r>
        <w:t xml:space="preserve"> </w:t>
      </w:r>
      <w:r>
        <w:rPr>
          <w:bCs/>
          <w:b/>
        </w:rPr>
        <w:t xml:space="preserve">wasteland/degraded land mapping</w:t>
      </w:r>
      <w:r>
        <w:t xml:space="preserve"> </w:t>
      </w:r>
      <w:r>
        <w:t xml:space="preserve">— thematic applications sometimes bundled under</w:t>
      </w:r>
      <w:r>
        <w:t xml:space="preserve"> </w:t>
      </w:r>
      <w:r>
        <w:t xml:space="preserve">“</w:t>
      </w:r>
      <w:r>
        <w:t xml:space="preserve">other programmes</w:t>
      </w:r>
      <w:r>
        <w:t xml:space="preserve">”</w:t>
      </w:r>
      <w:r>
        <w:t xml:space="preserve"> </w:t>
      </w:r>
      <w:r>
        <w:t xml:space="preserve">questions.</w:t>
      </w:r>
    </w:p>
    <w:p>
      <w:pPr>
        <w:pStyle w:val="Heading2"/>
      </w:pPr>
      <w:r>
        <w:t xml:space="preserve">38.11 Summary: Integrated Operational Workflow (India Context)</w:t>
      </w:r>
    </w:p>
    <w:p>
      <w:pPr>
        <w:pStyle w:val="FirstParagraph"/>
      </w:pPr>
      <w:r>
        <w:t xml:space="preserve">Bringing the chapter together, an operational crop monitoring cycle (as implemented conceptually in ISRO’s FASAL and related programmes) typically proceeds as: (1) multi-temporal optical (Resourcesat AWiFS/LISS, Sentinel-2) and SAR (RISAT, Sentinel-1) acquisition through the season; (2) vegetation-index and backscatter time-series generation per field/pixel; (3) cloud/gap-filling and phenological curve fitting (Savitzky-Golay/double-logistic/harmonic, à la TIMESAT) to extract SOS/POS/EOS metrics; (4) stratified-random-sample-based ground truth collection, synchronised with crop-cutting experiments; (5) supervised multi-temporal classification (Random Forest being the current operational workhorse, increasingly supplemented by SAR fusion and deep-learning time-series models) to produce crop-type maps; (6) confusion-matrix-based accuracy assessment and bias-corrected area estimation; (7) VCI/anomaly-based crop-condition assessment against historical baselines for early warning; and (8) integration of area, condition, and agro-meteorological data into empirical/semi-empirical yield models for pre-harvest production forecasting. Each of the techniques described in this chapter is a functioning module within that larger operational pipeline — understanding both the physical basis (why a given index or SAR signature behaves as it does) and the statistical rigor (how area/accuracy claims are validated) is essential for any technical role connected to India’s agricultural remote sensing programmes.</w:t>
      </w:r>
    </w:p>
    <w:p>
      <w:pPr>
        <w:pStyle w:val="Heading1"/>
      </w:pPr>
      <w:r>
        <w:t xml:space="preserve">Chapter 39. Crop Growth Simulation and Yield Modelling</w:t>
      </w:r>
    </w:p>
    <w:p>
      <w:pPr>
        <w:pStyle w:val="Heading2"/>
      </w:pPr>
      <w:r>
        <w:t xml:space="preserve">39.1 Introduction: Why Yield Forecasting Matters</w:t>
      </w:r>
    </w:p>
    <w:p>
      <w:pPr>
        <w:pStyle w:val="FirstParagraph"/>
      </w:pPr>
      <w:r>
        <w:t xml:space="preserve">Crop yield forecasting is the science of estimating the production of a crop — over a field, district, state, or country — well before harvest, using a combination of weather data, remote sensing observations, field-collected agronomic information, and mathematical/computational models. For a country like India, where agriculture supports the livelihood of nearly half the workforce and where monsoon variability creates large inter-annual swings in production, pre-harvest yield forecasts are essential inputs to food security planning, buffer-stock management, price stabilization, crop insurance (e.g., the Pradhan Mantri Fasal Bima Yojana, PMFBY), and drought/disaster relief. From the standpoint of ISRO/SAC, yield forecasting is one of the primary end-to-end applications that stitches together satellite-derived biophysical parameters (LAI, FAPAR, NDVI, soil moisture, evapotranspiration), agrometeorological data, and crop-simulation science into an operational decision-support product.</w:t>
      </w:r>
    </w:p>
    <w:p>
      <w:pPr>
        <w:pStyle w:val="BodyText"/>
      </w:pPr>
      <w:r>
        <w:t xml:space="preserve">This chapter surveys the major methodological families used for yield forecasting, describes the crop growth models most relevant to remote-sensing-based yield estimation, explains the physical and mathematical basis of biomass accumulation (radiation use efficiency and Monteith’s approach), covers the techniques for assimilating remote sensing data into crop models, reviews the growing role of machine learning and deep learning, and finally describes how these approaches are combined operationally in India’s FASAL programme.</w:t>
      </w:r>
    </w:p>
    <w:p>
      <w:pPr>
        <w:pStyle w:val="Heading2"/>
      </w:pPr>
      <w:r>
        <w:t xml:space="preserve">39.2 Overview of Yield Forecasting Approaches</w:t>
      </w:r>
    </w:p>
    <w:p>
      <w:pPr>
        <w:pStyle w:val="FirstParagraph"/>
      </w:pPr>
      <w:r>
        <w:t xml:space="preserve">Yield forecasting methodologies can be broadly grouped into four (overlapping) families:</w:t>
      </w:r>
    </w:p>
    <w:p>
      <w:pPr>
        <w:pStyle w:val="Heading3"/>
      </w:pPr>
      <w:r>
        <w:t xml:space="preserve">39.2.1 Statistical / Empirical Approaches</w:t>
      </w:r>
    </w:p>
    <w:p>
      <w:pPr>
        <w:pStyle w:val="FirstParagraph"/>
      </w:pPr>
      <w:r>
        <w:t xml:space="preserve">These rely on historical relationships between yield and predictor variables — most commonly weather parameters (agrometeorological models) but also historical yield trends, technology trend variables, and sometimes remote-sensing vegetation indices used as regressors. They are computationally simple, require long historical time series for calibration, and produce district/state-level forecasts quickly, but they do not explicitly represent crop physiology and therefore generalize poorly to conditions (varieties, management, extreme weather) not present in the calibration data.</w:t>
      </w:r>
    </w:p>
    <w:p>
      <w:pPr>
        <w:pStyle w:val="Heading3"/>
      </w:pPr>
      <w:r>
        <w:t xml:space="preserve">39.2.2 Remote-Sensing Spectral–Yield Relationship Approaches</w:t>
      </w:r>
    </w:p>
    <w:p>
      <w:pPr>
        <w:pStyle w:val="FirstParagraph"/>
      </w:pPr>
      <w:r>
        <w:t xml:space="preserve">These exploit empirical or semi-empirical relationships between spectral vegetation indices (NDVI, EVI, GCVI, red-edge indices) or derived biophysical variables (LAI, FAPAR) accumulated over the crop growth cycle and final yield. Common forms include simple/multiple regression of yield against seasonally integrated NDVI (e.g., cumulative NDVI over the vegetative-to-reproductive period), or regression on NDVI at critical phenological stages (e.g., peak vegetative stage, heading/flowering). These methods are attractive because they directly observe the actual crop condition (capturing stress, sowing delays, and spatial heterogeneity) rather than assuming average conditions, but by themselves they are essentially</w:t>
      </w:r>
      <w:r>
        <w:t xml:space="preserve"> </w:t>
      </w:r>
      <w:r>
        <w:t xml:space="preserve">“</w:t>
      </w:r>
      <w:r>
        <w:t xml:space="preserve">black box</w:t>
      </w:r>
      <w:r>
        <w:t xml:space="preserve">”</w:t>
      </w:r>
      <w:r>
        <w:t xml:space="preserve"> </w:t>
      </w:r>
      <w:r>
        <w:t xml:space="preserve">curve fits, valid mainly within the region/crop-variety domain for which they were calibrated, and they saturate at high biomass/LAI values (a known NDVI limitation), and provide no mechanistic insight into</w:t>
      </w:r>
      <w:r>
        <w:t xml:space="preserve"> </w:t>
      </w:r>
      <w:r>
        <w:rPr>
          <w:iCs/>
          <w:i/>
        </w:rPr>
        <w:t xml:space="preserve">why</w:t>
      </w:r>
      <w:r>
        <w:t xml:space="preserve"> </w:t>
      </w:r>
      <w:r>
        <w:t xml:space="preserve">yield changed.</w:t>
      </w:r>
    </w:p>
    <w:p>
      <w:pPr>
        <w:pStyle w:val="Heading3"/>
      </w:pPr>
      <w:r>
        <w:t xml:space="preserve">39.2.3 Crop Growth / Crop Simulation Models</w:t>
      </w:r>
    </w:p>
    <w:p>
      <w:pPr>
        <w:pStyle w:val="FirstParagraph"/>
      </w:pPr>
      <w:r>
        <w:t xml:space="preserve">These are process-based (mechanistic) dynamic models that simulate the day-by-day physiological development of a crop — phenology, canopy expansion, light interception, photosynthesis/biomass accumulation, partitioning to grain, and the influence of water, nutrient, and temperature stress — using daily weather data, soil parameters, and management/cultivar information as drivers. Examples include WOFOST, DSSAT (CERES family), CropSyst, AquaCrop, and simplified radiation-use-efficiency models such as SAFY. These models provide mechanistic understanding and can be run prospectively (forecast mode, using historical or ensemble weather) or diagnostically, but they require extensive parameterization (soil, cultivar, management) that is often unavailable or highly uncertain at regional scale, making a</w:t>
      </w:r>
      <w:r>
        <w:t xml:space="preserve"> </w:t>
      </w:r>
      <w:r>
        <w:t xml:space="preserve">“</w:t>
      </w:r>
      <w:r>
        <w:t xml:space="preserve">one-size-fits-all</w:t>
      </w:r>
      <w:r>
        <w:t xml:space="preserve">”</w:t>
      </w:r>
      <w:r>
        <w:t xml:space="preserve"> </w:t>
      </w:r>
      <w:r>
        <w:t xml:space="preserve">regional run inaccurate for the huge heterogeneity of smallholder-dominated cropping systems.</w:t>
      </w:r>
    </w:p>
    <w:p>
      <w:pPr>
        <w:pStyle w:val="Heading3"/>
      </w:pPr>
      <w:r>
        <w:t xml:space="preserve">39.2.4 Hybrid / Data-Assimilation Approaches</w:t>
      </w:r>
    </w:p>
    <w:p>
      <w:pPr>
        <w:pStyle w:val="FirstParagraph"/>
      </w:pPr>
      <w:r>
        <w:t xml:space="preserve">These combine crop simulation models with remote-sensing-derived state variables (mainly LAI/FAPAR, sometimes soil moisture or canopy temperature) through data assimilation techniques, so that the model trajectory is periodically corrected to match what the satellite actually observes. This captures both the mechanistic strength of crop models and the real-world observational information content of remote sensing, generally outperforming either approach alone, particularly under anomalous (stress) years that are poorly represented by long-term average model runs. Increasingly, machine learning/deep learning approaches — trained on remote sensing time series, weather, soil, and historical yield data — constitute a fifth, rapidly growing family, discussed in the relevant chapter.</w:t>
      </w:r>
    </w:p>
    <w:p>
      <w:pPr>
        <w:pStyle w:val="BodyText"/>
      </w:pPr>
      <w:r>
        <w:t xml:space="preserve">A synthesis comparison of these approaches is given in Table 3.</w:t>
      </w:r>
    </w:p>
    <w:p>
      <w:pPr>
        <w:pStyle w:val="Heading2"/>
      </w:pPr>
      <w:r>
        <w:t xml:space="preserve">39.3 Agrometeorological Yield Forecasting</w:t>
      </w:r>
    </w:p>
    <w:p>
      <w:pPr>
        <w:pStyle w:val="FirstParagraph"/>
      </w:pPr>
      <w:r>
        <w:t xml:space="preserve">Agrometeorological (agromet) models are the oldest operational approach to district/state-level yield forecasting in India, developed originally under IMD and refined under the FASAL programme. The basic premise is that year-to-year yield variability at a given location, for a given crop and management regime, is driven predominantly by weather fluctuations around the local climatic normal, because the technological/varietal trend changes only slowly over time.</w:t>
      </w:r>
    </w:p>
    <w:p>
      <w:pPr>
        <w:pStyle w:val="Heading3"/>
      </w:pPr>
      <w:r>
        <w:t xml:space="preserve">39.3.1 Basic Formulation</w:t>
      </w:r>
    </w:p>
    <w:p>
      <w:pPr>
        <w:pStyle w:val="FirstParagraph"/>
      </w:pPr>
      <w:r>
        <w:t xml:space="preserve">A typical agromet yield model expresses yield as:</w:t>
      </w:r>
    </w:p>
    <w:p>
      <w:pPr>
        <w:pStyle w:val="BodyText"/>
      </w:pPr>
      <w:r>
        <w:rPr>
          <w:bCs/>
          <w:b/>
        </w:rPr>
        <w:t xml:space="preserve">Y = f(T) + f(W) + ε</w:t>
      </w:r>
    </w:p>
    <w:p>
      <w:pPr>
        <w:pStyle w:val="BodyText"/>
      </w:pPr>
      <w:r>
        <w:t xml:space="preserve">where f(T) is a smooth</w:t>
      </w:r>
      <w:r>
        <w:t xml:space="preserve"> </w:t>
      </w:r>
      <w:r>
        <w:t xml:space="preserve">“</w:t>
      </w:r>
      <w:r>
        <w:t xml:space="preserve">technology trend</w:t>
      </w:r>
      <w:r>
        <w:t xml:space="preserve">”</w:t>
      </w:r>
      <w:r>
        <w:t xml:space="preserve"> </w:t>
      </w:r>
      <w:r>
        <w:t xml:space="preserve">component (fitted, e.g., linearly or as a low-order polynomial, to the historical yield time series to represent the gradual effect of improved varieties, fertilizer use, mechanization, and irrigation expansion) and f(W) is a regression function of weather variables (or weather-derived indices) expressed as departures from their long-term normal.</w:t>
      </w:r>
    </w:p>
    <w:p>
      <w:pPr>
        <w:pStyle w:val="BodyText"/>
      </w:pPr>
      <w:r>
        <w:t xml:space="preserve">A commonly used composite weather index formulation (originally developed by Hendricks and Scholl, and used extensively at IMD/India Meteorological Department for district yield forecasting) is:</w:t>
      </w:r>
    </w:p>
    <w:p>
      <w:pPr>
        <w:pStyle w:val="BodyText"/>
      </w:pPr>
      <w:r>
        <w:rPr>
          <w:bCs/>
          <w:b/>
        </w:rPr>
        <w:t xml:space="preserve">Y = a₀ + Σᵢ aᵢ Zᵢ + Σᵢ bᵢ Zᵢ² + c·t + ε</w:t>
      </w:r>
    </w:p>
    <w:p>
      <w:pPr>
        <w:pStyle w:val="BodyText"/>
      </w:pPr>
      <w:r>
        <w:t xml:space="preserve">where Zᵢ are weekly (or standard meteorological week) weighted composite indices of variables such as rainfall, maximum/minimum temperature, and relative humidity computed over the crop-growth period, weighted by their correlation with yield in each week (giving greater weight to weather occurring during the more yield-sensitive phenological stages such as flowering/grain-filling), t is a trend/time variable, and the quadratic terms capture non-linear (diminishing-returns or damage) response of yield to weather anomalies.</w:t>
      </w:r>
    </w:p>
    <w:p>
      <w:pPr>
        <w:pStyle w:val="Heading3"/>
      </w:pPr>
      <w:r>
        <w:t xml:space="preserve">39.3.2 Strengths and Limitations</w:t>
      </w:r>
    </w:p>
    <w:p>
      <w:pPr>
        <w:pStyle w:val="FirstParagraph"/>
      </w:pPr>
      <w:r>
        <w:t xml:space="preserve">Agromet models are simple, require only weather station and historical yield data (no expensive satellite or field infrastructure), can be built quickly for any district with a sufficiently long yield record (typically 15–20+ years), and give reasonably good results in years that are meteorologically</w:t>
      </w:r>
      <w:r>
        <w:t xml:space="preserve"> </w:t>
      </w:r>
      <w:r>
        <w:t xml:space="preserve">“</w:t>
      </w:r>
      <w:r>
        <w:t xml:space="preserve">similar</w:t>
      </w:r>
      <w:r>
        <w:t xml:space="preserve">”</w:t>
      </w:r>
      <w:r>
        <w:t xml:space="preserve"> </w:t>
      </w:r>
      <w:r>
        <w:t xml:space="preserve">to the calibration period. Their key limitations are: (i) they are statistically fitted and therefore extrapolate poorly for extreme/anomalous years outside the training range; (ii) they cannot explicitly capture the effect of within-season management decisions, pest/disease outbreaks, or spatial variability within a district; (iii) they need a reasonably long and reliable historical yield series, which is often weak at fine spatial resolution; and (iv) if area under a crop shifts substantially (e.g., due to policy or price incentives), the historical yield–weather relationship may break down. In FASAL, this is precisely why agromet models are combined with independent remote-sensing and crop-simulation model forecasts — as a check against each other and to hedge against situations where any single method’s assumptions fail.</w:t>
      </w:r>
    </w:p>
    <w:p>
      <w:pPr>
        <w:pStyle w:val="Heading2"/>
      </w:pPr>
      <w:r>
        <w:t xml:space="preserve">39.4 Basic Definitions</w:t>
      </w:r>
    </w:p>
    <w:p>
      <w:pPr>
        <w:pStyle w:val="Compact"/>
        <w:numPr>
          <w:ilvl w:val="0"/>
          <w:numId w:val="1285"/>
        </w:numPr>
      </w:pPr>
      <w:r>
        <w:rPr>
          <w:bCs/>
          <w:b/>
        </w:rPr>
        <w:t xml:space="preserve">Crop:</w:t>
      </w:r>
      <w:r>
        <w:t xml:space="preserve"> </w:t>
      </w:r>
      <w:r>
        <w:t xml:space="preserve">an aggregation of individual plants of a species grown in a unit area for economic purpose.</w:t>
      </w:r>
    </w:p>
    <w:p>
      <w:pPr>
        <w:pStyle w:val="Compact"/>
        <w:numPr>
          <w:ilvl w:val="0"/>
          <w:numId w:val="1285"/>
        </w:numPr>
      </w:pPr>
      <w:r>
        <w:rPr>
          <w:bCs/>
          <w:b/>
        </w:rPr>
        <w:t xml:space="preserve">Growth:</w:t>
      </w:r>
      <w:r>
        <w:t xml:space="preserve"> </w:t>
      </w:r>
      <w:r>
        <w:t xml:space="preserve">irreversible increase in size and volume, the consequence of differentiation and distribution within the plant.</w:t>
      </w:r>
      <w:r>
        <w:t xml:space="preserve"> </w:t>
      </w:r>
      <w:r>
        <w:rPr>
          <w:bCs/>
          <w:b/>
        </w:rPr>
        <w:t xml:space="preserve">Development</w:t>
      </w:r>
      <w:r>
        <w:t xml:space="preserve"> </w:t>
      </w:r>
      <w:r>
        <w:t xml:space="preserve">is progression through phenological stages.</w:t>
      </w:r>
    </w:p>
    <w:p>
      <w:pPr>
        <w:pStyle w:val="Compact"/>
        <w:numPr>
          <w:ilvl w:val="0"/>
          <w:numId w:val="1285"/>
        </w:numPr>
      </w:pPr>
      <w:r>
        <w:rPr>
          <w:bCs/>
          <w:b/>
        </w:rPr>
        <w:t xml:space="preserve">Model:</w:t>
      </w:r>
      <w:r>
        <w:t xml:space="preserve"> </w:t>
      </w:r>
      <w:r>
        <w:t xml:space="preserve">a simplified representation of a part of reality (an object, system or idea in another form) used to explain, understand or improve the performance of the system —</w:t>
      </w:r>
      <w:r>
        <w:t xml:space="preserve"> </w:t>
      </w:r>
      <w:r>
        <w:t xml:space="preserve">“</w:t>
      </w:r>
      <w:r>
        <w:t xml:space="preserve">not a one-to-one copy</w:t>
      </w:r>
      <w:r>
        <w:t xml:space="preserve">”</w:t>
      </w:r>
      <w:r>
        <w:t xml:space="preserve">. Simplification makes models useful, but also limits them.</w:t>
      </w:r>
    </w:p>
    <w:p>
      <w:pPr>
        <w:pStyle w:val="Compact"/>
        <w:numPr>
          <w:ilvl w:val="0"/>
          <w:numId w:val="1285"/>
        </w:numPr>
      </w:pPr>
      <w:r>
        <w:rPr>
          <w:bCs/>
          <w:b/>
        </w:rPr>
        <w:t xml:space="preserve">Simulation:</w:t>
      </w:r>
      <w:r>
        <w:t xml:space="preserve"> </w:t>
      </w:r>
      <w:r>
        <w:t xml:space="preserve">reproducing the essence of a system without reproducing the system itself, often on an abbreviated time scale.</w:t>
      </w:r>
    </w:p>
    <w:p>
      <w:pPr>
        <w:pStyle w:val="Compact"/>
        <w:numPr>
          <w:ilvl w:val="0"/>
          <w:numId w:val="1285"/>
        </w:numPr>
      </w:pPr>
      <w:r>
        <w:rPr>
          <w:bCs/>
          <w:b/>
        </w:rPr>
        <w:t xml:space="preserve">System:</w:t>
      </w:r>
      <w:r>
        <w:t xml:space="preserve"> </w:t>
      </w:r>
      <w:r>
        <w:t xml:space="preserve">a web of interacting components (soil–plant–atmosphere–management); a change in one propagates to others (e.g., warm humid weather → disease → yield loss → farm income).</w:t>
      </w:r>
    </w:p>
    <w:p>
      <w:pPr>
        <w:pStyle w:val="Heading2"/>
      </w:pPr>
      <w:r>
        <w:t xml:space="preserve">39.5 Types of Crop Models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Characteristics</w:t>
            </w:r>
          </w:p>
        </w:tc>
        <w:tc>
          <w:tcPr/>
          <w:p>
            <w:pPr>
              <w:pStyle w:val="Compact"/>
              <w:jc w:val="left"/>
            </w:pPr>
            <w:r>
              <w:t xml:space="preserve">Example</w:t>
            </w:r>
          </w:p>
        </w:tc>
      </w:tr>
      <w:tr>
        <w:tc>
          <w:tcPr/>
          <w:p>
            <w:pPr>
              <w:pStyle w:val="Compact"/>
              <w:jc w:val="left"/>
            </w:pPr>
            <w:r>
              <w:rPr>
                <w:bCs/>
                <w:b/>
              </w:rPr>
              <w:t xml:space="preserve">Statistical (empirical, regression)</w:t>
            </w:r>
          </w:p>
        </w:tc>
        <w:tc>
          <w:tcPr/>
          <w:p>
            <w:pPr>
              <w:pStyle w:val="Compact"/>
              <w:jc w:val="left"/>
            </w:pPr>
            <w:r>
              <w:t xml:space="preserve">Relate yield or yield components to weather variables by correlation/regression; no mechanism</w:t>
            </w:r>
          </w:p>
        </w:tc>
        <w:tc>
          <w:tcPr/>
          <w:p>
            <w:pPr>
              <w:pStyle w:val="Compact"/>
              <w:jc w:val="left"/>
            </w:pPr>
            <w:r>
              <w:t xml:space="preserve">Step-wise regression of soybean yield on phase-wise Tmax, Tmin, RH, sunshine, GDD, HTU (R² 0.8–0.99 for genotypes MACS-58/201/330); wheat yield–weather models for Varanasi; pigeonpea models</w:t>
            </w:r>
          </w:p>
        </w:tc>
      </w:tr>
      <w:tr>
        <w:tc>
          <w:tcPr/>
          <w:p>
            <w:pPr>
              <w:pStyle w:val="Compact"/>
              <w:jc w:val="left"/>
            </w:pPr>
            <w:r>
              <w:rPr>
                <w:bCs/>
                <w:b/>
              </w:rPr>
              <w:t xml:space="preserve">Mechanistic (explanatory)</w:t>
            </w:r>
          </w:p>
        </w:tc>
        <w:tc>
          <w:tcPr/>
          <w:p>
            <w:pPr>
              <w:pStyle w:val="Compact"/>
              <w:jc w:val="left"/>
            </w:pPr>
            <w:r>
              <w:t xml:space="preserve">Describe the processes and mechanisms causing behaviour (photosynthesis, respiration, partitioning)</w:t>
            </w:r>
          </w:p>
        </w:tc>
        <w:tc>
          <w:tcPr/>
          <w:p>
            <w:pPr>
              <w:pStyle w:val="Compact"/>
              <w:jc w:val="left"/>
            </w:pPr>
            <w:r>
              <w:t xml:space="preserve">SUCROS, WOFOST</w:t>
            </w:r>
          </w:p>
        </w:tc>
      </w:tr>
      <w:tr>
        <w:tc>
          <w:tcPr/>
          <w:p>
            <w:pPr>
              <w:pStyle w:val="Compact"/>
              <w:jc w:val="left"/>
            </w:pPr>
            <w:r>
              <w:rPr>
                <w:bCs/>
                <w:b/>
              </w:rPr>
              <w:t xml:space="preserve">Deterministic</w:t>
            </w:r>
          </w:p>
        </w:tc>
        <w:tc>
          <w:tcPr/>
          <w:p>
            <w:pPr>
              <w:pStyle w:val="Compact"/>
              <w:jc w:val="left"/>
            </w:pPr>
            <w:r>
              <w:t xml:space="preserve">Single exact output for given inputs</w:t>
            </w:r>
          </w:p>
        </w:tc>
        <w:tc>
          <w:tcPr/>
          <w:p>
            <w:pPr>
              <w:pStyle w:val="Compact"/>
              <w:jc w:val="left"/>
            </w:pPr>
            <w:r>
              <w:t xml:space="preserve">Most crop models</w:t>
            </w:r>
          </w:p>
        </w:tc>
      </w:tr>
      <w:tr>
        <w:tc>
          <w:tcPr/>
          <w:p>
            <w:pPr>
              <w:pStyle w:val="Compact"/>
              <w:jc w:val="left"/>
            </w:pPr>
            <w:r>
              <w:rPr>
                <w:bCs/>
                <w:b/>
              </w:rPr>
              <w:t xml:space="preserve">Stochastic</w:t>
            </w:r>
          </w:p>
        </w:tc>
        <w:tc>
          <w:tcPr/>
          <w:p>
            <w:pPr>
              <w:pStyle w:val="Compact"/>
              <w:jc w:val="left"/>
            </w:pPr>
            <w:r>
              <w:t xml:space="preserve">Probability attached to outputs; random elements (e.g., weather generators)</w:t>
            </w:r>
          </w:p>
        </w:tc>
        <w:tc>
          <w:tcPr/>
          <w:p>
            <w:pPr>
              <w:pStyle w:val="Compact"/>
              <w:jc w:val="left"/>
            </w:pPr>
            <w:r>
              <w:t xml:space="preserve">Risk analysis</w:t>
            </w:r>
          </w:p>
        </w:tc>
      </w:tr>
      <w:tr>
        <w:tc>
          <w:tcPr/>
          <w:p>
            <w:pPr>
              <w:pStyle w:val="Compact"/>
              <w:jc w:val="left"/>
            </w:pPr>
            <w:r>
              <w:rPr>
                <w:bCs/>
                <w:b/>
              </w:rPr>
              <w:t xml:space="preserve">Dynamic</w:t>
            </w:r>
          </w:p>
        </w:tc>
        <w:tc>
          <w:tcPr/>
          <w:p>
            <w:pPr>
              <w:pStyle w:val="Compact"/>
              <w:jc w:val="left"/>
            </w:pPr>
            <w:r>
              <w:t xml:space="preserve">Time is a variable; state variables updated through time (rate × Δt)</w:t>
            </w:r>
          </w:p>
        </w:tc>
        <w:tc>
          <w:tcPr/>
          <w:p>
            <w:pPr>
              <w:pStyle w:val="Compact"/>
              <w:jc w:val="left"/>
            </w:pPr>
            <w:r>
              <w:t xml:space="preserve">DSSAT, InfoCrop</w:t>
            </w:r>
          </w:p>
        </w:tc>
      </w:tr>
      <w:tr>
        <w:tc>
          <w:tcPr/>
          <w:p>
            <w:pPr>
              <w:pStyle w:val="Compact"/>
              <w:jc w:val="left"/>
            </w:pPr>
            <w:r>
              <w:rPr>
                <w:bCs/>
                <w:b/>
              </w:rPr>
              <w:t xml:space="preserve">Static</w:t>
            </w:r>
          </w:p>
        </w:tc>
        <w:tc>
          <w:tcPr/>
          <w:p>
            <w:pPr>
              <w:pStyle w:val="Compact"/>
              <w:jc w:val="left"/>
            </w:pPr>
            <w:r>
              <w:t xml:space="preserve">Time not included</w:t>
            </w:r>
          </w:p>
        </w:tc>
        <w:tc>
          <w:tcPr/>
          <w:p>
            <w:pPr>
              <w:pStyle w:val="Compact"/>
              <w:jc w:val="left"/>
            </w:pPr>
            <w:r>
              <w:t xml:space="preserve">Simple yield equations</w:t>
            </w:r>
          </w:p>
        </w:tc>
      </w:tr>
      <w:tr>
        <w:tc>
          <w:tcPr/>
          <w:p>
            <w:pPr>
              <w:pStyle w:val="Compact"/>
              <w:jc w:val="left"/>
            </w:pPr>
            <w:r>
              <w:rPr>
                <w:bCs/>
                <w:b/>
              </w:rPr>
              <w:t xml:space="preserve">Descriptive</w:t>
            </w:r>
          </w:p>
        </w:tc>
        <w:tc>
          <w:tcPr/>
          <w:p>
            <w:pPr>
              <w:pStyle w:val="Compact"/>
              <w:jc w:val="left"/>
            </w:pPr>
            <w:r>
              <w:t xml:space="preserve">Simple mathematical description of behaviour (e.g., growth curve fitted to measurements)</w:t>
            </w:r>
          </w:p>
        </w:tc>
        <w:tc>
          <w:tcPr/>
          <w:p>
            <w:pPr>
              <w:pStyle w:val="Compact"/>
              <w:jc w:val="left"/>
            </w:pPr>
            <w:r>
              <w:t xml:space="preserve">Logistic biomass curve</w:t>
            </w:r>
          </w:p>
        </w:tc>
      </w:tr>
      <w:tr>
        <w:tc>
          <w:tcPr/>
          <w:p>
            <w:pPr>
              <w:pStyle w:val="Compact"/>
              <w:jc w:val="left"/>
            </w:pPr>
            <w:r>
              <w:rPr>
                <w:bCs/>
                <w:b/>
              </w:rPr>
              <w:t xml:space="preserve">Simulation (computer)</w:t>
            </w:r>
          </w:p>
        </w:tc>
        <w:tc>
          <w:tcPr/>
          <w:p>
            <w:pPr>
              <w:pStyle w:val="Compact"/>
              <w:jc w:val="left"/>
            </w:pPr>
            <w:r>
              <w:t xml:space="preserve">Mathematical representation of a real system, using differential equations for rate and state variables from planting to harvest</w:t>
            </w:r>
          </w:p>
        </w:tc>
        <w:tc>
          <w:tcPr/>
          <w:p>
            <w:pPr>
              <w:pStyle w:val="Compact"/>
              <w:jc w:val="left"/>
            </w:pPr>
            <w:r>
              <w:t xml:space="preserve">CERES, CROPGRO, APSIM</w:t>
            </w:r>
          </w:p>
        </w:tc>
      </w:tr>
    </w:tbl>
    <w:p>
      <w:pPr>
        <w:pStyle w:val="BodyText"/>
      </w:pPr>
      <w:r>
        <w:rPr>
          <w:bCs/>
          <w:b/>
        </w:rPr>
        <w:t xml:space="preserve">Levels of complexity:</w:t>
      </w:r>
      <w:r>
        <w:t xml:space="preserve"> </w:t>
      </w:r>
      <w:r>
        <w:t xml:space="preserve">a</w:t>
      </w:r>
      <w:r>
        <w:t xml:space="preserve"> </w:t>
      </w:r>
      <w:r>
        <w:rPr>
          <w:bCs/>
          <w:b/>
        </w:rPr>
        <w:t xml:space="preserve">top-down</w:t>
      </w:r>
      <w:r>
        <w:t xml:space="preserve"> </w:t>
      </w:r>
      <w:r>
        <w:t xml:space="preserve">design starts simple and adds processes only if they improve prediction (Sinclair’s soybean, Muchow’s maize, Hammer’s sorghum models) — appropriate for yield prediction; detailed models suit research.</w:t>
      </w:r>
    </w:p>
    <w:p>
      <w:pPr>
        <w:pStyle w:val="Heading2"/>
      </w:pPr>
      <w:r>
        <w:t xml:space="preserve">39.6 Weather as Input</w:t>
      </w:r>
    </w:p>
    <w:p>
      <w:pPr>
        <w:pStyle w:val="FirstParagraph"/>
      </w:pPr>
      <w:r>
        <w:t xml:space="preserve">Daily solar radiation, maximum and minimum temperature and rainfall are the minimum inputs (DSSAT); humidity and wind for ET. Issues: gaps between traditional observatories and AWS standards (especially rainfall), the need for uniform data formats and internet access, spatial interpolation for sites without stations, and</w:t>
      </w:r>
      <w:r>
        <w:t xml:space="preserve"> </w:t>
      </w:r>
      <w:r>
        <w:rPr>
          <w:bCs/>
          <w:b/>
        </w:rPr>
        <w:t xml:space="preserve">stochastic weather generators</w:t>
      </w:r>
      <w:r>
        <w:t xml:space="preserve"> </w:t>
      </w:r>
      <w:r>
        <w:t xml:space="preserve">(e.g., Markov-chain rainfall linked to interpolated monthly climate surfaces) for long synthetic series. Simulations for strategic decisions are run over</w:t>
      </w:r>
      <w:r>
        <w:t xml:space="preserve"> </w:t>
      </w:r>
      <w:r>
        <w:rPr>
          <w:bCs/>
          <w:b/>
        </w:rPr>
        <w:t xml:space="preserve">20–30 seasons</w:t>
      </w:r>
      <w:r>
        <w:t xml:space="preserve"> </w:t>
      </w:r>
      <w:r>
        <w:t xml:space="preserve">of historical or generated weather to capture risk. Linking models to</w:t>
      </w:r>
      <w:r>
        <w:t xml:space="preserve"> </w:t>
      </w:r>
      <w:r>
        <w:rPr>
          <w:bCs/>
          <w:b/>
        </w:rPr>
        <w:t xml:space="preserve">short- and long-range forecasts</w:t>
      </w:r>
      <w:r>
        <w:t xml:space="preserve"> </w:t>
      </w:r>
      <w:r>
        <w:t xml:space="preserve">(e.g., SOI phases — Australian peanut example: positive Nov–Dec SOI phase → ~80% chance of exceeding median district yield) enables early warning.</w:t>
      </w:r>
    </w:p>
    <w:p>
      <w:pPr>
        <w:pStyle w:val="Heading2"/>
      </w:pPr>
      <w:r>
        <w:t xml:space="preserve">39.7 Evolution of Crop Simulation Models</w:t>
      </w:r>
    </w:p>
    <w:p>
      <w:pPr>
        <w:pStyle w:val="Compact"/>
        <w:numPr>
          <w:ilvl w:val="0"/>
          <w:numId w:val="1286"/>
        </w:numPr>
      </w:pPr>
      <w:r>
        <w:rPr>
          <w:bCs/>
          <w:b/>
        </w:rPr>
        <w:t xml:space="preserve">de Wit school (Wageningen):</w:t>
      </w:r>
      <w:r>
        <w:t xml:space="preserve"> </w:t>
      </w:r>
      <w:r>
        <w:t xml:space="preserve">canopy photosynthesis model (de Wit, 1965) →</w:t>
      </w:r>
      <w:r>
        <w:t xml:space="preserve"> </w:t>
      </w:r>
      <w:r>
        <w:rPr>
          <w:bCs/>
          <w:b/>
        </w:rPr>
        <w:t xml:space="preserve">ELCROS</w:t>
      </w:r>
      <w:r>
        <w:t xml:space="preserve"> </w:t>
      </w:r>
      <w:r>
        <w:t xml:space="preserve">(Elementary Crop Simulator, 1970) adding respiration and root–shoot equilibrium → micrometeorology and canopy resistance (Goudriaan, 1977) →</w:t>
      </w:r>
      <w:r>
        <w:t xml:space="preserve"> </w:t>
      </w:r>
      <w:r>
        <w:rPr>
          <w:bCs/>
          <w:b/>
        </w:rPr>
        <w:t xml:space="preserve">BACROS</w:t>
      </w:r>
      <w:r>
        <w:t xml:space="preserve"> </w:t>
      </w:r>
      <w:r>
        <w:t xml:space="preserve">(Basic Crop Simulator, 1978) → SUCROS, WOFOST, ORYZA, LINTUL.</w:t>
      </w:r>
    </w:p>
    <w:p>
      <w:pPr>
        <w:pStyle w:val="Compact"/>
        <w:numPr>
          <w:ilvl w:val="0"/>
          <w:numId w:val="1286"/>
        </w:numPr>
      </w:pPr>
      <w:r>
        <w:rPr>
          <w:bCs/>
          <w:b/>
        </w:rPr>
        <w:t xml:space="preserve">IBSNAT</w:t>
      </w:r>
      <w:r>
        <w:t xml:space="preserve"> </w:t>
      </w:r>
      <w:r>
        <w:t xml:space="preserve">(International Benchmark Sites Network for Agrotechnology Transfer, 1982–, USAID–University of Hawaii) →</w:t>
      </w:r>
      <w:r>
        <w:t xml:space="preserve"> </w:t>
      </w:r>
      <w:r>
        <w:rPr>
          <w:bCs/>
          <w:b/>
        </w:rPr>
        <w:t xml:space="preserve">DSSAT</w:t>
      </w:r>
      <w:r>
        <w:t xml:space="preserve"> </w:t>
      </w:r>
      <w:r>
        <w:t xml:space="preserve">(Decision Support System for Agrotechnology Transfer; J.W. Jones and others) integrating CERES (cereals), CROPGRO (legumes), SUBSTOR (potato) etc. with databases (weather, soil, genetic coefficients, management), utilities, weather generators and strategy evaluation (variety, sowing date, density, spacing, irrigation, fertiliser, economics).</w:t>
      </w:r>
    </w:p>
    <w:p>
      <w:pPr>
        <w:pStyle w:val="Compact"/>
        <w:numPr>
          <w:ilvl w:val="0"/>
          <w:numId w:val="1286"/>
        </w:numPr>
      </w:pPr>
      <w:r>
        <w:t xml:space="preserve">Others:</w:t>
      </w:r>
      <w:r>
        <w:t xml:space="preserve"> </w:t>
      </w:r>
      <w:r>
        <w:rPr>
          <w:bCs/>
          <w:b/>
        </w:rPr>
        <w:t xml:space="preserve">APSIM</w:t>
      </w:r>
      <w:r>
        <w:t xml:space="preserve"> </w:t>
      </w:r>
      <w:r>
        <w:t xml:space="preserve">(Australia; modular, rotations),</w:t>
      </w:r>
      <w:r>
        <w:t xml:space="preserve"> </w:t>
      </w:r>
      <w:r>
        <w:rPr>
          <w:bCs/>
          <w:b/>
        </w:rPr>
        <w:t xml:space="preserve">EPIC</w:t>
      </w:r>
      <w:r>
        <w:t xml:space="preserve">,</w:t>
      </w:r>
      <w:r>
        <w:t xml:space="preserve"> </w:t>
      </w:r>
      <w:r>
        <w:rPr>
          <w:bCs/>
          <w:b/>
        </w:rPr>
        <w:t xml:space="preserve">CropSyst</w:t>
      </w:r>
      <w:r>
        <w:t xml:space="preserve">,</w:t>
      </w:r>
      <w:r>
        <w:t xml:space="preserve"> </w:t>
      </w:r>
      <w:r>
        <w:rPr>
          <w:bCs/>
          <w:b/>
        </w:rPr>
        <w:t xml:space="preserve">ALMANAC</w:t>
      </w:r>
      <w:r>
        <w:t xml:space="preserve">,</w:t>
      </w:r>
      <w:r>
        <w:t xml:space="preserve"> </w:t>
      </w:r>
      <w:r>
        <w:rPr>
          <w:bCs/>
          <w:b/>
        </w:rPr>
        <w:t xml:space="preserve">AquaCrop</w:t>
      </w:r>
      <w:r>
        <w:t xml:space="preserve"> </w:t>
      </w:r>
      <w:r>
        <w:t xml:space="preserve">(FAO, water-driven),</w:t>
      </w:r>
      <w:r>
        <w:t xml:space="preserve"> </w:t>
      </w:r>
      <w:r>
        <w:rPr>
          <w:bCs/>
          <w:b/>
        </w:rPr>
        <w:t xml:space="preserve">GOSSYM/COTONS</w:t>
      </w:r>
      <w:r>
        <w:t xml:space="preserve"> </w:t>
      </w:r>
      <w:r>
        <w:t xml:space="preserve">(cotton),</w:t>
      </w:r>
      <w:r>
        <w:t xml:space="preserve"> </w:t>
      </w:r>
      <w:r>
        <w:rPr>
          <w:bCs/>
          <w:b/>
        </w:rPr>
        <w:t xml:space="preserve">SORKAM/SorModel/SORGF</w:t>
      </w:r>
      <w:r>
        <w:t xml:space="preserve"> </w:t>
      </w:r>
      <w:r>
        <w:t xml:space="preserve">(sorghum),</w:t>
      </w:r>
      <w:r>
        <w:t xml:space="preserve"> </w:t>
      </w:r>
      <w:r>
        <w:rPr>
          <w:bCs/>
          <w:b/>
        </w:rPr>
        <w:t xml:space="preserve">PNUTGRO</w:t>
      </w:r>
      <w:r>
        <w:t xml:space="preserve"> </w:t>
      </w:r>
      <w:r>
        <w:t xml:space="preserve">(groundnut),</w:t>
      </w:r>
      <w:r>
        <w:t xml:space="preserve"> </w:t>
      </w:r>
      <w:r>
        <w:rPr>
          <w:bCs/>
          <w:b/>
        </w:rPr>
        <w:t xml:space="preserve">CHIKPGRO</w:t>
      </w:r>
      <w:r>
        <w:t xml:space="preserve">,</w:t>
      </w:r>
      <w:r>
        <w:t xml:space="preserve"> </w:t>
      </w:r>
      <w:r>
        <w:rPr>
          <w:bCs/>
          <w:b/>
        </w:rPr>
        <w:t xml:space="preserve">QSUN</w:t>
      </w:r>
      <w:r>
        <w:t xml:space="preserve"> </w:t>
      </w:r>
      <w:r>
        <w:t xml:space="preserve">(sunflower),</w:t>
      </w:r>
      <w:r>
        <w:t xml:space="preserve"> </w:t>
      </w:r>
      <w:r>
        <w:rPr>
          <w:bCs/>
          <w:b/>
        </w:rPr>
        <w:t xml:space="preserve">WTGROWS</w:t>
      </w:r>
      <w:r>
        <w:t xml:space="preserve"> </w:t>
      </w:r>
      <w:r>
        <w:t xml:space="preserve">(wheat, IARI),</w:t>
      </w:r>
      <w:r>
        <w:t xml:space="preserve"> </w:t>
      </w:r>
      <w:r>
        <w:rPr>
          <w:bCs/>
          <w:b/>
        </w:rPr>
        <w:t xml:space="preserve">InfoCrop</w:t>
      </w:r>
      <w:r>
        <w:t xml:space="preserve"> </w:t>
      </w:r>
      <w:r>
        <w:t xml:space="preserve">(IARI, multi-crop with pests and GHG).</w:t>
      </w:r>
    </w:p>
    <w:p>
      <w:pPr>
        <w:pStyle w:val="Heading2"/>
      </w:pPr>
      <w:r>
        <w:t xml:space="preserve">39.8 Applications in Agricultural Meteorology</w:t>
      </w:r>
    </w:p>
    <w:p>
      <w:pPr>
        <w:pStyle w:val="Compact"/>
        <w:numPr>
          <w:ilvl w:val="0"/>
          <w:numId w:val="1287"/>
        </w:numPr>
      </w:pPr>
      <w:r>
        <w:rPr>
          <w:bCs/>
          <w:b/>
        </w:rPr>
        <w:t xml:space="preserve">On-farm decisions and agronomic management:</w:t>
      </w:r>
      <w:r>
        <w:t xml:space="preserve"> </w:t>
      </w:r>
      <w:r>
        <w:t xml:space="preserve">optimum sowing date, cultivar choice, irrigation and N scheduling, weather risk, investment (e.g., irrigation equipment), weed effects (maize yield with weeds ~86% of weed-free in simulations).</w:t>
      </w:r>
    </w:p>
    <w:p>
      <w:pPr>
        <w:pStyle w:val="Compact"/>
        <w:numPr>
          <w:ilvl w:val="0"/>
          <w:numId w:val="1287"/>
        </w:numPr>
      </w:pPr>
      <w:r>
        <w:rPr>
          <w:bCs/>
          <w:b/>
        </w:rPr>
        <w:t xml:space="preserve">Research understanding:</w:t>
      </w:r>
      <w:r>
        <w:t xml:space="preserve"> </w:t>
      </w:r>
      <w:r>
        <w:t xml:space="preserve">testing hypotheses, identifying knowledge gaps, organising data, integrating disciplines;</w:t>
      </w:r>
      <w:r>
        <w:t xml:space="preserve"> </w:t>
      </w:r>
      <w:r>
        <w:rPr>
          <w:bCs/>
          <w:b/>
        </w:rPr>
        <w:t xml:space="preserve">ideotype design</w:t>
      </w:r>
      <w:r>
        <w:t xml:space="preserve"> </w:t>
      </w:r>
      <w:r>
        <w:t xml:space="preserve">and genetic improvement (evaluate traits for target environments, cultivar stability).</w:t>
      </w:r>
    </w:p>
    <w:p>
      <w:pPr>
        <w:pStyle w:val="Compact"/>
        <w:numPr>
          <w:ilvl w:val="0"/>
          <w:numId w:val="1287"/>
        </w:numPr>
      </w:pPr>
      <w:r>
        <w:rPr>
          <w:bCs/>
          <w:b/>
        </w:rPr>
        <w:t xml:space="preserve">Policy:</w:t>
      </w:r>
      <w:r>
        <w:t xml:space="preserve"> </w:t>
      </w:r>
      <w:r>
        <w:t xml:space="preserve">yield forecasting and famine early warning (e.g., millet in Burkina Faso using satellite and ground data), land-use options, regional food security.</w:t>
      </w:r>
    </w:p>
    <w:p>
      <w:pPr>
        <w:pStyle w:val="Compact"/>
        <w:numPr>
          <w:ilvl w:val="0"/>
          <w:numId w:val="1287"/>
        </w:numPr>
      </w:pPr>
      <w:r>
        <w:rPr>
          <w:bCs/>
          <w:b/>
        </w:rPr>
        <w:t xml:space="preserve">Climate change impact and adaptation:</w:t>
      </w:r>
      <w:r>
        <w:t xml:space="preserve"> </w:t>
      </w:r>
      <w:r>
        <w:t xml:space="preserve">coupled with GCM scenarios — e.g., peanut at Hyderabad: rising temperature lowers yield (sharply beyond +3.5–4 °C) while 555 ppm CO₂ raises yield ~40% at current temperatures; rainfall ±20% modifies responses.</w:t>
      </w:r>
    </w:p>
    <w:p>
      <w:pPr>
        <w:pStyle w:val="Compact"/>
        <w:numPr>
          <w:ilvl w:val="0"/>
          <w:numId w:val="1287"/>
        </w:numPr>
      </w:pPr>
      <w:r>
        <w:rPr>
          <w:bCs/>
          <w:b/>
        </w:rPr>
        <w:t xml:space="preserve">Agro-ecological zoning, yield-gap analysis, precision agriculture</w:t>
      </w:r>
      <w:r>
        <w:t xml:space="preserve"> </w:t>
      </w:r>
      <w:r>
        <w:t xml:space="preserve">(with GIS).</w:t>
      </w:r>
    </w:p>
    <w:p>
      <w:pPr>
        <w:pStyle w:val="FirstParagraph"/>
      </w:pPr>
      <w:r>
        <w:rPr>
          <w:bCs/>
          <w:b/>
        </w:rPr>
        <w:t xml:space="preserve">Precautions:</w:t>
      </w:r>
      <w:r>
        <w:t xml:space="preserve"> </w:t>
      </w:r>
      <w:r>
        <w:t xml:space="preserve">models need local calibration and validation; differentiate research and practical models; interpret outputs with soil–weather–crop understanding; use ensembles; improve human capacity and multidisciplinary teams; link research–education–extension so outputs reach farmers.</w:t>
      </w:r>
    </w:p>
    <w:p>
      <w:pPr>
        <w:pStyle w:val="Heading2"/>
      </w:pPr>
      <w:r>
        <w:t xml:space="preserve">39.9 Linking Crop Models with Remote Sensing and GIS</w:t>
      </w:r>
    </w:p>
    <w:p>
      <w:pPr>
        <w:pStyle w:val="FirstParagraph"/>
      </w:pPr>
      <w:r>
        <w:t xml:space="preserve">Crop growth varies spatially with weather, soil and management; RS provides spatially dense observations of the actual crop (distribution, phenology, LAI), and GIS handles the geographically linked inputs.</w:t>
      </w:r>
    </w:p>
    <w:p>
      <w:pPr>
        <w:pStyle w:val="Heading3"/>
      </w:pPr>
      <w:r>
        <w:t xml:space="preserve">39.9.1 Retrieving LAI from remote sensing</w:t>
      </w:r>
    </w:p>
    <w:p>
      <w:pPr>
        <w:pStyle w:val="Compact"/>
        <w:numPr>
          <w:ilvl w:val="0"/>
          <w:numId w:val="1288"/>
        </w:numPr>
      </w:pPr>
      <w:r>
        <w:rPr>
          <w:bCs/>
          <w:b/>
        </w:rPr>
        <w:t xml:space="preserve">Empirical:</w:t>
      </w:r>
      <w:r>
        <w:t xml:space="preserve"> </w:t>
      </w:r>
      <m:oMath>
        <m:r>
          <m:t>L</m:t>
        </m:r>
        <m:r>
          <m:t>A</m:t>
        </m:r>
        <m:r>
          <m:t>I</m:t>
        </m:r>
        <m:r>
          <m:rPr>
            <m:sty m:val="p"/>
          </m:rPr>
          <m:t>=</m:t>
        </m:r>
        <m:r>
          <m:t>a</m:t>
        </m:r>
        <m:r>
          <m:t> </m:t>
        </m:r>
        <m:sSup>
          <m:e>
            <m:r>
              <m:t>e</m:t>
            </m:r>
          </m:e>
          <m:sup>
            <m:d>
              <m:dPr>
                <m:begChr m:val="("/>
                <m:endChr m:val=")"/>
                <m:sepChr m:val=""/>
                <m:grow/>
              </m:dPr>
              <m:e>
                <m:r>
                  <m:t>b</m:t>
                </m:r>
                <m:r>
                  <m:rPr>
                    <m:sty m:val="p"/>
                  </m:rPr>
                  <m:t>⋅</m:t>
                </m:r>
                <m:r>
                  <m:t>N</m:t>
                </m:r>
                <m:r>
                  <m:t>D</m:t>
                </m:r>
                <m:r>
                  <m:t>V</m:t>
                </m:r>
                <m:r>
                  <m:t>I</m:t>
                </m:r>
                <m:r>
                  <m:rPr>
                    <m:sty m:val="p"/>
                  </m:rPr>
                  <m:t>+</m:t>
                </m:r>
                <m:r>
                  <m:t>c</m:t>
                </m:r>
              </m:e>
            </m:d>
          </m:sup>
        </m:sSup>
      </m:oMath>
      <w:r>
        <w:t xml:space="preserve"> </w:t>
      </w:r>
      <w:r>
        <w:t xml:space="preserve">(vegetation-type specific); site-specific NDVI–LAI regressions from field-measured LAI (e.g., wheat at Indore with IRS LISS-III, used to validate MODIS LAI — significant correlation with positive MODIS bias).</w:t>
      </w:r>
    </w:p>
    <w:p>
      <w:pPr>
        <w:pStyle w:val="Compact"/>
        <w:numPr>
          <w:ilvl w:val="0"/>
          <w:numId w:val="1288"/>
        </w:numPr>
      </w:pPr>
      <w:r>
        <w:rPr>
          <w:bCs/>
          <w:b/>
        </w:rPr>
        <w:t xml:space="preserve">Simple-ratio / reduced simple ratio</w:t>
      </w:r>
      <w:r>
        <w:t xml:space="preserve"> </w:t>
      </w:r>
      <w:r>
        <w:t xml:space="preserve">relations by vegetation type (Canada-wide AVHRR and SPOT-VEGETATION LAI).</w:t>
      </w:r>
    </w:p>
    <w:p>
      <w:pPr>
        <w:pStyle w:val="Compact"/>
        <w:numPr>
          <w:ilvl w:val="0"/>
          <w:numId w:val="1288"/>
        </w:numPr>
      </w:pPr>
      <w:r>
        <w:rPr>
          <w:bCs/>
          <w:b/>
        </w:rPr>
        <w:t xml:space="preserve">Physical:</w:t>
      </w:r>
      <w:r>
        <w:t xml:space="preserve"> </w:t>
      </w:r>
      <w:r>
        <w:t xml:space="preserve">Price model; inversion of canopy reflectance models (look-up tables, numerical optimisation, neural networks; MODIS LAI/FPAR algorithm).</w:t>
      </w:r>
    </w:p>
    <w:p>
      <w:pPr>
        <w:pStyle w:val="Compact"/>
        <w:numPr>
          <w:ilvl w:val="0"/>
          <w:numId w:val="1288"/>
        </w:numPr>
      </w:pPr>
      <w:r>
        <w:t xml:space="preserve">Accuracy matters — RMSE of ~0.8 (LAI 1–4) to 1.5 (LAI 4–6) for wheat with the Price model can severely limit field-level use.</w:t>
      </w:r>
    </w:p>
    <w:p>
      <w:pPr>
        <w:pStyle w:val="Heading3"/>
      </w:pPr>
      <w:r>
        <w:t xml:space="preserve">39.9.2 Interfacing models with GIS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Degree</w:t>
            </w:r>
          </w:p>
        </w:tc>
        <w:tc>
          <w:tcPr/>
          <w:p>
            <w:pPr>
              <w:pStyle w:val="Compact"/>
              <w:jc w:val="left"/>
            </w:pPr>
            <w:r>
              <w:t xml:space="preserve">How</w:t>
            </w:r>
          </w:p>
        </w:tc>
        <w:tc>
          <w:tcPr/>
          <w:p>
            <w:pPr>
              <w:pStyle w:val="Compact"/>
              <w:jc w:val="left"/>
            </w:pPr>
            <w:r>
              <w:t xml:space="preserve">Example</w:t>
            </w:r>
          </w:p>
        </w:tc>
      </w:tr>
      <w:tr>
        <w:tc>
          <w:tcPr/>
          <w:p>
            <w:pPr>
              <w:pStyle w:val="Compact"/>
              <w:jc w:val="left"/>
            </w:pPr>
            <w:r>
              <w:rPr>
                <w:bCs/>
                <w:b/>
              </w:rPr>
              <w:t xml:space="preserve">Linking (loose coupling)</w:t>
            </w:r>
          </w:p>
        </w:tc>
        <w:tc>
          <w:tcPr/>
          <w:p>
            <w:pPr>
              <w:pStyle w:val="Compact"/>
              <w:jc w:val="left"/>
            </w:pPr>
            <w:r>
              <w:t xml:space="preserve">GIS prepares inputs and displays outputs; exchange through files keyed by cell/polygon IDs</w:t>
            </w:r>
          </w:p>
        </w:tc>
        <w:tc>
          <w:tcPr/>
          <w:p>
            <w:pPr>
              <w:pStyle w:val="Compact"/>
              <w:jc w:val="left"/>
            </w:pPr>
            <w:r>
              <w:t xml:space="preserve">Interpolating model outputs; WTGROWS potential/rainfed wheat yields for 219 weather sites mapped by district into 10 iso-yield zones</w:t>
            </w:r>
          </w:p>
        </w:tc>
      </w:tr>
      <w:tr>
        <w:tc>
          <w:tcPr/>
          <w:p>
            <w:pPr>
              <w:pStyle w:val="Compact"/>
              <w:jc w:val="left"/>
            </w:pPr>
            <w:r>
              <w:rPr>
                <w:bCs/>
                <w:b/>
              </w:rPr>
              <w:t xml:space="preserve">Combining (tight coupling)</w:t>
            </w:r>
          </w:p>
        </w:tc>
        <w:tc>
          <w:tcPr/>
          <w:p>
            <w:pPr>
              <w:pStyle w:val="Compact"/>
              <w:jc w:val="left"/>
            </w:pPr>
            <w:r>
              <w:t xml:space="preserve">Model configured within GIS via macro languages/libraries; automatic data exchange</w:t>
            </w:r>
          </w:p>
        </w:tc>
        <w:tc>
          <w:tcPr/>
          <w:p>
            <w:pPr>
              <w:pStyle w:val="Compact"/>
              <w:jc w:val="left"/>
            </w:pPr>
            <w:r>
              <w:t xml:space="preserve">AEGIS (DSSAT + ARC/INFO), AEGIS/WIN (ArcView)</w:t>
            </w:r>
          </w:p>
        </w:tc>
      </w:tr>
      <w:tr>
        <w:tc>
          <w:tcPr/>
          <w:p>
            <w:pPr>
              <w:pStyle w:val="Compact"/>
              <w:jc w:val="left"/>
            </w:pPr>
            <w:r>
              <w:rPr>
                <w:bCs/>
                <w:b/>
              </w:rPr>
              <w:t xml:space="preserve">Integrating (embedded)</w:t>
            </w:r>
          </w:p>
        </w:tc>
        <w:tc>
          <w:tcPr/>
          <w:p>
            <w:pPr>
              <w:pStyle w:val="Compact"/>
              <w:jc w:val="left"/>
            </w:pPr>
            <w:r>
              <w:t xml:space="preserve">Model embedded in GIS or GIS within modelling system</w:t>
            </w:r>
          </w:p>
        </w:tc>
        <w:tc>
          <w:tcPr/>
          <w:p>
            <w:pPr>
              <w:pStyle w:val="Compact"/>
              <w:jc w:val="left"/>
            </w:pPr>
            <w:r>
              <w:t xml:space="preserve">Spatial EPIC; DSSAT spatial analysis tools</w:t>
            </w:r>
          </w:p>
        </w:tc>
      </w:tr>
    </w:tbl>
    <w:p>
      <w:pPr>
        <w:pStyle w:val="Heading3"/>
      </w:pPr>
      <w:r>
        <w:t xml:space="preserve">39.9.3 Five ways to integrate RS into crop models (Maas; Delécolle; Moulin et al.)</w:t>
      </w:r>
    </w:p>
    <w:p>
      <w:pPr>
        <w:pStyle w:val="Compact"/>
        <w:numPr>
          <w:ilvl w:val="0"/>
          <w:numId w:val="1289"/>
        </w:numPr>
      </w:pPr>
      <w:r>
        <w:rPr>
          <w:bCs/>
          <w:b/>
        </w:rPr>
        <w:t xml:space="preserve">Direct use of a driving variable</w:t>
      </w:r>
      <w:r>
        <w:t xml:space="preserve"> </w:t>
      </w:r>
      <w:r>
        <w:t xml:space="preserve">estimated from RS — e.g., daily absorbed/incident PAR ratio from NDVI (maize: 6% overestimation of anthesis biomass); METEOSAT cold-cloud-duration rainfall driving CERES-Millet in Burkina Faso (provincial yields within 15% at mid-season).</w:t>
      </w:r>
    </w:p>
    <w:p>
      <w:pPr>
        <w:pStyle w:val="Compact"/>
        <w:numPr>
          <w:ilvl w:val="0"/>
          <w:numId w:val="1289"/>
        </w:numPr>
      </w:pPr>
      <w:r>
        <w:rPr>
          <w:bCs/>
          <w:b/>
        </w:rPr>
        <w:t xml:space="preserve">Forcing (updating) a state variable</w:t>
      </w:r>
      <w:r>
        <w:t xml:space="preserve">, usually LAI, with RS values on observation dates or a daily interpolated LAI profile (wheat AFRCWHEAT with SPOT WDVI-LAI; SUCROS).</w:t>
      </w:r>
    </w:p>
    <w:p>
      <w:pPr>
        <w:pStyle w:val="Compact"/>
        <w:numPr>
          <w:ilvl w:val="0"/>
          <w:numId w:val="1289"/>
        </w:numPr>
      </w:pPr>
      <w:r>
        <w:rPr>
          <w:bCs/>
          <w:b/>
        </w:rPr>
        <w:t xml:space="preserve">Re-initialisation:</w:t>
      </w:r>
      <w:r>
        <w:t xml:space="preserve"> </w:t>
      </w:r>
      <w:r>
        <w:t xml:space="preserve">adjust initial conditions (e.g., LAI at emergence, sowing date) so simulated LAI matches RS observations — more stable than forcing as more observations are used (sorghum: average yield error reduced from −30% to +2% using Landsat-derived LAI).</w:t>
      </w:r>
    </w:p>
    <w:p>
      <w:pPr>
        <w:pStyle w:val="Compact"/>
        <w:numPr>
          <w:ilvl w:val="0"/>
          <w:numId w:val="1289"/>
        </w:numPr>
      </w:pPr>
      <w:r>
        <w:rPr>
          <w:bCs/>
          <w:b/>
        </w:rPr>
        <w:t xml:space="preserve">Re-calibration (re-parameterisation):</w:t>
      </w:r>
      <w:r>
        <w:t xml:space="preserve"> </w:t>
      </w:r>
      <w:r>
        <w:t xml:space="preserve">adjust model parameters (growth rate, LUE, sowing date, max LAI) to minimise RS–simulation differences (GRAMI rice; SUCROS sugar beet with optical + microwave LAI; simplex-optimised fAPAR for paddy). A variant couples the crop model to a canopy</w:t>
      </w:r>
      <w:r>
        <w:t xml:space="preserve"> </w:t>
      </w:r>
      <w:r>
        <w:rPr>
          <w:bCs/>
          <w:b/>
        </w:rPr>
        <w:t xml:space="preserve">radiative transfer model</w:t>
      </w:r>
      <w:r>
        <w:t xml:space="preserve"> </w:t>
      </w:r>
      <w:r>
        <w:t xml:space="preserve">(SUCROS + SAIL/PROSPECT, SUCROS + CLOUD radar model) and fits simulated to observed reflectance or backscatter.</w:t>
      </w:r>
    </w:p>
    <w:p>
      <w:pPr>
        <w:pStyle w:val="Compact"/>
        <w:numPr>
          <w:ilvl w:val="0"/>
          <w:numId w:val="1289"/>
        </w:numPr>
      </w:pPr>
      <w:r>
        <w:rPr>
          <w:bCs/>
          <w:b/>
        </w:rPr>
        <w:t xml:space="preserve">Corrective approach:</w:t>
      </w:r>
      <w:r>
        <w:t xml:space="preserve"> </w:t>
      </w:r>
      <w:r>
        <w:t xml:space="preserve">derive from the model a relationship between an intermediate variable (e.g., LAI at a key date) and final yield across management combinations, then apply it to RS-derived LAI — e.g., WTGROWS for Alipur block (Delhi):</w:t>
      </w:r>
      <w:r>
        <w:t xml:space="preserve"> </w:t>
      </w:r>
      <m:oMath>
        <m:r>
          <m:t>Y</m:t>
        </m:r>
        <m:r>
          <m:t>i</m:t>
        </m:r>
        <m:r>
          <m:t>e</m:t>
        </m:r>
        <m:r>
          <m:t>l</m:t>
        </m:r>
        <m:r>
          <m:t>d</m:t>
        </m:r>
        <m:r>
          <m:rPr>
            <m:sty m:val="p"/>
          </m:rPr>
          <m:t>=</m:t>
        </m:r>
        <m:r>
          <m:t>1571.2</m:t>
        </m:r>
        <m:r>
          <m:rPr>
            <m:sty m:val="p"/>
          </m:rPr>
          <m:t>ln</m:t>
        </m:r>
        <m:d>
          <m:dPr>
            <m:begChr m:val="("/>
            <m:endChr m:val=")"/>
            <m:sepChr m:val=""/>
            <m:grow/>
          </m:dPr>
          <m:e>
            <m:r>
              <m:t>L</m:t>
            </m:r>
            <m:r>
              <m:t>A</m:t>
            </m:r>
            <m:r>
              <m:t>I</m:t>
            </m:r>
          </m:e>
        </m:d>
        <m:r>
          <m:rPr>
            <m:sty m:val="p"/>
          </m:rPr>
          <m:t>+</m:t>
        </m:r>
        <m:r>
          <m:t>2033.6</m:t>
        </m:r>
      </m:oMath>
      <w:r>
        <w:t xml:space="preserve"> </w:t>
      </w:r>
      <w:r>
        <w:t xml:space="preserve">(R² = 0.81); predicted farmer-field yields correlated r ≈ 0.80 with RMSE ~17% of mean yield.</w:t>
      </w:r>
    </w:p>
    <w:p>
      <w:pPr>
        <w:pStyle w:val="CaptionedFigure"/>
      </w:pPr>
      <w:r>
        <w:drawing>
          <wp:inline>
            <wp:extent cx="5334000" cy="2867024"/>
            <wp:effectExtent b="0" l="0" r="0" t="0"/>
            <wp:docPr descr="Remote sensing in crop simulation models" title="" id="132" name="Picture"/>
            <a:graphic>
              <a:graphicData uri="http://schemas.openxmlformats.org/drawingml/2006/picture">
                <pic:pic>
                  <pic:nvPicPr>
                    <pic:cNvPr descr="/tmp/claude-0/-home-user-sonu/ab07c29a-21cd-5a4a-9d2d-68ad72d07153/scratchpad/build/../flows/flow_028.png" id="133" name="Picture"/>
                    <pic:cNvPicPr>
                      <a:picLocks noChangeArrowheads="1" noChangeAspect="1"/>
                    </pic:cNvPicPr>
                  </pic:nvPicPr>
                  <pic:blipFill>
                    <a:blip r:embed="rId131"/>
                    <a:stretch>
                      <a:fillRect/>
                    </a:stretch>
                  </pic:blipFill>
                  <pic:spPr bwMode="auto">
                    <a:xfrm>
                      <a:off x="0" y="0"/>
                      <a:ext cx="5334000" cy="2867024"/>
                    </a:xfrm>
                    <a:prstGeom prst="rect">
                      <a:avLst/>
                    </a:prstGeom>
                    <a:noFill/>
                    <a:ln w="9525">
                      <a:noFill/>
                      <a:headEnd/>
                      <a:tailEnd/>
                    </a:ln>
                  </pic:spPr>
                </pic:pic>
              </a:graphicData>
            </a:graphic>
          </wp:inline>
        </w:drawing>
      </w:r>
    </w:p>
    <w:p>
      <w:pPr>
        <w:pStyle w:val="ImageCaption"/>
      </w:pPr>
      <w:r>
        <w:t xml:space="preserve">Remote sensing in crop simulation models</w:t>
      </w:r>
    </w:p>
    <w:p>
      <w:pPr>
        <w:pStyle w:val="Heading3"/>
      </w:pPr>
      <w:r>
        <w:t xml:space="preserve">39.9.4 Operational and Indian examples</w:t>
      </w:r>
    </w:p>
    <w:p>
      <w:pPr>
        <w:pStyle w:val="Compact"/>
        <w:numPr>
          <w:ilvl w:val="0"/>
          <w:numId w:val="1290"/>
        </w:numPr>
      </w:pPr>
      <w:r>
        <w:rPr>
          <w:bCs/>
          <w:b/>
        </w:rPr>
        <w:t xml:space="preserve">MARS Crop Growth Monitoring System (CGMS, EU):</w:t>
      </w:r>
      <w:r>
        <w:t xml:space="preserve"> </w:t>
      </w:r>
      <w:r>
        <w:t xml:space="preserve">WOFOST in an ORACLE + ARC/INFO framework on a 50 × 50 km grid; meteorological module (interpolated daily weather), crop module (potential and water-limited simulation per soil–weather–crop</w:t>
      </w:r>
      <w:r>
        <w:t xml:space="preserve"> </w:t>
      </w:r>
      <w:r>
        <w:t xml:space="preserve">“</w:t>
      </w:r>
      <w:r>
        <w:t xml:space="preserve">simulation unit</w:t>
      </w:r>
      <w:r>
        <w:t xml:space="preserve">”</w:t>
      </w:r>
      <w:r>
        <w:t xml:space="preserve">), statistical module (regression of simulated indicators with ≥15 years of yield statistics plus trend) → 10-day/monthly maps of weather anomalies, crop indicators and yield forecasts.</w:t>
      </w:r>
    </w:p>
    <w:p>
      <w:pPr>
        <w:pStyle w:val="Compact"/>
        <w:numPr>
          <w:ilvl w:val="0"/>
          <w:numId w:val="1290"/>
        </w:numPr>
      </w:pPr>
      <w:r>
        <w:rPr>
          <w:bCs/>
          <w:b/>
        </w:rPr>
        <w:t xml:space="preserve">Indian wheat CGMS (SAC):</w:t>
      </w:r>
      <w:r>
        <w:t xml:space="preserve"> </w:t>
      </w:r>
      <w:r>
        <w:t xml:space="preserve">WTGROWS on a 5′ × 5′ grid with RS wheat map, daily weather surfaces, soil and management databases for Haryana — district yields within ±10% for 12 of 16 districts (RMSE 335 kg ha⁻¹, &lt;10% of state mean); later version estimated district</w:t>
      </w:r>
      <w:r>
        <w:t xml:space="preserve"> </w:t>
      </w:r>
      <w:r>
        <w:rPr>
          <w:bCs/>
          <w:b/>
        </w:rPr>
        <w:t xml:space="preserve">sowing dates</w:t>
      </w:r>
      <w:r>
        <w:t xml:space="preserve"> </w:t>
      </w:r>
      <w:r>
        <w:t xml:space="preserve">by matching the date of peak NDVI (Badhwar-fitted IRS-WiFS profiles) to the simulated LAI peak, raising correlation with official yields from 0.16 (constant inputs) to 0.52 (RS sowing dates) and 0.74 (adding N-use statistics).</w:t>
      </w:r>
    </w:p>
    <w:p>
      <w:pPr>
        <w:pStyle w:val="Compact"/>
        <w:numPr>
          <w:ilvl w:val="0"/>
          <w:numId w:val="1290"/>
        </w:numPr>
      </w:pPr>
      <w:r>
        <w:rPr>
          <w:bCs/>
          <w:b/>
        </w:rPr>
        <w:t xml:space="preserve">Precision farming:</w:t>
      </w:r>
      <w:r>
        <w:t xml:space="preserve"> </w:t>
      </w:r>
      <w:r>
        <w:t xml:space="preserve">SIMPOTATO interfaced with PC ARC/INFO to map potato yield and N leaching for site-specific management.</w:t>
      </w:r>
    </w:p>
    <w:p>
      <w:pPr>
        <w:pStyle w:val="Compact"/>
        <w:numPr>
          <w:ilvl w:val="0"/>
          <w:numId w:val="1290"/>
        </w:numPr>
      </w:pPr>
      <w:r>
        <w:rPr>
          <w:bCs/>
          <w:b/>
        </w:rPr>
        <w:t xml:space="preserve">Land-use planning:</w:t>
      </w:r>
      <w:r>
        <w:t xml:space="preserve"> </w:t>
      </w:r>
      <w:r>
        <w:t xml:space="preserve">WTGROWS + GIS + optimisation for Haryana land-use options; climate-change impact studies with GCM-linked GIS layers.</w:t>
      </w:r>
    </w:p>
    <w:p>
      <w:pPr>
        <w:pStyle w:val="Heading3"/>
      </w:pPr>
      <w:r>
        <w:t xml:space="preserve">39.9.5 Likely interview questions</w:t>
      </w:r>
    </w:p>
    <w:p>
      <w:pPr>
        <w:pStyle w:val="FirstParagraph"/>
      </w:pPr>
      <w:r>
        <w:rPr>
          <w:bCs/>
          <w:b/>
        </w:rPr>
        <w:t xml:space="preserve">Q. Classify crop models.</w:t>
      </w:r>
      <w:r>
        <w:t xml:space="preserve"> </w:t>
      </w:r>
      <w:r>
        <w:t xml:space="preserve">Statistical vs. mechanistic; deterministic vs. stochastic; static vs. dynamic; descriptive vs. explanatory; simulation models.</w:t>
      </w:r>
    </w:p>
    <w:p>
      <w:pPr>
        <w:pStyle w:val="BodyText"/>
      </w:pPr>
      <w:r>
        <w:rPr>
          <w:bCs/>
          <w:b/>
        </w:rPr>
        <w:t xml:space="preserve">Q. What is DSSAT and what does it contain?</w:t>
      </w:r>
      <w:r>
        <w:t xml:space="preserve"> </w:t>
      </w:r>
      <w:r>
        <w:t xml:space="preserve">IBSNAT’s decision-support package: databases, crop models (CERES, CROPGRO …), utilities, weather generators, strategy evaluation.</w:t>
      </w:r>
    </w:p>
    <w:p>
      <w:pPr>
        <w:pStyle w:val="BodyText"/>
      </w:pPr>
      <w:r>
        <w:rPr>
          <w:bCs/>
          <w:b/>
        </w:rPr>
        <w:t xml:space="preserve">Q. List the ways RS data are integrated into crop models.</w:t>
      </w:r>
      <w:r>
        <w:t xml:space="preserve"> </w:t>
      </w:r>
      <w:r>
        <w:t xml:space="preserve">Driving variable, forcing, re-initialisation, re-calibration (including RT-model coupling), corrective approach.</w:t>
      </w:r>
    </w:p>
    <w:p>
      <w:pPr>
        <w:pStyle w:val="BodyText"/>
      </w:pPr>
      <w:r>
        <w:rPr>
          <w:bCs/>
          <w:b/>
        </w:rPr>
        <w:t xml:space="preserve">Q. What is the difference between forcing and re-calibration?</w:t>
      </w:r>
      <w:r>
        <w:t xml:space="preserve"> </w:t>
      </w:r>
      <w:r>
        <w:t xml:space="preserve">Forcing replaces a simulated state variable with the RS value; re-calibration adjusts parameters/initial conditions so the model reproduces RS observations over time.</w:t>
      </w:r>
    </w:p>
    <w:p>
      <w:pPr>
        <w:pStyle w:val="BodyText"/>
      </w:pPr>
      <w:r>
        <w:rPr>
          <w:bCs/>
          <w:b/>
        </w:rPr>
        <w:t xml:space="preserve">Q. How did RS improve the Indian wheat CGMS?</w:t>
      </w:r>
      <w:r>
        <w:t xml:space="preserve"> </w:t>
      </w:r>
      <w:r>
        <w:t xml:space="preserve">RS-derived crop maps and sowing dates (from NDVI peak timing) raised agreement with official district yields.</w:t>
      </w:r>
    </w:p>
    <w:p>
      <w:pPr>
        <w:pStyle w:val="Heading2"/>
      </w:pPr>
      <w:r>
        <w:t xml:space="preserve">39.10 Crop Growth Simulation Models</w:t>
      </w:r>
    </w:p>
    <w:p>
      <w:pPr>
        <w:pStyle w:val="FirstParagraph"/>
      </w:pPr>
      <w:r>
        <w:t xml:space="preserve">Crop growth/simulation models are mechanistic, physiologically based models that numerically integrate crop development and biomass accumulation on a daily (sometimes hourly) time step, driven by weather, soil, and management inputs. They are the backbone of process-based forecasting and of remote-sensing data assimilation, because they provide a dynamic</w:t>
      </w:r>
      <w:r>
        <w:t xml:space="preserve"> </w:t>
      </w:r>
      <w:r>
        <w:t xml:space="preserve">“</w:t>
      </w:r>
      <w:r>
        <w:t xml:space="preserve">state</w:t>
      </w:r>
      <w:r>
        <w:t xml:space="preserve">”</w:t>
      </w:r>
      <w:r>
        <w:t xml:space="preserve"> </w:t>
      </w:r>
      <w:r>
        <w:t xml:space="preserve">(LAI, biomass, soil moisture, phenological stage) that can be compared against, and corrected by, satellite observations. Below are the models most relevant to interview-level understanding.</w:t>
      </w:r>
    </w:p>
    <w:p>
      <w:pPr>
        <w:pStyle w:val="Heading3"/>
      </w:pPr>
      <w:r>
        <w:t xml:space="preserve">39.10.1 WOFOST (WOrld FOod STudies)</w:t>
      </w:r>
    </w:p>
    <w:p>
      <w:pPr>
        <w:pStyle w:val="FirstParagraph"/>
      </w:pPr>
      <w:r>
        <w:t xml:space="preserve">WOFOST, developed by Wageningen University &amp; Research (WUR) and used extensively within the EU’s MARS (Monitoring Agricultural Resources) crop monitoring system, simulates crop growth as a function of the prevailing weather and soil-water conditions, considering the effects of temperature and radiation on physiological processes such as phenological development, light interception, CO₂ assimilation, respiration, and partitioning of assimilates to roots, leaves, stems, and storage organs.</w:t>
      </w:r>
    </w:p>
    <w:p>
      <w:pPr>
        <w:pStyle w:val="Compact"/>
        <w:numPr>
          <w:ilvl w:val="0"/>
          <w:numId w:val="1291"/>
        </w:numPr>
      </w:pPr>
      <w:r>
        <w:rPr>
          <w:bCs/>
          <w:b/>
        </w:rPr>
        <w:t xml:space="preserve">Production levels modelled</w:t>
      </w:r>
      <w:r>
        <w:t xml:space="preserve">: WOFOST explicitly distinguishes three growth-limitation levels — (1)</w:t>
      </w:r>
      <w:r>
        <w:t xml:space="preserve"> </w:t>
      </w:r>
      <w:r>
        <w:rPr>
          <w:bCs/>
          <w:b/>
        </w:rPr>
        <w:t xml:space="preserve">potential production</w:t>
      </w:r>
      <w:r>
        <w:t xml:space="preserve">, limited only by temperature, radiation, and crop characteristics (no water/nutrient stress, optimal management); (2)</w:t>
      </w:r>
      <w:r>
        <w:t xml:space="preserve"> </w:t>
      </w:r>
      <w:r>
        <w:rPr>
          <w:bCs/>
          <w:b/>
        </w:rPr>
        <w:t xml:space="preserve">water-limited production</w:t>
      </w:r>
      <w:r>
        <w:t xml:space="preserve">, additionally constrained by soil water availability/drought stress via a soil water balance sub-model; and (3)</w:t>
      </w:r>
      <w:r>
        <w:t xml:space="preserve"> </w:t>
      </w:r>
      <w:r>
        <w:rPr>
          <w:bCs/>
          <w:b/>
        </w:rPr>
        <w:t xml:space="preserve">nutrient-limited production</w:t>
      </w:r>
      <w:r>
        <w:t xml:space="preserve">, further constrained by nitrogen/phosphorus/potassium availability. This layered structure is a distinguishing conceptual strength of WOFOST.</w:t>
      </w:r>
    </w:p>
    <w:p>
      <w:pPr>
        <w:pStyle w:val="Compact"/>
        <w:numPr>
          <w:ilvl w:val="0"/>
          <w:numId w:val="1291"/>
        </w:numPr>
      </w:pPr>
      <w:r>
        <w:rPr>
          <w:bCs/>
          <w:b/>
        </w:rPr>
        <w:t xml:space="preserve">Core processes</w:t>
      </w:r>
      <w:r>
        <w:t xml:space="preserve">: phenological development (driven by temperature sum/thermal time and, for some crops, day length), canopy leaf area development, gross CO₂ assimilation via a light-response (Gaussian integration over canopy layers) formulation, maintenance and growth respiration, dry-matter partitioning to organs as a function of development stage, and a soil water balance (for water-limited runs).</w:t>
      </w:r>
    </w:p>
    <w:p>
      <w:pPr>
        <w:pStyle w:val="Compact"/>
        <w:numPr>
          <w:ilvl w:val="0"/>
          <w:numId w:val="1291"/>
        </w:numPr>
      </w:pPr>
      <w:r>
        <w:rPr>
          <w:bCs/>
          <w:b/>
        </w:rPr>
        <w:t xml:space="preserve">Inputs</w:t>
      </w:r>
      <w:r>
        <w:t xml:space="preserve">: daily weather (rainfall, min/max temperature, radiation, vapour pressure, wind), soil physical properties (water-holding capacity, rooting depth), crop/cultivar parameters (specific leaf area, partitioning tables, base/optimum temperatures), and sowing date/management.</w:t>
      </w:r>
    </w:p>
    <w:p>
      <w:pPr>
        <w:pStyle w:val="Compact"/>
        <w:numPr>
          <w:ilvl w:val="0"/>
          <w:numId w:val="1291"/>
        </w:numPr>
      </w:pPr>
      <w:r>
        <w:rPr>
          <w:bCs/>
          <w:b/>
        </w:rPr>
        <w:t xml:space="preserve">Outputs</w:t>
      </w:r>
      <w:r>
        <w:t xml:space="preserve">: time series of LAI, total and organ-specific biomass, and final storage-organ (grain) yield.</w:t>
      </w:r>
    </w:p>
    <w:p>
      <w:pPr>
        <w:pStyle w:val="Compact"/>
        <w:numPr>
          <w:ilvl w:val="0"/>
          <w:numId w:val="1291"/>
        </w:numPr>
      </w:pPr>
      <w:r>
        <w:rPr>
          <w:bCs/>
          <w:b/>
        </w:rPr>
        <w:t xml:space="preserve">Strengths</w:t>
      </w:r>
      <w:r>
        <w:t xml:space="preserve">: Well validated globally, computationally efficient, explicit potential/water/nutrient-limited hierarchy makes it well suited to gridded regional application (as in the EU MARS system and many Asian adaptations), and it is one of the models most commonly coupled with remote-sensing LAI assimilation in the literature.</w:t>
      </w:r>
    </w:p>
    <w:p>
      <w:pPr>
        <w:pStyle w:val="Compact"/>
        <w:numPr>
          <w:ilvl w:val="0"/>
          <w:numId w:val="1291"/>
        </w:numPr>
      </w:pPr>
      <w:r>
        <w:rPr>
          <w:bCs/>
          <w:b/>
        </w:rPr>
        <w:t xml:space="preserve">Limitations</w:t>
      </w:r>
      <w:r>
        <w:t xml:space="preserve">: Generic crop parameterization may not capture local cultivar diversity; nutrient-limited production sub-model is less mature than the water-limited component; sensitive to quality of gridded weather and soil input data at regional scale.</w:t>
      </w:r>
    </w:p>
    <w:p>
      <w:pPr>
        <w:pStyle w:val="Heading3"/>
      </w:pPr>
      <w:r>
        <w:t xml:space="preserve">39.10.2 DSSAT — CERES-Wheat, CERES-Maize</w:t>
      </w:r>
    </w:p>
    <w:p>
      <w:pPr>
        <w:pStyle w:val="FirstParagraph"/>
      </w:pPr>
      <w:r>
        <w:t xml:space="preserve">The Decision Support System for Agrotechnology Transfer (DSSAT) is a modular modelling platform housing crop-specific models, of which the CERES (Crop Environment REsource Synthesis) family — CERES-Wheat, CERES-Maize, CERES-Rice, etc. — are the most widely used for cereals.</w:t>
      </w:r>
    </w:p>
    <w:p>
      <w:pPr>
        <w:pStyle w:val="Compact"/>
        <w:numPr>
          <w:ilvl w:val="0"/>
          <w:numId w:val="1292"/>
        </w:numPr>
      </w:pPr>
      <w:r>
        <w:rPr>
          <w:bCs/>
          <w:b/>
        </w:rPr>
        <w:t xml:space="preserve">Phenology</w:t>
      </w:r>
      <w:r>
        <w:t xml:space="preserve">: CERES models use a thermal-time (growing-degree-day) approach modulated by photoperiod and (for wheat) vernalization requirements to move the crop through genetically defined developmental phases (e.g., emergence, floral initiation, anthesis, grain fill, maturity), governed by cultivar-specific genetic coefficients.</w:t>
      </w:r>
    </w:p>
    <w:p>
      <w:pPr>
        <w:pStyle w:val="Compact"/>
        <w:numPr>
          <w:ilvl w:val="0"/>
          <w:numId w:val="1292"/>
        </w:numPr>
      </w:pPr>
      <w:r>
        <w:rPr>
          <w:bCs/>
          <w:b/>
        </w:rPr>
        <w:t xml:space="preserve">Biomass and yield</w:t>
      </w:r>
      <w:r>
        <w:t xml:space="preserve">: Daily biomass production is computed from intercepted photosynthetically active radiation (via Beer’s law canopy light extinction and LAI) and a radiation-use-efficiency-like relationship, modified by temperature, water, and nitrogen stress factors; assimilates are partitioned to leaf, stem, root, and grain according to development stage, with grain number and grain-filling duration/rate determining final yield.</w:t>
      </w:r>
    </w:p>
    <w:p>
      <w:pPr>
        <w:pStyle w:val="Compact"/>
        <w:numPr>
          <w:ilvl w:val="0"/>
          <w:numId w:val="1292"/>
        </w:numPr>
      </w:pPr>
      <w:r>
        <w:rPr>
          <w:bCs/>
          <w:b/>
        </w:rPr>
        <w:t xml:space="preserve">Water and nitrogen balance</w:t>
      </w:r>
      <w:r>
        <w:t xml:space="preserve">: DSSAT includes a soil water balance (tipping-bucket type) and a soil nitrogen sub-model (mineralization, immobilization, nitrification, leaching, plant uptake) that couples with the CENTURY/CERES soil organic matter routines, allowing simulation of fertilizer response — a key strength relative to WOFOST for nutrient management studies.</w:t>
      </w:r>
    </w:p>
    <w:p>
      <w:pPr>
        <w:pStyle w:val="Compact"/>
        <w:numPr>
          <w:ilvl w:val="0"/>
          <w:numId w:val="1292"/>
        </w:numPr>
      </w:pPr>
      <w:r>
        <w:rPr>
          <w:bCs/>
          <w:b/>
        </w:rPr>
        <w:t xml:space="preserve">Inputs</w:t>
      </w:r>
      <w:r>
        <w:t xml:space="preserve">: daily weather, detailed soil profile data (layered, with texture/organic carbon), cultivar genetic coefficients (calibrated from field trial data), and full management records (sowing date, density, fertilizer/irrigation schedule).</w:t>
      </w:r>
    </w:p>
    <w:p>
      <w:pPr>
        <w:pStyle w:val="Compact"/>
        <w:numPr>
          <w:ilvl w:val="0"/>
          <w:numId w:val="1292"/>
        </w:numPr>
      </w:pPr>
      <w:r>
        <w:rPr>
          <w:bCs/>
          <w:b/>
        </w:rPr>
        <w:t xml:space="preserve">Outputs</w:t>
      </w:r>
      <w:r>
        <w:t xml:space="preserve">: phenology dates, LAI, biomass, grain yield, and soil water/nitrogen status, with strong utility for</w:t>
      </w:r>
      <w:r>
        <w:t xml:space="preserve"> </w:t>
      </w:r>
      <w:r>
        <w:t xml:space="preserve">“</w:t>
      </w:r>
      <w:r>
        <w:t xml:space="preserve">what-if</w:t>
      </w:r>
      <w:r>
        <w:t xml:space="preserve">”</w:t>
      </w:r>
      <w:r>
        <w:t xml:space="preserve"> </w:t>
      </w:r>
      <w:r>
        <w:t xml:space="preserve">management and climate-scenario experiments.</w:t>
      </w:r>
    </w:p>
    <w:p>
      <w:pPr>
        <w:pStyle w:val="Compact"/>
        <w:numPr>
          <w:ilvl w:val="0"/>
          <w:numId w:val="1292"/>
        </w:numPr>
      </w:pPr>
      <w:r>
        <w:rPr>
          <w:bCs/>
          <w:b/>
        </w:rPr>
        <w:t xml:space="preserve">Strengths</w:t>
      </w:r>
      <w:r>
        <w:t xml:space="preserve">: Rich management/genotype × environment × management (G×E×M) representation, making it the model of choice for agronomic decision support, climate change impact assessment (used extensively in the AgMIP intercomparison), and crop-insurance-related yield-gap studies.</w:t>
      </w:r>
    </w:p>
    <w:p>
      <w:pPr>
        <w:pStyle w:val="Compact"/>
        <w:numPr>
          <w:ilvl w:val="0"/>
          <w:numId w:val="1292"/>
        </w:numPr>
      </w:pPr>
      <w:r>
        <w:rPr>
          <w:bCs/>
          <w:b/>
        </w:rPr>
        <w:t xml:space="preserve">Limitations</w:t>
      </w:r>
      <w:r>
        <w:t xml:space="preserve">: Requires the most extensive and locality-specific calibration data (cultivar coefficients, soil profiles) of the models discussed here; computationally heavier for large-area gridded runs; genetic coefficient calibration is a well-known bottleneck for new/local cultivars, especially across India’s highly diverse agro-climatic zones.</w:t>
      </w:r>
    </w:p>
    <w:p>
      <w:pPr>
        <w:pStyle w:val="Heading3"/>
      </w:pPr>
      <w:r>
        <w:t xml:space="preserve">39.10.3 CropSyst</w:t>
      </w:r>
    </w:p>
    <w:p>
      <w:pPr>
        <w:pStyle w:val="FirstParagraph"/>
      </w:pPr>
      <w:r>
        <w:t xml:space="preserve">CropSyst (Cropping Systems Simulation Model, Washington State University) is a multi-year, multi-crop, daily-time-step model designed to study the effect of cropping system management (crop rotation, tillage, residue management, irrigation, nitrogen) on productivity and environmental outcomes (soil erosion, water/nitrogen budgets, salinity).</w:t>
      </w:r>
    </w:p>
    <w:p>
      <w:pPr>
        <w:pStyle w:val="Compact"/>
        <w:numPr>
          <w:ilvl w:val="0"/>
          <w:numId w:val="1293"/>
        </w:numPr>
      </w:pPr>
      <w:r>
        <w:t xml:space="preserve">Biomass accumulation is modelled via a</w:t>
      </w:r>
      <w:r>
        <w:t xml:space="preserve"> </w:t>
      </w:r>
      <w:r>
        <w:rPr>
          <w:bCs/>
          <w:b/>
        </w:rPr>
        <w:t xml:space="preserve">radiation-use-efficiency (Monteith-type) approach</w:t>
      </w:r>
      <w:r>
        <w:t xml:space="preserve">, with attainable biomass reduced by water- and nitrogen-limitation factors (using a Penman-Monteith-based crop water-budget/canopy transpiration sub-model), and final yield derived using a harvest index approach.</w:t>
      </w:r>
    </w:p>
    <w:p>
      <w:pPr>
        <w:pStyle w:val="Compact"/>
        <w:numPr>
          <w:ilvl w:val="0"/>
          <w:numId w:val="1293"/>
        </w:numPr>
      </w:pPr>
      <w:r>
        <w:t xml:space="preserve">Its major distinguishing strength is the explicit, long-term, multi-year cropping-system perspective (rotations, residue carry-over, cumulative soil degradation effects) rather than a single-season focus.</w:t>
      </w:r>
    </w:p>
    <w:p>
      <w:pPr>
        <w:pStyle w:val="Compact"/>
        <w:numPr>
          <w:ilvl w:val="0"/>
          <w:numId w:val="1293"/>
        </w:numPr>
      </w:pPr>
      <w:r>
        <w:t xml:space="preserve">Limitations: like other RUE-based models it is somewhat less mechanistic on carbon assimilation than CERES’s photosynthesis-based approach, and detailed cultivar/soil parameterization is still needed for accurate absolute yield prediction.</w:t>
      </w:r>
    </w:p>
    <w:p>
      <w:pPr>
        <w:pStyle w:val="Heading3"/>
      </w:pPr>
      <w:r>
        <w:t xml:space="preserve">39.10.4 AquaCrop</w:t>
      </w:r>
    </w:p>
    <w:p>
      <w:pPr>
        <w:pStyle w:val="FirstParagraph"/>
      </w:pPr>
      <w:r>
        <w:t xml:space="preserve">AquaCrop, developed by FAO, is deliberately simplified relative to WOFOST/DSSAT and is centred on</w:t>
      </w:r>
      <w:r>
        <w:t xml:space="preserve"> </w:t>
      </w:r>
      <w:r>
        <w:rPr>
          <w:bCs/>
          <w:b/>
        </w:rPr>
        <w:t xml:space="preserve">water as the main limiting factor</w:t>
      </w:r>
      <w:r>
        <w:t xml:space="preserve">, targeting water-scarce and irrigation-management applications.</w:t>
      </w:r>
    </w:p>
    <w:p>
      <w:pPr>
        <w:pStyle w:val="Compact"/>
        <w:numPr>
          <w:ilvl w:val="0"/>
          <w:numId w:val="1294"/>
        </w:numPr>
      </w:pPr>
      <w:r>
        <w:rPr>
          <w:bCs/>
          <w:b/>
        </w:rPr>
        <w:t xml:space="preserve">Core equation</w:t>
      </w:r>
      <w:r>
        <w:t xml:space="preserve">: AquaCrop separates canopy transpiration (Tr) from soil evaporation (E) and links biomass production directly to</w:t>
      </w:r>
      <w:r>
        <w:t xml:space="preserve"> </w:t>
      </w:r>
      <w:r>
        <w:rPr>
          <w:iCs/>
          <w:i/>
        </w:rPr>
        <w:t xml:space="preserve">transpiration</w:t>
      </w:r>
      <w:r>
        <w:t xml:space="preserve"> </w:t>
      </w:r>
      <w:r>
        <w:t xml:space="preserve">via a normalized water productivity parameter (WP*), rather than to intercepted radiation:</w:t>
      </w:r>
      <w:r>
        <w:t xml:space="preserve"> </w:t>
      </w:r>
      <w:r>
        <w:rPr>
          <w:bCs/>
          <w:b/>
        </w:rPr>
        <w:t xml:space="preserve">B = WP* × ΣTr</w:t>
      </w:r>
      <w:r>
        <w:t xml:space="preserve"> </w:t>
      </w:r>
      <w:r>
        <w:t xml:space="preserve">(biomass is proportional to cumulative transpiration, normalized for climate/CO₂), and final yield Y = B × HI (harvest index), with HI itself dynamically adjusted for water stress around flowering.</w:t>
      </w:r>
    </w:p>
    <w:p>
      <w:pPr>
        <w:pStyle w:val="Compact"/>
        <w:numPr>
          <w:ilvl w:val="0"/>
          <w:numId w:val="1294"/>
        </w:numPr>
      </w:pPr>
      <w:r>
        <w:t xml:space="preserve">Canopy development is tracked via canopy cover (CC) rather than LAI, evolving through expansion, mid-season, and senescence phases, calibrated with relatively few, largely conservative (crop-specific but broadly transferable) parameters.</w:t>
      </w:r>
    </w:p>
    <w:p>
      <w:pPr>
        <w:pStyle w:val="Compact"/>
        <w:numPr>
          <w:ilvl w:val="0"/>
          <w:numId w:val="1294"/>
        </w:numPr>
      </w:pPr>
      <w:r>
        <w:rPr>
          <w:bCs/>
          <w:b/>
        </w:rPr>
        <w:t xml:space="preserve">Strengths</w:t>
      </w:r>
      <w:r>
        <w:t xml:space="preserve">: Designed for data-scarce environments — fewer parameters than DSSAT/WOFOST, robust performance for water-productivity/deficit-irrigation and climate-change-scenario studies, and widely used for water-limited dryland and irrigation-scheduling applications.</w:t>
      </w:r>
    </w:p>
    <w:p>
      <w:pPr>
        <w:pStyle w:val="Compact"/>
        <w:numPr>
          <w:ilvl w:val="0"/>
          <w:numId w:val="1294"/>
        </w:numPr>
      </w:pPr>
      <w:r>
        <w:rPr>
          <w:bCs/>
          <w:b/>
        </w:rPr>
        <w:t xml:space="preserve">Limitations</w:t>
      </w:r>
      <w:r>
        <w:t xml:space="preserve">: Less detailed representation of nitrogen dynamics and canopy photosynthesis; less suited where nutrient stress rather than water stress dominates yield variability; daily canopy-cover-based growth engine is simpler and thus somewhat less flexible for very heterogeneous multi-stress conditions than CERES.</w:t>
      </w:r>
    </w:p>
    <w:p>
      <w:pPr>
        <w:pStyle w:val="Heading3"/>
      </w:pPr>
      <w:r>
        <w:t xml:space="preserve">39.10.5 SAFY (Simple Algorithm For Yield Estimation)</w:t>
      </w:r>
    </w:p>
    <w:p>
      <w:pPr>
        <w:pStyle w:val="FirstParagraph"/>
      </w:pPr>
      <w:r>
        <w:t xml:space="preserve">SAFY is a deliberately parsimonious, RUE-based (Monteith-type) crop growth model developed specifically to be</w:t>
      </w:r>
      <w:r>
        <w:t xml:space="preserve"> </w:t>
      </w:r>
      <w:r>
        <w:rPr>
          <w:bCs/>
          <w:b/>
        </w:rPr>
        <w:t xml:space="preserve">coupled with remote sensing time series</w:t>
      </w:r>
      <w:r>
        <w:t xml:space="preserve"> </w:t>
      </w:r>
      <w:r>
        <w:t xml:space="preserve">for operational yield monitoring, particularly at field to district scale.</w:t>
      </w:r>
    </w:p>
    <w:p>
      <w:pPr>
        <w:pStyle w:val="Compact"/>
        <w:numPr>
          <w:ilvl w:val="0"/>
          <w:numId w:val="1295"/>
        </w:numPr>
      </w:pPr>
      <w:r>
        <w:t xml:space="preserve">It simulates daily dry-matter accumulation as the product of intercepted PAR (via an LAI-based light-interception function, LAI itself derived from a simple temperature/degree-day-driven growth-and-senescence function) and a light-use-efficiency parameter (with limited or no explicit water/nutrient sub-models in the original formulation, though water-stress modules have been added in later versions), followed by a harvest-index-based conversion of accumulated biomass to yield.</w:t>
      </w:r>
    </w:p>
    <w:p>
      <w:pPr>
        <w:pStyle w:val="Compact"/>
        <w:numPr>
          <w:ilvl w:val="0"/>
          <w:numId w:val="1295"/>
        </w:numPr>
      </w:pPr>
      <w:r>
        <w:t xml:space="preserve">Because it has few free parameters (typically on the order of a handful — e.g., an effective RUE, a temperature-driven growth rate, senescence rate, and harvest index), SAFY is computationally very cheap and highly amenable to</w:t>
      </w:r>
      <w:r>
        <w:t xml:space="preserve"> </w:t>
      </w:r>
      <w:r>
        <w:rPr>
          <w:bCs/>
          <w:b/>
        </w:rPr>
        <w:t xml:space="preserve">remote-sensing LAI assimilation</w:t>
      </w:r>
      <w:r>
        <w:t xml:space="preserve"> </w:t>
      </w:r>
      <w:r>
        <w:t xml:space="preserve">at large spatial extents (regional/national), where it is impractical to independently calibrate the dozens of genetic/soil parameters that DSSAT or WOFOST require for every pixel.</w:t>
      </w:r>
    </w:p>
    <w:p>
      <w:pPr>
        <w:pStyle w:val="Compact"/>
        <w:numPr>
          <w:ilvl w:val="0"/>
          <w:numId w:val="1295"/>
        </w:numPr>
      </w:pPr>
      <w:r>
        <w:t xml:space="preserve">SAFY has been widely used and validated for wheat and maize yield estimation via assimilation of Sentinel-2/Landsat/UAV-derived LAI, as documented in multiple peer-reviewed studies.</w:t>
      </w:r>
    </w:p>
    <w:p>
      <w:pPr>
        <w:pStyle w:val="Compact"/>
        <w:numPr>
          <w:ilvl w:val="0"/>
          <w:numId w:val="1295"/>
        </w:numPr>
      </w:pPr>
      <w:r>
        <w:rPr>
          <w:bCs/>
          <w:b/>
        </w:rPr>
        <w:t xml:space="preserve">Strengths</w:t>
      </w:r>
      <w:r>
        <w:t xml:space="preserve">: minimal parameterization, fast, well suited to pixel/field-level remote-sensing coupling and to operational large-area mapping.</w:t>
      </w:r>
    </w:p>
    <w:p>
      <w:pPr>
        <w:pStyle w:val="Compact"/>
        <w:numPr>
          <w:ilvl w:val="0"/>
          <w:numId w:val="1295"/>
        </w:numPr>
      </w:pPr>
      <w:r>
        <w:rPr>
          <w:bCs/>
          <w:b/>
        </w:rPr>
        <w:t xml:space="preserve">Limitations</w:t>
      </w:r>
      <w:r>
        <w:t xml:space="preserve">: simplified physiology (limited/no explicit nutrient and, in base form, water-stress representation) means it is less useful for process diagnosis (e.g., explaining</w:t>
      </w:r>
      <w:r>
        <w:t xml:space="preserve"> </w:t>
      </w:r>
      <w:r>
        <w:rPr>
          <w:iCs/>
          <w:i/>
        </w:rPr>
        <w:t xml:space="preserve">why</w:t>
      </w:r>
      <w:r>
        <w:t xml:space="preserve"> </w:t>
      </w:r>
      <w:r>
        <w:t xml:space="preserve">yield is low) compared to DSSAT/WOFOST, and it depends heavily on the quality of the assimilated remote sensing LAI product.</w:t>
      </w:r>
    </w:p>
    <w:p>
      <w:pPr>
        <w:pStyle w:val="Heading3"/>
      </w:pPr>
      <w:r>
        <w:t xml:space="preserve">39.10.6 Table 1: Comparison of Major Crop Growth Simulation Models</w:t>
      </w:r>
    </w:p>
    <w:tbl>
      <w:tblPr>
        <w:tblStyle w:val="Table"/>
        <w:tblW w:type="pct" w:w="4974"/>
        <w:jc w:val="left"/>
        <w:tblLook w:firstRow="1" w:lastRow="0" w:firstColumn="0" w:lastColumn="0" w:noHBand="0" w:noVBand="0" w:val="0020"/>
      </w:tblPr>
      <w:tblGrid>
        <w:gridCol w:w="649"/>
        <w:gridCol w:w="1766"/>
        <w:gridCol w:w="609"/>
        <w:gridCol w:w="731"/>
        <w:gridCol w:w="1441"/>
        <w:gridCol w:w="1076"/>
        <w:gridCol w:w="1604"/>
      </w:tblGrid>
      <w:tr>
        <w:trPr>
          <w:tblHeader w:val="true"/>
        </w:trPr>
        <w:tc>
          <w:tcPr/>
          <w:p>
            <w:pPr>
              <w:pStyle w:val="Compact"/>
              <w:jc w:val="left"/>
            </w:pPr>
            <w:r>
              <w:t xml:space="preserve">Model</w:t>
            </w:r>
          </w:p>
        </w:tc>
        <w:tc>
          <w:tcPr/>
          <w:p>
            <w:pPr>
              <w:pStyle w:val="Compact"/>
              <w:jc w:val="left"/>
            </w:pPr>
            <w:r>
              <w:t xml:space="preserve">Core growth engine</w:t>
            </w:r>
          </w:p>
        </w:tc>
        <w:tc>
          <w:tcPr/>
          <w:p>
            <w:pPr>
              <w:pStyle w:val="Compact"/>
              <w:jc w:val="left"/>
            </w:pPr>
            <w:r>
              <w:t xml:space="preserve">Water balance</w:t>
            </w:r>
          </w:p>
        </w:tc>
        <w:tc>
          <w:tcPr/>
          <w:p>
            <w:pPr>
              <w:pStyle w:val="Compact"/>
              <w:jc w:val="left"/>
            </w:pPr>
            <w:r>
              <w:t xml:space="preserve">Nutrient (N) balance</w:t>
            </w:r>
          </w:p>
        </w:tc>
        <w:tc>
          <w:tcPr/>
          <w:p>
            <w:pPr>
              <w:pStyle w:val="Compact"/>
              <w:jc w:val="left"/>
            </w:pPr>
            <w:r>
              <w:t xml:space="preserve">Key parameters needed</w:t>
            </w:r>
          </w:p>
        </w:tc>
        <w:tc>
          <w:tcPr/>
          <w:p>
            <w:pPr>
              <w:pStyle w:val="Compact"/>
              <w:jc w:val="left"/>
            </w:pPr>
            <w:r>
              <w:t xml:space="preserve">Typical application scale</w:t>
            </w:r>
          </w:p>
        </w:tc>
        <w:tc>
          <w:tcPr/>
          <w:p>
            <w:pPr>
              <w:pStyle w:val="Compact"/>
              <w:jc w:val="left"/>
            </w:pPr>
            <w:r>
              <w:t xml:space="preserve">Best suited for</w:t>
            </w:r>
          </w:p>
        </w:tc>
      </w:tr>
      <w:tr>
        <w:tc>
          <w:tcPr/>
          <w:p>
            <w:pPr>
              <w:pStyle w:val="Compact"/>
              <w:jc w:val="left"/>
            </w:pPr>
            <w:r>
              <w:rPr>
                <w:bCs/>
                <w:b/>
              </w:rPr>
              <w:t xml:space="preserve">WOFOST</w:t>
            </w:r>
          </w:p>
        </w:tc>
        <w:tc>
          <w:tcPr/>
          <w:p>
            <w:pPr>
              <w:pStyle w:val="Compact"/>
              <w:jc w:val="left"/>
            </w:pPr>
            <w:r>
              <w:t xml:space="preserve">Gaussian-integrated canopy photosynthesis (potential/water-limited/N-limited layers)</w:t>
            </w:r>
          </w:p>
        </w:tc>
        <w:tc>
          <w:tcPr/>
          <w:p>
            <w:pPr>
              <w:pStyle w:val="Compact"/>
              <w:jc w:val="left"/>
            </w:pPr>
            <w:r>
              <w:t xml:space="preserve">Yes (soil water balance)</w:t>
            </w:r>
          </w:p>
        </w:tc>
        <w:tc>
          <w:tcPr/>
          <w:p>
            <w:pPr>
              <w:pStyle w:val="Compact"/>
              <w:jc w:val="left"/>
            </w:pPr>
            <w:r>
              <w:t xml:space="preserve">Basic</w:t>
            </w:r>
          </w:p>
        </w:tc>
        <w:tc>
          <w:tcPr/>
          <w:p>
            <w:pPr>
              <w:pStyle w:val="Compact"/>
              <w:jc w:val="left"/>
            </w:pPr>
            <w:r>
              <w:t xml:space="preserve">Crop physiological parameters, soil water-holding capacity</w:t>
            </w:r>
          </w:p>
        </w:tc>
        <w:tc>
          <w:tcPr/>
          <w:p>
            <w:pPr>
              <w:pStyle w:val="Compact"/>
              <w:jc w:val="left"/>
            </w:pPr>
            <w:r>
              <w:t xml:space="preserve">Field to regional/national (e.g., EU MARS)</w:t>
            </w:r>
          </w:p>
        </w:tc>
        <w:tc>
          <w:tcPr/>
          <w:p>
            <w:pPr>
              <w:pStyle w:val="Compact"/>
              <w:jc w:val="left"/>
            </w:pPr>
            <w:r>
              <w:t xml:space="preserve">Regional yield monitoring under water-limited conditions</w:t>
            </w:r>
          </w:p>
        </w:tc>
      </w:tr>
      <w:tr>
        <w:tc>
          <w:tcPr/>
          <w:p>
            <w:pPr>
              <w:pStyle w:val="Compact"/>
              <w:jc w:val="left"/>
            </w:pPr>
            <w:r>
              <w:rPr>
                <w:bCs/>
                <w:b/>
              </w:rPr>
              <w:t xml:space="preserve">DSSAT (CERES-Wheat/Maize)</w:t>
            </w:r>
          </w:p>
        </w:tc>
        <w:tc>
          <w:tcPr/>
          <w:p>
            <w:pPr>
              <w:pStyle w:val="Compact"/>
              <w:jc w:val="left"/>
            </w:pPr>
            <w:r>
              <w:t xml:space="preserve">Radiation interception + genetic-coefficient-driven partitioning</w:t>
            </w:r>
          </w:p>
        </w:tc>
        <w:tc>
          <w:tcPr/>
          <w:p>
            <w:pPr>
              <w:pStyle w:val="Compact"/>
              <w:jc w:val="left"/>
            </w:pPr>
            <w:r>
              <w:t xml:space="preserve">Yes (tipping-bucket)</w:t>
            </w:r>
          </w:p>
        </w:tc>
        <w:tc>
          <w:tcPr/>
          <w:p>
            <w:pPr>
              <w:pStyle w:val="Compact"/>
              <w:jc w:val="left"/>
            </w:pPr>
            <w:r>
              <w:t xml:space="preserve">Detailed (mineralization, uptake)</w:t>
            </w:r>
          </w:p>
        </w:tc>
        <w:tc>
          <w:tcPr/>
          <w:p>
            <w:pPr>
              <w:pStyle w:val="Compact"/>
              <w:jc w:val="left"/>
            </w:pPr>
            <w:r>
              <w:t xml:space="preserve">Cultivar genetic coefficients, layered soil profile, full management</w:t>
            </w:r>
          </w:p>
        </w:tc>
        <w:tc>
          <w:tcPr/>
          <w:p>
            <w:pPr>
              <w:pStyle w:val="Compact"/>
              <w:jc w:val="left"/>
            </w:pPr>
            <w:r>
              <w:t xml:space="preserve">Field/plot to regional (with heavy calibration)</w:t>
            </w:r>
          </w:p>
        </w:tc>
        <w:tc>
          <w:tcPr/>
          <w:p>
            <w:pPr>
              <w:pStyle w:val="Compact"/>
              <w:jc w:val="left"/>
            </w:pPr>
            <w:r>
              <w:t xml:space="preserve">Genotype×Environment×Management studies, climate impact, fertilizer response</w:t>
            </w:r>
          </w:p>
        </w:tc>
      </w:tr>
      <w:tr>
        <w:tc>
          <w:tcPr/>
          <w:p>
            <w:pPr>
              <w:pStyle w:val="Compact"/>
              <w:jc w:val="left"/>
            </w:pPr>
            <w:r>
              <w:rPr>
                <w:bCs/>
                <w:b/>
              </w:rPr>
              <w:t xml:space="preserve">CropSyst</w:t>
            </w:r>
          </w:p>
        </w:tc>
        <w:tc>
          <w:tcPr/>
          <w:p>
            <w:pPr>
              <w:pStyle w:val="Compact"/>
              <w:jc w:val="left"/>
            </w:pPr>
            <w:r>
              <w:t xml:space="preserve">Monteith RUE approach</w:t>
            </w:r>
          </w:p>
        </w:tc>
        <w:tc>
          <w:tcPr/>
          <w:p>
            <w:pPr>
              <w:pStyle w:val="Compact"/>
              <w:jc w:val="left"/>
            </w:pPr>
            <w:r>
              <w:t xml:space="preserve">Yes (Penman-Monteith based)</w:t>
            </w:r>
          </w:p>
        </w:tc>
        <w:tc>
          <w:tcPr/>
          <w:p>
            <w:pPr>
              <w:pStyle w:val="Compact"/>
              <w:jc w:val="left"/>
            </w:pPr>
            <w:r>
              <w:t xml:space="preserve">Yes</w:t>
            </w:r>
          </w:p>
        </w:tc>
        <w:tc>
          <w:tcPr/>
          <w:p>
            <w:pPr>
              <w:pStyle w:val="Compact"/>
              <w:jc w:val="left"/>
            </w:pPr>
            <w:r>
              <w:t xml:space="preserve">Crop, soil, rotation/management parameters</w:t>
            </w:r>
          </w:p>
        </w:tc>
        <w:tc>
          <w:tcPr/>
          <w:p>
            <w:pPr>
              <w:pStyle w:val="Compact"/>
              <w:jc w:val="left"/>
            </w:pPr>
            <w:r>
              <w:t xml:space="preserve">Field to farm/rotation scale, multi-year</w:t>
            </w:r>
          </w:p>
        </w:tc>
        <w:tc>
          <w:tcPr/>
          <w:p>
            <w:pPr>
              <w:pStyle w:val="Compact"/>
              <w:jc w:val="left"/>
            </w:pPr>
            <w:r>
              <w:t xml:space="preserve">Long-term cropping-system and sustainability analysis</w:t>
            </w:r>
          </w:p>
        </w:tc>
      </w:tr>
      <w:tr>
        <w:tc>
          <w:tcPr/>
          <w:p>
            <w:pPr>
              <w:pStyle w:val="Compact"/>
              <w:jc w:val="left"/>
            </w:pPr>
            <w:r>
              <w:rPr>
                <w:bCs/>
                <w:b/>
              </w:rPr>
              <w:t xml:space="preserve">AquaCrop</w:t>
            </w:r>
          </w:p>
        </w:tc>
        <w:tc>
          <w:tcPr/>
          <w:p>
            <w:pPr>
              <w:pStyle w:val="Compact"/>
              <w:jc w:val="left"/>
            </w:pPr>
            <w:r>
              <w:t xml:space="preserve">Water-productivity (biomass ∝ transpiration)</w:t>
            </w:r>
          </w:p>
        </w:tc>
        <w:tc>
          <w:tcPr/>
          <w:p>
            <w:pPr>
              <w:pStyle w:val="Compact"/>
              <w:jc w:val="left"/>
            </w:pPr>
            <w:r>
              <w:t xml:space="preserve">Central (core driver)</w:t>
            </w:r>
          </w:p>
        </w:tc>
        <w:tc>
          <w:tcPr/>
          <w:p>
            <w:pPr>
              <w:pStyle w:val="Compact"/>
              <w:jc w:val="left"/>
            </w:pPr>
            <w:r>
              <w:t xml:space="preserve">Simplified</w:t>
            </w:r>
          </w:p>
        </w:tc>
        <w:tc>
          <w:tcPr/>
          <w:p>
            <w:pPr>
              <w:pStyle w:val="Compact"/>
              <w:jc w:val="left"/>
            </w:pPr>
            <w:r>
              <w:t xml:space="preserve">Few conservative + few crop-specific parameters</w:t>
            </w:r>
          </w:p>
        </w:tc>
        <w:tc>
          <w:tcPr/>
          <w:p>
            <w:pPr>
              <w:pStyle w:val="Compact"/>
              <w:jc w:val="left"/>
            </w:pPr>
            <w:r>
              <w:t xml:space="preserve">Field to regional, data-scarce settings</w:t>
            </w:r>
          </w:p>
        </w:tc>
        <w:tc>
          <w:tcPr/>
          <w:p>
            <w:pPr>
              <w:pStyle w:val="Compact"/>
              <w:jc w:val="left"/>
            </w:pPr>
            <w:r>
              <w:t xml:space="preserve">Water-limited/irrigation-scheduling, deficit-irrigation studies</w:t>
            </w:r>
          </w:p>
        </w:tc>
      </w:tr>
      <w:tr>
        <w:tc>
          <w:tcPr/>
          <w:p>
            <w:pPr>
              <w:pStyle w:val="Compact"/>
              <w:jc w:val="left"/>
            </w:pPr>
            <w:r>
              <w:rPr>
                <w:bCs/>
                <w:b/>
              </w:rPr>
              <w:t xml:space="preserve">SAFY</w:t>
            </w:r>
          </w:p>
        </w:tc>
        <w:tc>
          <w:tcPr/>
          <w:p>
            <w:pPr>
              <w:pStyle w:val="Compact"/>
              <w:jc w:val="left"/>
            </w:pPr>
            <w:r>
              <w:t xml:space="preserve">Monteith RUE (simplified)</w:t>
            </w:r>
          </w:p>
        </w:tc>
        <w:tc>
          <w:tcPr/>
          <w:p>
            <w:pPr>
              <w:pStyle w:val="Compact"/>
              <w:jc w:val="left"/>
            </w:pPr>
            <w:r>
              <w:t xml:space="preserve">Minimal/optional module</w:t>
            </w:r>
          </w:p>
        </w:tc>
        <w:tc>
          <w:tcPr/>
          <w:p>
            <w:pPr>
              <w:pStyle w:val="Compact"/>
              <w:jc w:val="left"/>
            </w:pPr>
            <w:r>
              <w:t xml:space="preserve">Minimal</w:t>
            </w:r>
          </w:p>
        </w:tc>
        <w:tc>
          <w:tcPr/>
          <w:p>
            <w:pPr>
              <w:pStyle w:val="Compact"/>
              <w:jc w:val="left"/>
            </w:pPr>
            <w:r>
              <w:t xml:space="preserve">Handful of parameters (RUE, degree-day rates, harvest index)</w:t>
            </w:r>
          </w:p>
        </w:tc>
        <w:tc>
          <w:tcPr/>
          <w:p>
            <w:pPr>
              <w:pStyle w:val="Compact"/>
              <w:jc w:val="left"/>
            </w:pPr>
            <w:r>
              <w:t xml:space="preserve">Field/pixel to regional (RS-assimilation friendly)</w:t>
            </w:r>
          </w:p>
        </w:tc>
        <w:tc>
          <w:tcPr/>
          <w:p>
            <w:pPr>
              <w:pStyle w:val="Compact"/>
              <w:jc w:val="left"/>
            </w:pPr>
            <w:r>
              <w:t xml:space="preserve">Operational RS-model coupling for near-real-time yield mapping</w:t>
            </w:r>
          </w:p>
        </w:tc>
      </w:tr>
    </w:tbl>
    <w:p>
      <w:pPr>
        <w:pStyle w:val="Heading2"/>
      </w:pPr>
      <w:r>
        <w:t xml:space="preserve">39.11 Coupling / Assimilation of Remote Sensing Data into Crop Growth Models</w:t>
      </w:r>
    </w:p>
    <w:p>
      <w:pPr>
        <w:pStyle w:val="Heading3"/>
      </w:pPr>
      <w:r>
        <w:t xml:space="preserve">39.11.1 Why Assimilate?</w:t>
      </w:r>
    </w:p>
    <w:p>
      <w:pPr>
        <w:pStyle w:val="FirstParagraph"/>
      </w:pPr>
      <w:r>
        <w:t xml:space="preserve">Crop growth models run in</w:t>
      </w:r>
      <w:r>
        <w:t xml:space="preserve"> </w:t>
      </w:r>
      <w:r>
        <w:t xml:space="preserve">“</w:t>
      </w:r>
      <w:r>
        <w:t xml:space="preserve">open-loop</w:t>
      </w:r>
      <w:r>
        <w:t xml:space="preserve">”</w:t>
      </w:r>
      <w:r>
        <w:t xml:space="preserve"> </w:t>
      </w:r>
      <w:r>
        <w:t xml:space="preserve">(free-running) forecast mode accumulate error over the season because of uncertainty in weather forcing (especially for in-season and forecast-period weather), imperfect initial conditions (sowing date, soil moisture at planting), and imperfect/generic parameterization (cultivar coefficients, soil properties) at the regional scale where field-level calibration is impossible. Remote sensing, on the other hand, provides frequent, spatially explicit,</w:t>
      </w:r>
      <w:r>
        <w:t xml:space="preserve"> </w:t>
      </w:r>
      <w:r>
        <w:rPr>
          <w:iCs/>
          <w:i/>
        </w:rPr>
        <w:t xml:space="preserve">actual</w:t>
      </w:r>
      <w:r>
        <w:t xml:space="preserve"> </w:t>
      </w:r>
      <w:r>
        <w:t xml:space="preserve">observations of canopy state (LAI, FAPAR, sometimes soil moisture or canopy temperature/ET) but cannot by itself predict future growth or directly output yield without additional physiological assumptions.</w:t>
      </w:r>
      <w:r>
        <w:t xml:space="preserve"> </w:t>
      </w:r>
      <w:r>
        <w:rPr>
          <w:bCs/>
          <w:b/>
        </w:rPr>
        <w:t xml:space="preserve">Data assimilation (DA)</w:t>
      </w:r>
      <w:r>
        <w:t xml:space="preserve"> </w:t>
      </w:r>
      <w:r>
        <w:t xml:space="preserve">merges the two: it uses the RS observations to sequentially correct/constrain the model’s simulated state trajectory, so that subsequent (unobserved) model behaviour — including projecting forward to final yield — is conditioned on what actually happened in the field, not just on average/expected conditions. Numerous review and case studies (e.g., in</w:t>
      </w:r>
      <w:r>
        <w:t xml:space="preserve"> </w:t>
      </w:r>
      <w:r>
        <w:rPr>
          <w:iCs/>
          <w:i/>
        </w:rPr>
        <w:t xml:space="preserve">Field Crops Research</w:t>
      </w:r>
      <w:r>
        <w:t xml:space="preserve">,</w:t>
      </w:r>
      <w:r>
        <w:t xml:space="preserve"> </w:t>
      </w:r>
      <w:r>
        <w:rPr>
          <w:iCs/>
          <w:i/>
        </w:rPr>
        <w:t xml:space="preserve">Remote Sensing</w:t>
      </w:r>
      <w:r>
        <w:t xml:space="preserve">, and</w:t>
      </w:r>
      <w:r>
        <w:t xml:space="preserve"> </w:t>
      </w:r>
      <w:r>
        <w:rPr>
          <w:iCs/>
          <w:i/>
        </w:rPr>
        <w:t xml:space="preserve">Agricultural and Forest Meteorology</w:t>
      </w:r>
      <w:r>
        <w:t xml:space="preserve">) demonstrate that RS-assimilated crop model yield estimates consistently outperform either RS-only regression or model-only open-loop runs, especially in anomalous years (droughts, pest outbreaks, unusual sowing windows) that break the assumptions of purely statistical or purely climatological approaches.</w:t>
      </w:r>
    </w:p>
    <w:p>
      <w:pPr>
        <w:pStyle w:val="Heading3"/>
      </w:pPr>
      <w:r>
        <w:t xml:space="preserve">39.11.2 Three Broad Assimilation Strategies</w:t>
      </w:r>
    </w:p>
    <w:p>
      <w:pPr>
        <w:pStyle w:val="FirstParagraph"/>
      </w:pPr>
      <w:r>
        <w:rPr>
          <w:bCs/>
          <w:b/>
        </w:rPr>
        <w:t xml:space="preserve">(a) Forcing method.</w:t>
      </w:r>
      <w:r>
        <w:t xml:space="preserve"> </w:t>
      </w:r>
      <w:r>
        <w:t xml:space="preserve">The simplest approach: remote-sensing-derived LAI (or a related canopy variable) directly</w:t>
      </w:r>
      <w:r>
        <w:t xml:space="preserve"> </w:t>
      </w:r>
      <w:r>
        <w:rPr>
          <w:iCs/>
          <w:i/>
        </w:rPr>
        <w:t xml:space="preserve">replaces</w:t>
      </w:r>
      <w:r>
        <w:t xml:space="preserve"> </w:t>
      </w:r>
      <w:r>
        <w:t xml:space="preserve">(drives/forces) the model-simulated LAI at each time step for which an observation is available, with the model’s internal LAI-simulation sub-model effectively bypassed and other state variables (biomass accumulation, etc.) computed forward using the forced LAI trajectory (interpolated between observation dates). It is simple to implement but does not use the crop model’s own dynamics to inform the LAI trajectory (so it is fully dependent on RS data quality/frequency/cloud-gaps) and does not propagate observational uncertainty in a statistically rigorous way.</w:t>
      </w:r>
    </w:p>
    <w:p>
      <w:pPr>
        <w:pStyle w:val="BodyText"/>
      </w:pPr>
      <w:r>
        <w:rPr>
          <w:bCs/>
          <w:b/>
        </w:rPr>
        <w:t xml:space="preserve">(b) Calibration (re-parameterization) method.</w:t>
      </w:r>
      <w:r>
        <w:t xml:space="preserve"> </w:t>
      </w:r>
      <w:r>
        <w:t xml:space="preserve">Here, one or more of the crop model’s internal parameters (e.g., initial LAI, a growth-rate coefficient, RUE, or the extinction coefficient) are iteratively adjusted (optimized) so that the</w:t>
      </w:r>
      <w:r>
        <w:t xml:space="preserve"> </w:t>
      </w:r>
      <w:r>
        <w:rPr>
          <w:iCs/>
          <w:i/>
        </w:rPr>
        <w:t xml:space="preserve">model-simulated</w:t>
      </w:r>
      <w:r>
        <w:t xml:space="preserve"> </w:t>
      </w:r>
      <w:r>
        <w:t xml:space="preserve">LAI/biomass trajectory best matches the observed RS time series over the whole season (a batch, offline optimization, e.g., via least-squares or Bayesian parameter estimation). This preserves the model’s internal physiological consistency (mass/energy balance is respected throughout) better than direct forcing, but requires the full season of RS observations to be available before running the calibration, making it more suited to</w:t>
      </w:r>
      <w:r>
        <w:t xml:space="preserve"> </w:t>
      </w:r>
      <w:r>
        <w:rPr>
          <w:iCs/>
          <w:i/>
        </w:rPr>
        <w:t xml:space="preserve">retrospective</w:t>
      </w:r>
      <w:r>
        <w:t xml:space="preserve"> </w:t>
      </w:r>
      <w:r>
        <w:t xml:space="preserve">yield estimation/mapping than to true in-season, real-time forecasting.</w:t>
      </w:r>
    </w:p>
    <w:p>
      <w:pPr>
        <w:pStyle w:val="BodyText"/>
      </w:pPr>
      <w:r>
        <w:rPr>
          <w:bCs/>
          <w:b/>
        </w:rPr>
        <w:t xml:space="preserve">(c) Updating / sequential (recursive) data assimilation methods.</w:t>
      </w:r>
      <w:r>
        <w:t xml:space="preserve"> </w:t>
      </w:r>
      <w:r>
        <w:t xml:space="preserve">These are the most sophisticated and operationally most valuable for in-season forecasting: as each new RS observation becomes available, the model’s</w:t>
      </w:r>
      <w:r>
        <w:t xml:space="preserve"> </w:t>
      </w:r>
      <w:r>
        <w:rPr>
          <w:iCs/>
          <w:i/>
        </w:rPr>
        <w:t xml:space="preserve">state</w:t>
      </w:r>
      <w:r>
        <w:t xml:space="preserve"> </w:t>
      </w:r>
      <w:r>
        <w:t xml:space="preserve">(and, in some formulations, key parameters) is updated recursively, in a manner that formally weights the model’s forecast against the observation according to their respective uncertainties, and then the model continues forward in a corrected trajectory. Key techniques include:</w:t>
      </w:r>
    </w:p>
    <w:p>
      <w:pPr>
        <w:pStyle w:val="Compact"/>
        <w:numPr>
          <w:ilvl w:val="0"/>
          <w:numId w:val="1296"/>
        </w:numPr>
      </w:pPr>
      <w:r>
        <w:rPr>
          <w:bCs/>
          <w:b/>
        </w:rPr>
        <w:t xml:space="preserve">Ensemble Kalman Filter (EnKF):</w:t>
      </w:r>
      <w:r>
        <w:t xml:space="preserve"> </w:t>
      </w:r>
      <w:r>
        <w:t xml:space="preserve">An ensemble of model runs is generated by perturbing inputs (weather, initial conditions, parameters) to represent forecast uncertainty; when an RS observation arrives, each ensemble member’s state is updated via the Kalman-filter update equation using the ensemble-estimated background error covariance, and the corrected ensemble continues forward. EnKF is popular for crop-model/RS coupling (WOFOST-EnKF, SAFY-EnKF applications are well documented) because it naturally propagates non-linear model dynamics and quantifies forecast uncertainty without requiring linearization of the model.</w:t>
      </w:r>
    </w:p>
    <w:p>
      <w:pPr>
        <w:pStyle w:val="Compact"/>
        <w:numPr>
          <w:ilvl w:val="0"/>
          <w:numId w:val="1296"/>
        </w:numPr>
      </w:pPr>
      <w:r>
        <w:rPr>
          <w:bCs/>
          <w:b/>
        </w:rPr>
        <w:t xml:space="preserve">Particle filter:</w:t>
      </w:r>
      <w:r>
        <w:t xml:space="preserve"> </w:t>
      </w:r>
      <w:r>
        <w:t xml:space="preserve">A more general, fully non-linear/non-Gaussian sequential Monte Carlo technique in which many</w:t>
      </w:r>
      <w:r>
        <w:t xml:space="preserve"> </w:t>
      </w:r>
      <w:r>
        <w:t xml:space="preserve">“</w:t>
      </w:r>
      <w:r>
        <w:t xml:space="preserve">particles</w:t>
      </w:r>
      <w:r>
        <w:t xml:space="preserve">”</w:t>
      </w:r>
      <w:r>
        <w:t xml:space="preserve"> </w:t>
      </w:r>
      <w:r>
        <w:t xml:space="preserve">(model realizations) are propagated forward and re-weighted (and resampled) according to their likelihood given each new observation; more flexible than EnKF for strongly non-linear or non-Gaussian state distributions (e.g., near phenological thresholds) but computationally more expensive and prone to</w:t>
      </w:r>
      <w:r>
        <w:t xml:space="preserve"> </w:t>
      </w:r>
      <w:r>
        <w:t xml:space="preserve">“</w:t>
      </w:r>
      <w:r>
        <w:t xml:space="preserve">particle degeneracy</w:t>
      </w:r>
      <w:r>
        <w:t xml:space="preserve">”</w:t>
      </w:r>
      <w:r>
        <w:t xml:space="preserve"> </w:t>
      </w:r>
      <w:r>
        <w:t xml:space="preserve">(weight collapse) when ensemble size is limited relative to the state-space dimension.</w:t>
      </w:r>
    </w:p>
    <w:p>
      <w:pPr>
        <w:pStyle w:val="Compact"/>
        <w:numPr>
          <w:ilvl w:val="0"/>
          <w:numId w:val="1296"/>
        </w:numPr>
      </w:pPr>
      <w:r>
        <w:rPr>
          <w:bCs/>
          <w:b/>
        </w:rPr>
        <w:t xml:space="preserve">Four-dimensional variational assimilation (4D-Var):</w:t>
      </w:r>
      <w:r>
        <w:t xml:space="preserve"> </w:t>
      </w:r>
      <w:r>
        <w:t xml:space="preserve">A variational (optimization-based, not sequential-filtering) approach that seeks the initial-condition/parameter trajectory that minimizes a cost function measuring the discrepancy between the full model trajectory and</w:t>
      </w:r>
      <w:r>
        <w:t xml:space="preserve"> </w:t>
      </w:r>
      <w:r>
        <w:rPr>
          <w:iCs/>
          <w:i/>
        </w:rPr>
        <w:t xml:space="preserve">all</w:t>
      </w:r>
      <w:r>
        <w:t xml:space="preserve"> </w:t>
      </w:r>
      <w:r>
        <w:t xml:space="preserve">observations within an assimilation window simultaneously (typically requiring the model’s adjoint for efficient gradient computation), thereby using all available temporal information at once rather than updating step-by-step. 4D-Var is more common in numerical weather prediction and land-surface data assimilation than in operational crop-yield systems (due to the complexity of deriving crop-model adjoints), but it is used in research settings for crop-model parameter/state estimation and is conceptually important for interview purposes as the variational counterpart to the EnKF/particle-filter sequential family.</w:t>
      </w:r>
    </w:p>
    <w:p>
      <w:pPr>
        <w:pStyle w:val="FirstParagraph"/>
      </w:pPr>
      <w:r>
        <w:drawing>
          <wp:inline>
            <wp:extent cx="5334000" cy="7745236"/>
            <wp:effectExtent b="0" l="0" r="0" t="0"/>
            <wp:docPr descr="" title="" id="135" name="Picture"/>
            <a:graphic>
              <a:graphicData uri="http://schemas.openxmlformats.org/drawingml/2006/picture">
                <pic:pic>
                  <pic:nvPicPr>
                    <pic:cNvPr descr="up/media/media/image11.png" id="136" name="Picture"/>
                    <pic:cNvPicPr>
                      <a:picLocks noChangeArrowheads="1" noChangeAspect="1"/>
                    </pic:cNvPicPr>
                  </pic:nvPicPr>
                  <pic:blipFill>
                    <a:blip r:embed="rId134"/>
                    <a:stretch>
                      <a:fillRect/>
                    </a:stretch>
                  </pic:blipFill>
                  <pic:spPr bwMode="auto">
                    <a:xfrm>
                      <a:off x="0" y="0"/>
                      <a:ext cx="5334000" cy="7745236"/>
                    </a:xfrm>
                    <a:prstGeom prst="rect">
                      <a:avLst/>
                    </a:prstGeom>
                    <a:noFill/>
                    <a:ln w="9525">
                      <a:noFill/>
                      <a:headEnd/>
                      <a:tailEnd/>
                    </a:ln>
                  </pic:spPr>
                </pic:pic>
              </a:graphicData>
            </a:graphic>
          </wp:inline>
        </w:drawing>
      </w:r>
    </w:p>
    <w:p>
      <w:pPr>
        <w:pStyle w:val="BodyText"/>
      </w:pPr>
      <w:r>
        <w:rPr>
          <w:bCs/>
          <w:b/>
        </w:rPr>
        <w:t xml:space="preserve">Figure: Remote Sensing–Crop Growth Model Data Assimilation Workflow (Forcing, Calibration, and Sequential Updating methods).</w:t>
      </w:r>
    </w:p>
    <w:p>
      <w:pPr>
        <w:pStyle w:val="Heading3"/>
      </w:pPr>
      <w:r>
        <w:t xml:space="preserve">39.11.3 Why Assimilation Beats Either Component Alone</w:t>
      </w:r>
    </w:p>
    <w:p>
      <w:pPr>
        <w:pStyle w:val="FirstParagraph"/>
      </w:pPr>
      <w:r>
        <w:t xml:space="preserve">The improvement from assimilation arises because the crop model supplies</w:t>
      </w:r>
      <w:r>
        <w:t xml:space="preserve"> </w:t>
      </w:r>
      <w:r>
        <w:rPr>
          <w:bCs/>
          <w:b/>
        </w:rPr>
        <w:t xml:space="preserve">physically consistent temporal continuity and short-term forecasting capability</w:t>
      </w:r>
      <w:r>
        <w:t xml:space="preserve"> </w:t>
      </w:r>
      <w:r>
        <w:t xml:space="preserve">(predicting forward from an observed state to unobserved future states, including final yield, using the model’s mechanistic understanding of phenology and stress response) which RS data alone cannot do, while the RS observations supply</w:t>
      </w:r>
      <w:r>
        <w:t xml:space="preserve"> </w:t>
      </w:r>
      <w:r>
        <w:rPr>
          <w:bCs/>
          <w:b/>
        </w:rPr>
        <w:t xml:space="preserve">ground-truthed, spatially distributed, high-frequency corrections</w:t>
      </w:r>
      <w:r>
        <w:t xml:space="preserve"> </w:t>
      </w:r>
      <w:r>
        <w:t xml:space="preserve">to the model’s otherwise drifting, generically parameterized trajectory, correcting errors due to unknown local sowing date, cultivar, or in-season stress that the model could not have anticipated from weather/soil inputs alone. Multiple published validation studies (assimilating Sentinel-2/Landsat/UAV LAI into WOFOST/SAFY/AquaCrop for wheat and maize) consistently report reduced RMSE in final yield estimates compared with either the free-running crop model or a purely empirical RS regression, particularly for districts/seasons with atypical weather.</w:t>
      </w:r>
    </w:p>
    <w:p>
      <w:pPr>
        <w:pStyle w:val="Heading2"/>
      </w:pPr>
      <w:r>
        <w:t xml:space="preserve">39.12 Machine Learning and Deep Learning Approaches for Yield Prediction</w:t>
      </w:r>
    </w:p>
    <w:p>
      <w:pPr>
        <w:pStyle w:val="FirstParagraph"/>
      </w:pPr>
      <w:r>
        <w:t xml:space="preserve">Over roughly the past decade, ML/DL methods have become a major complementary (and, in some operational settings, competing) approach to process-based crop models for yield forecasting, driven by the increasing volume of multi-temporal satellite time series (Sentinel-1/2, Landsat, MODIS), gridded weather/reanalysis products, and growing archives of historical yield data.</w:t>
      </w:r>
    </w:p>
    <w:p>
      <w:pPr>
        <w:pStyle w:val="Heading3"/>
      </w:pPr>
      <w:r>
        <w:t xml:space="preserve">39.12.1 Feature Engineering from Remote Sensing Time Series</w:t>
      </w:r>
    </w:p>
    <w:p>
      <w:pPr>
        <w:pStyle w:val="FirstParagraph"/>
      </w:pPr>
      <w:r>
        <w:t xml:space="preserve">Typical ML pipelines derive features such as: time series of vegetation indices (NDVI, EVI, GCVI, NDRE, and SAR-derived backscatter/coherence for cloud-penetrating radar-based monitoring), phenometrics extracted from the seasonal VI curve (start/end/length of season, peak VI value and its timing, integrated/cumulative VI over the season or over specific growth stages, rate of green-up and senescence), land surface temperature and evapotranspiration anomalies, soil moisture (from SMAP/ASCAT or model reanalysis), and weather-derived indices (cumulative rainfall, growing degree days, heat/cold stress day counts) — often summarized at multiple temporal windows aligned to crop calendar stages, plus static covariates such as soil type, historical average yield, and administrative/agro-climatic zone identifiers.</w:t>
      </w:r>
    </w:p>
    <w:p>
      <w:pPr>
        <w:pStyle w:val="Heading3"/>
      </w:pPr>
      <w:r>
        <w:t xml:space="preserve">39.12.2 Tree-Based Ensemble Methods</w:t>
      </w:r>
    </w:p>
    <w:p>
      <w:pPr>
        <w:pStyle w:val="FirstParagraph"/>
      </w:pPr>
      <w:r>
        <w:rPr>
          <w:bCs/>
          <w:b/>
        </w:rPr>
        <w:t xml:space="preserve">Random Forest</w:t>
      </w:r>
      <w:r>
        <w:t xml:space="preserve"> </w:t>
      </w:r>
      <w:r>
        <w:t xml:space="preserve">and</w:t>
      </w:r>
      <w:r>
        <w:t xml:space="preserve"> </w:t>
      </w:r>
      <w:r>
        <w:rPr>
          <w:bCs/>
          <w:b/>
        </w:rPr>
        <w:t xml:space="preserve">Gradient Boosting methods (XGBoost, LightGBM)</w:t>
      </w:r>
      <w:r>
        <w:t xml:space="preserve"> </w:t>
      </w:r>
      <w:r>
        <w:t xml:space="preserve">are widely used because they handle high-dimensional, non-linear, and mixed (continuous + categorical) feature sets well, are relatively robust to noisy/collinear remote-sensing feature stacks, provide built-in feature-importance diagnostics (useful for identifying which growth stage/variable most influences yield in a given region), require comparatively modest training data relative to deep networks, and train quickly enough for operational district-level workflows across hundreds of districts and crop seasons. They are commonly used for yield forecasting at district/county level using panel data of historical VI-time-series features and yields.</w:t>
      </w:r>
    </w:p>
    <w:p>
      <w:pPr>
        <w:pStyle w:val="Heading3"/>
      </w:pPr>
      <w:r>
        <w:t xml:space="preserve">39.12.3 Deep Learning: CNN-LSTM and Related Architectures</w:t>
      </w:r>
    </w:p>
    <w:p>
      <w:pPr>
        <w:pStyle w:val="FirstParagraph"/>
      </w:pPr>
      <w:r>
        <w:t xml:space="preserve">For finer temporal/spatial structure, deep learning architectures — particularly</w:t>
      </w:r>
      <w:r>
        <w:t xml:space="preserve"> </w:t>
      </w:r>
      <w:r>
        <w:rPr>
          <w:bCs/>
          <w:b/>
        </w:rPr>
        <w:t xml:space="preserve">hybrid CNN-LSTM</w:t>
      </w:r>
      <w:r>
        <w:t xml:space="preserve"> </w:t>
      </w:r>
      <w:r>
        <w:t xml:space="preserve">(or CNN-GRU, Transformer-based) models — have gained traction: a Convolutional Neural Network (CNN) component extracts spatial patterns from imagery (or spectral-band relationships), while a Long Short-Term Memory (LSTM) recurrent layer models the sequential/temporal dependency of crop development across the growing season, jointly learning representations that capture both the spatial texture of a field/region and the temporal trajectory of crop growth without requiring hand-engineered phenometric features. Some architectures (e.g., the widely cited</w:t>
      </w:r>
      <w:r>
        <w:t xml:space="preserve"> </w:t>
      </w:r>
      <w:r>
        <w:t xml:space="preserve">“</w:t>
      </w:r>
      <w:r>
        <w:t xml:space="preserve">deep gaussian process</w:t>
      </w:r>
      <w:r>
        <w:t xml:space="preserve">”</w:t>
      </w:r>
      <w:r>
        <w:t xml:space="preserve"> </w:t>
      </w:r>
      <w:r>
        <w:t xml:space="preserve">and CNN-LSTM yield-prediction studies for US corn/soybean) also incorporate weather and soil data as parallel input branches fused before the final yield-regression layer. These models can capture complex non-linear interactions between spectral-temporal patterns and yield that simpler regression/tree methods may miss, but they require substantially larger training datasets (many seasons × many locations) to avoid overfitting.</w:t>
      </w:r>
    </w:p>
    <w:p>
      <w:pPr>
        <w:pStyle w:val="Heading3"/>
      </w:pPr>
      <w:r>
        <w:t xml:space="preserve">39.12.4 Key Challenges</w:t>
      </w:r>
    </w:p>
    <w:p>
      <w:pPr>
        <w:pStyle w:val="Compact"/>
        <w:numPr>
          <w:ilvl w:val="0"/>
          <w:numId w:val="1297"/>
        </w:numPr>
      </w:pPr>
      <w:r>
        <w:rPr>
          <w:bCs/>
          <w:b/>
        </w:rPr>
        <w:t xml:space="preserve">Data scarcity and label quality</w:t>
      </w:r>
      <w:r>
        <w:t xml:space="preserve">: Ground-truth yield data (from crop-cutting experiments, farmer surveys, or district statistics) are often sparse, delayed, spatially coarse (district-average masks within-district heterogeneity), and subject to reporting/administrative error, which directly caps the achievable accuracy and trainability of data-hungry ML/DL models.</w:t>
      </w:r>
    </w:p>
    <w:p>
      <w:pPr>
        <w:pStyle w:val="Compact"/>
        <w:numPr>
          <w:ilvl w:val="0"/>
          <w:numId w:val="1297"/>
        </w:numPr>
      </w:pPr>
      <w:r>
        <w:rPr>
          <w:bCs/>
          <w:b/>
        </w:rPr>
        <w:t xml:space="preserve">Generalization across regions and years</w:t>
      </w:r>
      <w:r>
        <w:t xml:space="preserve">: A model trained on historical data for one agro-climatic zone/cultivar mix often performs poorly when transferred to a different region or to an anomalous year (e.g., an extreme drought or a year with unprecedented weather patterns not represented in training data) — the classic</w:t>
      </w:r>
      <w:r>
        <w:t xml:space="preserve"> </w:t>
      </w:r>
      <w:r>
        <w:t xml:space="preserve">“</w:t>
      </w:r>
      <w:r>
        <w:t xml:space="preserve">out-of-distribution</w:t>
      </w:r>
      <w:r>
        <w:t xml:space="preserve">”</w:t>
      </w:r>
      <w:r>
        <w:t xml:space="preserve"> </w:t>
      </w:r>
      <w:r>
        <w:t xml:space="preserve">generalization problem; this is a fundamental contrast with process-based crop models, which, being grounded in physiological mechanisms, can in principle extrapolate to conditions outside the historical training envelope more robustly (though with their own parameterization uncertainty).</w:t>
      </w:r>
    </w:p>
    <w:p>
      <w:pPr>
        <w:pStyle w:val="Compact"/>
        <w:numPr>
          <w:ilvl w:val="0"/>
          <w:numId w:val="1297"/>
        </w:numPr>
      </w:pPr>
      <w:r>
        <w:rPr>
          <w:bCs/>
          <w:b/>
        </w:rPr>
        <w:t xml:space="preserve">Interpretability/trust</w:t>
      </w:r>
      <w:r>
        <w:t xml:space="preserve">: Deep learning</w:t>
      </w:r>
      <w:r>
        <w:t xml:space="preserve"> </w:t>
      </w:r>
      <w:r>
        <w:t xml:space="preserve">“</w:t>
      </w:r>
      <w:r>
        <w:t xml:space="preserve">black-box</w:t>
      </w:r>
      <w:r>
        <w:t xml:space="preserve">”</w:t>
      </w:r>
      <w:r>
        <w:t xml:space="preserve"> </w:t>
      </w:r>
      <w:r>
        <w:t xml:space="preserve">predictions are harder to explain to agricultural administrators/policy users than transparent agromet or crop-model-based estimates, motivating growing interest in</w:t>
      </w:r>
      <w:r>
        <w:t xml:space="preserve"> </w:t>
      </w:r>
      <w:r>
        <w:t xml:space="preserve">“</w:t>
      </w:r>
      <w:r>
        <w:t xml:space="preserve">hybrid physics-informed ML</w:t>
      </w:r>
      <w:r>
        <w:t xml:space="preserve">”</w:t>
      </w:r>
      <w:r>
        <w:t xml:space="preserve"> </w:t>
      </w:r>
      <w:r>
        <w:t xml:space="preserve">approaches (e.g., ML models that use crop-simulation-model outputs as features, or that are constrained to respect known physiological bounds).</w:t>
      </w:r>
    </w:p>
    <w:p>
      <w:pPr>
        <w:pStyle w:val="Compact"/>
        <w:numPr>
          <w:ilvl w:val="0"/>
          <w:numId w:val="1297"/>
        </w:numPr>
      </w:pPr>
      <w:r>
        <w:rPr>
          <w:bCs/>
          <w:b/>
        </w:rPr>
        <w:t xml:space="preserve">Mismatch of spatial/temporal scale</w:t>
      </w:r>
      <w:r>
        <w:t xml:space="preserve">: Satellite pixel or sub-field-scale features must often be aggregated to match coarser district-level yield statistics, introducing spatial-aggregation error; conversely, cloud cover (for optical sensors) creates temporal gaps that must be gap-filled or handled via SAR fusion.</w:t>
      </w:r>
    </w:p>
    <w:p>
      <w:pPr>
        <w:pStyle w:val="Compact"/>
        <w:numPr>
          <w:ilvl w:val="0"/>
          <w:numId w:val="1297"/>
        </w:numPr>
      </w:pPr>
      <w:r>
        <w:rPr>
          <w:bCs/>
          <w:b/>
        </w:rPr>
        <w:t xml:space="preserve">Multi-crop, mixed-pixel heterogeneity</w:t>
      </w:r>
      <w:r>
        <w:t xml:space="preserve">: In smallholder-dominated landscapes such as much of India, small and fragmented field sizes relative to typical satellite pixel resolution add classification/mixed-pixel noise to feature extraction, compounding the generalization challenge.</w:t>
      </w:r>
    </w:p>
    <w:p>
      <w:pPr>
        <w:pStyle w:val="FirstParagraph"/>
      </w:pPr>
      <w:r>
        <w:t xml:space="preserve">Given these challenges, current best practice — and the direction reflected in FASAL’s evolution — increasingly favours</w:t>
      </w:r>
      <w:r>
        <w:t xml:space="preserve"> </w:t>
      </w:r>
      <w:r>
        <w:rPr>
          <w:bCs/>
          <w:b/>
        </w:rPr>
        <w:t xml:space="preserve">ensemble/hybrid approaches</w:t>
      </w:r>
      <w:r>
        <w:t xml:space="preserve"> </w:t>
      </w:r>
      <w:r>
        <w:t xml:space="preserve">that combine crop-simulation-model outputs, RS-derived indices, agromet indices, and ML-based ensembling/bias-correction, rather than relying on any single method exclusively.</w:t>
      </w:r>
    </w:p>
    <w:p>
      <w:pPr>
        <w:pStyle w:val="Heading2"/>
      </w:pPr>
      <w:r>
        <w:t xml:space="preserve">39.13 Comparative Tables</w:t>
      </w:r>
    </w:p>
    <w:p>
      <w:pPr>
        <w:pStyle w:val="Heading3"/>
      </w:pPr>
      <w:r>
        <w:t xml:space="preserve">39.13.1 Table 2: Comparison of Yield Forecasting Approaches — Data Needs, Lead Time, and Typical Accuracy Trade-offs</w:t>
      </w:r>
    </w:p>
    <w:tbl>
      <w:tblPr>
        <w:tblStyle w:val="Table"/>
        <w:tblW w:type="pct" w:w="4975"/>
        <w:jc w:val="left"/>
        <w:tblLook w:firstRow="1" w:lastRow="0" w:firstColumn="0" w:lastColumn="0" w:noHBand="0" w:noVBand="0" w:val="0020"/>
      </w:tblPr>
      <w:tblGrid>
        <w:gridCol w:w="797"/>
        <w:gridCol w:w="1284"/>
        <w:gridCol w:w="1517"/>
        <w:gridCol w:w="895"/>
        <w:gridCol w:w="447"/>
        <w:gridCol w:w="2938"/>
      </w:tblGrid>
      <w:tr>
        <w:trPr>
          <w:tblHeader w:val="true"/>
        </w:trPr>
        <w:tc>
          <w:tcPr/>
          <w:p>
            <w:pPr>
              <w:pStyle w:val="Compact"/>
              <w:jc w:val="left"/>
            </w:pPr>
            <w:r>
              <w:t xml:space="preserve">Approach</w:t>
            </w:r>
          </w:p>
        </w:tc>
        <w:tc>
          <w:tcPr/>
          <w:p>
            <w:pPr>
              <w:pStyle w:val="Compact"/>
              <w:jc w:val="left"/>
            </w:pPr>
            <w:r>
              <w:t xml:space="preserve">Primary data inputs</w:t>
            </w:r>
          </w:p>
        </w:tc>
        <w:tc>
          <w:tcPr/>
          <w:p>
            <w:pPr>
              <w:pStyle w:val="Compact"/>
              <w:jc w:val="left"/>
            </w:pPr>
            <w:r>
              <w:t xml:space="preserve">Earliest usable lead time</w:t>
            </w:r>
          </w:p>
        </w:tc>
        <w:tc>
          <w:tcPr/>
          <w:p>
            <w:pPr>
              <w:pStyle w:val="Compact"/>
              <w:jc w:val="left"/>
            </w:pPr>
            <w:r>
              <w:t xml:space="preserve">Spatial scale typically used</w:t>
            </w:r>
          </w:p>
        </w:tc>
        <w:tc>
          <w:tcPr/>
          <w:p>
            <w:pPr>
              <w:pStyle w:val="Compact"/>
              <w:jc w:val="left"/>
            </w:pPr>
            <w:r>
              <w:t xml:space="preserve">Mechanistic insight</w:t>
            </w:r>
          </w:p>
        </w:tc>
        <w:tc>
          <w:tcPr/>
          <w:p>
            <w:pPr>
              <w:pStyle w:val="Compact"/>
              <w:jc w:val="left"/>
            </w:pPr>
            <w:r>
              <w:t xml:space="preserve">Typical accuracy behaviour</w:t>
            </w:r>
          </w:p>
        </w:tc>
      </w:tr>
      <w:tr>
        <w:tc>
          <w:tcPr/>
          <w:p>
            <w:pPr>
              <w:pStyle w:val="Compact"/>
              <w:jc w:val="left"/>
            </w:pPr>
            <w:r>
              <w:rPr>
                <w:bCs/>
                <w:b/>
              </w:rPr>
              <w:t xml:space="preserve">Agrometeorological regression</w:t>
            </w:r>
          </w:p>
        </w:tc>
        <w:tc>
          <w:tcPr/>
          <w:p>
            <w:pPr>
              <w:pStyle w:val="Compact"/>
              <w:jc w:val="left"/>
            </w:pPr>
            <w:r>
              <w:t xml:space="preserve">Historical yield + weather (rainfall, temperature, RH)</w:t>
            </w:r>
          </w:p>
        </w:tc>
        <w:tc>
          <w:tcPr/>
          <w:p>
            <w:pPr>
              <w:pStyle w:val="Compact"/>
              <w:jc w:val="left"/>
            </w:pPr>
            <w:r>
              <w:t xml:space="preserve">Pre-season / very early season</w:t>
            </w:r>
          </w:p>
        </w:tc>
        <w:tc>
          <w:tcPr/>
          <w:p>
            <w:pPr>
              <w:pStyle w:val="Compact"/>
              <w:jc w:val="left"/>
            </w:pPr>
            <w:r>
              <w:t xml:space="preserve">District/state</w:t>
            </w:r>
          </w:p>
        </w:tc>
        <w:tc>
          <w:tcPr/>
          <w:p>
            <w:pPr>
              <w:pStyle w:val="Compact"/>
              <w:jc w:val="left"/>
            </w:pPr>
            <w:r>
              <w:t xml:space="preserve">Low (statistical)</w:t>
            </w:r>
          </w:p>
        </w:tc>
        <w:tc>
          <w:tcPr/>
          <w:p>
            <w:pPr>
              <w:pStyle w:val="Compact"/>
              <w:jc w:val="left"/>
            </w:pPr>
            <w:r>
              <w:t xml:space="preserve">Good in</w:t>
            </w:r>
            <w:r>
              <w:t xml:space="preserve"> </w:t>
            </w:r>
            <w:r>
              <w:t xml:space="preserve">“</w:t>
            </w:r>
            <w:r>
              <w:t xml:space="preserve">normal</w:t>
            </w:r>
            <w:r>
              <w:t xml:space="preserve">”</w:t>
            </w:r>
            <w:r>
              <w:t xml:space="preserve"> </w:t>
            </w:r>
            <w:r>
              <w:t xml:space="preserve">years; degrades in extreme/anomalous years or when area/technology shifts abruptly</w:t>
            </w:r>
          </w:p>
        </w:tc>
      </w:tr>
      <w:tr>
        <w:tc>
          <w:tcPr/>
          <w:p>
            <w:pPr>
              <w:pStyle w:val="Compact"/>
              <w:jc w:val="left"/>
            </w:pPr>
            <w:r>
              <w:rPr>
                <w:bCs/>
                <w:b/>
              </w:rPr>
              <w:t xml:space="preserve">RS spectral–yield regression</w:t>
            </w:r>
          </w:p>
        </w:tc>
        <w:tc>
          <w:tcPr/>
          <w:p>
            <w:pPr>
              <w:pStyle w:val="Compact"/>
              <w:jc w:val="left"/>
            </w:pPr>
            <w:r>
              <w:t xml:space="preserve">Vegetation indices (NDVI/EVI) time series</w:t>
            </w:r>
          </w:p>
        </w:tc>
        <w:tc>
          <w:tcPr/>
          <w:p>
            <w:pPr>
              <w:pStyle w:val="Compact"/>
              <w:jc w:val="left"/>
            </w:pPr>
            <w:r>
              <w:t xml:space="preserve">Mid-season (once canopy develops)</w:t>
            </w:r>
          </w:p>
        </w:tc>
        <w:tc>
          <w:tcPr/>
          <w:p>
            <w:pPr>
              <w:pStyle w:val="Compact"/>
              <w:jc w:val="left"/>
            </w:pPr>
            <w:r>
              <w:t xml:space="preserve">Field to district</w:t>
            </w:r>
          </w:p>
        </w:tc>
        <w:tc>
          <w:tcPr/>
          <w:p>
            <w:pPr>
              <w:pStyle w:val="Compact"/>
              <w:jc w:val="left"/>
            </w:pPr>
            <w:r>
              <w:t xml:space="preserve">Low–moderate</w:t>
            </w:r>
          </w:p>
        </w:tc>
        <w:tc>
          <w:tcPr/>
          <w:p>
            <w:pPr>
              <w:pStyle w:val="Compact"/>
              <w:jc w:val="left"/>
            </w:pPr>
            <w:r>
              <w:t xml:space="preserve">Captures actual crop condition well; saturates at high LAI/biomass; regionally/cultivar specific</w:t>
            </w:r>
          </w:p>
        </w:tc>
      </w:tr>
      <w:tr>
        <w:tc>
          <w:tcPr/>
          <w:p>
            <w:pPr>
              <w:pStyle w:val="Compact"/>
              <w:jc w:val="left"/>
            </w:pPr>
            <w:r>
              <w:rPr>
                <w:bCs/>
                <w:b/>
              </w:rPr>
              <w:t xml:space="preserve">Crop simulation model (open-loop)</w:t>
            </w:r>
          </w:p>
        </w:tc>
        <w:tc>
          <w:tcPr/>
          <w:p>
            <w:pPr>
              <w:pStyle w:val="Compact"/>
              <w:jc w:val="left"/>
            </w:pPr>
            <w:r>
              <w:t xml:space="preserve">Daily weather, soil, cultivar, management</w:t>
            </w:r>
          </w:p>
        </w:tc>
        <w:tc>
          <w:tcPr/>
          <w:p>
            <w:pPr>
              <w:pStyle w:val="Compact"/>
              <w:jc w:val="left"/>
            </w:pPr>
            <w:r>
              <w:t xml:space="preserve">Can run pre-season with climatological/ensemble weather; improves in-season</w:t>
            </w:r>
          </w:p>
        </w:tc>
        <w:tc>
          <w:tcPr/>
          <w:p>
            <w:pPr>
              <w:pStyle w:val="Compact"/>
              <w:jc w:val="left"/>
            </w:pPr>
            <w:r>
              <w:t xml:space="preserve">Field to regional (with generic parameters)</w:t>
            </w:r>
          </w:p>
        </w:tc>
        <w:tc>
          <w:tcPr/>
          <w:p>
            <w:pPr>
              <w:pStyle w:val="Compact"/>
              <w:jc w:val="left"/>
            </w:pPr>
            <w:r>
              <w:t xml:space="preserve">High (process-based)</w:t>
            </w:r>
          </w:p>
        </w:tc>
        <w:tc>
          <w:tcPr/>
          <w:p>
            <w:pPr>
              <w:pStyle w:val="Compact"/>
              <w:jc w:val="left"/>
            </w:pPr>
            <w:r>
              <w:t xml:space="preserve">Strong mechanistic basis but sensitive to parameterization/weather-forecast uncertainty; regional generic runs less accurate than locally calibrated</w:t>
            </w:r>
          </w:p>
        </w:tc>
      </w:tr>
      <w:tr>
        <w:tc>
          <w:tcPr/>
          <w:p>
            <w:pPr>
              <w:pStyle w:val="Compact"/>
              <w:jc w:val="left"/>
            </w:pPr>
            <w:r>
              <w:rPr>
                <w:bCs/>
                <w:b/>
              </w:rPr>
              <w:t xml:space="preserve">RS–crop model assimilation</w:t>
            </w:r>
          </w:p>
        </w:tc>
        <w:tc>
          <w:tcPr/>
          <w:p>
            <w:pPr>
              <w:pStyle w:val="Compact"/>
              <w:jc w:val="left"/>
            </w:pPr>
            <w:r>
              <w:t xml:space="preserve">RS LAI/FAPAR + crop model + weather</w:t>
            </w:r>
          </w:p>
        </w:tc>
        <w:tc>
          <w:tcPr/>
          <w:p>
            <w:pPr>
              <w:pStyle w:val="Compact"/>
              <w:jc w:val="left"/>
            </w:pPr>
            <w:r>
              <w:t xml:space="preserve">Mid-to-late season (needs RS observations)</w:t>
            </w:r>
          </w:p>
        </w:tc>
        <w:tc>
          <w:tcPr/>
          <w:p>
            <w:pPr>
              <w:pStyle w:val="Compact"/>
              <w:jc w:val="left"/>
            </w:pPr>
            <w:r>
              <w:t xml:space="preserve">Field to district/regional</w:t>
            </w:r>
          </w:p>
        </w:tc>
        <w:tc>
          <w:tcPr/>
          <w:p>
            <w:pPr>
              <w:pStyle w:val="Compact"/>
              <w:jc w:val="left"/>
            </w:pPr>
            <w:r>
              <w:t xml:space="preserve">High</w:t>
            </w:r>
          </w:p>
        </w:tc>
        <w:tc>
          <w:tcPr/>
          <w:p>
            <w:pPr>
              <w:pStyle w:val="Compact"/>
              <w:jc w:val="left"/>
            </w:pPr>
            <w:r>
              <w:t xml:space="preserve">Generally best accuracy among single-family methods, especially in anomalous years; computationally and technically more demanding</w:t>
            </w:r>
          </w:p>
        </w:tc>
      </w:tr>
      <w:tr>
        <w:tc>
          <w:tcPr/>
          <w:p>
            <w:pPr>
              <w:pStyle w:val="Compact"/>
              <w:jc w:val="left"/>
            </w:pPr>
            <w:r>
              <w:rPr>
                <w:bCs/>
                <w:b/>
              </w:rPr>
              <w:t xml:space="preserve">ML/DL (RF, XGBoost, CNN-LSTM)</w:t>
            </w:r>
          </w:p>
        </w:tc>
        <w:tc>
          <w:tcPr/>
          <w:p>
            <w:pPr>
              <w:pStyle w:val="Compact"/>
              <w:jc w:val="left"/>
            </w:pPr>
            <w:r>
              <w:t xml:space="preserve">RS time series, weather, soil, historical yield (training data)</w:t>
            </w:r>
          </w:p>
        </w:tc>
        <w:tc>
          <w:tcPr/>
          <w:p>
            <w:pPr>
              <w:pStyle w:val="Compact"/>
              <w:jc w:val="left"/>
            </w:pPr>
            <w:r>
              <w:t xml:space="preserve">Mid-season (feature accumulation) to near-harvest</w:t>
            </w:r>
          </w:p>
        </w:tc>
        <w:tc>
          <w:tcPr/>
          <w:p>
            <w:pPr>
              <w:pStyle w:val="Compact"/>
              <w:jc w:val="left"/>
            </w:pPr>
            <w:r>
              <w:t xml:space="preserve">District to sub-field</w:t>
            </w:r>
          </w:p>
        </w:tc>
        <w:tc>
          <w:tcPr/>
          <w:p>
            <w:pPr>
              <w:pStyle w:val="Compact"/>
              <w:jc w:val="left"/>
            </w:pPr>
            <w:r>
              <w:t xml:space="preserve">Low (data-driven)</w:t>
            </w:r>
          </w:p>
        </w:tc>
        <w:tc>
          <w:tcPr/>
          <w:p>
            <w:pPr>
              <w:pStyle w:val="Compact"/>
              <w:jc w:val="left"/>
            </w:pPr>
            <w:r>
              <w:t xml:space="preserve">Can achieve high accuracy within training domain; weaker generalization to new regions/extreme years; needs substantial training data</w:t>
            </w:r>
          </w:p>
        </w:tc>
      </w:tr>
      <w:tr>
        <w:tc>
          <w:tcPr/>
          <w:p>
            <w:pPr>
              <w:pStyle w:val="Compact"/>
              <w:jc w:val="left"/>
            </w:pPr>
            <w:r>
              <w:rPr>
                <w:bCs/>
                <w:b/>
              </w:rPr>
              <w:t xml:space="preserve">Multi-model ensemble (e.g., FASAL)</w:t>
            </w:r>
          </w:p>
        </w:tc>
        <w:tc>
          <w:tcPr/>
          <w:p>
            <w:pPr>
              <w:pStyle w:val="Compact"/>
              <w:jc w:val="left"/>
            </w:pPr>
            <w:r>
              <w:t xml:space="preserve">All of the above, combined</w:t>
            </w:r>
          </w:p>
        </w:tc>
        <w:tc>
          <w:tcPr/>
          <w:p>
            <w:pPr>
              <w:pStyle w:val="Compact"/>
              <w:jc w:val="left"/>
            </w:pPr>
            <w:r>
              <w:t xml:space="preserve">Multiple forecasts, pre-season through near-harvest</w:t>
            </w:r>
          </w:p>
        </w:tc>
        <w:tc>
          <w:tcPr/>
          <w:p>
            <w:pPr>
              <w:pStyle w:val="Compact"/>
              <w:jc w:val="left"/>
            </w:pPr>
            <w:r>
              <w:t xml:space="preserve">District to national</w:t>
            </w:r>
          </w:p>
        </w:tc>
        <w:tc>
          <w:tcPr/>
          <w:p>
            <w:pPr>
              <w:pStyle w:val="Compact"/>
              <w:jc w:val="left"/>
            </w:pPr>
            <w:r>
              <w:t xml:space="preserve">Mixed</w:t>
            </w:r>
          </w:p>
        </w:tc>
        <w:tc>
          <w:tcPr/>
          <w:p>
            <w:pPr>
              <w:pStyle w:val="Compact"/>
              <w:jc w:val="left"/>
            </w:pPr>
            <w:r>
              <w:t xml:space="preserve">Generally most robust operationally; leverages cross-validation across independent methods to flag and reduce error</w:t>
            </w:r>
          </w:p>
        </w:tc>
      </w:tr>
    </w:tbl>
    <w:p>
      <w:pPr>
        <w:pStyle w:val="Heading3"/>
      </w:pPr>
      <w:r>
        <w:t xml:space="preserve">39.13.2 Table 3: Summary of Data Assimilation Strategies for Coupling RS with Crop Models</w:t>
      </w:r>
    </w:p>
    <w:tbl>
      <w:tblPr>
        <w:tblStyle w:val="Table"/>
        <w:tblW w:type="pct" w:w="4974"/>
        <w:jc w:val="left"/>
        <w:tblLook w:firstRow="1" w:lastRow="0" w:firstColumn="0" w:lastColumn="0" w:noHBand="0" w:noVBand="0" w:val="0020"/>
      </w:tblPr>
      <w:tblGrid>
        <w:gridCol w:w="938"/>
        <w:gridCol w:w="591"/>
        <w:gridCol w:w="2347"/>
        <w:gridCol w:w="1775"/>
        <w:gridCol w:w="2224"/>
      </w:tblGrid>
      <w:tr>
        <w:trPr>
          <w:tblHeader w:val="true"/>
        </w:trPr>
        <w:tc>
          <w:tcPr/>
          <w:p>
            <w:pPr>
              <w:pStyle w:val="Compact"/>
              <w:jc w:val="left"/>
            </w:pPr>
            <w:r>
              <w:t xml:space="preserve">Method</w:t>
            </w:r>
          </w:p>
        </w:tc>
        <w:tc>
          <w:tcPr/>
          <w:p>
            <w:pPr>
              <w:pStyle w:val="Compact"/>
              <w:jc w:val="left"/>
            </w:pPr>
            <w:r>
              <w:t xml:space="preserve">Type</w:t>
            </w:r>
          </w:p>
        </w:tc>
        <w:tc>
          <w:tcPr/>
          <w:p>
            <w:pPr>
              <w:pStyle w:val="Compact"/>
              <w:jc w:val="left"/>
            </w:pPr>
            <w:r>
              <w:t xml:space="preserve">How it works</w:t>
            </w:r>
          </w:p>
        </w:tc>
        <w:tc>
          <w:tcPr/>
          <w:p>
            <w:pPr>
              <w:pStyle w:val="Compact"/>
              <w:jc w:val="left"/>
            </w:pPr>
            <w:r>
              <w:t xml:space="preserve">Key advantage</w:t>
            </w:r>
          </w:p>
        </w:tc>
        <w:tc>
          <w:tcPr/>
          <w:p>
            <w:pPr>
              <w:pStyle w:val="Compact"/>
              <w:jc w:val="left"/>
            </w:pPr>
            <w:r>
              <w:t xml:space="preserve">Key limitation</w:t>
            </w:r>
          </w:p>
        </w:tc>
      </w:tr>
      <w:tr>
        <w:tc>
          <w:tcPr/>
          <w:p>
            <w:pPr>
              <w:pStyle w:val="Compact"/>
              <w:jc w:val="left"/>
            </w:pPr>
            <w:r>
              <w:rPr>
                <w:bCs/>
                <w:b/>
              </w:rPr>
              <w:t xml:space="preserve">Forcing</w:t>
            </w:r>
          </w:p>
        </w:tc>
        <w:tc>
          <w:tcPr/>
          <w:p>
            <w:pPr>
              <w:pStyle w:val="Compact"/>
              <w:jc w:val="left"/>
            </w:pPr>
            <w:r>
              <w:t xml:space="preserve">Direct substitution</w:t>
            </w:r>
          </w:p>
        </w:tc>
        <w:tc>
          <w:tcPr/>
          <w:p>
            <w:pPr>
              <w:pStyle w:val="Compact"/>
              <w:jc w:val="left"/>
            </w:pPr>
            <w:r>
              <w:t xml:space="preserve">RS-observed LAI directly replaces model-simulated LAI at observation dates</w:t>
            </w:r>
          </w:p>
        </w:tc>
        <w:tc>
          <w:tcPr/>
          <w:p>
            <w:pPr>
              <w:pStyle w:val="Compact"/>
              <w:jc w:val="left"/>
            </w:pPr>
            <w:r>
              <w:t xml:space="preserve">Simple, easy to implement</w:t>
            </w:r>
          </w:p>
        </w:tc>
        <w:tc>
          <w:tcPr/>
          <w:p>
            <w:pPr>
              <w:pStyle w:val="Compact"/>
              <w:jc w:val="left"/>
            </w:pPr>
            <w:r>
              <w:t xml:space="preserve">No use of model dynamics between observations; fully dependent on RS data quality/gaps</w:t>
            </w:r>
          </w:p>
        </w:tc>
      </w:tr>
      <w:tr>
        <w:tc>
          <w:tcPr/>
          <w:p>
            <w:pPr>
              <w:pStyle w:val="Compact"/>
              <w:jc w:val="left"/>
            </w:pPr>
            <w:r>
              <w:rPr>
                <w:bCs/>
                <w:b/>
              </w:rPr>
              <w:t xml:space="preserve">Calibration (re-parameterization)</w:t>
            </w:r>
          </w:p>
        </w:tc>
        <w:tc>
          <w:tcPr/>
          <w:p>
            <w:pPr>
              <w:pStyle w:val="Compact"/>
              <w:jc w:val="left"/>
            </w:pPr>
            <w:r>
              <w:t xml:space="preserve">Batch/offline optimization</w:t>
            </w:r>
          </w:p>
        </w:tc>
        <w:tc>
          <w:tcPr/>
          <w:p>
            <w:pPr>
              <w:pStyle w:val="Compact"/>
              <w:jc w:val="left"/>
            </w:pPr>
            <w:r>
              <w:t xml:space="preserve">Model parameters adjusted so simulated trajectory best fits full-season RS time series</w:t>
            </w:r>
          </w:p>
        </w:tc>
        <w:tc>
          <w:tcPr/>
          <w:p>
            <w:pPr>
              <w:pStyle w:val="Compact"/>
              <w:jc w:val="left"/>
            </w:pPr>
            <w:r>
              <w:t xml:space="preserve">Preserves internal model consistency</w:t>
            </w:r>
          </w:p>
        </w:tc>
        <w:tc>
          <w:tcPr/>
          <w:p>
            <w:pPr>
              <w:pStyle w:val="Compact"/>
              <w:jc w:val="left"/>
            </w:pPr>
            <w:r>
              <w:t xml:space="preserve">Needs full season of data; not suited to real-time in-season forecasting</w:t>
            </w:r>
          </w:p>
        </w:tc>
      </w:tr>
      <w:tr>
        <w:tc>
          <w:tcPr/>
          <w:p>
            <w:pPr>
              <w:pStyle w:val="Compact"/>
              <w:jc w:val="left"/>
            </w:pPr>
            <w:r>
              <w:rPr>
                <w:bCs/>
                <w:b/>
              </w:rPr>
              <w:t xml:space="preserve">Sequential updating — EnKF</w:t>
            </w:r>
          </w:p>
        </w:tc>
        <w:tc>
          <w:tcPr/>
          <w:p>
            <w:pPr>
              <w:pStyle w:val="Compact"/>
              <w:jc w:val="left"/>
            </w:pPr>
            <w:r>
              <w:t xml:space="preserve">Recursive filter</w:t>
            </w:r>
          </w:p>
        </w:tc>
        <w:tc>
          <w:tcPr/>
          <w:p>
            <w:pPr>
              <w:pStyle w:val="Compact"/>
              <w:jc w:val="left"/>
            </w:pPr>
            <w:r>
              <w:t xml:space="preserve">Ensemble of model runs updated at each observation via Kalman-filter equations</w:t>
            </w:r>
          </w:p>
        </w:tc>
        <w:tc>
          <w:tcPr/>
          <w:p>
            <w:pPr>
              <w:pStyle w:val="Compact"/>
              <w:jc w:val="left"/>
            </w:pPr>
            <w:r>
              <w:t xml:space="preserve">Handles non-linear model dynamics; quantifies uncertainty; widely used operationally</w:t>
            </w:r>
          </w:p>
        </w:tc>
        <w:tc>
          <w:tcPr/>
          <w:p>
            <w:pPr>
              <w:pStyle w:val="Compact"/>
              <w:jc w:val="left"/>
            </w:pPr>
            <w:r>
              <w:t xml:space="preserve">Assumes near-Gaussian error statistics; ensemble size affects performance</w:t>
            </w:r>
          </w:p>
        </w:tc>
      </w:tr>
      <w:tr>
        <w:tc>
          <w:tcPr/>
          <w:p>
            <w:pPr>
              <w:pStyle w:val="Compact"/>
              <w:jc w:val="left"/>
            </w:pPr>
            <w:r>
              <w:rPr>
                <w:bCs/>
                <w:b/>
              </w:rPr>
              <w:t xml:space="preserve">Sequential updating — Particle filter</w:t>
            </w:r>
          </w:p>
        </w:tc>
        <w:tc>
          <w:tcPr/>
          <w:p>
            <w:pPr>
              <w:pStyle w:val="Compact"/>
              <w:jc w:val="left"/>
            </w:pPr>
            <w:r>
              <w:t xml:space="preserve">Recursive Monte Carlo</w:t>
            </w:r>
          </w:p>
        </w:tc>
        <w:tc>
          <w:tcPr/>
          <w:p>
            <w:pPr>
              <w:pStyle w:val="Compact"/>
              <w:jc w:val="left"/>
            </w:pPr>
            <w:r>
              <w:t xml:space="preserve">Particles re-weighted/resampled by likelihood given each observation</w:t>
            </w:r>
          </w:p>
        </w:tc>
        <w:tc>
          <w:tcPr/>
          <w:p>
            <w:pPr>
              <w:pStyle w:val="Compact"/>
              <w:jc w:val="left"/>
            </w:pPr>
            <w:r>
              <w:t xml:space="preserve">Fully non-linear/non-Gaussian capable</w:t>
            </w:r>
          </w:p>
        </w:tc>
        <w:tc>
          <w:tcPr/>
          <w:p>
            <w:pPr>
              <w:pStyle w:val="Compact"/>
              <w:jc w:val="left"/>
            </w:pPr>
            <w:r>
              <w:t xml:space="preserve">Computationally expensive; particle degeneracy risk</w:t>
            </w:r>
          </w:p>
        </w:tc>
      </w:tr>
      <w:tr>
        <w:tc>
          <w:tcPr/>
          <w:p>
            <w:pPr>
              <w:pStyle w:val="Compact"/>
              <w:jc w:val="left"/>
            </w:pPr>
            <w:r>
              <w:rPr>
                <w:bCs/>
                <w:b/>
              </w:rPr>
              <w:t xml:space="preserve">4D-Var</w:t>
            </w:r>
          </w:p>
        </w:tc>
        <w:tc>
          <w:tcPr/>
          <w:p>
            <w:pPr>
              <w:pStyle w:val="Compact"/>
              <w:jc w:val="left"/>
            </w:pPr>
            <w:r>
              <w:t xml:space="preserve">Variational optimization</w:t>
            </w:r>
          </w:p>
        </w:tc>
        <w:tc>
          <w:tcPr/>
          <w:p>
            <w:pPr>
              <w:pStyle w:val="Compact"/>
              <w:jc w:val="left"/>
            </w:pPr>
            <w:r>
              <w:t xml:space="preserve">Minimizes cost function over full assimilation window using all observations at once (often needs model adjoint)</w:t>
            </w:r>
          </w:p>
        </w:tc>
        <w:tc>
          <w:tcPr/>
          <w:p>
            <w:pPr>
              <w:pStyle w:val="Compact"/>
              <w:jc w:val="left"/>
            </w:pPr>
            <w:r>
              <w:t xml:space="preserve">Uses full temporal information jointly; well-established in NWP</w:t>
            </w:r>
          </w:p>
        </w:tc>
        <w:tc>
          <w:tcPr/>
          <w:p>
            <w:pPr>
              <w:pStyle w:val="Compact"/>
              <w:jc w:val="left"/>
            </w:pPr>
            <w:r>
              <w:t xml:space="preserve">Complex to implement for crop models (adjoint derivation); less common operationally in crop yield systems</w:t>
            </w:r>
          </w:p>
        </w:tc>
      </w:tr>
    </w:tbl>
    <w:p>
      <w:pPr>
        <w:pStyle w:val="Heading2"/>
      </w:pPr>
      <w:r>
        <w:t xml:space="preserve">39.14 InfoCrop-Wheat Crop-Simulation Model with PROSAIL-Inverted LAI (IARI – ISRO/IIST Prototype)</w:t>
      </w:r>
    </w:p>
    <w:p>
      <w:pPr>
        <w:pStyle w:val="FirstParagraph"/>
      </w:pPr>
      <w:r>
        <w:t xml:space="preserve">This is very likely to be the centrepiece technical question in an ISRO-SAC interview if the candidate lists it on their profile, because it combines three separate advanced concepts — a process-based crop simulation model, a physically-based canopy radiative-transfer inversion, and sequential data assimilation — into a single operational pipeline. Each is explained below with the governing equations.</w:t>
      </w:r>
    </w:p>
    <w:p>
      <w:pPr>
        <w:pStyle w:val="Heading3"/>
      </w:pPr>
      <w:r>
        <w:t xml:space="preserve">39.14.1 The InfoCrop-Wheat model</w:t>
      </w:r>
    </w:p>
    <w:p>
      <w:pPr>
        <w:pStyle w:val="FirstParagraph"/>
      </w:pPr>
      <w:r>
        <w:t xml:space="preserve">InfoCrop is a generic, process-based dynamic crop-growth simulation model developed at IARI (Aggarwal et al.), broadly in the same model family as DSSAT/CERES and WOFOST. Given daily weather (radiation, Tmax/Tmin, rainfall), soil (texture, water-holding capacity, nutrient status) and management (sowing date, cultivar, irrigation, fertiliser schedule) inputs, it simulates, at a daily time-step: phenological development (thermal-time/growing-degree-day driven progression through growth stages), canopy photosynthesis and respiration, biomass accumulation and its partitioning to leaves/stem/root/grain, LAI dynamics, the soil water balance, and ultimately grain yield — and it can additionally simulate the impact of water stress, nitrogen stress, weeds, pests and diseases, and (importantly for a climate-focused institute) climate-change scenarios. InfoCrop-Wheat is the wheat-specific parameterisation of this generic framework.</w:t>
      </w:r>
    </w:p>
    <w:p>
      <w:pPr>
        <w:pStyle w:val="BodyText"/>
      </w:pPr>
      <w:r>
        <w:t xml:space="preserve">Run purely with weather+soil+management inputs, a crop model like InfoCrop-Wheat produces a single "representative farm" trajectory — it cannot, by itself, capture real spatial heterogeneity across a landscape (variation in actual sowing date, cultivar mix, localised water/nutrient stress, field-to-field management differences). The IARI–ISRO/IIST prototype closes this gap by periodically correcting the model's simulated canopy state using LAI retrieved from Sentinel-2A/Landsat-8 imagery — i.e., data assimilation — so that the spatially-explicit simulation is repeatedly pulled back toward observed reality rather than drifting purely on weather forcing.</w:t>
      </w:r>
    </w:p>
    <w:p>
      <w:pPr>
        <w:pStyle w:val="Heading3"/>
      </w:pPr>
      <w:r>
        <w:t xml:space="preserve">39.14.2 PROSAIL: coupling a leaf model and a canopy model</w:t>
      </w:r>
    </w:p>
    <w:p>
      <w:pPr>
        <w:pStyle w:val="FirstParagraph"/>
      </w:pPr>
      <w:r>
        <w:t xml:space="preserve">LAI retrieval uses inversion of the PROSAIL radiative-transfer model, which is itself the coupling of two separate physically-based models:</w:t>
      </w:r>
    </w:p>
    <w:p>
      <w:pPr>
        <w:numPr>
          <w:ilvl w:val="0"/>
          <w:numId w:val="1298"/>
        </w:numPr>
      </w:pPr>
      <w:r>
        <w:t xml:space="preserve">PROSPECT (leaf-scale model) — simulates leaf reflectance and transmittance spectra (typically 400–2500 nm) using a generalized plate model (Allen et al. 1969) that treats the leaf as N compact absorbing-and-scattering plates, parameterised by the leaf structure parameter N, chlorophyll a+b content Cab (µg/cm²), equivalent water thickness Cw (g/cm² or cm), and dry-matter content Cm (g/cm²) — the newer PROSPECT-D variant adds carotenoid Ccx and anthocyanin content.</w:t>
      </w:r>
    </w:p>
    <w:p>
      <w:pPr>
        <w:numPr>
          <w:ilvl w:val="0"/>
          <w:numId w:val="1298"/>
        </w:numPr>
      </w:pPr>
      <w:r>
        <w:t xml:space="preserve">SAIL / 4SAIL (canopy-scale model, Verhoef 1984 and successors) — treats the canopy as a horizontally homogeneous 'turbid medium' of randomly, but non-isotropically, distributed leaf area, and solves four coupled radiative flux streams (direct solar, downward diffuse, upward diffuse, and a distinct 'hot-spot' peak arising when the illumination and viewing directions coincide) as a function of Leaf Area Index (LAI), the Average Leaf inclination Angle (ALA — wheat canopies are characteristically erectophile, roughly 50–65°), a hot-spot size parameter, soil background reflectance, and the sun–sensor geometry (solar zenith θs, view zenith θv, relative azimuth φ).</w:t>
      </w:r>
    </w:p>
    <w:p>
      <w:pPr>
        <w:pStyle w:val="FirstParagraph"/>
      </w:pPr>
      <w:r>
        <w:rPr>
          <w:iCs/>
          <w:i/>
          <w:bCs/>
          <w:b/>
        </w:rPr>
        <w:t xml:space="preserve">PROSAIL: ρcanopy(λ) = SAIL[ PROSPECT(N, Cab, Cw, Cm; λ), LAI, ALA, hotspot, ρsoil(λ), θs, θv, φ ]</w:t>
      </w:r>
    </w:p>
    <w:p>
      <w:pPr>
        <w:pStyle w:val="Heading3"/>
      </w:pPr>
      <w:r>
        <w:t xml:space="preserve">39.14.3 Inverting PROSAIL to retrieve LAI</w:t>
      </w:r>
    </w:p>
    <w:p>
      <w:pPr>
        <w:pStyle w:val="FirstParagraph"/>
      </w:pPr>
      <w:r>
        <w:t xml:space="preserve">PROSAIL cannot be analytically inverted (multiple parameter combinations can produce near-identical reflectance spectra — a classically ill-posed inverse problem), so numerical inversion is used. Two families of approach are common, and an operational pipeline typically uses the second:</w:t>
      </w:r>
    </w:p>
    <w:p>
      <w:pPr>
        <w:pStyle w:val="BodyText"/>
      </w:pPr>
      <w:r>
        <w:rPr>
          <w:iCs/>
          <w:i/>
          <w:bCs/>
          <w:b/>
        </w:rPr>
        <w:t xml:space="preserve">J(x) = Σi=1..n [ ρsim(λi, x) − ρobs(λi) ]² (+ optional regularization using prior parameter knowledge)</w:t>
      </w:r>
    </w:p>
    <w:p>
      <w:pPr>
        <w:numPr>
          <w:ilvl w:val="0"/>
          <w:numId w:val="1299"/>
        </w:numPr>
      </w:pPr>
      <w:r>
        <w:t xml:space="preserve">Iterative merit-function minimisation — numerically search the parameter vector x (N, Cab, Cw, Cm, LAI, ALA, hotspot, soil brightness) that minimises the cost function above across the sensor's available spectral bands, using an optimiser such as Levenberg-Marquardt; accurate but computationally expensive per pixel and sensitive to the local-minimum problem.</w:t>
      </w:r>
    </w:p>
    <w:p>
      <w:pPr>
        <w:numPr>
          <w:ilvl w:val="0"/>
          <w:numId w:val="1299"/>
        </w:numPr>
      </w:pPr>
      <w:r>
        <w:t xml:space="preserve">Look-Up-Table (LUT) inversion, hybridised with regression — generate a large forward-simulated LUT (commonly 100,000+ PROSAIL runs) spanning realistic prior ranges of every input parameter for the target crop (e.g., for wheat: LAI 0–7, Cab 20–80 µg/cm², N 1.2–2.2, ALA ~50–65°, hotspot ~0.1–0.5, soil spectra measured in the field); for each observed pixel spectrum (resampled to the sensor's bands — e.g. Sentinel-2 bands B3/B4/B5/B6/B7/B8/B8A/B11/B12), compute the RMSE against every LUT entry, retain the best-matching subset (say the 10–100 lowest-RMSE entries), and take their weighted mean/median LAI as the retrieved value — averaging over multiple near-equally-good solutions is what tames the ill-posedness. In practice this LUT is often further compressed into a fast, pre-trained regressor (Random Forest, Gaussian Process Regression, or an Artificial Neural Network) mapping reflectance → LAI, which is the approach used operationally in, e.g., the Sentinel-2 Biophysical Processor and in the IARI–ISRO/IIST wheat prototype.</w:t>
      </w:r>
    </w:p>
    <w:p>
      <w:pPr>
        <w:pStyle w:val="Heading3"/>
      </w:pPr>
      <w:r>
        <w:t xml:space="preserve">39.14.4 Assimilating retrieved LAI into InfoCrop-Wheat (Ensemble Kalman Filter)</w:t>
      </w:r>
    </w:p>
    <w:p>
      <w:pPr>
        <w:pStyle w:val="FirstParagraph"/>
      </w:pPr>
      <w:r>
        <w:t xml:space="preserve">The resulting multi-date LAI maps (roughly 6–8 cloud-free acquisitions spanning tillering through grain-fill in a typical November-sown, April-harvested wheat season) are then assimilated into InfoCrop-Wheat using a sequential Bayesian filter, typically an Ensemble Kalman Filter (EnKF):</w:t>
      </w:r>
    </w:p>
    <w:p>
      <w:pPr>
        <w:pStyle w:val="BodyText"/>
      </w:pPr>
      <w:r>
        <w:rPr>
          <w:iCs/>
          <w:i/>
          <w:bCs/>
          <w:b/>
        </w:rPr>
        <w:t xml:space="preserve">LAIa(t) = LAIf(t) + K(t) · [ LAIobs(t) − LAIf(t) ] , K(t) = Pf(t) / ( Pf(t) + R(t) )</w:t>
      </w:r>
    </w:p>
    <w:p>
      <w:pPr>
        <w:pStyle w:val="BodyText"/>
      </w:pPr>
      <w:r>
        <w:rPr>
          <w:iCs/>
          <w:i/>
        </w:rPr>
        <w:t xml:space="preserve">where LAIf is the model's forecast ('background') LAI just before the observation, LAIobs is the PROSAIL-inverted satellite LAI, LAIa is the corrected ('analysis') LAI the model resumes forward integration from, Pf is the forecast-error variance (estimated from an ensemble of model runs perturbed across weather realisations and/or uncertain parameters), R is the observation-error variance (estimated from the LUT-inversion RMSE / retrieval uncertainty), and K is the Kalman gain — the weight given to the observation versus the model's own forecast, which automatically shifts toward the observation when the model is more uncertain and toward the model when the observation is noisier.</w:t>
      </w:r>
    </w:p>
    <w:p>
      <w:pPr>
        <w:pStyle w:val="Heading3"/>
      </w:pPr>
      <w:r>
        <w:t xml:space="preserve">39.14.5 End-to-end methodology flow</w:t>
      </w:r>
    </w:p>
    <w:p>
      <w:pPr>
        <w:pStyle w:val="FirstParagraph"/>
      </w:pPr>
      <w:r>
        <w:rPr>
          <w:bCs/>
          <w:b/>
        </w:rPr>
        <w:t xml:space="preserve">Atmospheric correction of Sentinel-2A/Landsat-8 imagery (Sen2Cor / LaSRC) to surface reflectance.</w:t>
      </w:r>
    </w:p>
    <w:p>
      <w:pPr>
        <w:pStyle w:val="BodyText"/>
      </w:pPr>
      <w:r>
        <w:rPr>
          <w:bCs/>
          <w:b/>
        </w:rPr>
        <w:t xml:space="preserve">↓</w:t>
      </w:r>
    </w:p>
    <w:p>
      <w:pPr>
        <w:pStyle w:val="BodyText"/>
      </w:pPr>
      <w:r>
        <w:rPr>
          <w:bCs/>
          <w:b/>
        </w:rPr>
        <w:t xml:space="preserve">Field spectroradiometric and destructive LAI ground-truth campaigns at the IARI research farm, for both PROSAIL-LUT prior definition and independent validation.</w:t>
      </w:r>
    </w:p>
    <w:p>
      <w:pPr>
        <w:pStyle w:val="BodyText"/>
      </w:pPr>
      <w:r>
        <w:rPr>
          <w:bCs/>
          <w:b/>
        </w:rPr>
        <w:t xml:space="preserve">↓</w:t>
      </w:r>
    </w:p>
    <w:p>
      <w:pPr>
        <w:pStyle w:val="BodyText"/>
      </w:pPr>
      <w:r>
        <w:rPr>
          <w:bCs/>
          <w:b/>
        </w:rPr>
        <w:t xml:space="preserve">Generate a wheat-specific PROSAIL LUT spanning realistic parameter ranges; invert per-pixel via LUT-matching/ML regression to produce a multi-date LAI time series.</w:t>
      </w:r>
    </w:p>
    <w:p>
      <w:pPr>
        <w:pStyle w:val="BodyText"/>
      </w:pPr>
      <w:r>
        <w:rPr>
          <w:bCs/>
          <w:b/>
        </w:rPr>
        <w:t xml:space="preserve">↓</w:t>
      </w:r>
    </w:p>
    <w:p>
      <w:pPr>
        <w:pStyle w:val="BodyText"/>
      </w:pPr>
      <w:r>
        <w:rPr>
          <w:bCs/>
          <w:b/>
        </w:rPr>
        <w:t xml:space="preserve">Run InfoCrop-Wheat forward from sowing using local daily weather; at each satellite acquisition date, assimilate the retrieved LAI via EnKF to correct the simulated state.</w:t>
      </w:r>
    </w:p>
    <w:p>
      <w:pPr>
        <w:pStyle w:val="BodyText"/>
      </w:pPr>
      <w:r>
        <w:rPr>
          <w:bCs/>
          <w:b/>
        </w:rPr>
        <w:t xml:space="preserve">↓</w:t>
      </w:r>
    </w:p>
    <w:p>
      <w:pPr>
        <w:pStyle w:val="BodyText"/>
      </w:pPr>
      <w:r>
        <w:rPr>
          <w:bCs/>
          <w:b/>
        </w:rPr>
        <w:t xml:space="preserve">Continue the corrected simulation forward to maturity using local weather → simulated total biomass, harvest index and spatially-distributed grain yield.</w:t>
      </w:r>
    </w:p>
    <w:p>
      <w:pPr>
        <w:pStyle w:val="BodyText"/>
      </w:pPr>
      <w:r>
        <w:rPr>
          <w:bCs/>
          <w:b/>
        </w:rPr>
        <w:t xml:space="preserve">↓</w:t>
      </w:r>
    </w:p>
    <w:p>
      <w:pPr>
        <w:pStyle w:val="BodyText"/>
      </w:pPr>
      <w:r>
        <w:rPr>
          <w:bCs/>
          <w:b/>
        </w:rPr>
        <w:t xml:space="preserve">Validate against yield-monitor/plot harvest data — typical reported skill metrics in this literature include roughly 50%+ RMSE reduction in yield estimation and improved spatial-variability capture relative to a weather-only (non-assimilated) run.</w:t>
      </w:r>
    </w:p>
    <w:p>
      <w:pPr>
        <w:pStyle w:val="Heading3"/>
      </w:pPr>
      <w:r>
        <w:t xml:space="preserve">39.14.6 The lighter-weight cousin: semi-physical APAR × RUE</w:t>
      </w:r>
    </w:p>
    <w:p>
      <w:pPr>
        <w:pStyle w:val="FirstParagraph"/>
      </w:pPr>
      <w:r>
        <w:t xml:space="preserve">A lighter-weight cousin of this full crop-model-assimilation approach is the semi-physical APAR × RUE (light-use-efficiency, Monteith 1972) method, used elsewhere in FASAL where a full process-based model is not run:</w:t>
      </w:r>
    </w:p>
    <w:p>
      <w:pPr>
        <w:pStyle w:val="BodyText"/>
      </w:pPr>
      <w:r>
        <w:rPr>
          <w:iCs/>
          <w:i/>
          <w:bCs/>
          <w:b/>
        </w:rPr>
        <w:t xml:space="preserve">fIPAR = 1 − exp(−k · LAI) (Beer-Lambert canopy light interception)</w:t>
      </w:r>
      <w:r>
        <w:br/>
      </w:r>
      <w:r>
        <w:rPr>
          <w:iCs/>
          <w:i/>
          <w:bCs/>
          <w:b/>
        </w:rPr>
        <w:t xml:space="preserve">APARt = PARt · fIPARt (PAR ≈ 0.48–0.50 × incoming shortwave solar radiation)</w:t>
      </w:r>
      <w:r>
        <w:br/>
      </w:r>
      <w:r>
        <w:rPr>
          <w:iCs/>
          <w:i/>
          <w:bCs/>
          <w:b/>
        </w:rPr>
        <w:t xml:space="preserve">Biomass = Σt ( APARt · RUEt ) (summed over the growing season)</w:t>
      </w:r>
      <w:r>
        <w:br/>
      </w:r>
      <w:r>
        <w:rPr>
          <w:iCs/>
          <w:i/>
          <w:bCs/>
          <w:b/>
        </w:rPr>
        <w:t xml:space="preserve">Grain Yield = Biomass × HI (HI = harvest index)</w:t>
      </w:r>
    </w:p>
    <w:tbl>
      <w:tblPr>
        <w:tblStyle w:val="Table"/>
        <w:tblW w:type="pct" w:w="5016"/>
        <w:jc w:val="left"/>
        <w:tblLook w:firstRow="0" w:lastRow="0" w:firstColumn="0" w:lastColumn="0" w:noHBand="0" w:noVBand="0" w:val="0000"/>
      </w:tblPr>
      <w:tblGrid>
        <w:gridCol w:w="7945"/>
      </w:tblGrid>
      <w:tr>
        <w:tc>
          <w:tcPr/>
          <w:p>
            <w:pPr>
              <w:jc w:val="left"/>
            </w:pPr>
            <w:r>
              <w:rPr>
                <w:bCs/>
                <w:b/>
              </w:rPr>
              <w:t xml:space="preserve">Interview tip:</w:t>
            </w:r>
          </w:p>
          <w:p>
            <w:pPr>
              <w:jc w:val="left"/>
            </w:pPr>
            <w:r>
              <w:rPr>
                <w:iCs/>
                <w:i/>
              </w:rPr>
              <w:t xml:space="preserve">If asked to draw this on a whiteboard: Satellite reflectance → PROSAIL LUT inversion → LAI time series → EnKF correction of InfoCrop-Wheat's simulated LAI → forward simulation to maturity → spatial yield map → validation against harvester yield-monitor data. Naming every arrow correctly is the whole answer.</w:t>
            </w:r>
          </w:p>
        </w:tc>
      </w:tr>
    </w:tbl>
    <w:p>
      <w:pPr>
        <w:pStyle w:val="Heading2"/>
      </w:pPr>
      <w:r>
        <w:t xml:space="preserve">39.15 Why This Matters for FASAL’s Multi-Model Ensemble Design</w:t>
      </w:r>
    </w:p>
    <w:p>
      <w:pPr>
        <w:pStyle w:val="FirstParagraph"/>
      </w:pPr>
      <w:r>
        <w:t xml:space="preserve">Chapter 6 described FASAL’s three-approach ensemble (statistical/MLR, semi-physical/crop-simulation, machine-learning) as independently cross-checked. The crop-model detail in this chapter clarifies precisely</w:t>
      </w:r>
      <w:r>
        <w:t xml:space="preserve"> </w:t>
      </w:r>
      <w:r>
        <w:rPr>
          <w:iCs/>
          <w:i/>
        </w:rPr>
        <w:t xml:space="preserve">why</w:t>
      </w:r>
      <w:r>
        <w:t xml:space="preserve"> </w:t>
      </w:r>
      <w:r>
        <w:t xml:space="preserve">the semi-physical approach is scientifically distinct from — and not redundant with — the purely statistical MLR approach even though both ultimately use the same remote-sensing NDVI/LAI time series as an input: the MLR approach treats the NDVI-yield relationship as a purely empirical, statistically fitted correlation, with no explicit representation of the underlying physiological causal chain, whereas the crop-simulation approach explicitly models the mechanistic chain from intercepted radiation through photosynthesis, respiration, partitioning and stress response to final yield — meaning the two approaches can fail in different, informative ways (e.g., the MLR approach may break down in an atypical weather year outside its historical calibration range, while a well-parameterised process-based model, grounded in physiological first principles rather than historical statistical correlation, may extrapolate more robustly to such atypical conditions), which is precisely the diagnostic value of comparing their independent forecasts.</w:t>
      </w:r>
    </w:p>
    <w:p>
      <w:pPr>
        <w:pStyle w:val="Heading2"/>
      </w:pPr>
      <w:r>
        <w:t xml:space="preserve">39.16 Data Assimilation — The Kalman Filter and Variational Methods in Detail</w:t>
      </w:r>
    </w:p>
    <w:p>
      <w:pPr>
        <w:pStyle w:val="FirstParagraph"/>
      </w:pPr>
      <w:r>
        <w:t xml:space="preserve">Data assimilation has now been referenced in four distinct contexts across this manual — crop-model LAI assimilation, hydrological-model soil-moisture/ET assimilation, flood-forecast state updating, and NWP AMV/Sounder-profile assimilation — making the underlying mathematical machinery itself a legitimate, unifying interview topic.</w:t>
      </w:r>
    </w:p>
    <w:p>
      <w:pPr>
        <w:pStyle w:val="Heading3"/>
      </w:pPr>
      <w:r>
        <w:t xml:space="preserve">39.16.1 The General Data Assimilation Problem</w:t>
      </w:r>
    </w:p>
    <w:p>
      <w:pPr>
        <w:pStyle w:val="FirstParagraph"/>
      </w:pPr>
      <w:r>
        <w:t xml:space="preserve">Given a model’s forecast (background) state estimate xb, with associated uncertainty (error covariance) B, and a new observation y, with associated observation uncertainty (error covariance) R, data assimilation seeks the statistically optimal</w:t>
      </w:r>
      <w:r>
        <w:t xml:space="preserve"> </w:t>
      </w:r>
      <w:r>
        <w:rPr>
          <w:bCs/>
          <w:b/>
        </w:rPr>
        <w:t xml:space="preserve">analysis</w:t>
      </w:r>
      <w:r>
        <w:t xml:space="preserve"> </w:t>
      </w:r>
      <w:r>
        <w:t xml:space="preserve">state xa that best combines the two sources of information, weighted inversely by their respective uncertainties — a problem formally solved (under linear, Gaussian-error assumptions) by the</w:t>
      </w:r>
      <w:r>
        <w:t xml:space="preserve"> </w:t>
      </w:r>
      <w:r>
        <w:rPr>
          <w:bCs/>
          <w:b/>
        </w:rPr>
        <w:t xml:space="preserve">Kalman Filter</w:t>
      </w:r>
      <w:r>
        <w:t xml:space="preserve">, and, under the same optimality criterion but solved via a different (optimisation-based, rather than sequential-statistical) route, by</w:t>
      </w:r>
      <w:r>
        <w:t xml:space="preserve"> </w:t>
      </w:r>
      <w:r>
        <w:rPr>
          <w:bCs/>
          <w:b/>
        </w:rPr>
        <w:t xml:space="preserve">variational assimilation</w:t>
      </w:r>
      <w:r>
        <w:t xml:space="preserve">.</w:t>
      </w:r>
    </w:p>
    <w:p>
      <w:pPr>
        <w:pStyle w:val="Heading3"/>
      </w:pPr>
      <w:r>
        <w:t xml:space="preserve">39.16.2 The Kalman Filter — Core Equations</w:t>
      </w:r>
    </w:p>
    <w:p>
      <w:pPr>
        <w:pStyle w:val="FirstParagraph"/>
      </w:pPr>
      <w:r>
        <w:rPr>
          <w:bCs/>
          <w:b/>
        </w:rPr>
        <w:t xml:space="preserve">Forecast (prediction) step:</w:t>
      </w:r>
      <w:r>
        <w:t xml:space="preserve"> </w:t>
      </w:r>
      <w:r>
        <w:t xml:space="preserve">the model propagates the previous analysis state forward in time: xb(t) = M[xa(t−1)], where M is the (possibly nonlinear) model operator; the associated error covariance similarly propagates forward (for a linear model M): B(t) = M B(t−1) Mᵀ + Q, where Q represents model/process error accumulated during the forecast step.</w:t>
      </w:r>
    </w:p>
    <w:p>
      <w:pPr>
        <w:pStyle w:val="BodyText"/>
      </w:pPr>
      <w:r>
        <w:rPr>
          <w:bCs/>
          <w:b/>
        </w:rPr>
        <w:t xml:space="preserve">Analysis (update) step, given a new observation y with observation operator H (mapping model state-space to observation-space, e.g., converting a modelled soil-moisture profile into the satellite-observable surface soil-moisture the sensor actually measures) and observation error covariance R:</w:t>
      </w:r>
    </w:p>
    <w:p>
      <w:pPr>
        <w:pStyle w:val="BodyText"/>
      </w:pPr>
      <w:r>
        <w:t xml:space="preserve">Kalman gain:</w:t>
      </w:r>
      <w:r>
        <w:t xml:space="preserve"> </w:t>
      </w:r>
      <w:r>
        <w:rPr>
          <w:bCs/>
          <w:b/>
        </w:rPr>
        <w:t xml:space="preserve">K = B Hᵀ (H B Hᵀ + R)⁻¹</w:t>
      </w:r>
    </w:p>
    <w:p>
      <w:pPr>
        <w:pStyle w:val="BodyText"/>
      </w:pPr>
      <w:r>
        <w:t xml:space="preserve">Analysis state:</w:t>
      </w:r>
      <w:r>
        <w:t xml:space="preserve"> </w:t>
      </w:r>
      <w:r>
        <w:rPr>
          <w:bCs/>
          <w:b/>
        </w:rPr>
        <w:t xml:space="preserve">xa = xb + K(y − H xb)</w:t>
      </w:r>
    </w:p>
    <w:p>
      <w:pPr>
        <w:pStyle w:val="BodyText"/>
      </w:pPr>
      <w:r>
        <w:t xml:space="preserve">Analysis error covariance:</w:t>
      </w:r>
      <w:r>
        <w:t xml:space="preserve"> </w:t>
      </w:r>
      <w:r>
        <w:rPr>
          <w:bCs/>
          <w:b/>
        </w:rPr>
        <w:t xml:space="preserve">Pa = (I − K H) B</w:t>
      </w:r>
    </w:p>
    <w:p>
      <w:pPr>
        <w:pStyle w:val="BodyText"/>
      </w:pPr>
      <w:r>
        <w:rPr>
          <w:bCs/>
          <w:b/>
        </w:rPr>
        <w:t xml:space="preserve">Physical interpretation of the Kalman gain K:</w:t>
      </w:r>
      <w:r>
        <w:t xml:space="preserve"> </w:t>
      </w:r>
      <w:r>
        <w:t xml:space="preserve">K determines how much weight the new observation receives relative to the model’s own forecast. If the observation is very precise relative to the model’s forecast uncertainty (R small relative to B), K approaches a value that makes the analysis track the observation closely (the model’s prior</w:t>
      </w:r>
      <w:r>
        <w:t xml:space="preserve"> </w:t>
      </w:r>
      <w:r>
        <w:t xml:space="preserve">“</w:t>
      </w:r>
      <w:r>
        <w:t xml:space="preserve">belief</w:t>
      </w:r>
      <w:r>
        <w:t xml:space="preserve">”</w:t>
      </w:r>
      <w:r>
        <w:t xml:space="preserve"> </w:t>
      </w:r>
      <w:r>
        <w:t xml:space="preserve">is strongly overridden); if the model’s forecast is comparatively much more certain (B small relative to R, i.e. a noisy or unreliable observation), K approaches zero, and the analysis remains close to the model’s own forecast, essentially discounting the noisy observation — this is precisely the same weighting logic already introduced for ordinary kriging and for the Bowen-ratio energy-balance correction, applied here in the time-sequential, model-forecast context rather than the purely spatial or purely diagnostic context.</w:t>
      </w:r>
    </w:p>
    <w:p>
      <w:pPr>
        <w:pStyle w:val="Heading3"/>
      </w:pPr>
      <w:r>
        <w:t xml:space="preserve">39.16.3 The Ensemble Kalman Filter (EnKF)</w:t>
      </w:r>
    </w:p>
    <w:p>
      <w:pPr>
        <w:pStyle w:val="FirstParagraph"/>
      </w:pPr>
      <w:r>
        <w:t xml:space="preserve">For nonlinear models (essentially all crop, hydrological and atmospheric models of practical interest) where propagating the full error-covariance matrix B analytically (as the standard Kalman Filter requires) is computationally intractable, the</w:t>
      </w:r>
      <w:r>
        <w:t xml:space="preserve"> </w:t>
      </w:r>
      <w:r>
        <w:rPr>
          <w:bCs/>
          <w:b/>
        </w:rPr>
        <w:t xml:space="preserve">Ensemble Kalman Filter</w:t>
      </w:r>
      <w:r>
        <w:t xml:space="preserve"> </w:t>
      </w:r>
      <w:r>
        <w:t xml:space="preserve">instead represents the forecast-error distribution empirically, using an ensemble (a set, typically tens to hundreds) of parallel model runs, each perturbed slightly in its initial conditions and/or forcing inputs (e.g., in a crop-model context, perturbing sowing date, cultivar parameters, or daily weather inputs within their plausible uncertainty ranges) to sample the plausible range of forecast states; the ensemble’s spread (sample covariance across ensemble members) provides an empirical estimate of B, avoiding the need to explicitly linearise or analytically propagate the model’s error covariance — the specific technique named in the relevant chapter for hydrological soil-moisture/ET assimilation, and directly applicable, with the same underlying logic, to crop-model LAI assimilation.</w:t>
      </w:r>
    </w:p>
    <w:p>
      <w:pPr>
        <w:pStyle w:val="Heading3"/>
      </w:pPr>
      <w:r>
        <w:t xml:space="preserve">39.16.4 Variational Assimilation (3D-Var and 4D-Var)</w:t>
      </w:r>
    </w:p>
    <w:p>
      <w:pPr>
        <w:pStyle w:val="FirstParagraph"/>
      </w:pPr>
      <w:r>
        <w:t xml:space="preserve">Rather than the sequential, forecast-then-update cycle of the Kalman Filter family,</w:t>
      </w:r>
      <w:r>
        <w:t xml:space="preserve"> </w:t>
      </w:r>
      <w:r>
        <w:rPr>
          <w:bCs/>
          <w:b/>
        </w:rPr>
        <w:t xml:space="preserve">variational assimilation</w:t>
      </w:r>
      <w:r>
        <w:t xml:space="preserve"> </w:t>
      </w:r>
      <w:r>
        <w:t xml:space="preserve">poses data assimilation as an explicit optimisation problem: find the analysis state xa that minimises a cost function</w:t>
      </w:r>
    </w:p>
    <w:p>
      <w:pPr>
        <w:pStyle w:val="BodyText"/>
      </w:pPr>
      <w:r>
        <w:rPr>
          <w:bCs/>
          <w:b/>
        </w:rPr>
        <w:t xml:space="preserve">J(x) = (x−xb)ᵀ B⁻¹ (x−xb) + [y−H(x)]ᵀ R⁻¹ [y−H(x)]</w:t>
      </w:r>
    </w:p>
    <w:p>
      <w:pPr>
        <w:pStyle w:val="BodyText"/>
      </w:pPr>
      <w:r>
        <w:t xml:space="preserve">— the first term penalising departure from the model’s background/forecast state (weighted by the inverse background error covariance), the second term penalising mismatch with the observations (weighted by the inverse observation error covariance); minimising this cost function (typically via gradient-descent-type numerical optimisation, requiring the</w:t>
      </w:r>
      <w:r>
        <w:t xml:space="preserve"> </w:t>
      </w:r>
      <w:r>
        <w:t xml:space="preserve">“</w:t>
      </w:r>
      <w:r>
        <w:t xml:space="preserve">adjoint</w:t>
      </w:r>
      <w:r>
        <w:t xml:space="preserve">”</w:t>
      </w:r>
      <w:r>
        <w:t xml:space="preserve"> </w:t>
      </w:r>
      <w:r>
        <w:t xml:space="preserve">of the model/observation operator to efficiently compute the cost-function gradient) yields the same statistically optimal analysis as the Kalman Filter under linear, Gaussian assumptions, but via a fundamentally different (optimisation, not sequential-statistical-update) computational route.</w:t>
      </w:r>
      <w:r>
        <w:t xml:space="preserve"> </w:t>
      </w:r>
      <w:r>
        <w:rPr>
          <w:bCs/>
          <w:b/>
        </w:rPr>
        <w:t xml:space="preserve">3D-Var</w:t>
      </w:r>
      <w:r>
        <w:t xml:space="preserve"> </w:t>
      </w:r>
      <w:r>
        <w:t xml:space="preserve">assimilates observations at a single analysis time;</w:t>
      </w:r>
      <w:r>
        <w:t xml:space="preserve"> </w:t>
      </w:r>
      <w:r>
        <w:rPr>
          <w:bCs/>
          <w:b/>
        </w:rPr>
        <w:t xml:space="preserve">4D-Var</w:t>
      </w:r>
      <w:r>
        <w:t xml:space="preserve"> </w:t>
      </w:r>
      <w:r>
        <w:t xml:space="preserve">extends the cost function to simultaneously fit observations distributed across a time window, using the (adjoint of the) forecast model itself to propagate the trial analysis state through that window and compare against observations at their actual observation times — the assimilation methodology underlying operational numerical-weather-prediction centres’ ingestion of the AMV, Sounder-profile and other satellite observation types described in the relevant chapter, and the natural</w:t>
      </w:r>
      <w:r>
        <w:t xml:space="preserve"> </w:t>
      </w:r>
      <w:r>
        <w:t xml:space="preserve">“</w:t>
      </w:r>
      <w:r>
        <w:t xml:space="preserve">gold standard</w:t>
      </w:r>
      <w:r>
        <w:t xml:space="preserve">”</w:t>
      </w:r>
      <w:r>
        <w:t xml:space="preserve"> </w:t>
      </w:r>
      <w:r>
        <w:t xml:space="preserve">extension of the simpler forcing/re-initialisation crop-model assimilation approach described in the relevant chapter for centres with sufficient computational resources to implement it.</w:t>
      </w:r>
    </w:p>
    <w:p>
      <w:pPr>
        <w:pStyle w:val="Heading3"/>
      </w:pPr>
      <w:r>
        <w:t xml:space="preserve">39.16.5 Why This Matters — the Common Thread</w:t>
      </w:r>
    </w:p>
    <w:p>
      <w:pPr>
        <w:pStyle w:val="FirstParagraph"/>
      </w:pPr>
      <w:r>
        <w:t xml:space="preserve">Across every application in this manual — kriging weight derivation, the Bowen-ratio energy-balance correction, the LAS iterative retrieval, and now formal data assimilation — the same statistical principle recurs:</w:t>
      </w:r>
      <w:r>
        <w:t xml:space="preserve"> </w:t>
      </w:r>
      <w:r>
        <w:rPr>
          <w:bCs/>
          <w:b/>
        </w:rPr>
        <w:t xml:space="preserve">combine multiple imperfect information sources by weighting each in inverse proportion to its own uncertainty</w:t>
      </w:r>
      <w:r>
        <w:t xml:space="preserve">, and, where possible, propagate the resulting uncertainty forward so that the combined estimate carries its own honestly stated confidence interval. Recognising and being able to articulate this recurring principle across superficially very different techniques is exactly the kind of cross-cutting conceptual fluency an SAC interview panel most values in a strong candidate.</w:t>
      </w:r>
    </w:p>
    <w:p>
      <w:pPr>
        <w:pStyle w:val="Heading2"/>
      </w:pPr>
      <w:r>
        <w:t xml:space="preserve">39.17 Deep Dive: Why RS Yield Estimates Still Blend with CCEs</w:t>
      </w:r>
    </w:p>
    <w:p>
      <w:pPr>
        <w:pStyle w:val="FirstParagraph"/>
      </w:pPr>
      <w:r>
        <w:t xml:space="preserve">Remote-sensing-derived yield estimates are blended with, rather than outright replacing, ground-based Crop Cutting Experiments for several converging reasons that are worth stating together in an interview because they span technical, legal and social dimensions, not just accuracy. Regulatory/legal acceptance: PMFBY's claim-settlement framework and its enabling guidelines are built around CCE as the statutorily recognised ground-truth yield measurement; a wholesale switch to RS-only estimation would require a substantial revision of that regulatory and legal architecture, and insurers, auditors and courts currently anchor disputes to physically verifiable CCE records. Ground-truth calibration: every RS yield model in this document — statistical regression, semi-physical APAR×RUE, or crop-model assimilation — is itself calibrated and validated against historical CCE data; without a continuing stream of high-quality CCEs there would be nothing to calibrate or validate the satellite-based estimate against, so CCEs are not a legacy relic being phased out but an ongoing epistemic anchor the RS system depends on. Farmer trust in claim settlement: because payouts under PMFBY are financially consequential and area-yield-index insurance already asks farmers to accept a payout based on an average rather than their individual plot's actual loss, replacing a physically verifiable, locally witnessed harvest measurement with an opaque satellite-derived number — however statistically superior in aggregate — risks a legitimacy/trust deficit that can translate into disputes, litigation and political pressure regardless of the model's technical accuracy. The YES-TECH transition strategy (a gradually increasing technology weight validated season-by-season, described earlier, rather than an abrupt switch) is precisely designed to manage this trust dimension alongside the technical one.</w:t>
      </w:r>
    </w:p>
    <w:p>
      <w:pPr>
        <w:pStyle w:val="Heading1"/>
      </w:pPr>
      <w:r>
        <w:t xml:space="preserve">Chapter 40. Retrieval of Crop and Soil Biophysical Parameters; Calibration and Validation</w:t>
      </w:r>
    </w:p>
    <w:p>
      <w:pPr>
        <w:pStyle w:val="Heading2"/>
      </w:pPr>
      <w:r>
        <w:t xml:space="preserve">40.1 Introduction</w:t>
      </w:r>
    </w:p>
    <w:p>
      <w:pPr>
        <w:pStyle w:val="FirstParagraph"/>
      </w:pPr>
      <w:r>
        <w:t xml:space="preserve">Operational crop monitoring, yield forecasting, and precision agriculture depend on converting raw satellite radiance or backscatter measurements into physically meaningful, agronomically interpretable quantities — Leaf Area Index, canopy chlorophyll, biomass, soil moisture, evapotranspiration, and related biophysical/biogeochemical variables. This conversion process is called</w:t>
      </w:r>
      <w:r>
        <w:t xml:space="preserve"> </w:t>
      </w:r>
      <w:r>
        <w:rPr>
          <w:bCs/>
          <w:b/>
        </w:rPr>
        <w:t xml:space="preserve">parameter retrieval</w:t>
      </w:r>
      <w:r>
        <w:t xml:space="preserve">, and the process of establishing its accuracy against independent ground truth is called</w:t>
      </w:r>
      <w:r>
        <w:t xml:space="preserve"> </w:t>
      </w:r>
      <w:r>
        <w:rPr>
          <w:bCs/>
          <w:b/>
        </w:rPr>
        <w:t xml:space="preserve">calibration and validation (Cal/Val)</w:t>
      </w:r>
      <w:r>
        <w:t xml:space="preserve">. Both are central to any interview on satellite-based agricultural applications because they connect three domains that ISRO/SAC candidates are expected to integrate: (i) radiative transfer physics governing the sensor signal, (ii) statistical/computational inversion methods, and (iii) field-based agrometeorology used for ground-truthing. This chapter builds a rigorous, end-to-end understanding of retrieval and validation, from parameter definitions through radiative transfer modelling, inversion strategies, soil moisture and ET-specific methods, to formal Cal/Val protocols such as CEOS Land Product Validation (LPV).</w:t>
      </w:r>
    </w:p>
    <w:p>
      <w:pPr>
        <w:pStyle w:val="Heading2"/>
      </w:pPr>
      <w:r>
        <w:t xml:space="preserve">40.2 Key Biophysical and Biogeochemical Parameters</w:t>
      </w:r>
    </w:p>
    <w:p>
      <w:pPr>
        <w:pStyle w:val="FirstParagraph"/>
      </w:pPr>
      <w:r>
        <w:t xml:space="preserve">Biophysical parameters describe the physical structure and state of vegetation and soil (e.g., LAI, biomass, soil moisture), while biogeochemical parameters describe chemical constituents and fluxes (e.g., chlorophyll content, nitrogen content, GPP/NPP, carbon flux). Together they form the</w:t>
      </w:r>
      <w:r>
        <w:t xml:space="preserve"> </w:t>
      </w:r>
      <w:r>
        <w:t xml:space="preserve">“</w:t>
      </w:r>
      <w:r>
        <w:t xml:space="preserve">Essential Climate Variables</w:t>
      </w:r>
      <w:r>
        <w:t xml:space="preserve">”</w:t>
      </w:r>
      <w:r>
        <w:t xml:space="preserve"> </w:t>
      </w:r>
      <w:r>
        <w:t xml:space="preserve">(ECVs) and</w:t>
      </w:r>
      <w:r>
        <w:t xml:space="preserve"> </w:t>
      </w:r>
      <w:r>
        <w:t xml:space="preserve">“</w:t>
      </w:r>
      <w:r>
        <w:t xml:space="preserve">Essential Agricultural Variables</w:t>
      </w:r>
      <w:r>
        <w:t xml:space="preserve">”</w:t>
      </w:r>
      <w:r>
        <w:t xml:space="preserve"> </w:t>
      </w:r>
      <w:r>
        <w:t xml:space="preserve">that satellite missions are designed to deliver.</w:t>
      </w:r>
    </w:p>
    <w:p>
      <w:pPr>
        <w:pStyle w:val="Heading3"/>
      </w:pPr>
      <w:r>
        <w:t xml:space="preserve">40.2.1 Leaf Area Index (LAI)</w:t>
      </w:r>
    </w:p>
    <w:p>
      <w:pPr>
        <w:pStyle w:val="FirstParagraph"/>
      </w:pPr>
      <w:r>
        <w:t xml:space="preserve">LAI is defined as one-half the total green leaf area per unit horizontal ground surface area (m² leaf area / m² ground area), dimensionless. It is one of the most important structural variables because it controls canopy light interception, transpiration, and photosynthetic capacity. Effective LAI (LAIe) is what optical remote sensing directly senses (ignoring clumping); true LAI requires a clumping-index correction for foliage aggregation within canopies/rows. Agriculturally, LAI is a direct input to crop growth simulation models (DSSAT, WOFOST, ORYZA, CERES) for assimilating remote sensing information into yield forecasts, and it is used to track phenological development (emergence, tillering/vegetative peak, senescence).</w:t>
      </w:r>
    </w:p>
    <w:p>
      <w:pPr>
        <w:pStyle w:val="Heading3"/>
      </w:pPr>
      <w:r>
        <w:t xml:space="preserve">40.2.2 Fraction of Absorbed Photosynthetically Active Radiation (FAPAR/fAPAR)</w:t>
      </w:r>
    </w:p>
    <w:p>
      <w:pPr>
        <w:pStyle w:val="FirstParagraph"/>
      </w:pPr>
      <w:r>
        <w:t xml:space="preserve">FAPAR is the fraction (0–1, dimensionless) of incident photosynthetically active radiation (400–700 nm) absorbed by the green vegetation canopy, integrated instantaneously or daily. It is the direct driver of gross primary productivity through the light-use-efficiency (LUE) formulation: GPP = FAPAR × PAR × ε (light use efficiency). FAPAR is an ECV under GCOS and is operationally produced from MODIS, VIIRS, PROBA-V, Sentinel-3 (OLCI) and Copernicus Global Land Service products.</w:t>
      </w:r>
    </w:p>
    <w:p>
      <w:pPr>
        <w:pStyle w:val="Heading3"/>
      </w:pPr>
      <w:r>
        <w:t xml:space="preserve">40.2.3 Fractional Vegetation Cover (FVC) / Fraction Green Cover</w:t>
      </w:r>
    </w:p>
    <w:p>
      <w:pPr>
        <w:pStyle w:val="FirstParagraph"/>
      </w:pPr>
      <w:r>
        <w:t xml:space="preserve">FVC is the vertically projected fraction of ground covered by green vegetation (0–1), distinct from LAI because it doesn’t account for leaf layering. It is used for soil-vegetation partitioning in energy balance and evapotranspiration models, for erosion/runoff assessment, and to disaggregate mixed-pixel temperature/soil-moisture retrievals (e.g., through the temperature-vegetation triangle discussed later).</w:t>
      </w:r>
    </w:p>
    <w:p>
      <w:pPr>
        <w:pStyle w:val="Heading3"/>
      </w:pPr>
      <w:r>
        <w:t xml:space="preserve">40.2.4 Canopy Chlorophyll Content (CCC) and Leaf Chlorophyll Content (LCC)</w:t>
      </w:r>
    </w:p>
    <w:p>
      <w:pPr>
        <w:pStyle w:val="FirstParagraph"/>
      </w:pPr>
      <w:r>
        <w:t xml:space="preserve">LCC is expressed in µg/cm² (leaf-level) and CCC = LCC × LAI in g/m² (canopy-level). Chlorophyll content is a proxy for nitrogen status and photosynthetic capacity, making it central to precision nitrogen management. Red-edge and narrowband indices (e.g., MERIS Terrestrial Chlorophyll Index, MTCI; Red-edge Chlorophyll Index, CIred-edge) exploit the chlorophyll absorption feature near 700 nm, which is well captured by Sentinel-2’s red-edge bands (705, 740, 783 nm).</w:t>
      </w:r>
    </w:p>
    <w:p>
      <w:pPr>
        <w:pStyle w:val="Heading3"/>
      </w:pPr>
      <w:r>
        <w:t xml:space="preserve">40.2.5 Leaf/Canopy Water Content</w:t>
      </w:r>
    </w:p>
    <w:p>
      <w:pPr>
        <w:pStyle w:val="FirstParagraph"/>
      </w:pPr>
      <w:r>
        <w:t xml:space="preserve">Expressed as Equivalent Water Thickness (EWT, g/cm² or mm) at leaf level, or canopy water content (CWC = EWT × LAI, kg/m²) at canopy scale. Retrieved using shortwave-infrared (SWIR) water absorption bands (~970, 1200, 1450, 1940 nm) through indices such as NDWI (Gao’s Normalized Difference Water Index) or Global Vegetation Moisture Index (GVMI). Relevant for crop water stress detection, irrigation scheduling, and fire/drought risk.</w:t>
      </w:r>
    </w:p>
    <w:p>
      <w:pPr>
        <w:pStyle w:val="Heading3"/>
      </w:pPr>
      <w:r>
        <w:t xml:space="preserve">40.2.6 Above-Ground Biomass (AGB)</w:t>
      </w:r>
    </w:p>
    <w:p>
      <w:pPr>
        <w:pStyle w:val="FirstParagraph"/>
      </w:pPr>
      <w:r>
        <w:t xml:space="preserve">AGB is the dry mass of live vegetation above the soil surface, typically expressed in t/ha or g/m². For croplands it correlates with yield potential and residue/stover estimation. Optical vegetation indices saturate at moderate-to-high biomass, so SAR backscatter (C-, L-, P-band) and LiDAR-derived canopy height are increasingly combined with optical LAI/FAPAR retrievals for biomass estimation, especially in a data-fusion or machine-learning framework.</w:t>
      </w:r>
    </w:p>
    <w:p>
      <w:pPr>
        <w:pStyle w:val="Heading3"/>
      </w:pPr>
      <w:r>
        <w:t xml:space="preserve">40.2.7 Gross and Net Primary Productivity (GPP, NPP)</w:t>
      </w:r>
    </w:p>
    <w:p>
      <w:pPr>
        <w:pStyle w:val="FirstParagraph"/>
      </w:pPr>
      <w:r>
        <w:t xml:space="preserve">GPP (g C/m²/day or g C/m²/year) is the total carbon fixed through photosynthesis; NPP = GPP − autotrophic respiration. Operationally estimated via the LUE approach (MOD17 GPP/NPP product) using FAPAR, PAR, temperature and vapor-pressure-deficit scalars, or via process-based crop models constrained by assimilated LAI. These are key for regional carbon budgeting and for translating biomass accumulation into yield.</w:t>
      </w:r>
    </w:p>
    <w:p>
      <w:pPr>
        <w:pStyle w:val="Heading3"/>
      </w:pPr>
      <w:r>
        <w:t xml:space="preserve">40.2.8 Soil Moisture</w:t>
      </w:r>
    </w:p>
    <w:p>
      <w:pPr>
        <w:pStyle w:val="FirstParagraph"/>
      </w:pPr>
      <w:r>
        <w:t xml:space="preserve">Volumetric soil moisture (m³/m³, or % v/v) or gravimetric soil moisture (g/g) in the near-surface layer (~0–5 cm for microwave sensing). It governs infiltration, plant-available water, irrigation demand, drought monitoring, and is a critical state variable for both crop water balance models and numerical weather prediction/land data assimilation systems. Root-zone soil moisture (deeper, agronomically more relevant) is generally inferred from surface soil moisture through exponential filter/analytical models (e.g., the Wagner/ECMWF soil water index approach) since microwave sensing has limited penetration depth.</w:t>
      </w:r>
    </w:p>
    <w:p>
      <w:pPr>
        <w:pStyle w:val="Heading3"/>
      </w:pPr>
      <w:r>
        <w:t xml:space="preserve">40.2.9 Surface Soil Parameters (Texture, Organic Carbon Proxy, Roughness)</w:t>
      </w:r>
    </w:p>
    <w:p>
      <w:pPr>
        <w:pStyle w:val="FirstParagraph"/>
      </w:pPr>
      <w:r>
        <w:t xml:space="preserve">Soil texture (sand/silt/clay fraction), surface roughness, and soil organic carbon (SOC) affect both optical reflectance (through the soil line and brightness) and radar backscatter (through dielectric constant and surface roughness parameters, e.g., RMS height</w:t>
      </w:r>
      <w:r>
        <w:t xml:space="preserve"> </w:t>
      </w:r>
      <w:r>
        <w:t xml:space="preserve">“</w:t>
      </w:r>
      <w:r>
        <w:t xml:space="preserve">s</w:t>
      </w:r>
      <w:r>
        <w:t xml:space="preserve">”</w:t>
      </w:r>
      <w:r>
        <w:t xml:space="preserve"> </w:t>
      </w:r>
      <w:r>
        <w:t xml:space="preserve">and correlation length</w:t>
      </w:r>
      <w:r>
        <w:t xml:space="preserve"> </w:t>
      </w:r>
      <w:r>
        <w:t xml:space="preserve">“</w:t>
      </w:r>
      <w:r>
        <w:t xml:space="preserve">l</w:t>
      </w:r>
      <w:r>
        <w:t xml:space="preserve">”</w:t>
      </w:r>
      <w:r>
        <w:t xml:space="preserve">). Hyperspectral reflectance in the VNIR-SWIR is used to derive SOC proxies through absorption features near 2200 nm (clay-OH) and broad spectral slope changes; radar-based dielectric mixing models (Dobson, Hallikainen, Mironov) relate backscatter/brightness temperature to volumetric water content as a function of texture.</w:t>
      </w:r>
    </w:p>
    <w:p>
      <w:pPr>
        <w:pStyle w:val="Heading3"/>
      </w:pPr>
      <w:r>
        <w:t xml:space="preserve">40.2.10 Evapotranspiration (ET)</w:t>
      </w:r>
    </w:p>
    <w:p>
      <w:pPr>
        <w:pStyle w:val="FirstParagraph"/>
      </w:pPr>
      <w:r>
        <w:t xml:space="preserve">ET is the combined loss of water from soil evaporation and plant transpiration, expressed in mm/day or mm/season (equivalently W/m² as latent heat flux, LE). ET is arguably the single most important flux for agricultural water management, since it quantifies actual crop water use and underlies irrigation scheduling, water accounting, and drought stress indices (e.g., Evaporative Stress Index).</w:t>
      </w:r>
    </w:p>
    <w:p>
      <w:pPr>
        <w:pStyle w:val="BodyText"/>
      </w:pPr>
      <w:r>
        <w:rPr>
          <w:bCs/>
          <w:b/>
        </w:rPr>
        <w:t xml:space="preserve">Table 1 — Summary of key parameters, units, and agricultural relevance</w:t>
      </w:r>
    </w:p>
    <w:tbl>
      <w:tblPr>
        <w:tblStyle w:val="Table"/>
        <w:tblW w:type="pct" w:w="4922"/>
        <w:jc w:val="left"/>
        <w:tblLook w:firstRow="1" w:lastRow="0" w:firstColumn="0" w:lastColumn="0" w:noHBand="0" w:noVBand="0" w:val="0020"/>
      </w:tblPr>
      <w:tblGrid>
        <w:gridCol w:w="1841"/>
        <w:gridCol w:w="1780"/>
        <w:gridCol w:w="4174"/>
      </w:tblGrid>
      <w:tr>
        <w:trPr>
          <w:tblHeader w:val="true"/>
        </w:trPr>
        <w:tc>
          <w:tcPr/>
          <w:p>
            <w:pPr>
              <w:pStyle w:val="Compact"/>
              <w:jc w:val="left"/>
            </w:pPr>
            <w:r>
              <w:t xml:space="preserve">Parameter</w:t>
            </w:r>
          </w:p>
        </w:tc>
        <w:tc>
          <w:tcPr/>
          <w:p>
            <w:pPr>
              <w:pStyle w:val="Compact"/>
              <w:jc w:val="left"/>
            </w:pPr>
            <w:r>
              <w:t xml:space="preserve">Symbol/Units</w:t>
            </w:r>
          </w:p>
        </w:tc>
        <w:tc>
          <w:tcPr/>
          <w:p>
            <w:pPr>
              <w:pStyle w:val="Compact"/>
              <w:jc w:val="left"/>
            </w:pPr>
            <w:r>
              <w:t xml:space="preserve">Primary Agricultural Relevance</w:t>
            </w:r>
          </w:p>
        </w:tc>
      </w:tr>
      <w:tr>
        <w:tc>
          <w:tcPr/>
          <w:p>
            <w:pPr>
              <w:pStyle w:val="Compact"/>
              <w:jc w:val="left"/>
            </w:pPr>
            <w:r>
              <w:t xml:space="preserve">Leaf Area Index</w:t>
            </w:r>
          </w:p>
        </w:tc>
        <w:tc>
          <w:tcPr/>
          <w:p>
            <w:pPr>
              <w:pStyle w:val="Compact"/>
              <w:jc w:val="left"/>
            </w:pPr>
            <w:r>
              <w:t xml:space="preserve">LAI, m²/m² (dimensionless)</w:t>
            </w:r>
          </w:p>
        </w:tc>
        <w:tc>
          <w:tcPr/>
          <w:p>
            <w:pPr>
              <w:pStyle w:val="Compact"/>
              <w:jc w:val="left"/>
            </w:pPr>
            <w:r>
              <w:t xml:space="preserve">Growth stage tracking, yield model assimilation, canopy structure</w:t>
            </w:r>
          </w:p>
        </w:tc>
      </w:tr>
      <w:tr>
        <w:tc>
          <w:tcPr/>
          <w:p>
            <w:pPr>
              <w:pStyle w:val="Compact"/>
              <w:jc w:val="left"/>
            </w:pPr>
            <w:r>
              <w:t xml:space="preserve">FAPAR</w:t>
            </w:r>
          </w:p>
        </w:tc>
        <w:tc>
          <w:tcPr/>
          <w:p>
            <w:pPr>
              <w:pStyle w:val="Compact"/>
              <w:jc w:val="left"/>
            </w:pPr>
            <w:r>
              <w:t xml:space="preserve">fraction (0–1)</w:t>
            </w:r>
          </w:p>
        </w:tc>
        <w:tc>
          <w:tcPr/>
          <w:p>
            <w:pPr>
              <w:pStyle w:val="Compact"/>
              <w:jc w:val="left"/>
            </w:pPr>
            <w:r>
              <w:t xml:space="preserve">GPP via light-use efficiency, crop vigour</w:t>
            </w:r>
          </w:p>
        </w:tc>
      </w:tr>
      <w:tr>
        <w:tc>
          <w:tcPr/>
          <w:p>
            <w:pPr>
              <w:pStyle w:val="Compact"/>
              <w:jc w:val="left"/>
            </w:pPr>
            <w:r>
              <w:t xml:space="preserve">Fractional Vegetation Cover</w:t>
            </w:r>
          </w:p>
        </w:tc>
        <w:tc>
          <w:tcPr/>
          <w:p>
            <w:pPr>
              <w:pStyle w:val="Compact"/>
              <w:jc w:val="left"/>
            </w:pPr>
            <w:r>
              <w:t xml:space="preserve">FVC, fraction (0–1)</w:t>
            </w:r>
          </w:p>
        </w:tc>
        <w:tc>
          <w:tcPr/>
          <w:p>
            <w:pPr>
              <w:pStyle w:val="Compact"/>
              <w:jc w:val="left"/>
            </w:pPr>
            <w:r>
              <w:t xml:space="preserve">Soil–canopy partitioning in ET and TVDI models</w:t>
            </w:r>
          </w:p>
        </w:tc>
      </w:tr>
      <w:tr>
        <w:tc>
          <w:tcPr/>
          <w:p>
            <w:pPr>
              <w:pStyle w:val="Compact"/>
              <w:jc w:val="left"/>
            </w:pPr>
            <w:r>
              <w:t xml:space="preserve">Canopy Chlorophyll Content</w:t>
            </w:r>
          </w:p>
        </w:tc>
        <w:tc>
          <w:tcPr/>
          <w:p>
            <w:pPr>
              <w:pStyle w:val="Compact"/>
              <w:jc w:val="left"/>
            </w:pPr>
            <w:r>
              <w:t xml:space="preserve">g/m² (leaf: µg/cm²)</w:t>
            </w:r>
          </w:p>
        </w:tc>
        <w:tc>
          <w:tcPr/>
          <w:p>
            <w:pPr>
              <w:pStyle w:val="Compact"/>
              <w:jc w:val="left"/>
            </w:pPr>
            <w:r>
              <w:t xml:space="preserve">Nitrogen status, precision fertilization</w:t>
            </w:r>
          </w:p>
        </w:tc>
      </w:tr>
      <w:tr>
        <w:tc>
          <w:tcPr/>
          <w:p>
            <w:pPr>
              <w:pStyle w:val="Compact"/>
              <w:jc w:val="left"/>
            </w:pPr>
            <w:r>
              <w:t xml:space="preserve">Leaf/Canopy Water Content</w:t>
            </w:r>
          </w:p>
        </w:tc>
        <w:tc>
          <w:tcPr/>
          <w:p>
            <w:pPr>
              <w:pStyle w:val="Compact"/>
              <w:jc w:val="left"/>
            </w:pPr>
            <w:r>
              <w:t xml:space="preserve">EWT g/cm², CWC kg/m²</w:t>
            </w:r>
          </w:p>
        </w:tc>
        <w:tc>
          <w:tcPr/>
          <w:p>
            <w:pPr>
              <w:pStyle w:val="Compact"/>
              <w:jc w:val="left"/>
            </w:pPr>
            <w:r>
              <w:t xml:space="preserve">Water stress detection, irrigation timing</w:t>
            </w:r>
          </w:p>
        </w:tc>
      </w:tr>
      <w:tr>
        <w:tc>
          <w:tcPr/>
          <w:p>
            <w:pPr>
              <w:pStyle w:val="Compact"/>
              <w:jc w:val="left"/>
            </w:pPr>
            <w:r>
              <w:t xml:space="preserve">Above-Ground Biomass</w:t>
            </w:r>
          </w:p>
        </w:tc>
        <w:tc>
          <w:tcPr/>
          <w:p>
            <w:pPr>
              <w:pStyle w:val="Compact"/>
              <w:jc w:val="left"/>
            </w:pPr>
            <w:r>
              <w:t xml:space="preserve">t/ha, g/m²</w:t>
            </w:r>
          </w:p>
        </w:tc>
        <w:tc>
          <w:tcPr/>
          <w:p>
            <w:pPr>
              <w:pStyle w:val="Compact"/>
              <w:jc w:val="left"/>
            </w:pPr>
            <w:r>
              <w:t xml:space="preserve">Yield potential, residue estimation, carbon stock</w:t>
            </w:r>
          </w:p>
        </w:tc>
      </w:tr>
      <w:tr>
        <w:tc>
          <w:tcPr/>
          <w:p>
            <w:pPr>
              <w:pStyle w:val="Compact"/>
              <w:jc w:val="left"/>
            </w:pPr>
            <w:r>
              <w:t xml:space="preserve">GPP / NPP</w:t>
            </w:r>
          </w:p>
        </w:tc>
        <w:tc>
          <w:tcPr/>
          <w:p>
            <w:pPr>
              <w:pStyle w:val="Compact"/>
              <w:jc w:val="left"/>
            </w:pPr>
            <w:r>
              <w:t xml:space="preserve">g C/m²/day or /year</w:t>
            </w:r>
          </w:p>
        </w:tc>
        <w:tc>
          <w:tcPr/>
          <w:p>
            <w:pPr>
              <w:pStyle w:val="Compact"/>
              <w:jc w:val="left"/>
            </w:pPr>
            <w:r>
              <w:t xml:space="preserve">Carbon assimilation, regional productivity</w:t>
            </w:r>
          </w:p>
        </w:tc>
      </w:tr>
      <w:tr>
        <w:tc>
          <w:tcPr/>
          <w:p>
            <w:pPr>
              <w:pStyle w:val="Compact"/>
              <w:jc w:val="left"/>
            </w:pPr>
            <w:r>
              <w:t xml:space="preserve">Soil Moisture</w:t>
            </w:r>
          </w:p>
        </w:tc>
        <w:tc>
          <w:tcPr/>
          <w:p>
            <w:pPr>
              <w:pStyle w:val="Compact"/>
              <w:jc w:val="left"/>
            </w:pPr>
            <w:r>
              <w:t xml:space="preserve">m³/m³ (volumetric)</w:t>
            </w:r>
          </w:p>
        </w:tc>
        <w:tc>
          <w:tcPr/>
          <w:p>
            <w:pPr>
              <w:pStyle w:val="Compact"/>
              <w:jc w:val="left"/>
            </w:pPr>
            <w:r>
              <w:t xml:space="preserve">Irrigation scheduling, drought monitoring, water balance</w:t>
            </w:r>
          </w:p>
        </w:tc>
      </w:tr>
      <w:tr>
        <w:tc>
          <w:tcPr/>
          <w:p>
            <w:pPr>
              <w:pStyle w:val="Compact"/>
              <w:jc w:val="left"/>
            </w:pPr>
            <w:r>
              <w:t xml:space="preserve">Soil Texture/SOC proxy</w:t>
            </w:r>
          </w:p>
        </w:tc>
        <w:tc>
          <w:tcPr/>
          <w:p>
            <w:pPr>
              <w:pStyle w:val="Compact"/>
              <w:jc w:val="left"/>
            </w:pPr>
            <w:r>
              <w:t xml:space="preserve">% sand-silt-clay, % SOC</w:t>
            </w:r>
          </w:p>
        </w:tc>
        <w:tc>
          <w:tcPr/>
          <w:p>
            <w:pPr>
              <w:pStyle w:val="Compact"/>
              <w:jc w:val="left"/>
            </w:pPr>
            <w:r>
              <w:t xml:space="preserve">Soil health mapping, precision input management</w:t>
            </w:r>
          </w:p>
        </w:tc>
      </w:tr>
      <w:tr>
        <w:tc>
          <w:tcPr/>
          <w:p>
            <w:pPr>
              <w:pStyle w:val="Compact"/>
              <w:jc w:val="left"/>
            </w:pPr>
            <w:r>
              <w:t xml:space="preserve">Evapotranspiration</w:t>
            </w:r>
          </w:p>
        </w:tc>
        <w:tc>
          <w:tcPr/>
          <w:p>
            <w:pPr>
              <w:pStyle w:val="Compact"/>
              <w:jc w:val="left"/>
            </w:pPr>
            <w:r>
              <w:t xml:space="preserve">mm/day, or LE (W/m²)</w:t>
            </w:r>
          </w:p>
        </w:tc>
        <w:tc>
          <w:tcPr/>
          <w:p>
            <w:pPr>
              <w:pStyle w:val="Compact"/>
              <w:jc w:val="left"/>
            </w:pPr>
            <w:r>
              <w:t xml:space="preserve">Crop water use, irrigation demand, water accounting</w:t>
            </w:r>
          </w:p>
        </w:tc>
      </w:tr>
    </w:tbl>
    <w:p>
      <w:pPr>
        <w:pStyle w:val="Heading2"/>
      </w:pPr>
      <w:r>
        <w:t xml:space="preserve">40.3 Retrieval Methods</w:t>
      </w:r>
    </w:p>
    <w:p>
      <w:pPr>
        <w:pStyle w:val="FirstParagraph"/>
      </w:pPr>
      <w:r>
        <w:t xml:space="preserve">Three broad families of methods are used to convert satellite-observed radiance/backscatter into biophysical parameters: empirical/statistical methods, physically-based radiative transfer model (RTM) inversion, and semi-empirical (hybrid) approaches.</w:t>
      </w:r>
    </w:p>
    <w:p>
      <w:pPr>
        <w:pStyle w:val="Heading3"/>
      </w:pPr>
      <w:r>
        <w:t xml:space="preserve">40.3.1 Empirical/Statistical Methods (VI–Parameter Regression)</w:t>
      </w:r>
    </w:p>
    <w:p>
      <w:pPr>
        <w:pStyle w:val="FirstParagraph"/>
      </w:pPr>
      <w:r>
        <w:t xml:space="preserve">The simplest and most widely operationalized approach relates a vegetation index (VI), computed from reflectance in specific bands, to a ground-measured parameter via regression (linear, exponential, power, or more flexible non-parametric fits). Common indices include:</w:t>
      </w:r>
    </w:p>
    <w:p>
      <w:pPr>
        <w:pStyle w:val="Compact"/>
        <w:numPr>
          <w:ilvl w:val="0"/>
          <w:numId w:val="1300"/>
        </w:numPr>
      </w:pPr>
      <w:r>
        <w:rPr>
          <w:bCs/>
          <w:b/>
        </w:rPr>
        <w:t xml:space="preserve">NDVI</w:t>
      </w:r>
      <w:r>
        <w:t xml:space="preserve"> </w:t>
      </w:r>
      <w:r>
        <w:t xml:space="preserve">(Normalized Difference Vegetation Index) = (NIR − Red)/(NIR + Red) — most widely used, but saturates at moderate-high LAI (~3–4).</w:t>
      </w:r>
    </w:p>
    <w:p>
      <w:pPr>
        <w:pStyle w:val="Compact"/>
        <w:numPr>
          <w:ilvl w:val="0"/>
          <w:numId w:val="1300"/>
        </w:numPr>
      </w:pPr>
      <w:r>
        <w:rPr>
          <w:bCs/>
          <w:b/>
        </w:rPr>
        <w:t xml:space="preserve">EVI</w:t>
      </w:r>
      <w:r>
        <w:t xml:space="preserve"> </w:t>
      </w:r>
      <w:r>
        <w:t xml:space="preserve">(Enhanced Vegetation Index) — includes a blue band correction to reduce atmospheric and soil background effects, and is less prone to saturation than NDVI.</w:t>
      </w:r>
    </w:p>
    <w:p>
      <w:pPr>
        <w:pStyle w:val="Compact"/>
        <w:numPr>
          <w:ilvl w:val="0"/>
          <w:numId w:val="1300"/>
        </w:numPr>
      </w:pPr>
      <w:r>
        <w:rPr>
          <w:bCs/>
          <w:b/>
        </w:rPr>
        <w:t xml:space="preserve">SAVI/MSAVI</w:t>
      </w:r>
      <w:r>
        <w:t xml:space="preserve"> </w:t>
      </w:r>
      <w:r>
        <w:t xml:space="preserve">(Soil-Adjusted Vegetation Index family) — includes a soil-adjustment factor L to minimize soil brightness influence, important in the sparse-canopy early growth stages typical of many crops.</w:t>
      </w:r>
    </w:p>
    <w:p>
      <w:pPr>
        <w:pStyle w:val="Compact"/>
        <w:numPr>
          <w:ilvl w:val="0"/>
          <w:numId w:val="1300"/>
        </w:numPr>
      </w:pPr>
      <w:r>
        <w:rPr>
          <w:bCs/>
          <w:b/>
        </w:rPr>
        <w:t xml:space="preserve">Red-edge indices</w:t>
      </w:r>
      <w:r>
        <w:t xml:space="preserve"> </w:t>
      </w:r>
      <w:r>
        <w:t xml:space="preserve">(e.g., NDRE, CIred-edge, MTCI) — exploit Sentinel-2/Sentinel-3 red-edge bands for chlorophyll/nitrogen sensitivity with reduced saturation compared to red-NIR indices.</w:t>
      </w:r>
    </w:p>
    <w:p>
      <w:pPr>
        <w:pStyle w:val="Compact"/>
        <w:numPr>
          <w:ilvl w:val="0"/>
          <w:numId w:val="1300"/>
        </w:numPr>
      </w:pPr>
      <w:r>
        <w:rPr>
          <w:bCs/>
          <w:b/>
        </w:rPr>
        <w:t xml:space="preserve">GNDVI, WDRVI</w:t>
      </w:r>
      <w:r>
        <w:t xml:space="preserve"> </w:t>
      </w:r>
      <w:r>
        <w:t xml:space="preserve">— modifications for better dynamic range at high biomass.</w:t>
      </w:r>
    </w:p>
    <w:p>
      <w:pPr>
        <w:pStyle w:val="FirstParagraph"/>
      </w:pPr>
      <w:r>
        <w:t xml:space="preserve">Advantages: computationally cheap, easy to implement operationally, minimal auxiliary data requirement. Limitations: site-specific/crop-specific calibration (regression coefficients do not transfer well across crop types, soil backgrounds, phenological stages, or sun-sensor geometries), no physical basis (cannot be extrapolated with confidence), and susceptibility to saturation and confounding (e.g., soil brightness, atmospheric residuals, view/illumination geometry).</w:t>
      </w:r>
    </w:p>
    <w:p>
      <w:pPr>
        <w:pStyle w:val="Heading3"/>
      </w:pPr>
      <w:r>
        <w:t xml:space="preserve">40.3.2 Physically-Based Radiative Transfer Models (RTM)</w:t>
      </w:r>
    </w:p>
    <w:p>
      <w:pPr>
        <w:pStyle w:val="FirstParagraph"/>
      </w:pPr>
      <w:r>
        <w:t xml:space="preserve">RTMs simulate the transfer, absorption, and scattering of radiation through leaf tissue and canopy structure from first principles, producing simulated reflectance as a function of biophysical/biochemical variables. Because the forward model is physically based, RTM inversion is potentially transferable across sites, sensors, and time without needing new ground calibration for every scene — a major advantage for operational, large-area agricultural monitoring such as the type SAC/ISRO undertakes for FASAL (Forecasting Agricultural output using Space, Agrometeorology and Land based observations).</w:t>
      </w:r>
    </w:p>
    <w:p>
      <w:pPr>
        <w:pStyle w:val="BodyText"/>
      </w:pPr>
      <w:r>
        <w:rPr>
          <w:bCs/>
          <w:b/>
        </w:rPr>
        <w:t xml:space="preserve">PROSPECT</w:t>
      </w:r>
      <w:r>
        <w:t xml:space="preserve"> </w:t>
      </w:r>
      <w:r>
        <w:t xml:space="preserve">(leaf optical properties model, Jacquemoud &amp; Baret, 1990, with subsequent versions PROSPECT-4/5/D/PRO) simulates leaf-level directional-hemispherical reflectance and transmittance (400–2500 nm) as a function of: leaf structure parameter (N), chlorophyll a+b content (Cab, µg/cm²), carotenoid content (Ccx), brown pigment content, equivalent water thickness (Cw), dry matter content (Cm, g/cm²), and (in PROSPECT-PRO) protein and lignin/cellulose content, using a</w:t>
      </w:r>
      <w:r>
        <w:t xml:space="preserve"> </w:t>
      </w:r>
      <w:r>
        <w:t xml:space="preserve">“</w:t>
      </w:r>
      <w:r>
        <w:t xml:space="preserve">plate model</w:t>
      </w:r>
      <w:r>
        <w:t xml:space="preserve">”</w:t>
      </w:r>
      <w:r>
        <w:t xml:space="preserve"> </w:t>
      </w:r>
      <w:r>
        <w:t xml:space="preserve">that treats the leaf as N compact layers separated by air.</w:t>
      </w:r>
    </w:p>
    <w:p>
      <w:pPr>
        <w:pStyle w:val="BodyText"/>
      </w:pPr>
      <w:r>
        <w:rPr>
          <w:bCs/>
          <w:b/>
        </w:rPr>
        <w:t xml:space="preserve">SAIL / 4SAIL</w:t>
      </w:r>
      <w:r>
        <w:t xml:space="preserve"> </w:t>
      </w:r>
      <w:r>
        <w:t xml:space="preserve">(Scattering by Arbitrarily Inclined Leaves, Verhoef, 1984, and successive versions) is a turbid-medium canopy radiative transfer model that computes canopy bidirectional reflectance factor as a function of: LAI, leaf angle distribution (ALIA — average leaf inclination angle), soil reflectance, fraction of diffuse illumination, and the sun-target-sensor geometry (solar zenith, view zenith, relative azimuth angles). It treats the canopy as a horizontally homogeneous, statistically distributed set of leaf area elements — i.e., it neglects explicit 3D canopy architecture (which more advanced models like DART or the discrete anisotropic radiative transfer models address).</w:t>
      </w:r>
    </w:p>
    <w:p>
      <w:pPr>
        <w:pStyle w:val="BodyText"/>
      </w:pPr>
      <w:r>
        <w:rPr>
          <w:bCs/>
          <w:b/>
        </w:rPr>
        <w:t xml:space="preserve">PROSAIL</w:t>
      </w:r>
      <w:r>
        <w:t xml:space="preserve"> </w:t>
      </w:r>
      <w:r>
        <w:t xml:space="preserve">(coupling of PROSPECT leaf optics with 4SAIL canopy structure) is the most widely used RTM in vegetation remote sensing for crops. It links leaf biochemistry to canopy-level reflectance and is the model underlying most official Sentinel-2/Sentinel-3 and Copernicus Global Land Service biophysical products (LAI, FAPAR, FVC, canopy chlorophyll content). Jacquemoud et al. (2009),</w:t>
      </w:r>
      <w:r>
        <w:t xml:space="preserve"> </w:t>
      </w:r>
      <w:r>
        <w:t xml:space="preserve">“</w:t>
      </w:r>
      <w:r>
        <w:t xml:space="preserve">PROSPECT+SAIL models: A review of use for vegetation characterization</w:t>
      </w:r>
      <w:r>
        <w:t xml:space="preserve">”</w:t>
      </w:r>
      <w:r>
        <w:t xml:space="preserve"> </w:t>
      </w:r>
      <w:r>
        <w:t xml:space="preserve">(</w:t>
      </w:r>
      <w:r>
        <w:rPr>
          <w:iCs/>
          <w:i/>
        </w:rPr>
        <w:t xml:space="preserve">Remote Sensing of Environment</w:t>
      </w:r>
      <w:r>
        <w:t xml:space="preserve">), remains the standard reference summarizing three decades of PROSAIL applications and inversion strategies.</w:t>
      </w:r>
    </w:p>
    <w:p>
      <w:pPr>
        <w:pStyle w:val="BodyText"/>
      </w:pPr>
      <w:r>
        <w:rPr>
          <w:bCs/>
          <w:b/>
        </w:rPr>
        <w:t xml:space="preserve">Hyperspectral inversion</w:t>
      </w:r>
      <w:r>
        <w:t xml:space="preserve">: with hyperspectral sensors (AVIRIS, EnMAP, PRISMA, and ISRO’s own hyperspectral payloads), the full continuous reflectance spectrum (hundreds of narrow bands) can be inverted simultaneously against PROSPECT/PROSAIL simulated spectra, improving retrieval of chlorophyll, water content, and dry matter versus multispectral inversion, though at a higher computational and sensor cost.</w:t>
      </w:r>
    </w:p>
    <w:p>
      <w:pPr>
        <w:pStyle w:val="BodyText"/>
      </w:pPr>
      <w:r>
        <w:rPr>
          <w:bCs/>
          <w:b/>
        </w:rPr>
        <w:t xml:space="preserve">Table 2 — RTM model structure: inputs and outputs</w:t>
      </w:r>
    </w:p>
    <w:tbl>
      <w:tblPr>
        <w:tblStyle w:val="Table"/>
        <w:tblW w:type="pct" w:w="4965"/>
        <w:jc w:val="left"/>
        <w:tblLook w:firstRow="1" w:lastRow="0" w:firstColumn="0" w:lastColumn="0" w:noHBand="0" w:noVBand="0" w:val="0020"/>
      </w:tblPr>
      <w:tblGrid>
        <w:gridCol w:w="725"/>
        <w:gridCol w:w="892"/>
        <w:gridCol w:w="4461"/>
        <w:gridCol w:w="1784"/>
      </w:tblGrid>
      <w:tr>
        <w:trPr>
          <w:tblHeader w:val="true"/>
        </w:trPr>
        <w:tc>
          <w:tcPr/>
          <w:p>
            <w:pPr>
              <w:pStyle w:val="Compact"/>
              <w:jc w:val="left"/>
            </w:pPr>
            <w:r>
              <w:t xml:space="preserve">Model</w:t>
            </w:r>
          </w:p>
        </w:tc>
        <w:tc>
          <w:tcPr/>
          <w:p>
            <w:pPr>
              <w:pStyle w:val="Compact"/>
              <w:jc w:val="left"/>
            </w:pPr>
            <w:r>
              <w:t xml:space="preserve">Scale</w:t>
            </w:r>
          </w:p>
        </w:tc>
        <w:tc>
          <w:tcPr/>
          <w:p>
            <w:pPr>
              <w:pStyle w:val="Compact"/>
              <w:jc w:val="left"/>
            </w:pPr>
            <w:r>
              <w:t xml:space="preserve">Key Inputs</w:t>
            </w:r>
          </w:p>
        </w:tc>
        <w:tc>
          <w:tcPr/>
          <w:p>
            <w:pPr>
              <w:pStyle w:val="Compact"/>
              <w:jc w:val="left"/>
            </w:pPr>
            <w:r>
              <w:t xml:space="preserve">Key Outputs</w:t>
            </w:r>
          </w:p>
        </w:tc>
      </w:tr>
      <w:tr>
        <w:tc>
          <w:tcPr/>
          <w:p>
            <w:pPr>
              <w:pStyle w:val="Compact"/>
              <w:jc w:val="left"/>
            </w:pPr>
            <w:r>
              <w:t xml:space="preserve">PROSPECT (4/5/D/PRO)</w:t>
            </w:r>
          </w:p>
        </w:tc>
        <w:tc>
          <w:tcPr/>
          <w:p>
            <w:pPr>
              <w:pStyle w:val="Compact"/>
              <w:jc w:val="left"/>
            </w:pPr>
            <w:r>
              <w:t xml:space="preserve">Leaf</w:t>
            </w:r>
          </w:p>
        </w:tc>
        <w:tc>
          <w:tcPr/>
          <w:p>
            <w:pPr>
              <w:pStyle w:val="Compact"/>
              <w:jc w:val="left"/>
            </w:pPr>
            <w:r>
              <w:t xml:space="preserve">N (structure), Cab (chlorophyll), Ccx (carotenoids), Canth (anthocyanin), Cbrown, Cw (water), Cm (dry matter), Cp/Ccl (protein/lignin-cellulose, PRO version)</w:t>
            </w:r>
          </w:p>
        </w:tc>
        <w:tc>
          <w:tcPr/>
          <w:p>
            <w:pPr>
              <w:pStyle w:val="Compact"/>
              <w:jc w:val="left"/>
            </w:pPr>
            <w:r>
              <w:t xml:space="preserve">Leaf hemispherical reflectance &amp; transmittance (400–2500 nm)</w:t>
            </w:r>
          </w:p>
        </w:tc>
      </w:tr>
      <w:tr>
        <w:tc>
          <w:tcPr/>
          <w:p>
            <w:pPr>
              <w:pStyle w:val="Compact"/>
              <w:jc w:val="left"/>
            </w:pPr>
            <w:r>
              <w:t xml:space="preserve">SAIL/4SAIL</w:t>
            </w:r>
          </w:p>
        </w:tc>
        <w:tc>
          <w:tcPr/>
          <w:p>
            <w:pPr>
              <w:pStyle w:val="Compact"/>
              <w:jc w:val="left"/>
            </w:pPr>
            <w:r>
              <w:t xml:space="preserve">Canopy</w:t>
            </w:r>
          </w:p>
        </w:tc>
        <w:tc>
          <w:tcPr/>
          <w:p>
            <w:pPr>
              <w:pStyle w:val="Compact"/>
              <w:jc w:val="left"/>
            </w:pPr>
            <w:r>
              <w:t xml:space="preserve">LAI, leaf angle distribution (LIDF), hot-spot parameter, soil reflectance, diffuse fraction, sun-view geometry</w:t>
            </w:r>
          </w:p>
        </w:tc>
        <w:tc>
          <w:tcPr/>
          <w:p>
            <w:pPr>
              <w:pStyle w:val="Compact"/>
              <w:jc w:val="left"/>
            </w:pPr>
            <w:r>
              <w:t xml:space="preserve">Canopy bidirectional reflectance factor (BRF)</w:t>
            </w:r>
          </w:p>
        </w:tc>
      </w:tr>
      <w:tr>
        <w:tc>
          <w:tcPr/>
          <w:p>
            <w:pPr>
              <w:pStyle w:val="Compact"/>
              <w:jc w:val="left"/>
            </w:pPr>
            <w:r>
              <w:t xml:space="preserve">PROSAIL</w:t>
            </w:r>
          </w:p>
        </w:tc>
        <w:tc>
          <w:tcPr/>
          <w:p>
            <w:pPr>
              <w:pStyle w:val="Compact"/>
              <w:jc w:val="left"/>
            </w:pPr>
            <w:r>
              <w:t xml:space="preserve">Leaf + Canopy</w:t>
            </w:r>
          </w:p>
        </w:tc>
        <w:tc>
          <w:tcPr/>
          <w:p>
            <w:pPr>
              <w:pStyle w:val="Compact"/>
              <w:jc w:val="left"/>
            </w:pPr>
            <w:r>
              <w:t xml:space="preserve">Union of PROSPECT + SAIL inputs</w:t>
            </w:r>
          </w:p>
        </w:tc>
        <w:tc>
          <w:tcPr/>
          <w:p>
            <w:pPr>
              <w:pStyle w:val="Compact"/>
              <w:jc w:val="left"/>
            </w:pPr>
            <w:r>
              <w:t xml:space="preserve">Canopy-level spectral reflectance across VNIR–SWIR</w:t>
            </w:r>
          </w:p>
        </w:tc>
      </w:tr>
      <w:tr>
        <w:tc>
          <w:tcPr/>
          <w:p>
            <w:pPr>
              <w:pStyle w:val="Compact"/>
              <w:jc w:val="left"/>
            </w:pPr>
            <w:r>
              <w:t xml:space="preserve">Water Cloud Model (WCM)</w:t>
            </w:r>
          </w:p>
        </w:tc>
        <w:tc>
          <w:tcPr/>
          <w:p>
            <w:pPr>
              <w:pStyle w:val="Compact"/>
              <w:jc w:val="left"/>
            </w:pPr>
            <w:r>
              <w:t xml:space="preserve">Canopy (radar)</w:t>
            </w:r>
          </w:p>
        </w:tc>
        <w:tc>
          <w:tcPr/>
          <w:p>
            <w:pPr>
              <w:pStyle w:val="Compact"/>
              <w:jc w:val="left"/>
            </w:pPr>
            <w:r>
              <w:t xml:space="preserve">Vegetation descriptor (LAI/VWC), soil moisture, empirical coefficients (A, B, C, D)</w:t>
            </w:r>
          </w:p>
        </w:tc>
        <w:tc>
          <w:tcPr/>
          <w:p>
            <w:pPr>
              <w:pStyle w:val="Compact"/>
              <w:jc w:val="left"/>
            </w:pPr>
            <w:r>
              <w:t xml:space="preserve">Radar backscatter coefficient (σ⁰)</w:t>
            </w:r>
          </w:p>
        </w:tc>
      </w:tr>
      <w:tr>
        <w:tc>
          <w:tcPr/>
          <w:p>
            <w:pPr>
              <w:pStyle w:val="Compact"/>
              <w:jc w:val="left"/>
            </w:pPr>
            <w:r>
              <w:t xml:space="preserve">Tau-Omega (τ–ω)</w:t>
            </w:r>
          </w:p>
        </w:tc>
        <w:tc>
          <w:tcPr/>
          <w:p>
            <w:pPr>
              <w:pStyle w:val="Compact"/>
              <w:jc w:val="left"/>
            </w:pPr>
            <w:r>
              <w:t xml:space="preserve">Canopy (microwave radiometry)</w:t>
            </w:r>
          </w:p>
        </w:tc>
        <w:tc>
          <w:tcPr/>
          <w:p>
            <w:pPr>
              <w:pStyle w:val="Compact"/>
              <w:jc w:val="left"/>
            </w:pPr>
            <w:r>
              <w:t xml:space="preserve">Soil dielectric constant (→ soil moisture), vegetation optical depth (τ), single scattering albedo (ω), surface roughness</w:t>
            </w:r>
          </w:p>
        </w:tc>
        <w:tc>
          <w:tcPr/>
          <w:p>
            <w:pPr>
              <w:pStyle w:val="Compact"/>
              <w:jc w:val="left"/>
            </w:pPr>
            <w:r>
              <w:t xml:space="preserve">Brightness temperature (Tb)</w:t>
            </w:r>
          </w:p>
        </w:tc>
      </w:tr>
    </w:tbl>
    <w:p>
      <w:pPr>
        <w:pStyle w:val="Heading3"/>
      </w:pPr>
      <w:r>
        <w:t xml:space="preserve">40.3.3 Semi-Empirical Models</w:t>
      </w:r>
    </w:p>
    <w:p>
      <w:pPr>
        <w:pStyle w:val="FirstParagraph"/>
      </w:pPr>
      <w:r>
        <w:t xml:space="preserve">Semi-empirical models combine a physical basis with empirically fitted coefficients, striking a balance between the transferability of RTMs and the simplicity of pure regression. Examples: the Water Cloud Model for SAR-based soil moisture/vegetation retrieval (Attema &amp; Ulaby, 1978), the Oh model and Dubois model for bare-soil backscatter, and semi-empirical BRDF kernel models (e.g., RossThick-LiSparse used in the MODIS BRDF/Albedo product) that separate volumetric, geometric-optical, and isotropic scattering components with kernel weights fitted from multi-angle observations.</w:t>
      </w:r>
    </w:p>
    <w:p>
      <w:pPr>
        <w:pStyle w:val="Heading2"/>
      </w:pPr>
      <w:r>
        <w:t xml:space="preserve">40.4 Inversion Techniques</w:t>
      </w:r>
    </w:p>
    <w:p>
      <w:pPr>
        <w:pStyle w:val="FirstParagraph"/>
      </w:pPr>
      <w:r>
        <w:t xml:space="preserve">Retrieval using an RTM requires</w:t>
      </w:r>
      <w:r>
        <w:t xml:space="preserve"> </w:t>
      </w:r>
      <w:r>
        <w:rPr>
          <w:bCs/>
          <w:b/>
        </w:rPr>
        <w:t xml:space="preserve">inverting</w:t>
      </w:r>
      <w:r>
        <w:t xml:space="preserve"> </w:t>
      </w:r>
      <w:r>
        <w:t xml:space="preserve">the forward model — i.e., finding the set of biophysical parameters that best reproduces an observed reflectance/backscatter spectrum. This inverse problem is central to RTM-based retrieval and is more mathematically demanding than simple VI regression.</w:t>
      </w:r>
    </w:p>
    <w:p>
      <w:pPr>
        <w:pStyle w:val="BodyText"/>
      </w:pPr>
      <w:r>
        <w:drawing>
          <wp:inline>
            <wp:extent cx="5334000" cy="7560615"/>
            <wp:effectExtent b="0" l="0" r="0" t="0"/>
            <wp:docPr descr="" title="" id="138" name="Picture"/>
            <a:graphic>
              <a:graphicData uri="http://schemas.openxmlformats.org/drawingml/2006/picture">
                <pic:pic>
                  <pic:nvPicPr>
                    <pic:cNvPr descr="up/media/media/image12.png" id="139" name="Picture"/>
                    <pic:cNvPicPr>
                      <a:picLocks noChangeArrowheads="1" noChangeAspect="1"/>
                    </pic:cNvPicPr>
                  </pic:nvPicPr>
                  <pic:blipFill>
                    <a:blip r:embed="rId137"/>
                    <a:stretch>
                      <a:fillRect/>
                    </a:stretch>
                  </pic:blipFill>
                  <pic:spPr bwMode="auto">
                    <a:xfrm>
                      <a:off x="0" y="0"/>
                      <a:ext cx="5334000" cy="7560615"/>
                    </a:xfrm>
                    <a:prstGeom prst="rect">
                      <a:avLst/>
                    </a:prstGeom>
                    <a:noFill/>
                    <a:ln w="9525">
                      <a:noFill/>
                      <a:headEnd/>
                      <a:tailEnd/>
                    </a:ln>
                  </pic:spPr>
                </pic:pic>
              </a:graphicData>
            </a:graphic>
          </wp:inline>
        </w:drawing>
      </w:r>
    </w:p>
    <w:p>
      <w:pPr>
        <w:pStyle w:val="BodyText"/>
      </w:pPr>
      <w:r>
        <w:rPr>
          <w:bCs/>
          <w:b/>
        </w:rPr>
        <w:t xml:space="preserve">Figure: Biophysical Parameter Retrieval Workflow — empirical, physically-based (RTM inversion), and hybrid/machine-learning approaches, followed by calibration/validation.</w:t>
      </w:r>
    </w:p>
    <w:p>
      <w:pPr>
        <w:pStyle w:val="Heading3"/>
      </w:pPr>
      <w:r>
        <w:t xml:space="preserve">40.4.1 The Ill-Posed Inverse Problem</w:t>
      </w:r>
    </w:p>
    <w:p>
      <w:pPr>
        <w:pStyle w:val="FirstParagraph"/>
      </w:pPr>
      <w:r>
        <w:t xml:space="preserve">RTM inversion is a classic</w:t>
      </w:r>
      <w:r>
        <w:t xml:space="preserve"> </w:t>
      </w:r>
      <w:r>
        <w:rPr>
          <w:bCs/>
          <w:b/>
        </w:rPr>
        <w:t xml:space="preserve">ill-posed inverse problem</w:t>
      </w:r>
      <w:r>
        <w:t xml:space="preserve"> </w:t>
      </w:r>
      <w:r>
        <w:t xml:space="preserve">in the Hadamard sense: solutions may not exist, may not be unique, and/or may not depend continuously on the data (i.e., small measurement noise can cause large parameter errors). In vegetation RTM inversion, ill-posedness arises primarily from:</w:t>
      </w:r>
    </w:p>
    <w:p>
      <w:pPr>
        <w:numPr>
          <w:ilvl w:val="0"/>
          <w:numId w:val="1301"/>
        </w:numPr>
      </w:pPr>
      <w:r>
        <w:rPr>
          <w:bCs/>
          <w:b/>
        </w:rPr>
        <w:t xml:space="preserve">Under-determination</w:t>
      </w:r>
      <w:r>
        <w:t xml:space="preserve">: a multispectral sensor (e.g., 4–13 bands) provides far fewer independent measurements than the number of free RTM parameters (typically 6–10 for PROSAIL), so multiple parameter combinations can produce statistically indistinguishable spectra — this is the classic</w:t>
      </w:r>
      <w:r>
        <w:t xml:space="preserve"> </w:t>
      </w:r>
      <w:r>
        <w:rPr>
          <w:bCs/>
          <w:b/>
        </w:rPr>
        <w:t xml:space="preserve">equifinality</w:t>
      </w:r>
      <w:r>
        <w:t xml:space="preserve"> </w:t>
      </w:r>
      <w:r>
        <w:t xml:space="preserve">or</w:t>
      </w:r>
      <w:r>
        <w:t xml:space="preserve"> </w:t>
      </w:r>
      <w:r>
        <w:rPr>
          <w:bCs/>
          <w:b/>
        </w:rPr>
        <w:t xml:space="preserve">parameter compensation</w:t>
      </w:r>
      <w:r>
        <w:t xml:space="preserve"> </w:t>
      </w:r>
      <w:r>
        <w:t xml:space="preserve">problem (e.g., high LAI with low chlorophyll can mimic low LAI with high chlorophyll in some bands).</w:t>
      </w:r>
    </w:p>
    <w:p>
      <w:pPr>
        <w:numPr>
          <w:ilvl w:val="0"/>
          <w:numId w:val="1301"/>
        </w:numPr>
      </w:pPr>
      <w:r>
        <w:rPr>
          <w:bCs/>
          <w:b/>
        </w:rPr>
        <w:t xml:space="preserve">Parameter correlation/coupling</w:t>
      </w:r>
      <w:r>
        <w:t xml:space="preserve">: several inputs affect the same spectral region (e.g., LAI and leaf angle distribution both strongly influence NIR reflectance), making them difficult to disentangle from reflectance alone.</w:t>
      </w:r>
    </w:p>
    <w:p>
      <w:pPr>
        <w:numPr>
          <w:ilvl w:val="0"/>
          <w:numId w:val="1301"/>
        </w:numPr>
      </w:pPr>
      <w:r>
        <w:rPr>
          <w:bCs/>
          <w:b/>
        </w:rPr>
        <w:t xml:space="preserve">Noise amplification</w:t>
      </w:r>
      <w:r>
        <w:t xml:space="preserve">: sensor noise, atmospheric correction residuals, and BRDF effects propagate non-linearly through the inversion, and small radiometric errors can translate into large errors in retrieved parameters, especially at the extremes of the parameter range (very low or very high LAI).</w:t>
      </w:r>
    </w:p>
    <w:p>
      <w:pPr>
        <w:pStyle w:val="Heading3"/>
      </w:pPr>
      <w:r>
        <w:t xml:space="preserve">40.4.2 Regularization Strategies</w:t>
      </w:r>
    </w:p>
    <w:p>
      <w:pPr>
        <w:pStyle w:val="FirstParagraph"/>
      </w:pPr>
      <w:r>
        <w:t xml:space="preserve">To make the ill-posed problem tractable, several regularization approaches are used:</w:t>
      </w:r>
    </w:p>
    <w:p>
      <w:pPr>
        <w:pStyle w:val="Compact"/>
        <w:numPr>
          <w:ilvl w:val="0"/>
          <w:numId w:val="1302"/>
        </w:numPr>
      </w:pPr>
      <w:r>
        <w:rPr>
          <w:bCs/>
          <w:b/>
        </w:rPr>
        <w:t xml:space="preserve">Constraining the parameter search space</w:t>
      </w:r>
      <w:r>
        <w:t xml:space="preserve"> </w:t>
      </w:r>
      <w:r>
        <w:t xml:space="preserve">using prior knowledge (e.g., crop-type-specific ranges for leaf angle distribution, plausible chlorophyll ranges from phenological stage) to exclude physically implausible solutions.</w:t>
      </w:r>
    </w:p>
    <w:p>
      <w:pPr>
        <w:pStyle w:val="Compact"/>
        <w:numPr>
          <w:ilvl w:val="0"/>
          <w:numId w:val="1302"/>
        </w:numPr>
      </w:pPr>
      <w:r>
        <w:rPr>
          <w:bCs/>
          <w:b/>
        </w:rPr>
        <w:t xml:space="preserve">Multi-temporal/multi-angular regularization</w:t>
      </w:r>
      <w:r>
        <w:t xml:space="preserve">: using several acquisition dates or view angles simultaneously reduces the ill-posedness by adding independent equations without adding new unknowns per date (assuming some parameters, like soil reflectance or leaf angle distribution, are held constant across the time series).</w:t>
      </w:r>
    </w:p>
    <w:p>
      <w:pPr>
        <w:pStyle w:val="Compact"/>
        <w:numPr>
          <w:ilvl w:val="0"/>
          <w:numId w:val="1302"/>
        </w:numPr>
      </w:pPr>
      <w:r>
        <w:rPr>
          <w:bCs/>
          <w:b/>
        </w:rPr>
        <w:t xml:space="preserve">Bayesian/prior-informed inversion</w:t>
      </w:r>
      <w:r>
        <w:t xml:space="preserve">: introducing a prior probability distribution (mean and covariance) on the parameters from climatology or field databases, and solving for the posterior via cost functions that penalize deviation from the prior — this is the approach adopted in the ESA Sentinel-2 Biophysical Processor (Weiss &amp; Baret) and in many operational LAI/FAPAR algorithms.</w:t>
      </w:r>
    </w:p>
    <w:p>
      <w:pPr>
        <w:pStyle w:val="Compact"/>
        <w:numPr>
          <w:ilvl w:val="0"/>
          <w:numId w:val="1302"/>
        </w:numPr>
      </w:pPr>
      <w:r>
        <w:rPr>
          <w:bCs/>
          <w:b/>
        </w:rPr>
        <w:t xml:space="preserve">Merit/cost function formulation with regularization terms</w:t>
      </w:r>
      <w:r>
        <w:t xml:space="preserve">: minimizing a cost function of the form</w:t>
      </w:r>
      <w:r>
        <w:br/>
      </w:r>
      <w:r>
        <w:t xml:space="preserve">J(x) = (1/2)(R_sim(x) − R_obs)ᵀ S⁻¹ (R_sim(x) − R_obs) + (1/2)(x − x_prior)ᵀ C⁻¹ (x − x_prior)</w:t>
      </w:r>
      <w:r>
        <w:br/>
      </w:r>
      <w:r>
        <w:t xml:space="preserve">where S is the measurement (and model) error covariance and C is the prior parameter covariance — effectively an optimal estimation / Tikhonov-type regularization.</w:t>
      </w:r>
    </w:p>
    <w:p>
      <w:pPr>
        <w:pStyle w:val="Compact"/>
        <w:numPr>
          <w:ilvl w:val="0"/>
          <w:numId w:val="1302"/>
        </w:numPr>
      </w:pPr>
      <w:r>
        <w:rPr>
          <w:bCs/>
          <w:b/>
        </w:rPr>
        <w:t xml:space="preserve">Ensemble/multiple-solution retention</w:t>
      </w:r>
      <w:r>
        <w:t xml:space="preserve">: rather than a single best-fit, retaining the mean and standard deviation of all solutions within a defined RMSE tolerance from LUT inversion characterizes retrieval uncertainty explicitly.</w:t>
      </w:r>
    </w:p>
    <w:p>
      <w:pPr>
        <w:pStyle w:val="Heading3"/>
      </w:pPr>
      <w:r>
        <w:t xml:space="preserve">40.4.3 Look-Up Table (LUT) Inversion</w:t>
      </w:r>
    </w:p>
    <w:p>
      <w:pPr>
        <w:pStyle w:val="FirstParagraph"/>
      </w:pPr>
      <w:r>
        <w:t xml:space="preserve">The LUT approach pre-computes a large database of simulated reflectance spectra by running the forward RTM (e.g., PROSAIL) over a systematically or randomly sampled combination of input parameters (often using Latin Hypercube or Sobol sampling to cover the parameter space efficiently). For a given observed pixel spectrum, the LUT is searched for the closest matches (minimizing a cost/merit function, typically RMSE between simulated and observed reflectance across bands), and the retrieved parameter is taken as the value (or the weighted mean of the N-best matches) associated with the best-matching entries.</w:t>
      </w:r>
    </w:p>
    <w:p>
      <w:pPr>
        <w:pStyle w:val="BodyText"/>
      </w:pPr>
      <w:r>
        <w:t xml:space="preserve">Advantages: computationally fast once the LUT is built (critical for wall-to-wall operational processing of large image archives); allows natural quantification of retrieval uncertainty from the spread of near-optimal solutions; and does not require gradient computation, so it is robust to non-smooth or multi-modal cost functions. Limitations: LUT density/coverage strongly affects accuracy; a coarse or poorly bounded LUT can miss the true solution; and LUTs must be crop/site-conditioned (e.g., angle-of-view-specific and crop-type-specific) to avoid excessive equifinality.</w:t>
      </w:r>
    </w:p>
    <w:p>
      <w:pPr>
        <w:pStyle w:val="Heading3"/>
      </w:pPr>
      <w:r>
        <w:t xml:space="preserve">40.4.4 Iterative (Numerical) Optimization</w:t>
      </w:r>
    </w:p>
    <w:p>
      <w:pPr>
        <w:pStyle w:val="FirstParagraph"/>
      </w:pPr>
      <w:r>
        <w:t xml:space="preserve">Alternatively, the RTM can be inverted by iterative numerical optimization algorithms (Levenberg-Marquardt, Nelder-Mead simplex, gradient descent, genetic algorithms, simulated annealing) that search continuously through parameter space to minimize the cost function between simulated and observed reflectance, starting from an initial guess. This can achieve high precision for a single pixel/spectrum but is computationally expensive for large-area, high-repeat-frequency processing, and is sensitive to the choice of initial values and local minima (a manifestation of the ill-posedness described above).</w:t>
      </w:r>
    </w:p>
    <w:p>
      <w:pPr>
        <w:pStyle w:val="Heading3"/>
      </w:pPr>
      <w:r>
        <w:t xml:space="preserve">40.4.5 Machine Learning / Neural Network-Based Inversion</w:t>
      </w:r>
    </w:p>
    <w:p>
      <w:pPr>
        <w:pStyle w:val="FirstParagraph"/>
      </w:pPr>
      <w:r>
        <w:t xml:space="preserve">Neural networks (and other ML regressors — random forests, support vector regression, Gaussian process regression) are trained on RTM-simulated (reflectance, parameter) pairs to learn the inverse mapping directly, or trained on paired satellite-observation/ground-truth datasets. Once trained, application to new imagery is extremely fast (a single forward pass per pixel), making NN-based inversion attractive for operational, global-scale products. This is the approach used in ESA’s Sentinel-2 Biophysical Processor (multi-layer perceptron trained on PROSAIL-simulated data) and in the MODIS/VIIRS LAI/FPAR algorithm’s</w:t>
      </w:r>
      <w:r>
        <w:t xml:space="preserve"> </w:t>
      </w:r>
      <w:r>
        <w:t xml:space="preserve">“</w:t>
      </w:r>
      <w:r>
        <w:t xml:space="preserve">back-up</w:t>
      </w:r>
      <w:r>
        <w:t xml:space="preserve">”</w:t>
      </w:r>
      <w:r>
        <w:t xml:space="preserve"> </w:t>
      </w:r>
      <w:r>
        <w:t xml:space="preserve">empirical relationships when the primary physically-based algorithm fails to converge. Increasingly, deep learning (CNNs incorporating spatial context, or LSTM/transformer architectures for time series) is used, and</w:t>
      </w:r>
      <w:r>
        <w:t xml:space="preserve"> </w:t>
      </w:r>
      <w:r>
        <w:t xml:space="preserve">“</w:t>
      </w:r>
      <w:r>
        <w:t xml:space="preserve">hybrid</w:t>
      </w:r>
      <w:r>
        <w:t xml:space="preserve">”</w:t>
      </w:r>
      <w:r>
        <w:t xml:space="preserve"> </w:t>
      </w:r>
      <w:r>
        <w:t xml:space="preserve">retrieval — training ML models on RTM-simulated data augmented with limited real ground-truth data — combines the physical grounding of RTMs with the computational speed of ML.</w:t>
      </w:r>
    </w:p>
    <w:p>
      <w:pPr>
        <w:pStyle w:val="Heading3"/>
      </w:pPr>
      <w:r>
        <w:t xml:space="preserve">40.4.6 Hybrid Methods</w:t>
      </w:r>
    </w:p>
    <w:p>
      <w:pPr>
        <w:pStyle w:val="FirstParagraph"/>
      </w:pPr>
      <w:r>
        <w:t xml:space="preserve">Hybrid retrieval explicitly merges physically-based simulation with statistical/ML learning: RTM simulations generate a large, physically consistent training dataset spanning realistic parameter ranges and acquisition geometries; ML regressors are then trained on this simulated dataset (optionally fine-tuned/calibrated with real field data) to learn the inversion function. This approach underlies most current-generation operational biophysical products (e.g., Copernicus Global Land Service LAI/FAPAR/FCOVER, Sentinel-2 Biophysical Processor) because it retains physical realism while achieving the computational efficiency needed for continental/global operational processing.</w:t>
      </w:r>
    </w:p>
    <w:p>
      <w:pPr>
        <w:pStyle w:val="Heading2"/>
      </w:pPr>
      <w:r>
        <w:t xml:space="preserve">40.5 Calibration and Validation (Cal/Val) Methodology</w:t>
      </w:r>
    </w:p>
    <w:p>
      <w:pPr>
        <w:pStyle w:val="Heading3"/>
      </w:pPr>
      <w:r>
        <w:t xml:space="preserve">40.5.1 Why Cal/Val Matters</w:t>
      </w:r>
    </w:p>
    <w:p>
      <w:pPr>
        <w:pStyle w:val="FirstParagraph"/>
      </w:pPr>
      <w:r>
        <w:t xml:space="preserve">No satellite-derived biophysical product is operationally usable without a quantified, independently assessed accuracy. Cal/Val establishes confidence intervals, identifies systematic biases (e.g., saturation, sensor/algorithm artifacts), and enables inter-comparison across missions/algorithms — essential for assimilating remote sensing products into crop models or issuing operational agricultural advisories (as in ISRO-SAC’s FASAL programme).</w:t>
      </w:r>
    </w:p>
    <w:p>
      <w:pPr>
        <w:pStyle w:val="Heading3"/>
      </w:pPr>
      <w:r>
        <w:t xml:space="preserve">40.5.2 Ground-Truth / In-Situ Campaigns</w:t>
      </w:r>
    </w:p>
    <w:p>
      <w:pPr>
        <w:pStyle w:val="FirstParagraph"/>
      </w:pPr>
      <w:r>
        <w:t xml:space="preserve">Field campaigns collect direct, destructive or non-destructive ground measurements coincident (in time and space) with satellite overpasses: -</w:t>
      </w:r>
      <w:r>
        <w:t xml:space="preserve"> </w:t>
      </w:r>
      <w:r>
        <w:rPr>
          <w:bCs/>
          <w:b/>
        </w:rPr>
        <w:t xml:space="preserve">LAI</w:t>
      </w:r>
      <w:r>
        <w:t xml:space="preserve">: destructive leaf-area harvesting (allometric/direct measurement, considered the</w:t>
      </w:r>
      <w:r>
        <w:t xml:space="preserve"> </w:t>
      </w:r>
      <w:r>
        <w:t xml:space="preserve">“</w:t>
      </w:r>
      <w:r>
        <w:t xml:space="preserve">gold standard</w:t>
      </w:r>
      <w:r>
        <w:t xml:space="preserve">”</w:t>
      </w:r>
      <w:r>
        <w:t xml:space="preserve"> </w:t>
      </w:r>
      <w:r>
        <w:t xml:space="preserve">but labour-intensive and destructive) or indirect optical instruments (LAI-2200 Plant Canopy Analyzer, hemispherical/fisheye photography, ceptometers like the AccuPAR) that measure canopy gap fraction and derive effective LAI (requiring clumping correction for true LAI). -</w:t>
      </w:r>
      <w:r>
        <w:t xml:space="preserve"> </w:t>
      </w:r>
      <w:r>
        <w:rPr>
          <w:bCs/>
          <w:b/>
        </w:rPr>
        <w:t xml:space="preserve">Soil moisture</w:t>
      </w:r>
      <w:r>
        <w:t xml:space="preserve">: gravimetric sampling with oven-drying (destructive, ground truth reference), time-domain reflectometry (TDR) or capacitance probes for continuous in-situ monitoring, often organized into dense</w:t>
      </w:r>
      <w:r>
        <w:t xml:space="preserve"> </w:t>
      </w:r>
      <w:r>
        <w:rPr>
          <w:bCs/>
          <w:b/>
        </w:rPr>
        <w:t xml:space="preserve">soil moisture networks</w:t>
      </w:r>
      <w:r>
        <w:t xml:space="preserve"> </w:t>
      </w:r>
      <w:r>
        <w:t xml:space="preserve">(e.g., International Soil Moisture Network, ISMN) for satellite validation. -</w:t>
      </w:r>
      <w:r>
        <w:t xml:space="preserve"> </w:t>
      </w:r>
      <w:r>
        <w:rPr>
          <w:bCs/>
          <w:b/>
        </w:rPr>
        <w:t xml:space="preserve">Biomass</w:t>
      </w:r>
      <w:r>
        <w:t xml:space="preserve">: destructive quadrat harvesting, drying, and weighing. -</w:t>
      </w:r>
      <w:r>
        <w:t xml:space="preserve"> </w:t>
      </w:r>
      <w:r>
        <w:rPr>
          <w:bCs/>
          <w:b/>
        </w:rPr>
        <w:t xml:space="preserve">ET</w:t>
      </w:r>
      <w:r>
        <w:t xml:space="preserve">: eddy covariance towers (direct turbulent flux measurement) and weighing lysimeters (direct water balance measurement) are the two primary validation references. -</w:t>
      </w:r>
      <w:r>
        <w:t xml:space="preserve"> </w:t>
      </w:r>
      <w:r>
        <w:rPr>
          <w:bCs/>
          <w:b/>
        </w:rPr>
        <w:t xml:space="preserve">Chlorophyll</w:t>
      </w:r>
      <w:r>
        <w:t xml:space="preserve">: SPAD meter readings (proxy, requiring site-specific calibration to actual chlorophyll content) or laboratory spectrophotometric/HPLC extraction (destructive, absolute reference).</w:t>
      </w:r>
    </w:p>
    <w:p>
      <w:pPr>
        <w:pStyle w:val="Heading3"/>
      </w:pPr>
      <w:r>
        <w:t xml:space="preserve">40.5.3 Elementary Sampling Units (ESU) and Spatial Sampling Design</w:t>
      </w:r>
    </w:p>
    <w:p>
      <w:pPr>
        <w:pStyle w:val="FirstParagraph"/>
      </w:pPr>
      <w:r>
        <w:t xml:space="preserve">Because satellite pixels integrate reflectance/backscatter over areas (tens to thousands of metres) much larger than typical point ground measurements, validation requires a formal spatial sampling design. The CEOS LPV protocol formalizes the concept of the</w:t>
      </w:r>
      <w:r>
        <w:t xml:space="preserve"> </w:t>
      </w:r>
      <w:r>
        <w:rPr>
          <w:bCs/>
          <w:b/>
        </w:rPr>
        <w:t xml:space="preserve">Elementary Sampling Unit (ESU)</w:t>
      </w:r>
      <w:r>
        <w:t xml:space="preserve"> </w:t>
      </w:r>
      <w:r>
        <w:t xml:space="preserve">— typically a 20 m × 20 m to 30 m × 30 m plot (matched to moderate-resolution sensor pixel size, e.g., Landsat/Sentinel-2) within which multiple point measurements are averaged to characterize the ESU-mean value with known uncertainty, explicitly accounting for within-ESU spatial variability. Multiple ESUs are distributed across a validation site to capture the range of land cover/crop conditions, following either a fixed transect/grid design or an adaptive/stratified design based on ancillary high-resolution imagery.</w:t>
      </w:r>
    </w:p>
    <w:p>
      <w:pPr>
        <w:pStyle w:val="Heading3"/>
      </w:pPr>
      <w:r>
        <w:t xml:space="preserve">40.5.4 Direct vs. Indirect (Upscaling) Validation</w:t>
      </w:r>
    </w:p>
    <w:p>
      <w:pPr>
        <w:pStyle w:val="Compact"/>
        <w:numPr>
          <w:ilvl w:val="0"/>
          <w:numId w:val="1303"/>
        </w:numPr>
      </w:pPr>
      <w:r>
        <w:rPr>
          <w:bCs/>
          <w:b/>
        </w:rPr>
        <w:t xml:space="preserve">Direct validation</w:t>
      </w:r>
      <w:r>
        <w:t xml:space="preserve">: comparing satellite retrievals directly against ESU-averaged ground measurements at the same spatial support (site level), valid when the site is relatively homogeneous or when high-resolution (e.g., 10–30 m) sensors are being validated.</w:t>
      </w:r>
    </w:p>
    <w:p>
      <w:pPr>
        <w:pStyle w:val="Compact"/>
        <w:numPr>
          <w:ilvl w:val="0"/>
          <w:numId w:val="1303"/>
        </w:numPr>
      </w:pPr>
      <w:r>
        <w:rPr>
          <w:bCs/>
          <w:b/>
        </w:rPr>
        <w:t xml:space="preserve">Indirect (upscaling) validation</w:t>
      </w:r>
      <w:r>
        <w:t xml:space="preserve">: because ground sampling can practically cover only a limited area, ESU-level ground measurements are related to concurrently acquired high-resolution satellite imagery (e.g., a high-resolution reference product — Sentinel-2, Landsat, or even fine-resolution airborne/UAV imagery — calibrated and validated against ground ESUs) which is then spatially aggregated (</w:t>
      </w:r>
      <w:r>
        <w:t xml:space="preserve">“</w:t>
      </w:r>
      <w:r>
        <w:t xml:space="preserve">upscaled</w:t>
      </w:r>
      <w:r>
        <w:t xml:space="preserve">”</w:t>
      </w:r>
      <w:r>
        <w:t xml:space="preserve">) to match the resolution of coarser operational products (e.g., MODIS, VIIRS, PROBA-V 300 m–1 km) for landscape-scale validation. This two-step process — ground-to-high-resolution, then high-resolution-to-coarse-resolution — is the standard CEOS LPV approach and is essential for validating operational global products where ground sampling of the full pixel footprint is infeasible.</w:t>
      </w:r>
    </w:p>
    <w:p>
      <w:pPr>
        <w:pStyle w:val="Heading3"/>
      </w:pPr>
      <w:r>
        <w:t xml:space="preserve">40.5.5 Best-Practice Validation Protocols (CEOS LPV)</w:t>
      </w:r>
    </w:p>
    <w:p>
      <w:pPr>
        <w:pStyle w:val="FirstParagraph"/>
      </w:pPr>
      <w:r>
        <w:t xml:space="preserve">The Committee on Earth Observation Satellites (CEOS) Working Group on Calibration and Validation (WGCV) Land Product Validation (LPV) subgroup maintains internationally agreed</w:t>
      </w:r>
      <w:r>
        <w:t xml:space="preserve"> </w:t>
      </w:r>
      <w:r>
        <w:t xml:space="preserve">“</w:t>
      </w:r>
      <w:r>
        <w:t xml:space="preserve">good practice</w:t>
      </w:r>
      <w:r>
        <w:t xml:space="preserve">”</w:t>
      </w:r>
      <w:r>
        <w:t xml:space="preserve"> </w:t>
      </w:r>
      <w:r>
        <w:t xml:space="preserve">protocols for validating LAI, FAPAR, FCOVER, soil moisture, and other land products. Key elements include: 1. Standardized site selection criteria (representativeness of biomes/crop types, homogeneity, accessibility, availability of coincident high-resolution imagery). 2. Standardized ESU size and sampling density requirements. 3. Coincidence criteria (temporal window between field campaign and satellite overpass, typically within a few days for LAI/FAPAR given phenological change rates). 4. A common protocol for upscaling (regression or machine-learning based relationships between ground ESU data and high-resolution imagery reflectance/indices). 5. Standardized accuracy/uncertainty reporting metrics (see below), enabling cross-mission, cross-algorithm comparison.</w:t>
      </w:r>
    </w:p>
    <w:p>
      <w:pPr>
        <w:pStyle w:val="Heading3"/>
      </w:pPr>
      <w:r>
        <w:t xml:space="preserve">40.5.6 Error Metrics</w:t>
      </w:r>
    </w:p>
    <w:p>
      <w:pPr>
        <w:pStyle w:val="FirstParagraph"/>
      </w:pPr>
      <w:r>
        <w:t xml:space="preserve">Standard statistical metrics reported in validation studies:</w:t>
      </w:r>
    </w:p>
    <w:p>
      <w:pPr>
        <w:pStyle w:val="Compact"/>
        <w:numPr>
          <w:ilvl w:val="0"/>
          <w:numId w:val="1304"/>
        </w:numPr>
      </w:pPr>
      <w:r>
        <w:rPr>
          <w:bCs/>
          <w:b/>
        </w:rPr>
        <w:t xml:space="preserve">Bias (Mean Error)</w:t>
      </w:r>
      <w:r>
        <w:t xml:space="preserve">: (1/n)Σ(retrieved − observed) — systematic over/underestimation.</w:t>
      </w:r>
    </w:p>
    <w:p>
      <w:pPr>
        <w:pStyle w:val="Compact"/>
        <w:numPr>
          <w:ilvl w:val="0"/>
          <w:numId w:val="1304"/>
        </w:numPr>
      </w:pPr>
      <w:r>
        <w:rPr>
          <w:bCs/>
          <w:b/>
        </w:rPr>
        <w:t xml:space="preserve">RMSE (Root Mean Square Error)</w:t>
      </w:r>
      <w:r>
        <w:t xml:space="preserve">: √[(1/n)Σ(retrieved − observed)²] — overall accuracy combining bias and random error; often decomposed into</w:t>
      </w:r>
      <w:r>
        <w:t xml:space="preserve"> </w:t>
      </w:r>
      <w:r>
        <w:t xml:space="preserve">“</w:t>
      </w:r>
      <w:r>
        <w:t xml:space="preserve">unbiased RMSE</w:t>
      </w:r>
      <w:r>
        <w:t xml:space="preserve">”</w:t>
      </w:r>
      <w:r>
        <w:t xml:space="preserve"> </w:t>
      </w:r>
      <w:r>
        <w:t xml:space="preserve">(ubRMSE, with bias removed) to isolate random error, a metric especially emphasized in soil moisture validation.</w:t>
      </w:r>
    </w:p>
    <w:p>
      <w:pPr>
        <w:pStyle w:val="Compact"/>
        <w:numPr>
          <w:ilvl w:val="0"/>
          <w:numId w:val="1304"/>
        </w:numPr>
      </w:pPr>
      <w:r>
        <w:rPr>
          <w:bCs/>
          <w:b/>
        </w:rPr>
        <w:t xml:space="preserve">R² (coefficient of determination)</w:t>
      </w:r>
      <w:r>
        <w:t xml:space="preserve"> </w:t>
      </w:r>
      <w:r>
        <w:t xml:space="preserve">or correlation coefficient (r) — strength of linear association/precision (not accuracy — a high R² can coexist with large bias).</w:t>
      </w:r>
    </w:p>
    <w:p>
      <w:pPr>
        <w:pStyle w:val="Compact"/>
        <w:numPr>
          <w:ilvl w:val="0"/>
          <w:numId w:val="1304"/>
        </w:numPr>
      </w:pPr>
      <w:r>
        <w:rPr>
          <w:bCs/>
          <w:b/>
        </w:rPr>
        <w:t xml:space="preserve">Relative RMSE / Normalized RMSE</w:t>
      </w:r>
      <w:r>
        <w:t xml:space="preserve"> </w:t>
      </w:r>
      <w:r>
        <w:t xml:space="preserve">— RMSE normalized by mean or range of the observed variable, useful for cross-parameter/cross-site comparability.</w:t>
      </w:r>
    </w:p>
    <w:p>
      <w:pPr>
        <w:pStyle w:val="Compact"/>
        <w:numPr>
          <w:ilvl w:val="0"/>
          <w:numId w:val="1304"/>
        </w:numPr>
      </w:pPr>
      <w:r>
        <w:rPr>
          <w:bCs/>
          <w:b/>
        </w:rPr>
        <w:t xml:space="preserve">Triple Collocation</w:t>
      </w:r>
      <w:r>
        <w:t xml:space="preserve">: used particularly in soil moisture validation, this statistical technique estimates the error variance of three independent, spatially/temporally collocated but methodologically independent datasets (e.g., satellite, model/reanalysis, in-situ) without requiring one to be assumed</w:t>
      </w:r>
      <w:r>
        <w:t xml:space="preserve"> </w:t>
      </w:r>
      <w:r>
        <w:t xml:space="preserve">“</w:t>
      </w:r>
      <w:r>
        <w:t xml:space="preserve">true</w:t>
      </w:r>
      <w:r>
        <w:t xml:space="preserve">”</w:t>
      </w:r>
      <w:r>
        <w:t xml:space="preserve"> </w:t>
      </w:r>
      <w:r>
        <w:t xml:space="preserve">— valuable because in-situ point measurements themselves have representativeness errors relative to satellite footprint-scale soil moisture.</w:t>
      </w:r>
    </w:p>
    <w:p>
      <w:pPr>
        <w:pStyle w:val="Heading3"/>
      </w:pPr>
      <w:r>
        <w:t xml:space="preserve">40.5.7 Temporal and Spatial Upscaling</w:t>
      </w:r>
    </w:p>
    <w:p>
      <w:pPr>
        <w:pStyle w:val="FirstParagraph"/>
      </w:pPr>
      <w:r>
        <w:t xml:space="preserve">Beyond spatial upscaling,</w:t>
      </w:r>
      <w:r>
        <w:t xml:space="preserve"> </w:t>
      </w:r>
      <w:r>
        <w:rPr>
          <w:bCs/>
          <w:b/>
        </w:rPr>
        <w:t xml:space="preserve">temporal upscaling/compositing</w:t>
      </w:r>
      <w:r>
        <w:t xml:space="preserve"> </w:t>
      </w:r>
      <w:r>
        <w:t xml:space="preserve">is important because instantaneous/single-overpass retrievals (e.g., an 8-day or 16-day LAI composite, or an instantaneous METRIC ET at satellite overpass time extrapolated to daily/seasonal totals) must be validated against appropriately time-integrated ground references (e.g., comparing composite-period-average ground LAI, or comparing extrapolated daily/seasonal ET against integrated eddy-covariance/lysimeter totals rather than instantaneous flux). Mismatches in temporal support (instantaneous satellite retrieval vs. daily/8-day ground averages) are a frequently underappreciated source of apparent validation error.</w:t>
      </w:r>
    </w:p>
    <w:p>
      <w:pPr>
        <w:pStyle w:val="Heading2"/>
      </w:pPr>
      <w:r>
        <w:t xml:space="preserve">40.6 Challenges in Retrieval and Validation</w:t>
      </w:r>
    </w:p>
    <w:p>
      <w:pPr>
        <w:pStyle w:val="Heading3"/>
      </w:pPr>
      <w:r>
        <w:t xml:space="preserve">40.6.1 Saturation of Optical Indices at High Biomass/LAI</w:t>
      </w:r>
    </w:p>
    <w:p>
      <w:pPr>
        <w:pStyle w:val="FirstParagraph"/>
      </w:pPr>
      <w:r>
        <w:t xml:space="preserve">NDVI and similar red-NIR indices asymptotically saturate at LAI values above roughly 3–4 (crop-dependent), because canopy reflectance in the red band is already near its minimum (strongly absorbed by chlorophyll) and NIR reflectance approaches a structural maximum once the canopy is optically thick — additional leaf layers add little further absorption/scattering contrast. This is a major limitation for dense crops (maize, sugarcane) at peak vegetative stage. Mitigation strategies include: using SWIR-based or red-edge indices with better dynamic range, incorporating radar backscatter (which continues to respond to increasing biomass/structure well beyond optical saturation, though radar has its own saturation point at very high biomass, particularly at shorter wavelengths like C-band), and using RTM-based inversion (which, while also affected by reduced sensitivity at high LAI, at least provides an explicit uncertainty estimate reflecting this reduced information content).</w:t>
      </w:r>
    </w:p>
    <w:p>
      <w:pPr>
        <w:pStyle w:val="Heading3"/>
      </w:pPr>
      <w:r>
        <w:t xml:space="preserve">40.6.2 Mixed Pixels</w:t>
      </w:r>
    </w:p>
    <w:p>
      <w:pPr>
        <w:pStyle w:val="FirstParagraph"/>
      </w:pPr>
      <w:r>
        <w:t xml:space="preserve">Especially at coarse-to-moderate resolution (250 m–1 km, e.g., MODIS), a single pixel often contains a mixture of crop types, bare soil, roads, water bodies, or non-agricultural land cover, so the retrieved parameter represents an area-weighted composite rather than a pure crop signal. This complicates both retrieval (RTMs generally assume a homogeneous canopy) and validation (ground ESUs must be representative of the full pixel composition, not just a convenient homogeneous patch within it — a key motivation for the CEOS LPV upscaling protocol). Spectral unmixing (linear or nonlinear) is sometimes applied to disaggregate mixed-pixel signals into sub-pixel fractional cover/parameter estimates, though this introduces its own uncertainty from endmember selection.</w:t>
      </w:r>
    </w:p>
    <w:p>
      <w:pPr>
        <w:pStyle w:val="Heading3"/>
      </w:pPr>
      <w:r>
        <w:t xml:space="preserve">40.6.3 Atmospheric and Directional (BRDF) Effects</w:t>
      </w:r>
    </w:p>
    <w:p>
      <w:pPr>
        <w:pStyle w:val="FirstParagraph"/>
      </w:pPr>
      <w:r>
        <w:t xml:space="preserve">Atmospheric scattering/absorption (aerosols, water vapor, thin cirrus) alters top-of-atmosphere radiance relative to surface reflectance; imperfect atmospheric correction leaves residual errors that propagate into biophysical retrievals, particularly for aerosol-sensitive blue/visible bands used in chlorophyll and EVI-type indices. Separately, vegetation canopies exhibit anisotropic reflectance — the</w:t>
      </w:r>
      <w:r>
        <w:t xml:space="preserve"> </w:t>
      </w:r>
      <w:r>
        <w:rPr>
          <w:bCs/>
          <w:b/>
        </w:rPr>
        <w:t xml:space="preserve">Bidirectional Reflectance Distribution Function (BRDF)</w:t>
      </w:r>
      <w:r>
        <w:t xml:space="preserve"> </w:t>
      </w:r>
      <w:r>
        <w:t xml:space="preserve">— meaning reflectance varies systematically with sun-view geometry due to canopy structure effects (hot-spot in the retro-reflection direction, shadowing in forward-scatter directions). Multi-angle/multi-date image composites (e.g., MODIS 16-day NDVI composites) mix different view geometries, introducing spurious temporal variability unrelated to true biophysical change unless BRDF-normalized (e.g., to nadir view, standard sun angle) reflectance products are used. RTM inversion approaches explicitly include sun-view geometry as an input, partially accounting for BRDF effects, but only if the geometry is accurately known and the canopy structure assumptions of the RTM (e.g., turbid medium in SAIL) are reasonably valid for the actual crop row/canopy architecture.</w:t>
      </w:r>
    </w:p>
    <w:p>
      <w:pPr>
        <w:pStyle w:val="Heading3"/>
      </w:pPr>
      <w:r>
        <w:t xml:space="preserve">40.6.4 Scale Mismatch Between Field Measurement and Pixel</w:t>
      </w:r>
    </w:p>
    <w:p>
      <w:pPr>
        <w:pStyle w:val="FirstParagraph"/>
      </w:pPr>
      <w:r>
        <w:t xml:space="preserve">Point or small-plot ground measurements (a few m² for destructive LAI harvest, a single TDR probe footprint of soil moisture) are being compared against satellite pixels covering hundreds to millions of square metres, and the two rarely have matching spatial statistics (mean, variance, and — critically — spatial autocorrelation structure) — a fundamental</w:t>
      </w:r>
      <w:r>
        <w:t xml:space="preserve"> </w:t>
      </w:r>
      <w:r>
        <w:rPr>
          <w:bCs/>
          <w:b/>
        </w:rPr>
        <w:t xml:space="preserve">support/change-of-support problem</w:t>
      </w:r>
      <w:r>
        <w:t xml:space="preserve"> </w:t>
      </w:r>
      <w:r>
        <w:t xml:space="preserve">in spatial statistics. This mismatch is the core motivation for the ESU/upscaling framework in CEOS LPV: rather than comparing a point measurement directly to a large pixel, ground measurements are first spatially averaged over a representative ESU and/or upscaled through an intermediate high-resolution reference layer that captures the true within-pixel spatial variability before final comparison to coarse-resolution retrievals.</w:t>
      </w:r>
    </w:p>
    <w:p>
      <w:pPr>
        <w:pStyle w:val="Heading1"/>
      </w:pPr>
      <w:r>
        <w:t xml:space="preserve">Chapter 41. Crop Insurance and Technology-Based Yield Estimation</w:t>
      </w:r>
    </w:p>
    <w:p>
      <w:pPr>
        <w:pStyle w:val="Heading2"/>
      </w:pPr>
      <w:r>
        <w:t xml:space="preserve">41.1 Crop Yield Estimation and the Role of the Crop Cutting Experiment (CCE)</w:t>
      </w:r>
    </w:p>
    <w:p>
      <w:pPr>
        <w:pStyle w:val="FirstParagraph"/>
      </w:pPr>
      <w:r>
        <w:t xml:space="preserve">Under India’s statutory crop-estimation system, actual, ground-measured yield at a sample of plots — the</w:t>
      </w:r>
      <w:r>
        <w:t xml:space="preserve"> </w:t>
      </w:r>
      <w:r>
        <w:rPr>
          <w:bCs/>
          <w:b/>
        </w:rPr>
        <w:t xml:space="preserve">Crop Cutting Experiment</w:t>
      </w:r>
      <w:r>
        <w:t xml:space="preserve">, in which a small, randomly located sample plot within a selected field is harvested and weighed under standardised protocol — remains the legal/statistical basis of official yield estimates and of crop-insurance (PMFBY) claim settlement. FASAL/YES-TECH augments, rather than replaces, this CCE-based system by: (a) using remote-sensing/weather-derived predictors in regression and crop-simulation models calibrated against the historical CCE record; and (b) applying a</w:t>
      </w:r>
      <w:r>
        <w:t xml:space="preserve"> </w:t>
      </w:r>
      <w:r>
        <w:rPr>
          <w:bCs/>
          <w:b/>
        </w:rPr>
        <w:t xml:space="preserve">“</w:t>
      </w:r>
      <w:r>
        <w:rPr>
          <w:bCs/>
          <w:b/>
        </w:rPr>
        <w:t xml:space="preserve">smart sampling</w:t>
      </w:r>
      <w:r>
        <w:rPr>
          <w:bCs/>
          <w:b/>
        </w:rPr>
        <w:t xml:space="preserve">”</w:t>
      </w:r>
      <w:r>
        <w:rPr>
          <w:bCs/>
          <w:b/>
        </w:rPr>
        <w:t xml:space="preserve"> </w:t>
      </w:r>
      <w:r>
        <w:rPr>
          <w:bCs/>
          <w:b/>
        </w:rPr>
        <w:t xml:space="preserve">technique</w:t>
      </w:r>
      <w:r>
        <w:t xml:space="preserve">, developed by ISRO/DoS, that uses satellite-derived crop-condition/homogeneity information to</w:t>
      </w:r>
      <w:r>
        <w:t xml:space="preserve"> </w:t>
      </w:r>
      <w:r>
        <w:rPr>
          <w:bCs/>
          <w:b/>
        </w:rPr>
        <w:t xml:space="preserve">optimise the spatial placement of CCE plots</w:t>
      </w:r>
      <w:r>
        <w:t xml:space="preserve"> </w:t>
      </w:r>
      <w:r>
        <w:t xml:space="preserve">— concentrating limited CCE resources on locations that best represent the spatial variability of crop condition within an insurance/estimation unit (rather than the older approach of simple random/systematic placement blind to actual field-to-field variability visible from space), thereby improving the statistical efficiency (reduced variance for the same number of CCEs) of the official yield estimate. This directly connects to the kriging-variance-guided sample-network-design logic introduced in the relevant chapter.</w:t>
      </w:r>
    </w:p>
    <w:p>
      <w:pPr>
        <w:pStyle w:val="Heading2"/>
      </w:pPr>
      <w:r>
        <w:t xml:space="preserve">41.2 PMFBY and YES-TECH — Technology-Based Yield Estimation</w:t>
      </w:r>
    </w:p>
    <w:p>
      <w:pPr>
        <w:pStyle w:val="Heading3"/>
      </w:pPr>
      <w:r>
        <w:t xml:space="preserve">41.2.1 Why PMFBY needed a technology upgrade</w:t>
      </w:r>
    </w:p>
    <w:p>
      <w:pPr>
        <w:pStyle w:val="FirstParagraph"/>
      </w:pPr>
      <w:r>
        <w:t xml:space="preserve">Pradhan Mantri Fasal Bima Yojana (PMFBY, 2016) is India's flagship crop insurance scheme. It is fundamentally an area-yield index insurance product: claims are triggered not by an individual farmer's actual loss but by the shortfall of the average yield of a notified Insurance Unit (historically a Gram Panchayat for major crops) below a pre-defined "threshold yield" (a moving average of past yields discounted by a risk factor). This design choice makes the accuracy and density of the underlying yield estimate the single most important determinant of whether the scheme is perceived as fair.</w:t>
      </w:r>
    </w:p>
    <w:p>
      <w:pPr>
        <w:pStyle w:val="BodyText"/>
      </w:pPr>
      <w:r>
        <w:t xml:space="preserve">Traditionally, that yield estimate came entirely from manual Crop Cutting Experiments (CCEs) — physically harvesting a small (often ~5m × 5m or 10m × 10m) randomly located plot, drying and weighing the produce, and scaling up. CCEs are statistically sound in principle but operationally fragile: they are labour-intensive, require lakhs of experiments nationally each season, are prone to delayed reporting, transcription errors, and — because sample density per Gram Panchayat is low — carry high sampling variance that farmers frequently distrust when a payout does not match their perceived loss.</w:t>
      </w:r>
    </w:p>
    <w:p>
      <w:pPr>
        <w:pStyle w:val="Heading3"/>
      </w:pPr>
      <w:r>
        <w:t xml:space="preserve">41.2.2 YES-TECH methodology</w:t>
      </w:r>
    </w:p>
    <w:p>
      <w:pPr>
        <w:pStyle w:val="FirstParagraph"/>
      </w:pPr>
      <w:r>
        <w:t xml:space="preserve">YES-TECH (Yield Estimation System based on Technology) was introduced under PMFBY to use satellite remote sensing, weather data and machine learning to supplement — and progressively reduce dependence on — manual CCEs, while simultaneously pushing yield estimation down to a finer spatial grain (ideally every Gram Panchayat, for major crops such as paddy, wheat and soybean in the initial rollout, since expanded to more crops and states).</w:t>
      </w:r>
    </w:p>
    <w:p>
      <w:pPr>
        <w:numPr>
          <w:ilvl w:val="0"/>
          <w:numId w:val="1305"/>
        </w:numPr>
      </w:pPr>
      <w:r>
        <w:t xml:space="preserve">Crop-type classification &amp; acreage mapping at village/GP level using multi-temporal Sentinel-1 SAR (cloud-independent, critical for kharif paddy) fused with Sentinel-2/Resourcesat optical time series, classified with Random Forest / other ML classifiers trained on ground-truth crop-type points.</w:t>
      </w:r>
    </w:p>
    <w:p>
      <w:pPr>
        <w:numPr>
          <w:ilvl w:val="0"/>
          <w:numId w:val="1305"/>
        </w:numPr>
      </w:pPr>
      <w:r>
        <w:t xml:space="preserve">Smart Sampling Technique (SMT) — rather than locating CCEs purely at random within a Gram Panchayat, the cropped area is first stratified into homogeneous strata using clustering of the multi-temporal NDVI/growth-curve signature (fields with similar phenological trajectories are grouped together). CCE plots are then optimally allocated across strata (more samples where within-stratum variance is higher), which lets the total number of mandatory CCEs be reduced (in various states, cuts of roughly 30-50% have been piloted) while statistical representativeness is preserved or improved.</w:t>
      </w:r>
    </w:p>
    <w:p>
      <w:pPr>
        <w:numPr>
          <w:ilvl w:val="0"/>
          <w:numId w:val="1305"/>
        </w:numPr>
      </w:pPr>
      <w:r>
        <w:t xml:space="preserve">Parallel yield models are run — an RS/spectral-yield model (vegetation-index-to-yield regression calibrated per homogeneous stratum), a weather-based yield model, and a historical-trend yield model — and combined into a technology-based yield estimate for each GP/crop.</w:t>
      </w:r>
    </w:p>
    <w:p>
      <w:pPr>
        <w:numPr>
          <w:ilvl w:val="0"/>
          <w:numId w:val="1305"/>
        </w:numPr>
      </w:pPr>
      <w:r>
        <w:t xml:space="preserve">The technology-based estimate is blended with the (reduced-sample) CCE-based estimate using a weightage formula prescribed by DA&amp;FW guidelines; the weight assigned to technology increases over successive seasons as validation accuracy against retained CCEs improves, rather than being fixed at 100% from day one — a calibrated, trust-building transition rather than an abrupt replacement.</w:t>
      </w:r>
    </w:p>
    <w:p>
      <w:pPr>
        <w:numPr>
          <w:ilvl w:val="0"/>
          <w:numId w:val="1305"/>
        </w:numPr>
      </w:pPr>
      <w:r>
        <w:t xml:space="preserve">GP-level yield outputs feed directly into the PMFBY claim-settlement pipeline, in principle shortening the payout cycle and increasing spatial fairness relative to a Tehsil/Block-level average that could mask localised crop loss.</w:t>
      </w:r>
    </w:p>
    <w:p>
      <w:pPr>
        <w:pStyle w:val="Heading3"/>
      </w:pPr>
      <w:r>
        <w:t xml:space="preserve">41.2.3 Process flow</w:t>
      </w:r>
    </w:p>
    <w:p>
      <w:pPr>
        <w:pStyle w:val="FirstParagraph"/>
      </w:pPr>
      <w:r>
        <w:rPr>
          <w:bCs/>
          <w:b/>
        </w:rPr>
        <w:t xml:space="preserve">Multi-temporal Sentinel-1 SAR + Sentinel-2/Resourcesat optical acquisition</w:t>
      </w:r>
    </w:p>
    <w:p>
      <w:pPr>
        <w:pStyle w:val="BodyText"/>
      </w:pPr>
      <w:r>
        <w:rPr>
          <w:bCs/>
          <w:b/>
        </w:rPr>
        <w:t xml:space="preserve">↓</w:t>
      </w:r>
    </w:p>
    <w:p>
      <w:pPr>
        <w:pStyle w:val="BodyText"/>
      </w:pPr>
      <w:r>
        <w:rPr>
          <w:bCs/>
          <w:b/>
        </w:rPr>
        <w:t xml:space="preserve">Crop-type classification &amp; GP-level acreage mapping</w:t>
      </w:r>
    </w:p>
    <w:p>
      <w:pPr>
        <w:pStyle w:val="BodyText"/>
      </w:pPr>
      <w:r>
        <w:rPr>
          <w:bCs/>
          <w:b/>
        </w:rPr>
        <w:t xml:space="preserve">↓</w:t>
      </w:r>
    </w:p>
    <w:p>
      <w:pPr>
        <w:pStyle w:val="BodyText"/>
      </w:pPr>
      <w:r>
        <w:rPr>
          <w:bCs/>
          <w:b/>
        </w:rPr>
        <w:t xml:space="preserve">Growth-curve clustering → Smart Sampling Technique (SMT) stratification</w:t>
      </w:r>
    </w:p>
    <w:p>
      <w:pPr>
        <w:pStyle w:val="BodyText"/>
      </w:pPr>
      <w:r>
        <w:rPr>
          <w:bCs/>
          <w:b/>
        </w:rPr>
        <w:t xml:space="preserve">↓</w:t>
      </w:r>
    </w:p>
    <w:p>
      <w:pPr>
        <w:pStyle w:val="BodyText"/>
      </w:pPr>
      <w:r>
        <w:rPr>
          <w:bCs/>
          <w:b/>
        </w:rPr>
        <w:t xml:space="preserve">Parallel RS / weather-based / historical-trend yield models</w:t>
      </w:r>
    </w:p>
    <w:p>
      <w:pPr>
        <w:pStyle w:val="BodyText"/>
      </w:pPr>
      <w:r>
        <w:rPr>
          <w:bCs/>
          <w:b/>
        </w:rPr>
        <w:t xml:space="preserve">↓</w:t>
      </w:r>
    </w:p>
    <w:p>
      <w:pPr>
        <w:pStyle w:val="BodyText"/>
      </w:pPr>
      <w:r>
        <w:rPr>
          <w:bCs/>
          <w:b/>
        </w:rPr>
        <w:t xml:space="preserve">Weighted blend with reduced, optimally-allocated CCEs</w:t>
      </w:r>
    </w:p>
    <w:p>
      <w:pPr>
        <w:pStyle w:val="BodyText"/>
      </w:pPr>
      <w:r>
        <w:rPr>
          <w:bCs/>
          <w:b/>
        </w:rPr>
        <w:t xml:space="preserve">↓</w:t>
      </w:r>
    </w:p>
    <w:p>
      <w:pPr>
        <w:pStyle w:val="BodyText"/>
      </w:pPr>
      <w:r>
        <w:rPr>
          <w:bCs/>
          <w:b/>
        </w:rPr>
        <w:t xml:space="preserve">GP-level yield → PMFBY claim settlement</w:t>
      </w:r>
    </w:p>
    <w:tbl>
      <w:tblPr>
        <w:tblStyle w:val="Table"/>
        <w:tblW w:type="pct" w:w="5019"/>
        <w:jc w:val="left"/>
        <w:tblLook w:firstRow="0" w:lastRow="0" w:firstColumn="0" w:lastColumn="0" w:noHBand="0" w:noVBand="0" w:val="0000"/>
      </w:tblPr>
      <w:tblGrid>
        <w:gridCol w:w="7950"/>
      </w:tblGrid>
      <w:tr>
        <w:tc>
          <w:tcPr/>
          <w:p>
            <w:pPr>
              <w:jc w:val="left"/>
            </w:pPr>
            <w:r>
              <w:rPr>
                <w:bCs/>
                <w:b/>
              </w:rPr>
              <w:t xml:space="preserve">Interview tip:</w:t>
            </w:r>
          </w:p>
          <w:p>
            <w:pPr>
              <w:jc w:val="left"/>
            </w:pPr>
            <w:r>
              <w:rPr>
                <w:iCs/>
                <w:i/>
              </w:rPr>
              <w:t xml:space="preserve">Be ready to explain SMT as a variance-reduction sampling design (stratify by growth-curve similarity, allocate more ground samples to high-heterogeneity strata) — this is the direct answer to 'how is CCE sample size being optimised, not just replaced'.</w:t>
            </w:r>
          </w:p>
        </w:tc>
      </w:tr>
    </w:tbl>
    <w:p>
      <w:pPr>
        <w:pStyle w:val="Heading2"/>
      </w:pPr>
      <w:r>
        <w:t xml:space="preserve">41.3 Crop Insurance Decision Support System (CIDSS) and KISAN</w:t>
      </w:r>
    </w:p>
    <w:p>
      <w:pPr>
        <w:pStyle w:val="FirstParagraph"/>
      </w:pPr>
      <w:r>
        <w:rPr>
          <w:bCs/>
          <w:b/>
        </w:rPr>
        <w:t xml:space="preserve">CIDSS</w:t>
      </w:r>
      <w:r>
        <w:t xml:space="preserve"> </w:t>
      </w:r>
      <w:r>
        <w:t xml:space="preserve">is the broader NRSC/SAC-developed decision-support technology framework that packages remote-sensing-derived crop-condition, sown-area, and damage-assessment products specifically to support crop-insurance administration — providing the geospatial evidence base (crop area sown, health/stress status, and localised damage extent from natural calamities) used to cross-verify farmer-level insurance claims against independently observed satellite evidence, reducing information asymmetry and moral hazard in the claims process.</w:t>
      </w:r>
    </w:p>
    <w:p>
      <w:pPr>
        <w:pStyle w:val="BodyText"/>
      </w:pPr>
      <w:r>
        <w:rPr>
          <w:bCs/>
          <w:b/>
        </w:rPr>
        <w:t xml:space="preserve">KISAN</w:t>
      </w:r>
      <w:r>
        <w:t xml:space="preserve"> </w:t>
      </w:r>
      <w:r>
        <w:t xml:space="preserve">—</w:t>
      </w:r>
      <w:r>
        <w:t xml:space="preserve"> </w:t>
      </w:r>
      <w:r>
        <w:t xml:space="preserve">“</w:t>
      </w:r>
      <w:r>
        <w:t xml:space="preserve">Crop Insurance using Space technology And geoiNformatics</w:t>
      </w:r>
      <w:r>
        <w:t xml:space="preserve">”</w:t>
      </w:r>
      <w:r>
        <w:t xml:space="preserve"> </w:t>
      </w:r>
      <w:r>
        <w:t xml:space="preserve">— is SAC’s dedicated technology-demonstration/prototype programme (explicitly named among SAC’s</w:t>
      </w:r>
      <w:r>
        <w:t xml:space="preserve"> </w:t>
      </w:r>
      <w:r>
        <w:t xml:space="preserve">“</w:t>
      </w:r>
      <w:r>
        <w:t xml:space="preserve">beyond-FASAL</w:t>
      </w:r>
      <w:r>
        <w:t xml:space="preserve">”</w:t>
      </w:r>
      <w:r>
        <w:t xml:space="preserve"> </w:t>
      </w:r>
      <w:r>
        <w:t xml:space="preserve">initiatives) developing and validating the specific algorithms and prototype workflows (crop-type classification, sowing-date detection, yield-loss estimation from multi-temporal SAR/optical time-series anomaly detection) later operationalised through YES-TECH/CIDSS.</w:t>
      </w:r>
    </w:p>
    <w:p>
      <w:pPr>
        <w:pStyle w:val="Heading2"/>
      </w:pPr>
      <w:r>
        <w:t xml:space="preserve">41.4 YES-TECH — MITR Role and Ongoing Model Development</w:t>
      </w:r>
    </w:p>
    <w:p>
      <w:pPr>
        <w:pStyle w:val="FirstParagraph"/>
      </w:pPr>
      <w:r>
        <w:t xml:space="preserve">As introduced in the relevant chapter, ISRO/DoS acts as</w:t>
      </w:r>
      <w:r>
        <w:t xml:space="preserve"> </w:t>
      </w:r>
      <w:r>
        <w:rPr>
          <w:bCs/>
          <w:b/>
        </w:rPr>
        <w:t xml:space="preserve">Mentor Institute for Technology roll-out (MITR)</w:t>
      </w:r>
      <w:r>
        <w:t xml:space="preserve"> </w:t>
      </w:r>
      <w:r>
        <w:t xml:space="preserve">for</w:t>
      </w:r>
      <w:r>
        <w:t xml:space="preserve"> </w:t>
      </w:r>
      <w:r>
        <w:rPr>
          <w:bCs/>
          <w:b/>
        </w:rPr>
        <w:t xml:space="preserve">12 states</w:t>
      </w:r>
      <w:r>
        <w:t xml:space="preserve"> </w:t>
      </w:r>
      <w:r>
        <w:t xml:space="preserve">under the YES-TECH programme, and continues to contribute to the development of the</w:t>
      </w:r>
      <w:r>
        <w:t xml:space="preserve"> </w:t>
      </w:r>
      <w:r>
        <w:rPr>
          <w:bCs/>
          <w:b/>
        </w:rPr>
        <w:t xml:space="preserve">semi-physical and machine-learning crop-yield-simulation models</w:t>
      </w:r>
      <w:r>
        <w:t xml:space="preserve"> </w:t>
      </w:r>
      <w:r>
        <w:t xml:space="preserve">intended to progressively reduce dependence on manual Crop Cutting Experiments within the PMFBY claim-settlement process, an explicitly stated ongoing (not yet fully realised) direction of current SAC/MNCFC methodological development — a useful point to raise if an interview panel probes</w:t>
      </w:r>
      <w:r>
        <w:t xml:space="preserve"> </w:t>
      </w:r>
      <w:r>
        <w:t xml:space="preserve">“</w:t>
      </w:r>
      <w:r>
        <w:t xml:space="preserve">what is the current frontier/open problem</w:t>
      </w:r>
      <w:r>
        <w:t xml:space="preserve">”</w:t>
      </w:r>
      <w:r>
        <w:t xml:space="preserve"> </w:t>
      </w:r>
      <w:r>
        <w:t xml:space="preserve">in this domain, since it signals awareness that CCE-dependence reduction, not CCE elimination, is the realistic near-term trajectory given the continued statutory/legal role of ground-measured yield.</w:t>
      </w:r>
    </w:p>
    <w:p>
      <w:pPr>
        <w:pStyle w:val="Heading2"/>
      </w:pPr>
      <w:r>
        <w:t xml:space="preserve">41.5 Claim settlement logic</w:t>
      </w:r>
    </w:p>
    <w:p>
      <w:pPr>
        <w:pStyle w:val="FirstParagraph"/>
      </w:pPr>
      <w:r>
        <w:t xml:space="preserve">If Actual Yield (AY) is less than Threshold Yield (TY):</w:t>
      </w:r>
    </w:p>
    <w:p>
      <w:pPr>
        <w:pStyle w:val="BodyText"/>
      </w:pPr>
      <w:r>
        <w:rPr>
          <w:iCs/>
          <w:i/>
        </w:rPr>
        <w:t xml:space="preserve">Compensation = [(TY − AY) ÷ TY] × Sum Insured per hectare × Area Insured</w:t>
      </w:r>
    </w:p>
    <w:p>
      <w:pPr>
        <w:pStyle w:val="BodyText"/>
      </w:pPr>
      <w:r>
        <w:t xml:space="preserve">This is paid to every enrolled farmer in that insurance unit, irrespective of whether their individual field suffered loss — which is precisely why accurate IU-level yield estimation (and therefore YES-TECH's accuracy) matters so much for fairness.</w:t>
      </w:r>
    </w:p>
    <w:p>
      <w:pPr>
        <w:pStyle w:val="Heading2"/>
      </w:pPr>
      <w:r>
        <w:t xml:space="preserve">41.6 A field-level limitation worth knowing</w:t>
      </w:r>
    </w:p>
    <w:p>
      <w:pPr>
        <w:pStyle w:val="FirstParagraph"/>
      </w:pPr>
      <w:r>
        <w:rPr>
          <w:iCs/>
          <w:i/>
        </w:rPr>
        <w:t xml:space="preserve">Farmer-level reporting from Madhya Pradesh has highlighted cases where satellite-based IU-level yield assessment did not capture very localised damage — unseasonal rain or animal attacks on an individual field — leading to delayed or contested claims. This is a useful, honest example to raise if asked about the limitations of operational RS-based yield systems.</w:t>
      </w:r>
    </w:p>
    <w:p>
      <w:pPr>
        <w:pStyle w:val="Heading2"/>
      </w:pPr>
      <w:r>
        <w:t xml:space="preserve">41.7 Types of Crop Insurance Products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Product</w:t>
            </w:r>
          </w:p>
        </w:tc>
        <w:tc>
          <w:tcPr/>
          <w:p>
            <w:pPr>
              <w:pStyle w:val="Compact"/>
              <w:jc w:val="left"/>
            </w:pPr>
            <w:r>
              <w:t xml:space="preserve">Trigger</w:t>
            </w:r>
          </w:p>
        </w:tc>
        <w:tc>
          <w:tcPr/>
          <w:p>
            <w:pPr>
              <w:pStyle w:val="Compact"/>
              <w:jc w:val="left"/>
            </w:pPr>
            <w:r>
              <w:t xml:space="preserve">Advantages</w:t>
            </w:r>
          </w:p>
        </w:tc>
        <w:tc>
          <w:tcPr/>
          <w:p>
            <w:pPr>
              <w:pStyle w:val="Compact"/>
              <w:jc w:val="left"/>
            </w:pPr>
            <w:r>
              <w:t xml:space="preserve">Limitations</w:t>
            </w:r>
          </w:p>
        </w:tc>
      </w:tr>
      <w:tr>
        <w:tc>
          <w:tcPr/>
          <w:p>
            <w:pPr>
              <w:pStyle w:val="Compact"/>
              <w:jc w:val="left"/>
            </w:pPr>
            <w:r>
              <w:rPr>
                <w:bCs/>
                <w:b/>
              </w:rPr>
              <w:t xml:space="preserve">Individual (indemnity) insurance</w:t>
            </w:r>
          </w:p>
        </w:tc>
        <w:tc>
          <w:tcPr/>
          <w:p>
            <w:pPr>
              <w:pStyle w:val="Compact"/>
              <w:jc w:val="left"/>
            </w:pPr>
            <w:r>
              <w:t xml:space="preserve">Actual loss on the farmer’s own field, assessed by inspection</w:t>
            </w:r>
          </w:p>
        </w:tc>
        <w:tc>
          <w:tcPr/>
          <w:p>
            <w:pPr>
              <w:pStyle w:val="Compact"/>
              <w:jc w:val="left"/>
            </w:pPr>
            <w:r>
              <w:t xml:space="preserve">Matches individual loss</w:t>
            </w:r>
          </w:p>
        </w:tc>
        <w:tc>
          <w:tcPr/>
          <w:p>
            <w:pPr>
              <w:pStyle w:val="Compact"/>
              <w:jc w:val="left"/>
            </w:pPr>
            <w:r>
              <w:t xml:space="preserve">Very costly to assess; moral hazard (farmer behaviour affects loss) and adverse selection; impractical for millions of small farms</w:t>
            </w:r>
          </w:p>
        </w:tc>
      </w:tr>
      <w:tr>
        <w:tc>
          <w:tcPr/>
          <w:p>
            <w:pPr>
              <w:pStyle w:val="Compact"/>
              <w:jc w:val="left"/>
            </w:pPr>
            <w:r>
              <w:rPr>
                <w:bCs/>
                <w:b/>
              </w:rPr>
              <w:t xml:space="preserve">Area-yield index insurance</w:t>
            </w:r>
            <w:r>
              <w:t xml:space="preserve"> </w:t>
            </w:r>
            <w:r>
              <w:t xml:space="preserve">(PMFBY’s main form)</w:t>
            </w:r>
          </w:p>
        </w:tc>
        <w:tc>
          <w:tcPr/>
          <w:p>
            <w:pPr>
              <w:pStyle w:val="Compact"/>
              <w:jc w:val="left"/>
            </w:pPr>
            <w:r>
              <w:t xml:space="preserve">Shortfall of average yield of the insurance unit (village/GP) below threshold</w:t>
            </w:r>
          </w:p>
        </w:tc>
        <w:tc>
          <w:tcPr/>
          <w:p>
            <w:pPr>
              <w:pStyle w:val="Compact"/>
              <w:jc w:val="left"/>
            </w:pPr>
            <w:r>
              <w:t xml:space="preserve">Objective, lower moral hazard, scalable</w:t>
            </w:r>
          </w:p>
        </w:tc>
        <w:tc>
          <w:tcPr/>
          <w:p>
            <w:pPr>
              <w:pStyle w:val="Compact"/>
              <w:jc w:val="left"/>
            </w:pPr>
            <w:r>
              <w:rPr>
                <w:bCs/>
                <w:b/>
              </w:rPr>
              <w:t xml:space="preserve">Basis risk</w:t>
            </w:r>
            <w:r>
              <w:t xml:space="preserve"> </w:t>
            </w:r>
            <w:r>
              <w:t xml:space="preserve">(farmer loses but area average does not), dependence on CCE accuracy and timeliness</w:t>
            </w:r>
          </w:p>
        </w:tc>
      </w:tr>
      <w:tr>
        <w:tc>
          <w:tcPr/>
          <w:p>
            <w:pPr>
              <w:pStyle w:val="Compact"/>
              <w:jc w:val="left"/>
            </w:pPr>
            <w:r>
              <w:rPr>
                <w:bCs/>
                <w:b/>
              </w:rPr>
              <w:t xml:space="preserve">Weather-index (parametric) insurance</w:t>
            </w:r>
            <w:r>
              <w:t xml:space="preserve"> </w:t>
            </w:r>
            <w:r>
              <w:t xml:space="preserve">(WBCIS — Restructured Weather Based Crop Insurance Scheme)</w:t>
            </w:r>
          </w:p>
        </w:tc>
        <w:tc>
          <w:tcPr/>
          <w:p>
            <w:pPr>
              <w:pStyle w:val="Compact"/>
              <w:jc w:val="left"/>
            </w:pPr>
            <w:r>
              <w:t xml:space="preserve">Weather parameter (rainfall deficit/excess, temperature, humidity, wind, frost) at a reference station crosses a threshold</w:t>
            </w:r>
          </w:p>
        </w:tc>
        <w:tc>
          <w:tcPr/>
          <w:p>
            <w:pPr>
              <w:pStyle w:val="Compact"/>
              <w:jc w:val="left"/>
            </w:pPr>
            <w:r>
              <w:t xml:space="preserve">Fast, transparent payout; no field loss assessment</w:t>
            </w:r>
          </w:p>
        </w:tc>
        <w:tc>
          <w:tcPr/>
          <w:p>
            <w:pPr>
              <w:pStyle w:val="Compact"/>
              <w:jc w:val="left"/>
            </w:pPr>
            <w:r>
              <w:t xml:space="preserve">Needs dense, reliable weather stations; basis risk from distance to station and from non-weather losses (pest)</w:t>
            </w:r>
          </w:p>
        </w:tc>
      </w:tr>
      <w:tr>
        <w:tc>
          <w:tcPr/>
          <w:p>
            <w:pPr>
              <w:pStyle w:val="Compact"/>
              <w:jc w:val="left"/>
            </w:pPr>
            <w:r>
              <w:rPr>
                <w:bCs/>
                <w:b/>
              </w:rPr>
              <w:t xml:space="preserve">Satellite-index insurance</w:t>
            </w:r>
          </w:p>
        </w:tc>
        <w:tc>
          <w:tcPr/>
          <w:p>
            <w:pPr>
              <w:pStyle w:val="Compact"/>
              <w:jc w:val="left"/>
            </w:pPr>
            <w:r>
              <w:t xml:space="preserve">Satellite index (NDVI/VCI, soil moisture, rainfall estimates, evapotranspiration deficit) relative to normal</w:t>
            </w:r>
          </w:p>
        </w:tc>
        <w:tc>
          <w:tcPr/>
          <w:p>
            <w:pPr>
              <w:pStyle w:val="Compact"/>
              <w:jc w:val="left"/>
            </w:pPr>
            <w:r>
              <w:t xml:space="preserve">Area-wide coverage, independent of ground stations; objective</w:t>
            </w:r>
          </w:p>
        </w:tc>
        <w:tc>
          <w:tcPr/>
          <w:p>
            <w:pPr>
              <w:pStyle w:val="Compact"/>
              <w:jc w:val="left"/>
            </w:pPr>
            <w:r>
              <w:t xml:space="preserve">Index–yield correlation must be strong; cloud gaps; transparency to farmers</w:t>
            </w:r>
          </w:p>
        </w:tc>
      </w:tr>
      <w:tr>
        <w:tc>
          <w:tcPr/>
          <w:p>
            <w:pPr>
              <w:pStyle w:val="Compact"/>
              <w:jc w:val="left"/>
            </w:pPr>
            <w:r>
              <w:rPr>
                <w:bCs/>
                <w:b/>
              </w:rPr>
              <w:t xml:space="preserve">Hybrid / composite</w:t>
            </w:r>
          </w:p>
        </w:tc>
        <w:tc>
          <w:tcPr/>
          <w:p>
            <w:pPr>
              <w:pStyle w:val="Compact"/>
              <w:jc w:val="left"/>
            </w:pPr>
            <w:r>
              <w:t xml:space="preserve">Combination of index trigger with yield-based or field-verified components</w:t>
            </w:r>
          </w:p>
        </w:tc>
        <w:tc>
          <w:tcPr/>
          <w:p>
            <w:pPr>
              <w:pStyle w:val="Compact"/>
              <w:jc w:val="left"/>
            </w:pPr>
            <w:r>
              <w:t xml:space="preserve">Reduces basis risk</w:t>
            </w:r>
          </w:p>
        </w:tc>
        <w:tc>
          <w:tcPr/>
          <w:p>
            <w:pPr>
              <w:pStyle w:val="Compact"/>
              <w:jc w:val="left"/>
            </w:pPr>
            <w:r>
              <w:t xml:space="preserve">Complexity</w:t>
            </w:r>
          </w:p>
        </w:tc>
      </w:tr>
    </w:tbl>
    <w:p>
      <w:pPr>
        <w:pStyle w:val="BodyText"/>
      </w:pPr>
      <w:r>
        <w:rPr>
          <w:bCs/>
          <w:b/>
        </w:rPr>
        <w:t xml:space="preserve">Basis risk</w:t>
      </w:r>
      <w:r>
        <w:t xml:space="preserve"> </w:t>
      </w:r>
      <w:r>
        <w:t xml:space="preserve">— the mismatch between the index payout and the farmer’s actual loss — is the central design problem of all index insurance. It is reduced by</w:t>
      </w:r>
      <w:r>
        <w:t xml:space="preserve"> </w:t>
      </w:r>
      <w:r>
        <w:rPr>
          <w:bCs/>
          <w:b/>
        </w:rPr>
        <w:t xml:space="preserve">smaller insurance units</w:t>
      </w:r>
      <w:r>
        <w:t xml:space="preserve">,</w:t>
      </w:r>
      <w:r>
        <w:t xml:space="preserve"> </w:t>
      </w:r>
      <w:r>
        <w:rPr>
          <w:bCs/>
          <w:b/>
        </w:rPr>
        <w:t xml:space="preserve">denser observations</w:t>
      </w:r>
      <w:r>
        <w:t xml:space="preserve"> </w:t>
      </w:r>
      <w:r>
        <w:t xml:space="preserve">(WINDS, satellite data at field scale), better index–yield models and hybrid designs.</w:t>
      </w:r>
    </w:p>
    <w:p>
      <w:pPr>
        <w:pStyle w:val="Heading2"/>
      </w:pPr>
      <w:r>
        <w:t xml:space="preserve">41.8 Key Features of PMFBY (Pradhan Mantri Fasal Bima Yojana, 2016; revamped 2020)</w:t>
      </w:r>
    </w:p>
    <w:p>
      <w:pPr>
        <w:pStyle w:val="Compact"/>
        <w:numPr>
          <w:ilvl w:val="0"/>
          <w:numId w:val="1306"/>
        </w:numPr>
      </w:pPr>
      <w:r>
        <w:rPr>
          <w:bCs/>
          <w:b/>
        </w:rPr>
        <w:t xml:space="preserve">Farmer premium:</w:t>
      </w:r>
      <w:r>
        <w:t xml:space="preserve"> </w:t>
      </w:r>
      <w:r>
        <w:t xml:space="preserve">2% of sum insured for kharif food and oilseed crops, 1.5% for rabi food and oilseed crops, 5% for annual commercial/horticultural crops; balance shared by Centre and States (50:50; 90:10 for North-Eastern and Himalayan states). Enrolment made</w:t>
      </w:r>
      <w:r>
        <w:t xml:space="preserve"> </w:t>
      </w:r>
      <w:r>
        <w:rPr>
          <w:bCs/>
          <w:b/>
        </w:rPr>
        <w:t xml:space="preserve">voluntary</w:t>
      </w:r>
      <w:r>
        <w:t xml:space="preserve"> </w:t>
      </w:r>
      <w:r>
        <w:t xml:space="preserve">for all farmers from kharif 2020.</w:t>
      </w:r>
    </w:p>
    <w:p>
      <w:pPr>
        <w:pStyle w:val="Compact"/>
        <w:numPr>
          <w:ilvl w:val="0"/>
          <w:numId w:val="1306"/>
        </w:numPr>
      </w:pPr>
      <w:r>
        <w:rPr>
          <w:bCs/>
          <w:b/>
        </w:rPr>
        <w:t xml:space="preserve">Sum insured</w:t>
      </w:r>
      <w:r>
        <w:t xml:space="preserve"> </w:t>
      </w:r>
      <w:r>
        <w:t xml:space="preserve">= scale of finance (per hectare) × area.</w:t>
      </w:r>
    </w:p>
    <w:p>
      <w:pPr>
        <w:pStyle w:val="Compact"/>
        <w:numPr>
          <w:ilvl w:val="0"/>
          <w:numId w:val="1306"/>
        </w:numPr>
      </w:pPr>
      <w:r>
        <w:rPr>
          <w:bCs/>
          <w:b/>
        </w:rPr>
        <w:t xml:space="preserve">Threshold yield (TY)</w:t>
      </w:r>
      <w:r>
        <w:t xml:space="preserve"> </w:t>
      </w:r>
      <w:r>
        <w:t xml:space="preserve">= average yield of best 5 of last 7 years ×</w:t>
      </w:r>
      <w:r>
        <w:t xml:space="preserve"> </w:t>
      </w:r>
      <w:r>
        <w:rPr>
          <w:bCs/>
          <w:b/>
        </w:rPr>
        <w:t xml:space="preserve">indemnity level</w:t>
      </w:r>
      <w:r>
        <w:t xml:space="preserve"> </w:t>
      </w:r>
      <w:r>
        <w:t xml:space="preserve">(70%, 80% or 90% depending on risk profile of the area).</w:t>
      </w:r>
    </w:p>
    <w:p>
      <w:pPr>
        <w:pStyle w:val="Compact"/>
        <w:numPr>
          <w:ilvl w:val="0"/>
          <w:numId w:val="1306"/>
        </w:numPr>
      </w:pPr>
      <w:r>
        <w:rPr>
          <w:bCs/>
          <w:b/>
        </w:rPr>
        <w:t xml:space="preserve">Risks covered (stages):</w:t>
      </w:r>
    </w:p>
    <w:p>
      <w:pPr>
        <w:pStyle w:val="Compact"/>
        <w:numPr>
          <w:ilvl w:val="1"/>
          <w:numId w:val="1307"/>
        </w:numPr>
      </w:pPr>
      <w:r>
        <w:rPr>
          <w:bCs/>
          <w:b/>
        </w:rPr>
        <w:t xml:space="preserve">Prevented / failed sowing</w:t>
      </w:r>
      <w:r>
        <w:t xml:space="preserve"> </w:t>
      </w:r>
      <w:r>
        <w:t xml:space="preserve">— when a majority of the insured area cannot be sown due to deficit rainfall or adverse weather (up to 25% of sum insured).</w:t>
      </w:r>
    </w:p>
    <w:p>
      <w:pPr>
        <w:pStyle w:val="Compact"/>
        <w:numPr>
          <w:ilvl w:val="1"/>
          <w:numId w:val="1307"/>
        </w:numPr>
      </w:pPr>
      <w:r>
        <w:rPr>
          <w:bCs/>
          <w:b/>
        </w:rPr>
        <w:t xml:space="preserve">Standing crop</w:t>
      </w:r>
      <w:r>
        <w:t xml:space="preserve"> </w:t>
      </w:r>
      <w:r>
        <w:t xml:space="preserve">(sowing to harvest) — yield losses due to non-preventable risks: drought, dry spells, flood, inundation, pests and diseases, landslides, natural fire and lightning, storm, hailstorm, cyclone.</w:t>
      </w:r>
    </w:p>
    <w:p>
      <w:pPr>
        <w:pStyle w:val="Compact"/>
        <w:numPr>
          <w:ilvl w:val="1"/>
          <w:numId w:val="1307"/>
        </w:numPr>
      </w:pPr>
      <w:r>
        <w:rPr>
          <w:bCs/>
          <w:b/>
        </w:rPr>
        <w:t xml:space="preserve">Mid-season adversity</w:t>
      </w:r>
      <w:r>
        <w:t xml:space="preserve"> </w:t>
      </w:r>
      <w:r>
        <w:t xml:space="preserve">— on-account payment (up to 25% of likely claims) when expected yield &lt; 50% of normal.</w:t>
      </w:r>
    </w:p>
    <w:p>
      <w:pPr>
        <w:pStyle w:val="Compact"/>
        <w:numPr>
          <w:ilvl w:val="1"/>
          <w:numId w:val="1307"/>
        </w:numPr>
      </w:pPr>
      <w:r>
        <w:rPr>
          <w:bCs/>
          <w:b/>
        </w:rPr>
        <w:t xml:space="preserve">Post-harvest losses</w:t>
      </w:r>
      <w:r>
        <w:t xml:space="preserve"> </w:t>
      </w:r>
      <w:r>
        <w:t xml:space="preserve">— up to 14 days after harvest for crops dried in the field (</w:t>
      </w:r>
      <w:r>
        <w:t xml:space="preserve">“</w:t>
      </w:r>
      <w:r>
        <w:t xml:space="preserve">cut and spread</w:t>
      </w:r>
      <w:r>
        <w:t xml:space="preserve">”</w:t>
      </w:r>
      <w:r>
        <w:t xml:space="preserve">) against cyclone, cyclonic rain and unseasonal rain.</w:t>
      </w:r>
    </w:p>
    <w:p>
      <w:pPr>
        <w:pStyle w:val="Compact"/>
        <w:numPr>
          <w:ilvl w:val="1"/>
          <w:numId w:val="1307"/>
        </w:numPr>
      </w:pPr>
      <w:r>
        <w:rPr>
          <w:bCs/>
          <w:b/>
        </w:rPr>
        <w:t xml:space="preserve">Localised calamities</w:t>
      </w:r>
      <w:r>
        <w:t xml:space="preserve"> </w:t>
      </w:r>
      <w:r>
        <w:t xml:space="preserve">— hailstorm, landslide, inundation, cloudburst, natural fire — assessed for individual farms.</w:t>
      </w:r>
    </w:p>
    <w:p>
      <w:pPr>
        <w:pStyle w:val="Compact"/>
        <w:numPr>
          <w:ilvl w:val="0"/>
          <w:numId w:val="1306"/>
        </w:numPr>
      </w:pPr>
      <w:r>
        <w:rPr>
          <w:bCs/>
          <w:b/>
        </w:rPr>
        <w:t xml:space="preserve">Technology mandates:</w:t>
      </w:r>
      <w:r>
        <w:t xml:space="preserve"> </w:t>
      </w:r>
      <w:r>
        <w:t xml:space="preserve">use of remote sensing, drones and smartphones for CCE recording (</w:t>
      </w:r>
      <w:r>
        <w:rPr>
          <w:bCs/>
          <w:b/>
        </w:rPr>
        <w:t xml:space="preserve">CCE-Agri app</w:t>
      </w:r>
      <w:r>
        <w:t xml:space="preserve">),</w:t>
      </w:r>
      <w:r>
        <w:t xml:space="preserve"> </w:t>
      </w:r>
      <w:r>
        <w:rPr>
          <w:bCs/>
          <w:b/>
        </w:rPr>
        <w:t xml:space="preserve">YES-TECH</w:t>
      </w:r>
      <w:r>
        <w:t xml:space="preserve"> </w:t>
      </w:r>
      <w:r>
        <w:t xml:space="preserve">yield estimation,</w:t>
      </w:r>
      <w:r>
        <w:t xml:space="preserve"> </w:t>
      </w:r>
      <w:r>
        <w:rPr>
          <w:bCs/>
          <w:b/>
        </w:rPr>
        <w:t xml:space="preserve">CROPIC</w:t>
      </w:r>
      <w:r>
        <w:t xml:space="preserve"> </w:t>
      </w:r>
      <w:r>
        <w:t xml:space="preserve">(Collection of Real-time Observations and Photographs of Crops — geotagged crop photographs through the season for crop condition and damage),</w:t>
      </w:r>
      <w:r>
        <w:t xml:space="preserve"> </w:t>
      </w:r>
      <w:r>
        <w:rPr>
          <w:bCs/>
          <w:b/>
        </w:rPr>
        <w:t xml:space="preserve">WINDS</w:t>
      </w:r>
      <w:r>
        <w:t xml:space="preserve"> </w:t>
      </w:r>
      <w:r>
        <w:t xml:space="preserve">(Weather Information Network Data Systems — network of AWS at block and automatic rain gauges at gram panchayat level), and the National Crop Insurance Portal for transparency.</w:t>
      </w:r>
    </w:p>
    <w:p>
      <w:pPr>
        <w:pStyle w:val="Heading2"/>
      </w:pPr>
      <w:r>
        <w:t xml:space="preserve">41.9 Remote Sensing at Each Stage of the Insurance Cycle</w:t>
      </w:r>
    </w:p>
    <w:p>
      <w:pPr>
        <w:pStyle w:val="CaptionedFigure"/>
      </w:pPr>
      <w:r>
        <w:drawing>
          <wp:inline>
            <wp:extent cx="5334000" cy="3107055"/>
            <wp:effectExtent b="0" l="0" r="0" t="0"/>
            <wp:docPr descr="Remote sensing across the crop insurance cycle" title="" id="141" name="Picture"/>
            <a:graphic>
              <a:graphicData uri="http://schemas.openxmlformats.org/drawingml/2006/picture">
                <pic:pic>
                  <pic:nvPicPr>
                    <pic:cNvPr descr="/tmp/claude-0/-home-user-sonu/ab07c29a-21cd-5a4a-9d2d-68ad72d07153/scratchpad/build/../flows/flow_029.png" id="142" name="Picture"/>
                    <pic:cNvPicPr>
                      <a:picLocks noChangeArrowheads="1" noChangeAspect="1"/>
                    </pic:cNvPicPr>
                  </pic:nvPicPr>
                  <pic:blipFill>
                    <a:blip r:embed="rId140"/>
                    <a:stretch>
                      <a:fillRect/>
                    </a:stretch>
                  </pic:blipFill>
                  <pic:spPr bwMode="auto">
                    <a:xfrm>
                      <a:off x="0" y="0"/>
                      <a:ext cx="5334000" cy="3107055"/>
                    </a:xfrm>
                    <a:prstGeom prst="rect">
                      <a:avLst/>
                    </a:prstGeom>
                    <a:noFill/>
                    <a:ln w="9525">
                      <a:noFill/>
                      <a:headEnd/>
                      <a:tailEnd/>
                    </a:ln>
                  </pic:spPr>
                </pic:pic>
              </a:graphicData>
            </a:graphic>
          </wp:inline>
        </w:drawing>
      </w:r>
    </w:p>
    <w:p>
      <w:pPr>
        <w:pStyle w:val="ImageCaption"/>
      </w:pPr>
      <w:r>
        <w:t xml:space="preserve">Remote sensing across the crop insurance cycle</w:t>
      </w:r>
    </w:p>
    <w:p>
      <w:pPr>
        <w:pStyle w:val="Heading3"/>
      </w:pPr>
      <w:r>
        <w:t xml:space="preserve">41.9.1 Satellite indicators used</w:t>
      </w:r>
    </w:p>
    <w:p>
      <w:pPr>
        <w:pStyle w:val="Compact"/>
        <w:numPr>
          <w:ilvl w:val="0"/>
          <w:numId w:val="1308"/>
        </w:numPr>
      </w:pPr>
      <w:r>
        <w:rPr>
          <w:bCs/>
          <w:b/>
        </w:rPr>
        <w:t xml:space="preserve">Vegetation:</w:t>
      </w:r>
      <w:r>
        <w:t xml:space="preserve"> </w:t>
      </w:r>
      <w:r>
        <w:t xml:space="preserve">NDVI, EVI,</w:t>
      </w:r>
      <w:r>
        <w:t xml:space="preserve"> </w:t>
      </w:r>
      <w:r>
        <w:rPr>
          <w:bCs/>
          <w:b/>
        </w:rPr>
        <w:t xml:space="preserve">VCI</w:t>
      </w:r>
      <w:r>
        <w:t xml:space="preserve"> </w:t>
      </w:r>
      <m:oMath>
        <m:r>
          <m:rPr>
            <m:sty m:val="p"/>
          </m:rPr>
          <m:t>=</m:t>
        </m:r>
        <m:f>
          <m:fPr>
            <m:type m:val="bar"/>
          </m:fPr>
          <m:num>
            <m:r>
              <m:t>N</m:t>
            </m:r>
            <m:r>
              <m:t>D</m:t>
            </m:r>
            <m:r>
              <m:t>V</m:t>
            </m:r>
            <m:r>
              <m:t>I</m:t>
            </m:r>
            <m:r>
              <m:rPr>
                <m:sty m:val="p"/>
              </m:rPr>
              <m:t>−</m:t>
            </m:r>
            <m:r>
              <m:t>N</m:t>
            </m:r>
            <m:r>
              <m:t>D</m:t>
            </m:r>
            <m:r>
              <m:t>V</m:t>
            </m:r>
            <m:sSub>
              <m:e>
                <m:r>
                  <m:t>I</m:t>
                </m:r>
              </m:e>
              <m:sub>
                <m:r>
                  <m:t>m</m:t>
                </m:r>
                <m:r>
                  <m:t>i</m:t>
                </m:r>
                <m:r>
                  <m:t>n</m:t>
                </m:r>
              </m:sub>
            </m:sSub>
          </m:num>
          <m:den>
            <m:r>
              <m:t>N</m:t>
            </m:r>
            <m:r>
              <m:t>D</m:t>
            </m:r>
            <m:r>
              <m:t>V</m:t>
            </m:r>
            <m:sSub>
              <m:e>
                <m:r>
                  <m:t>I</m:t>
                </m:r>
              </m:e>
              <m:sub>
                <m:r>
                  <m:t>m</m:t>
                </m:r>
                <m:r>
                  <m:t>a</m:t>
                </m:r>
                <m:r>
                  <m:t>x</m:t>
                </m:r>
              </m:sub>
            </m:sSub>
            <m:r>
              <m:rPr>
                <m:sty m:val="p"/>
              </m:rPr>
              <m:t>−</m:t>
            </m:r>
            <m:r>
              <m:t>N</m:t>
            </m:r>
            <m:r>
              <m:t>D</m:t>
            </m:r>
            <m:r>
              <m:t>V</m:t>
            </m:r>
            <m:sSub>
              <m:e>
                <m:r>
                  <m:t>I</m:t>
                </m:r>
              </m:e>
              <m:sub>
                <m:r>
                  <m:t>m</m:t>
                </m:r>
                <m:r>
                  <m:t>i</m:t>
                </m:r>
                <m:r>
                  <m:t>n</m:t>
                </m:r>
              </m:sub>
            </m:sSub>
          </m:den>
        </m:f>
        <m:r>
          <m:rPr>
            <m:sty m:val="p"/>
          </m:rPr>
          <m:t>×</m:t>
        </m:r>
        <m:r>
          <m:t>100</m:t>
        </m:r>
      </m:oMath>
      <w:r>
        <w:t xml:space="preserve">, NDWI/LSWI, fAPAR, LAI, SIF;</w:t>
      </w:r>
      <w:r>
        <w:t xml:space="preserve"> </w:t>
      </w:r>
      <w:r>
        <w:rPr>
          <w:bCs/>
          <w:b/>
        </w:rPr>
        <w:t xml:space="preserve">crop-condition anomaly</w:t>
      </w:r>
      <w:r>
        <w:t xml:space="preserve"> </w:t>
      </w:r>
      <w:r>
        <w:t xml:space="preserve">relative to the same period in normal years.</w:t>
      </w:r>
    </w:p>
    <w:p>
      <w:pPr>
        <w:pStyle w:val="Compact"/>
        <w:numPr>
          <w:ilvl w:val="0"/>
          <w:numId w:val="1308"/>
        </w:numPr>
      </w:pPr>
      <w:r>
        <w:rPr>
          <w:bCs/>
          <w:b/>
        </w:rPr>
        <w:t xml:space="preserve">Water:</w:t>
      </w:r>
      <w:r>
        <w:t xml:space="preserve"> </w:t>
      </w:r>
      <w:r>
        <w:t xml:space="preserve">soil moisture (SMAP, Sentinel-1, ASCAT, EOS-04 derived),</w:t>
      </w:r>
      <w:r>
        <w:t xml:space="preserve"> </w:t>
      </w:r>
      <w:r>
        <w:rPr>
          <w:bCs/>
          <w:b/>
        </w:rPr>
        <w:t xml:space="preserve">evaporative stress</w:t>
      </w:r>
      <w:r>
        <w:t xml:space="preserve"> </w:t>
      </w:r>
      <w:r>
        <w:t xml:space="preserve">(actual/potential ET from thermal data),</w:t>
      </w:r>
      <w:r>
        <w:t xml:space="preserve"> </w:t>
      </w:r>
      <w:r>
        <w:rPr>
          <w:bCs/>
          <w:b/>
        </w:rPr>
        <w:t xml:space="preserve">rainfall</w:t>
      </w:r>
      <w:r>
        <w:t xml:space="preserve"> </w:t>
      </w:r>
      <w:r>
        <w:t xml:space="preserve">(satellite-merged products — IMD-NCMRWF, GPM IMERG, INSAT-3D HEM).</w:t>
      </w:r>
    </w:p>
    <w:p>
      <w:pPr>
        <w:pStyle w:val="Compact"/>
        <w:numPr>
          <w:ilvl w:val="0"/>
          <w:numId w:val="1308"/>
        </w:numPr>
      </w:pPr>
      <w:r>
        <w:rPr>
          <w:bCs/>
          <w:b/>
        </w:rPr>
        <w:t xml:space="preserve">Damage:</w:t>
      </w:r>
      <w:r>
        <w:t xml:space="preserve"> </w:t>
      </w:r>
      <w:r>
        <w:t xml:space="preserve">SAR backscatter drop/increase for inundation (flooded vegetation produces double-bounce increase in HH/VV; open water — very low backscatter), change detection for hail/lodging (texture change in high-resolution optical, SAR coherence loss), burnt-area indices for fire.</w:t>
      </w:r>
    </w:p>
    <w:p>
      <w:pPr>
        <w:pStyle w:val="Heading3"/>
      </w:pPr>
      <w:r>
        <w:t xml:space="preserve">41.9.2 Designing a weather/satellite index product (steps)</w:t>
      </w:r>
    </w:p>
    <w:p>
      <w:pPr>
        <w:pStyle w:val="Compact"/>
        <w:numPr>
          <w:ilvl w:val="0"/>
          <w:numId w:val="1309"/>
        </w:numPr>
      </w:pPr>
      <w:r>
        <w:rPr>
          <w:bCs/>
          <w:b/>
        </w:rPr>
        <w:t xml:space="preserve">Choose the peril and critical crop stage</w:t>
      </w:r>
      <w:r>
        <w:t xml:space="preserve"> </w:t>
      </w:r>
      <w:r>
        <w:t xml:space="preserve">— e.g., deficit rainfall during flowering for soybean.</w:t>
      </w:r>
    </w:p>
    <w:p>
      <w:pPr>
        <w:pStyle w:val="Compact"/>
        <w:numPr>
          <w:ilvl w:val="0"/>
          <w:numId w:val="1309"/>
        </w:numPr>
      </w:pPr>
      <w:r>
        <w:rPr>
          <w:bCs/>
          <w:b/>
        </w:rPr>
        <w:t xml:space="preserve">Select index</w:t>
      </w:r>
      <w:r>
        <w:t xml:space="preserve"> </w:t>
      </w:r>
      <w:r>
        <w:t xml:space="preserve">— cumulative rainfall in a window, consecutive dry days, NDVI anomaly, soil-moisture deficit.</w:t>
      </w:r>
    </w:p>
    <w:p>
      <w:pPr>
        <w:pStyle w:val="Compact"/>
        <w:numPr>
          <w:ilvl w:val="0"/>
          <w:numId w:val="1309"/>
        </w:numPr>
      </w:pPr>
      <w:r>
        <w:rPr>
          <w:bCs/>
          <w:b/>
        </w:rPr>
        <w:t xml:space="preserve">Establish the index–yield relationship</w:t>
      </w:r>
      <w:r>
        <w:t xml:space="preserve"> </w:t>
      </w:r>
      <w:r>
        <w:t xml:space="preserve">from historical data (correlation/regression; at least 20–30 years of weather or 15–20 years of satellite data).</w:t>
      </w:r>
    </w:p>
    <w:p>
      <w:pPr>
        <w:pStyle w:val="Compact"/>
        <w:numPr>
          <w:ilvl w:val="0"/>
          <w:numId w:val="1309"/>
        </w:numPr>
      </w:pPr>
      <w:r>
        <w:rPr>
          <w:bCs/>
          <w:b/>
        </w:rPr>
        <w:t xml:space="preserve">Set the trigger (strike), exit and payout rate:</w:t>
      </w:r>
      <w:r>
        <w:t xml:space="preserve"> </w:t>
      </w:r>
      <w:r>
        <w:t xml:space="preserve">payout begins when the index crosses the strike and reaches maximum at the exit level; linear between:</w:t>
      </w:r>
    </w:p>
    <w:p>
      <w:pPr>
        <w:pStyle w:val="FirstParagraph"/>
      </w:pPr>
      <m:oMathPara>
        <m:oMathParaPr>
          <m:jc m:val="center"/>
        </m:oMathParaPr>
        <m:oMath>
          <m:r>
            <m:t>P</m:t>
          </m:r>
          <m:r>
            <m:t>a</m:t>
          </m:r>
          <m:r>
            <m:t>y</m:t>
          </m:r>
          <m:r>
            <m:t>o</m:t>
          </m:r>
          <m:r>
            <m:t>u</m:t>
          </m:r>
          <m:r>
            <m:t>t</m:t>
          </m:r>
          <m:r>
            <m:rPr>
              <m:sty m:val="p"/>
            </m:rPr>
            <m:t>=</m:t>
          </m:r>
          <m:f>
            <m:fPr>
              <m:type m:val="bar"/>
            </m:fPr>
            <m:num>
              <m:r>
                <m:t>S</m:t>
              </m:r>
              <m:r>
                <m:t>t</m:t>
              </m:r>
              <m:r>
                <m:t>r</m:t>
              </m:r>
              <m:r>
                <m:t>i</m:t>
              </m:r>
              <m:r>
                <m:t>k</m:t>
              </m:r>
              <m:r>
                <m:t>e</m:t>
              </m:r>
              <m:r>
                <m:rPr>
                  <m:sty m:val="p"/>
                </m:rPr>
                <m:t>−</m:t>
              </m:r>
              <m:r>
                <m:t>I</m:t>
              </m:r>
              <m:r>
                <m:t>n</m:t>
              </m:r>
              <m:r>
                <m:t>d</m:t>
              </m:r>
              <m:r>
                <m:t>e</m:t>
              </m:r>
              <m:r>
                <m:t>x</m:t>
              </m:r>
            </m:num>
            <m:den>
              <m:r>
                <m:t>S</m:t>
              </m:r>
              <m:r>
                <m:t>t</m:t>
              </m:r>
              <m:r>
                <m:t>r</m:t>
              </m:r>
              <m:r>
                <m:t>i</m:t>
              </m:r>
              <m:r>
                <m:t>k</m:t>
              </m:r>
              <m:r>
                <m:t>e</m:t>
              </m:r>
              <m:r>
                <m:rPr>
                  <m:sty m:val="p"/>
                </m:rPr>
                <m:t>−</m:t>
              </m:r>
              <m:r>
                <m:t>E</m:t>
              </m:r>
              <m:r>
                <m:t>x</m:t>
              </m:r>
              <m:r>
                <m:t>i</m:t>
              </m:r>
              <m:r>
                <m:t>t</m:t>
              </m:r>
            </m:den>
          </m:f>
          <m:r>
            <m:rPr>
              <m:sty m:val="p"/>
            </m:rPr>
            <m:t>×</m:t>
          </m:r>
          <m:r>
            <m:t>S</m:t>
          </m:r>
          <m:r>
            <m:t>u</m:t>
          </m:r>
          <m:r>
            <m:t>m</m:t>
          </m:r>
          <m:r>
            <m:t> </m:t>
          </m:r>
          <m:r>
            <m:t>I</m:t>
          </m:r>
          <m:r>
            <m:t>n</m:t>
          </m:r>
          <m:r>
            <m:t>s</m:t>
          </m:r>
          <m:r>
            <m:t>u</m:t>
          </m:r>
          <m:r>
            <m:t>r</m:t>
          </m:r>
          <m:r>
            <m:t>e</m:t>
          </m:r>
          <m:r>
            <m:t>d</m:t>
          </m:r>
          <m:r>
            <m:t> </m:t>
          </m:r>
          <m:d>
            <m:dPr>
              <m:begChr m:val="("/>
              <m:endChr m:val=")"/>
              <m:sepChr m:val=""/>
              <m:grow/>
            </m:dPr>
            <m:e>
              <m:r>
                <m:rPr>
                  <m:nor/>
                  <m:sty m:val="p"/>
                </m:rPr>
                <m:t>deficit-type cover; capped at full sum insured</m:t>
              </m:r>
            </m:e>
          </m:d>
        </m:oMath>
      </m:oMathPara>
    </w:p>
    <w:p>
      <w:pPr>
        <w:pStyle w:val="Compact"/>
        <w:numPr>
          <w:ilvl w:val="0"/>
          <w:numId w:val="1310"/>
        </w:numPr>
      </w:pPr>
      <w:r>
        <w:rPr>
          <w:bCs/>
          <w:b/>
        </w:rPr>
        <w:t xml:space="preserve">Price the product</w:t>
      </w:r>
      <w:r>
        <w:t xml:space="preserve"> </w:t>
      </w:r>
      <w:r>
        <w:t xml:space="preserve">— expected loss (burn analysis of historical payouts), plus loading for uncertainty and administration.</w:t>
      </w:r>
    </w:p>
    <w:p>
      <w:pPr>
        <w:pStyle w:val="Compact"/>
        <w:numPr>
          <w:ilvl w:val="0"/>
          <w:numId w:val="1310"/>
        </w:numPr>
      </w:pPr>
      <w:r>
        <w:rPr>
          <w:bCs/>
          <w:b/>
        </w:rPr>
        <w:t xml:space="preserve">Test basis risk</w:t>
      </w:r>
      <w:r>
        <w:t xml:space="preserve"> </w:t>
      </w:r>
      <w:r>
        <w:t xml:space="preserve">— compare simulated payouts with recorded farm losses; adjust windows and thresholds.</w:t>
      </w:r>
    </w:p>
    <w:p>
      <w:pPr>
        <w:pStyle w:val="Compact"/>
        <w:numPr>
          <w:ilvl w:val="0"/>
          <w:numId w:val="1310"/>
        </w:numPr>
      </w:pPr>
      <w:r>
        <w:rPr>
          <w:bCs/>
          <w:b/>
        </w:rPr>
        <w:t xml:space="preserve">Operational data flow</w:t>
      </w:r>
      <w:r>
        <w:t xml:space="preserve"> </w:t>
      </w:r>
      <w:r>
        <w:t xml:space="preserve">— station/satellite data ingestion, quality control, payout calculation, communication to farmers.</w:t>
      </w:r>
    </w:p>
    <w:p>
      <w:pPr>
        <w:pStyle w:val="FirstParagraph"/>
      </w:pPr>
      <w:r>
        <w:rPr>
          <w:bCs/>
          <w:b/>
        </w:rPr>
        <w:t xml:space="preserve">Example:</w:t>
      </w:r>
      <w:r>
        <w:t xml:space="preserve"> </w:t>
      </w:r>
      <w:r>
        <w:t xml:space="preserve">strike 100 mm, exit 40 mm, sum insured ₹30,000 ha⁻¹, observed seasonal rainfall in window = 70 mm → payout = (100 − 70)/(100 − 40) × 30,000 =</w:t>
      </w:r>
      <w:r>
        <w:t xml:space="preserve"> </w:t>
      </w:r>
      <w:r>
        <w:rPr>
          <w:bCs/>
          <w:b/>
        </w:rPr>
        <w:t xml:space="preserve">₹15,000 ha⁻¹</w:t>
      </w:r>
      <w:r>
        <w:t xml:space="preserve">.</w:t>
      </w:r>
    </w:p>
    <w:p>
      <w:pPr>
        <w:pStyle w:val="Heading2"/>
      </w:pPr>
      <w:r>
        <w:t xml:space="preserve">41.10 Crop Loss Assessment Methods</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Method</w:t>
            </w:r>
          </w:p>
        </w:tc>
        <w:tc>
          <w:tcPr/>
          <w:p>
            <w:pPr>
              <w:pStyle w:val="Compact"/>
              <w:jc w:val="left"/>
            </w:pPr>
            <w:r>
              <w:t xml:space="preserve">Description</w:t>
            </w:r>
          </w:p>
        </w:tc>
      </w:tr>
      <w:tr>
        <w:tc>
          <w:tcPr/>
          <w:p>
            <w:pPr>
              <w:pStyle w:val="Compact"/>
              <w:jc w:val="left"/>
            </w:pPr>
            <w:r>
              <w:rPr>
                <w:bCs/>
                <w:b/>
              </w:rPr>
              <w:t xml:space="preserve">Crop cutting experiments</w:t>
            </w:r>
          </w:p>
        </w:tc>
        <w:tc>
          <w:tcPr/>
          <w:p>
            <w:pPr>
              <w:pStyle w:val="Compact"/>
              <w:jc w:val="left"/>
            </w:pPr>
            <w:r>
              <w:t xml:space="preserve">Statistical yield estimation (see sampling chapter)</w:t>
            </w:r>
          </w:p>
        </w:tc>
      </w:tr>
      <w:tr>
        <w:tc>
          <w:tcPr/>
          <w:p>
            <w:pPr>
              <w:pStyle w:val="Compact"/>
              <w:jc w:val="left"/>
            </w:pPr>
            <w:r>
              <w:rPr>
                <w:bCs/>
                <w:b/>
              </w:rPr>
              <w:t xml:space="preserve">Eye estimation / visual inspection</w:t>
            </w:r>
            <w:r>
              <w:t xml:space="preserve"> </w:t>
            </w:r>
            <w:r>
              <w:t xml:space="preserve">(annewari/paisewari systems)</w:t>
            </w:r>
          </w:p>
        </w:tc>
        <w:tc>
          <w:tcPr/>
          <w:p>
            <w:pPr>
              <w:pStyle w:val="Compact"/>
              <w:jc w:val="left"/>
            </w:pPr>
            <w:r>
              <w:t xml:space="preserve">Traditional assessment of crop condition in annas (out of 16) or paise (out of 100) — subjective</w:t>
            </w:r>
          </w:p>
        </w:tc>
      </w:tr>
      <w:tr>
        <w:tc>
          <w:tcPr/>
          <w:p>
            <w:pPr>
              <w:pStyle w:val="Compact"/>
              <w:jc w:val="left"/>
            </w:pPr>
            <w:r>
              <w:rPr>
                <w:bCs/>
                <w:b/>
              </w:rPr>
              <w:t xml:space="preserve">Remote sensing indices</w:t>
            </w:r>
          </w:p>
        </w:tc>
        <w:tc>
          <w:tcPr/>
          <w:p>
            <w:pPr>
              <w:pStyle w:val="Compact"/>
              <w:jc w:val="left"/>
            </w:pPr>
            <w:r>
              <w:t xml:space="preserve">Comparison of current-season indicators with normal; damage extent from change detection</w:t>
            </w:r>
          </w:p>
        </w:tc>
      </w:tr>
      <w:tr>
        <w:tc>
          <w:tcPr/>
          <w:p>
            <w:pPr>
              <w:pStyle w:val="Compact"/>
              <w:jc w:val="left"/>
            </w:pPr>
            <w:r>
              <w:rPr>
                <w:bCs/>
                <w:b/>
              </w:rPr>
              <w:t xml:space="preserve">Crop simulation models</w:t>
            </w:r>
          </w:p>
        </w:tc>
        <w:tc>
          <w:tcPr/>
          <w:p>
            <w:pPr>
              <w:pStyle w:val="Compact"/>
              <w:jc w:val="left"/>
            </w:pPr>
            <w:r>
              <w:t xml:space="preserve">Simulate yield with actual weather vs. normal weather (loss attributable to weather)</w:t>
            </w:r>
          </w:p>
        </w:tc>
      </w:tr>
      <w:tr>
        <w:tc>
          <w:tcPr/>
          <w:p>
            <w:pPr>
              <w:pStyle w:val="Compact"/>
              <w:jc w:val="left"/>
            </w:pPr>
            <w:r>
              <w:rPr>
                <w:bCs/>
                <w:b/>
              </w:rPr>
              <w:t xml:space="preserve">Drone surveys</w:t>
            </w:r>
          </w:p>
        </w:tc>
        <w:tc>
          <w:tcPr/>
          <w:p>
            <w:pPr>
              <w:pStyle w:val="Compact"/>
              <w:jc w:val="left"/>
            </w:pPr>
            <w:r>
              <w:t xml:space="preserve">High-resolution imagery for localised damage (hail, lodging, pest patches), plant counting</w:t>
            </w:r>
          </w:p>
        </w:tc>
      </w:tr>
      <w:tr>
        <w:tc>
          <w:tcPr/>
          <w:p>
            <w:pPr>
              <w:pStyle w:val="Compact"/>
              <w:jc w:val="left"/>
            </w:pPr>
            <w:r>
              <w:rPr>
                <w:bCs/>
                <w:b/>
              </w:rPr>
              <w:t xml:space="preserve">Smartphone apps</w:t>
            </w:r>
          </w:p>
        </w:tc>
        <w:tc>
          <w:tcPr/>
          <w:p>
            <w:pPr>
              <w:pStyle w:val="Compact"/>
              <w:jc w:val="left"/>
            </w:pPr>
            <w:r>
              <w:t xml:space="preserve">Geotagged photos with time stamps; AI-based damage assessment (CROPIC)</w:t>
            </w:r>
          </w:p>
        </w:tc>
      </w:tr>
    </w:tbl>
    <w:p>
      <w:pPr>
        <w:pStyle w:val="Heading2"/>
      </w:pPr>
      <w:r>
        <w:t xml:space="preserve">41.11 Challenges and Way Forward</w:t>
      </w:r>
    </w:p>
    <w:p>
      <w:pPr>
        <w:pStyle w:val="FirstParagraph"/>
      </w:pPr>
      <w:r>
        <w:t xml:space="preserve">Delayed claim settlement, disputes over yield data, small fragmented holdings and intercropping (mixed pixels), cloud cover during kharif, insufficient weather station density, low awareness among farmers, insurer profitability and premium affordability. Directions: GP/village-level insurance units, technology-weighted yield estimation, field-level satellite products from high-resolution and SAR constellations, integration with</w:t>
      </w:r>
      <w:r>
        <w:t xml:space="preserve"> </w:t>
      </w:r>
      <w:r>
        <w:rPr>
          <w:bCs/>
          <w:b/>
        </w:rPr>
        <w:t xml:space="preserve">Agristack</w:t>
      </w:r>
      <w:r>
        <w:t xml:space="preserve"> </w:t>
      </w:r>
      <w:r>
        <w:t xml:space="preserve">farmer and crop registries (Digital Crop Survey), parametric products for specific perils, and transparent dashboards.</w:t>
      </w:r>
    </w:p>
    <w:p>
      <w:pPr>
        <w:pStyle w:val="Heading3"/>
      </w:pPr>
      <w:r>
        <w:t xml:space="preserve">41.11.1 Likely interview questions</w:t>
      </w:r>
    </w:p>
    <w:p>
      <w:pPr>
        <w:pStyle w:val="FirstParagraph"/>
      </w:pPr>
      <w:r>
        <w:rPr>
          <w:bCs/>
          <w:b/>
        </w:rPr>
        <w:t xml:space="preserve">Q. What is basis risk and how can remote sensing reduce it?</w:t>
      </w:r>
      <w:r>
        <w:t xml:space="preserve"> </w:t>
      </w:r>
      <w:r>
        <w:t xml:space="preserve">Mismatch between index payout and actual farm loss; finer-resolution, field-level satellite indicators and dense AWS networks bring the index closer to the farmer’s experience.</w:t>
      </w:r>
    </w:p>
    <w:p>
      <w:pPr>
        <w:pStyle w:val="BodyText"/>
      </w:pPr>
      <w:r>
        <w:rPr>
          <w:bCs/>
          <w:b/>
        </w:rPr>
        <w:t xml:space="preserve">Q. Explain how threshold yield is computed under PMFBY.</w:t>
      </w:r>
      <w:r>
        <w:t xml:space="preserve"> </w:t>
      </w:r>
      <w:r>
        <w:t xml:space="preserve">Average of the best five out of the last seven years’ yields multiplied by the indemnity level (70/80/90%).</w:t>
      </w:r>
    </w:p>
    <w:p>
      <w:pPr>
        <w:pStyle w:val="BodyText"/>
      </w:pPr>
      <w:r>
        <w:rPr>
          <w:bCs/>
          <w:b/>
        </w:rPr>
        <w:t xml:space="preserve">Q. What are CROPIC and WINDS?</w:t>
      </w:r>
      <w:r>
        <w:t xml:space="preserve"> </w:t>
      </w:r>
      <w:r>
        <w:t xml:space="preserve">CROPIC collects geotagged crop photographs for crop condition and damage; WINDS is the block/GP-level automatic weather station and rain gauge network.</w:t>
      </w:r>
    </w:p>
    <w:p>
      <w:pPr>
        <w:pStyle w:val="BodyText"/>
      </w:pPr>
      <w:r>
        <w:rPr>
          <w:bCs/>
          <w:b/>
        </w:rPr>
        <w:t xml:space="preserve">Q. How does a weather-index insurance payout work?</w:t>
      </w:r>
      <w:r>
        <w:t xml:space="preserve"> </w:t>
      </w:r>
      <w:r>
        <w:t xml:space="preserve">Linear payout between the strike and exit values of a weather index during a crop-critical window.</w:t>
      </w:r>
    </w:p>
    <w:p>
      <w:pPr>
        <w:pStyle w:val="Heading1"/>
      </w:pPr>
      <w:r>
        <w:t xml:space="preserve">Chapter 42. Horticulture, Cropping Systems and Allied Applications</w:t>
      </w:r>
    </w:p>
    <w:p>
      <w:pPr>
        <w:pStyle w:val="Heading2"/>
      </w:pPr>
      <w:r>
        <w:t xml:space="preserve">42.1 CHAMAN — Coordinated programme on Horticulture Assessment and Management using geoiNformatics</w:t>
      </w:r>
    </w:p>
    <w:p>
      <w:pPr>
        <w:pStyle w:val="Heading3"/>
      </w:pPr>
      <w:r>
        <w:t xml:space="preserve">42.1.1 Objectives and Background</w:t>
      </w:r>
    </w:p>
    <w:p>
      <w:pPr>
        <w:pStyle w:val="FirstParagraph"/>
      </w:pPr>
      <w:r>
        <w:t xml:space="preserve">Horticulture (fruits, vegetables, spices, plantation crops) had historically been poorly served by remote-sensing-based statistics compared to field crops, because horticultural crops are perennial, spatially fragmented (small orchards, mixed cropping, homestead gardens), and spectrally harder to separate from other tree/vegetation cover using coarse-resolution satellite data. CHAMAN was launched to fill this gap by applying geoinformatics (satellite RS + GIS + sampling statistics) specifically to horticulture, in response to the growing economic importance of the horticulture sector (which by value now exceeds foodgrain production in India) and the National Horticulture Mission/Mission for Integrated Development of Horticulture (MIDH)’s need for reliable area/production statistics.</w:t>
      </w:r>
    </w:p>
    <w:p>
      <w:pPr>
        <w:pStyle w:val="Heading3"/>
      </w:pPr>
      <w:r>
        <w:t xml:space="preserve">42.1.2 Crops Covered</w:t>
      </w:r>
    </w:p>
    <w:p>
      <w:pPr>
        <w:pStyle w:val="FirstParagraph"/>
      </w:pPr>
      <w:r>
        <w:t xml:space="preserve">CHAMAN methodology has been developed and progressively extended to major horticultural crops including</w:t>
      </w:r>
      <w:r>
        <w:t xml:space="preserve"> </w:t>
      </w:r>
      <w:r>
        <w:rPr>
          <w:bCs/>
          <w:b/>
        </w:rPr>
        <w:t xml:space="preserve">mango, banana, citrus (mandarin/orange), potato, onion, tomato, chilli, and other selected fruits, vegetables and spices</w:t>
      </w:r>
      <w:r>
        <w:t xml:space="preserve">, with district-level coverage expanded in phases across horticulture-important states — Andhra Pradesh, Telangana, Karnataka, Tamil Nadu, Maharashtra, Gujarat, Punjab, Haryana, Uttar Pradesh, Bihar and others.</w:t>
      </w:r>
    </w:p>
    <w:p>
      <w:pPr>
        <w:pStyle w:val="Heading3"/>
      </w:pPr>
      <w:r>
        <w:t xml:space="preserve">42.1.3 Methodology</w:t>
      </w:r>
    </w:p>
    <w:p>
      <w:pPr>
        <w:pStyle w:val="FirstParagraph"/>
      </w:pPr>
      <w:r>
        <w:t xml:space="preserve">CHAMAN combines two complementary techniques:</w:t>
      </w:r>
    </w:p>
    <w:p>
      <w:pPr>
        <w:numPr>
          <w:ilvl w:val="0"/>
          <w:numId w:val="1311"/>
        </w:numPr>
      </w:pPr>
      <w:r>
        <w:rPr>
          <w:bCs/>
          <w:b/>
        </w:rPr>
        <w:t xml:space="preserve">Remote-sensing-based area estimation:</w:t>
      </w:r>
      <w:r>
        <w:t xml:space="preserve"> </w:t>
      </w:r>
      <w:r>
        <w:t xml:space="preserve">High-resolution satellite data (Resourcesat-2 LISS-IV, ~5.8 m resolution, and increasingly higher-resolution/very-high-resolution imagery) is used to delineate and classify orchard/plantation extents through supervised classification and, for tree/plantation crops, spatial/textural pattern recognition (since horticultural crops often cannot be separated by spectral signature alone at coarser resolution — their canopy geometry, planting pattern, and texture matter). Ground-truth field photographs (geotagged) are collected for validation and accuracy assessment.</w:t>
      </w:r>
    </w:p>
    <w:p>
      <w:pPr>
        <w:numPr>
          <w:ilvl w:val="0"/>
          <w:numId w:val="1311"/>
        </w:numPr>
      </w:pPr>
      <w:r>
        <w:rPr>
          <w:bCs/>
          <w:b/>
        </w:rPr>
        <w:t xml:space="preserve">Sampling-based yield estimation:</w:t>
      </w:r>
      <w:r>
        <w:t xml:space="preserve"> </w:t>
      </w:r>
      <w:r>
        <w:t xml:space="preserve">Because RS alone cannot estimate yield for perennial/orchard crops (no simple biomass-to-yield relation as in cereals), CHAMAN uses statistically designed sample surveys — analogous in spirit to crop-cutting experiments but adapted for orchards (e.g., sampling individual trees/plots and extrapolating yield per hectare) — to generate production estimates that are then combined with the RS-derived area figures.</w:t>
      </w:r>
    </w:p>
    <w:p>
      <w:pPr>
        <w:pStyle w:val="Heading3"/>
      </w:pPr>
      <w:r>
        <w:t xml:space="preserve">42.1.4 Delivery Platform and Institutional Home</w:t>
      </w:r>
    </w:p>
    <w:p>
      <w:pPr>
        <w:pStyle w:val="FirstParagraph"/>
      </w:pPr>
      <w:r>
        <w:t xml:space="preserve">CHAMAN outputs and geospatial layers (orchard boundary maps, POI data on markets, cold storage and processing facilities) are hosted on the</w:t>
      </w:r>
      <w:r>
        <w:t xml:space="preserve"> </w:t>
      </w:r>
      <w:r>
        <w:rPr>
          <w:bCs/>
          <w:b/>
        </w:rPr>
        <w:t xml:space="preserve">Bhuvan geoportal</w:t>
      </w:r>
      <w:r>
        <w:t xml:space="preserve"> </w:t>
      </w:r>
      <w:r>
        <w:t xml:space="preserve">(ISRO’s national geoportal, hosted by NRSC) via a dedicated CHAMAN application module, and the programme is jointly implemented by</w:t>
      </w:r>
      <w:r>
        <w:t xml:space="preserve"> </w:t>
      </w:r>
      <w:r>
        <w:rPr>
          <w:bCs/>
          <w:b/>
        </w:rPr>
        <w:t xml:space="preserve">MNCFC (DA&amp;FW)</w:t>
      </w:r>
      <w:r>
        <w:t xml:space="preserve"> </w:t>
      </w:r>
      <w:r>
        <w:t xml:space="preserve">with</w:t>
      </w:r>
      <w:r>
        <w:t xml:space="preserve"> </w:t>
      </w:r>
      <w:r>
        <w:rPr>
          <w:bCs/>
          <w:b/>
        </w:rPr>
        <w:t xml:space="preserve">ISRO (SAC/NRSC)</w:t>
      </w:r>
      <w:r>
        <w:t xml:space="preserve"> </w:t>
      </w:r>
      <w:r>
        <w:t xml:space="preserve">as the technology partner, similar in institutional structure to FASAL. CHAMAN has progressed through multiple phases (CHAMAN Phase-I and Phase-II), with Phase-II extending crop and district coverage and refining orchard-inventory methodology (including use of very-high-resolution and drone-based imagery for orchard boundary delineation in select pilots).</w:t>
      </w:r>
    </w:p>
    <w:p>
      <w:pPr>
        <w:pStyle w:val="Heading2"/>
      </w:pPr>
      <w:r>
        <w:t xml:space="preserve">42.2 Horticulture Crop Area Estimation and Monitoring, and Cropping Systems Analysis</w:t>
      </w:r>
    </w:p>
    <w:p>
      <w:pPr>
        <w:pStyle w:val="Heading3"/>
      </w:pPr>
      <w:r>
        <w:t xml:space="preserve">42.2.1 Horticulture inventory</w:t>
      </w:r>
    </w:p>
    <w:p>
      <w:pPr>
        <w:pStyle w:val="FirstParagraph"/>
      </w:pPr>
      <w:r>
        <w:t xml:space="preserve">Horticultural crops (fruits, vegetables, plantation crops) present a distinct remote-sensing challenge relative to field/cereal crops: they are frequently perennial (multi-year canopy, not an annual sow-grow-harvest cycle), often grown in small, fragmented orchard/plantation parcels well below the resolving power of moderate-resolution sensors, and frequently intercropped. ISRO/SAC’s horticulture crop area estimation and monitoring programme therefore relies on</w:t>
      </w:r>
      <w:r>
        <w:t xml:space="preserve"> </w:t>
      </w:r>
      <w:r>
        <w:rPr>
          <w:bCs/>
          <w:b/>
        </w:rPr>
        <w:t xml:space="preserve">high-spatial-resolution sensors — LISS-IV (5.8 m) and Cartosat-2-series PAN/multispectral</w:t>
      </w:r>
      <w:r>
        <w:t xml:space="preserve"> </w:t>
      </w:r>
      <w:r>
        <w:t xml:space="preserve">— capable of resolving individual orchard blocks/rows, combined with texture-based (rather than purely spectral) classification approaches that exploit the distinctive canopy-texture/shadow pattern of tree-crop plantations versus field crops, and multi-date imagery to distinguish evergreen perennial horticultural cover from the seasonal phenology of annual field crops.</w:t>
      </w:r>
    </w:p>
    <w:p>
      <w:pPr>
        <w:pStyle w:val="Heading3"/>
      </w:pPr>
      <w:r>
        <w:t xml:space="preserve">42.2.2 Cropping systems analysis</w:t>
      </w:r>
    </w:p>
    <w:p>
      <w:pPr>
        <w:pStyle w:val="FirstParagraph"/>
      </w:pPr>
      <w:r>
        <w:t xml:space="preserve">Cropping-systems analysis characterises the</w:t>
      </w:r>
      <w:r>
        <w:t xml:space="preserve"> </w:t>
      </w:r>
      <w:r>
        <w:rPr>
          <w:bCs/>
          <w:b/>
        </w:rPr>
        <w:t xml:space="preserve">sequence and combination of crops</w:t>
      </w:r>
      <w:r>
        <w:t xml:space="preserve"> </w:t>
      </w:r>
      <w:r>
        <w:t xml:space="preserve">grown on the same land through an agricultural year (e.g., rice-wheat, rice-rice-fallow, cotton-groundnut intercropping), requiring</w:t>
      </w:r>
      <w:r>
        <w:t xml:space="preserve"> </w:t>
      </w:r>
      <w:r>
        <w:rPr>
          <w:bCs/>
          <w:b/>
        </w:rPr>
        <w:t xml:space="preserve">multi-date, full-season imagery</w:t>
      </w:r>
      <w:r>
        <w:t xml:space="preserve"> </w:t>
      </w:r>
      <w:r>
        <w:t xml:space="preserve">(rather than a single-date snapshot sufficient for simple crop-type mapping) to reconstruct each field’s temporal cropping sequence via time-series classification, informing cropping-intensity (Gross Cropped Area / Net Sown Area) mapping, crop-diversification monitoring, and identification of fallow/mono-cropped land with intensification potential (feeding directly into the NFSM pulse-intensification and post-kharif fallow-assessment applications above).</w:t>
      </w:r>
    </w:p>
    <w:p>
      <w:pPr>
        <w:pStyle w:val="Heading2"/>
      </w:pPr>
      <w:r>
        <w:t xml:space="preserve">42.3 Cropping system analysis and rice-fallow mapping</w:t>
      </w:r>
    </w:p>
    <w:tbl>
      <w:tblPr>
        <w:tblStyle w:val="Table"/>
        <w:tblW w:type="pct" w:w="4960"/>
        <w:jc w:val="left"/>
        <w:tblLook w:firstRow="0" w:lastRow="0" w:firstColumn="0" w:lastColumn="0" w:noHBand="0" w:noVBand="0" w:val="0000"/>
      </w:tblPr>
      <w:tblGrid>
        <w:gridCol w:w="691"/>
        <w:gridCol w:w="7165"/>
      </w:tblGrid>
      <w:tr>
        <w:tc>
          <w:tcPr/>
          <w:p>
            <w:pPr>
              <w:pStyle w:val="Compact"/>
              <w:jc w:val="left"/>
            </w:pPr>
            <w:r>
              <w:rPr>
                <w:bCs/>
                <w:b/>
              </w:rPr>
              <w:t xml:space="preserve">Who</w:t>
            </w:r>
          </w:p>
        </w:tc>
        <w:tc>
          <w:tcPr/>
          <w:p>
            <w:pPr>
              <w:pStyle w:val="Compact"/>
              <w:jc w:val="left"/>
            </w:pPr>
            <w:r>
              <w:t xml:space="preserve">SAC (cropping system studies), NRSC, MNCFC, with ICAR and ICRISAT.</w:t>
            </w:r>
          </w:p>
        </w:tc>
      </w:tr>
      <w:tr>
        <w:tc>
          <w:tcPr/>
          <w:p>
            <w:pPr>
              <w:pStyle w:val="Compact"/>
              <w:jc w:val="left"/>
            </w:pPr>
            <w:r>
              <w:rPr>
                <w:bCs/>
                <w:b/>
              </w:rPr>
              <w:t xml:space="preserve">Cropping system</w:t>
            </w:r>
          </w:p>
        </w:tc>
        <w:tc>
          <w:tcPr/>
          <w:p>
            <w:pPr>
              <w:pStyle w:val="Compact"/>
              <w:jc w:val="left"/>
            </w:pPr>
            <w:r>
              <w:t xml:space="preserve">Multi-date satellite data used to map</w:t>
            </w:r>
            <w:r>
              <w:t xml:space="preserve"> </w:t>
            </w:r>
            <w:r>
              <w:rPr>
                <w:bCs/>
                <w:b/>
              </w:rPr>
              <w:t xml:space="preserve">crop rotations</w:t>
            </w:r>
            <w:r>
              <w:t xml:space="preserve"> </w:t>
            </w:r>
            <w:r>
              <w:t xml:space="preserve">(rice–wheat, rice–rice, etc.) and to compute indices:</w:t>
            </w:r>
            <w:r>
              <w:t xml:space="preserve"> </w:t>
            </w:r>
            <w:r>
              <w:rPr>
                <w:bCs/>
                <w:b/>
              </w:rPr>
              <w:t xml:space="preserve">Multiple Cropping Index (MCI)</w:t>
            </w:r>
            <w:r>
              <w:t xml:space="preserve">,</w:t>
            </w:r>
            <w:r>
              <w:t xml:space="preserve"> </w:t>
            </w:r>
            <w:r>
              <w:rPr>
                <w:bCs/>
                <w:b/>
              </w:rPr>
              <w:t xml:space="preserve">Area Diversity Index (ADI)</w:t>
            </w:r>
            <w:r>
              <w:t xml:space="preserve">,</w:t>
            </w:r>
            <w:r>
              <w:t xml:space="preserve"> </w:t>
            </w:r>
            <w:r>
              <w:rPr>
                <w:bCs/>
                <w:b/>
              </w:rPr>
              <w:t xml:space="preserve">Cultivated Land Utilisation Index (CLUI)</w:t>
            </w:r>
            <w:r>
              <w:t xml:space="preserve">.</w:t>
            </w:r>
          </w:p>
        </w:tc>
      </w:tr>
      <w:tr>
        <w:tc>
          <w:tcPr/>
          <w:p>
            <w:pPr>
              <w:pStyle w:val="Compact"/>
              <w:jc w:val="left"/>
            </w:pPr>
            <w:r>
              <w:rPr>
                <w:bCs/>
                <w:b/>
              </w:rPr>
              <w:t xml:space="preserve">Rice fallows</w:t>
            </w:r>
          </w:p>
        </w:tc>
        <w:tc>
          <w:tcPr/>
          <w:p>
            <w:pPr>
              <w:pStyle w:val="Compact"/>
              <w:jc w:val="left"/>
            </w:pPr>
            <w:r>
              <w:t xml:space="preserve">Land left fallow in rabi after kharif rice, mainly in</w:t>
            </w:r>
            <w:r>
              <w:t xml:space="preserve"> </w:t>
            </w:r>
            <w:r>
              <w:rPr>
                <w:bCs/>
                <w:b/>
              </w:rPr>
              <w:t xml:space="preserve">eastern India</w:t>
            </w:r>
            <w:r>
              <w:t xml:space="preserve"> </w:t>
            </w:r>
            <w:r>
              <w:t xml:space="preserve">(about 11–12 million ha in published estimates). Mapped to target</w:t>
            </w:r>
            <w:r>
              <w:t xml:space="preserve"> </w:t>
            </w:r>
            <w:r>
              <w:rPr>
                <w:bCs/>
                <w:b/>
              </w:rPr>
              <w:t xml:space="preserve">pulses and oilseeds</w:t>
            </w:r>
            <w:r>
              <w:t xml:space="preserve"> </w:t>
            </w:r>
            <w:r>
              <w:t xml:space="preserve">using residual soil moisture (crop intensification).</w:t>
            </w:r>
          </w:p>
        </w:tc>
      </w:tr>
      <w:tr>
        <w:tc>
          <w:tcPr/>
          <w:p>
            <w:pPr>
              <w:pStyle w:val="Compact"/>
              <w:jc w:val="left"/>
            </w:pPr>
            <w:r>
              <w:rPr>
                <w:bCs/>
                <w:b/>
              </w:rPr>
              <w:t xml:space="preserve">Use</w:t>
            </w:r>
          </w:p>
        </w:tc>
        <w:tc>
          <w:tcPr/>
          <w:p>
            <w:pPr>
              <w:pStyle w:val="Compact"/>
              <w:jc w:val="left"/>
            </w:pPr>
            <w:r>
              <w:t xml:space="preserve">Planning crop diversification and intensification (e.g. Bringing Green Revolution to Eastern India, National Food Security Mission).</w:t>
            </w:r>
          </w:p>
        </w:tc>
      </w:tr>
    </w:tbl>
    <w:p>
      <w:pPr>
        <w:pStyle w:val="Heading2"/>
      </w:pPr>
      <w:r>
        <w:t xml:space="preserve">42.4 SASYA — the AI-based SAR Crop Mapping Tool</w:t>
      </w:r>
    </w:p>
    <w:p>
      <w:pPr>
        <w:pStyle w:val="FirstParagraph"/>
      </w:pPr>
      <w:r>
        <w:rPr>
          <w:bCs/>
          <w:b/>
        </w:rPr>
        <w:t xml:space="preserve">SASYA</w:t>
      </w:r>
      <w:r>
        <w:t xml:space="preserve"> </w:t>
      </w:r>
      <w:r>
        <w:t xml:space="preserve">is an AI/machine-learning-based crop-mapping tool developed by NRSC/ISRO, specifically engineered to classify crop type and map crop area from</w:t>
      </w:r>
      <w:r>
        <w:t xml:space="preserve"> </w:t>
      </w:r>
      <w:r>
        <w:rPr>
          <w:bCs/>
          <w:b/>
        </w:rPr>
        <w:t xml:space="preserve">C-band SAR data from EOS-04 (RISAT-1A)</w:t>
      </w:r>
      <w:r>
        <w:t xml:space="preserve">, exploiting the multi-temporal backscatter growth-signature principle described in the relevant chapter — the characteristic low–rise–plateau backscatter trajectory for rice, and analogous, crop-specific temporal-backscatter</w:t>
      </w:r>
      <w:r>
        <w:t xml:space="preserve"> </w:t>
      </w:r>
      <w:r>
        <w:t xml:space="preserve">“</w:t>
      </w:r>
      <w:r>
        <w:t xml:space="preserve">fingerprints</w:t>
      </w:r>
      <w:r>
        <w:t xml:space="preserve">”</w:t>
      </w:r>
      <w:r>
        <w:t xml:space="preserve"> </w:t>
      </w:r>
      <w:r>
        <w:t xml:space="preserve">for other crops — as the core feature set for a supervised machine-learning classifier (the AI component), trained and validated against ground-truth crop-type samples. SASYA has been integrated into the</w:t>
      </w:r>
      <w:r>
        <w:t xml:space="preserve"> </w:t>
      </w:r>
      <w:r>
        <w:rPr>
          <w:bCs/>
          <w:b/>
        </w:rPr>
        <w:t xml:space="preserve">BHOONIDHI</w:t>
      </w:r>
      <w:r>
        <w:t xml:space="preserve"> </w:t>
      </w:r>
      <w:r>
        <w:t xml:space="preserve">geo-portal (NRSC/ISRO’s satellite-data discovery, ordering and analytics platform) and made operationally available to agencies including MNCFC and the Ministry of Agriculture and Farmers’ Welfare, directly supporting the national kharif rice-area/sown-area mapping exercise.</w:t>
      </w:r>
    </w:p>
    <w:p>
      <w:pPr>
        <w:pStyle w:val="Heading2"/>
      </w:pPr>
      <w:r>
        <w:t xml:space="preserve">42.5 Operational National-Scale Mapping Since 2023</w:t>
      </w:r>
    </w:p>
    <w:p>
      <w:pPr>
        <w:pStyle w:val="FirstParagraph"/>
      </w:pPr>
      <w:r>
        <w:t xml:space="preserve">Two operational, EOS-04 SAR-based national mapping products have been generated by ISRO/DoS on a running annual basis since 2023, illustrating the maturation of FASAL/SASYA capability from R&amp;D into routine national service:</w:t>
      </w:r>
    </w:p>
    <w:p>
      <w:pPr>
        <w:pStyle w:val="Compact"/>
        <w:numPr>
          <w:ilvl w:val="0"/>
          <w:numId w:val="1312"/>
        </w:numPr>
      </w:pPr>
      <w:r>
        <w:rPr>
          <w:bCs/>
          <w:b/>
        </w:rPr>
        <w:t xml:space="preserve">Rice crop area and kharif sown area mapping</w:t>
      </w:r>
      <w:r>
        <w:t xml:space="preserve"> </w:t>
      </w:r>
      <w:r>
        <w:t xml:space="preserve">— carried out nationally using EOS-04 active-microwave (SAR) data, explicitly timed to be completed</w:t>
      </w:r>
      <w:r>
        <w:t xml:space="preserve"> </w:t>
      </w:r>
      <w:r>
        <w:rPr>
          <w:bCs/>
          <w:b/>
        </w:rPr>
        <w:t xml:space="preserve">by the end of August</w:t>
      </w:r>
      <w:r>
        <w:t xml:space="preserve"> </w:t>
      </w:r>
      <w:r>
        <w:t xml:space="preserve">each year, exploiting SAR’s cloud-penetration capability to deliver a national kharif sown-area assessment well before optical-sensor cloud-free coverage would typically be achievable, directly informing mid-season national kharif production outlook.</w:t>
      </w:r>
    </w:p>
    <w:p>
      <w:pPr>
        <w:pStyle w:val="Compact"/>
        <w:numPr>
          <w:ilvl w:val="0"/>
          <w:numId w:val="1312"/>
        </w:numPr>
      </w:pPr>
      <w:r>
        <w:rPr>
          <w:bCs/>
          <w:b/>
        </w:rPr>
        <w:t xml:space="preserve">Post-kharif (rabi) fallow-land assessment</w:t>
      </w:r>
      <w:r>
        <w:t xml:space="preserve"> </w:t>
      </w:r>
      <w:r>
        <w:t xml:space="preserve">— operational mapping of post-kharif fallow lands (harvested kharif fields left uncropped into the rabi season) to identify areas with agronomic potential for rabi-crop intensification, supporting the</w:t>
      </w:r>
      <w:r>
        <w:t xml:space="preserve"> </w:t>
      </w:r>
      <w:r>
        <w:rPr>
          <w:bCs/>
          <w:b/>
        </w:rPr>
        <w:t xml:space="preserve">National Food Security Mission (NFSM)</w:t>
      </w:r>
      <w:r>
        <w:t xml:space="preserve">’s crop-intensification targeting, particularly relevant to the</w:t>
      </w:r>
      <w:r>
        <w:t xml:space="preserve"> </w:t>
      </w:r>
      <w:r>
        <w:t xml:space="preserve">“</w:t>
      </w:r>
      <w:r>
        <w:t xml:space="preserve">Bringing Green Revolution to Eastern India (BGREI)</w:t>
      </w:r>
      <w:r>
        <w:t xml:space="preserve">”</w:t>
      </w:r>
      <w:r>
        <w:t xml:space="preserve"> </w:t>
      </w:r>
      <w:r>
        <w:t xml:space="preserve">initiative described below.</w:t>
      </w:r>
    </w:p>
    <w:p>
      <w:pPr>
        <w:pStyle w:val="Heading2"/>
      </w:pPr>
      <w:r>
        <w:t xml:space="preserve">42.6 National Food Security Mission (NFSM) — ISRO/DoS Contributions</w:t>
      </w:r>
    </w:p>
    <w:p>
      <w:pPr>
        <w:pStyle w:val="FirstParagraph"/>
      </w:pPr>
      <w:r>
        <w:t xml:space="preserve">Beyond FASAL’s core forecasting mandate, ISRO/SAC contributes technical remote-sensing support to several NFSM (DA&amp;FW) sub-initiatives:</w:t>
      </w:r>
    </w:p>
    <w:p>
      <w:pPr>
        <w:pStyle w:val="Compact"/>
        <w:numPr>
          <w:ilvl w:val="0"/>
          <w:numId w:val="1313"/>
        </w:numPr>
      </w:pPr>
      <w:r>
        <w:rPr>
          <w:bCs/>
          <w:b/>
        </w:rPr>
        <w:t xml:space="preserve">Bringing Green Revolution to Eastern India (BGREI):</w:t>
      </w:r>
      <w:r>
        <w:t xml:space="preserve"> </w:t>
      </w:r>
      <w:r>
        <w:t xml:space="preserve">monitoring the impact of NFSM interventions on</w:t>
      </w:r>
      <w:r>
        <w:t xml:space="preserve"> </w:t>
      </w:r>
      <w:r>
        <w:rPr>
          <w:bCs/>
          <w:b/>
        </w:rPr>
        <w:t xml:space="preserve">rice production</w:t>
      </w:r>
      <w:r>
        <w:t xml:space="preserve"> </w:t>
      </w:r>
      <w:r>
        <w:t xml:space="preserve">across the eastern Indian states (historically lower-yielding, high-potential rice belt), using multi-year remote-sensing crop-area and productivity-proxy (NDVI/yield-model) time series to quantify area-expansion and productivity gains attributable to the programme.</w:t>
      </w:r>
    </w:p>
    <w:p>
      <w:pPr>
        <w:pStyle w:val="Compact"/>
        <w:numPr>
          <w:ilvl w:val="0"/>
          <w:numId w:val="1313"/>
        </w:numPr>
      </w:pPr>
      <w:r>
        <w:rPr>
          <w:bCs/>
          <w:b/>
        </w:rPr>
        <w:t xml:space="preserve">Yellow rust (wheat) forecasting and damage detection:</w:t>
      </w:r>
      <w:r>
        <w:t xml:space="preserve"> </w:t>
      </w:r>
      <w:r>
        <w:t xml:space="preserve">yellow/stripe rust (caused by</w:t>
      </w:r>
      <w:r>
        <w:t xml:space="preserve"> </w:t>
      </w:r>
      <w:r>
        <w:rPr>
          <w:iCs/>
          <w:i/>
        </w:rPr>
        <w:t xml:space="preserve">Puccinia striiformis</w:t>
      </w:r>
      <w:r>
        <w:t xml:space="preserve">) is a major wheat foliar disease in northern/north-western India, favoured by cool, humid conditions; remote-sensing-based forecasting/detection combines (a)</w:t>
      </w:r>
      <w:r>
        <w:t xml:space="preserve"> </w:t>
      </w:r>
      <w:r>
        <w:rPr>
          <w:bCs/>
          <w:b/>
        </w:rPr>
        <w:t xml:space="preserve">epidemiological/weather-based forecast models</w:t>
      </w:r>
      <w:r>
        <w:t xml:space="preserve"> </w:t>
      </w:r>
      <w:r>
        <w:t xml:space="preserve">— since rust development is strongly conditioned by a specific window of temperature (typically 10–20 °C optimum for infection/sporulation) and leaf wetness duration/humidity, satellite/AWS-derived temperature-humidity time series are used to compute disease-favourability indices that flag epidemic risk windows ahead of visible symptom onset — with (b)</w:t>
      </w:r>
      <w:r>
        <w:t xml:space="preserve"> </w:t>
      </w:r>
      <w:r>
        <w:rPr>
          <w:bCs/>
          <w:b/>
        </w:rPr>
        <w:t xml:space="preserve">remote-sensing detection of already-developed infection</w:t>
      </w:r>
      <w:r>
        <w:t xml:space="preserve">, which alters canopy spectral response (reduced chlorophyll/NIR reflectance and altered red-edge position in infected patches, detectable, given sufficient spatial and spectral resolution, as a localised NDVI/red-edge-index depression against the surrounding healthy-crop background, particularly with hyperspectral or fine-resolution (LISS-IV, Cartosat) multi-temporal imagery cross-referenced against a</w:t>
      </w:r>
      <w:r>
        <w:t xml:space="preserve"> </w:t>
      </w:r>
      <w:r>
        <w:t xml:space="preserve">“</w:t>
      </w:r>
      <w:r>
        <w:t xml:space="preserve">normal</w:t>
      </w:r>
      <w:r>
        <w:t xml:space="preserve">”</w:t>
      </w:r>
      <w:r>
        <w:t xml:space="preserve"> </w:t>
      </w:r>
      <w:r>
        <w:t xml:space="preserve">crop-growth trajectory for the same field/season). A representative ISRO/SAC case-study methodology proceeds: (i) establish a normal/expected NDVI growth trajectory for wheat in the region from historical multi-year time series; (ii) flag pixels/fields showing significant negative departure from the expected trajectory during the rust-susceptible growth window; (iii) cross-verify flagged anomalies against weather-based rust-favourability indices and available field/pathology survey reports; (iv) issue an early-warning/advisory bulletin to state agriculture departments.</w:t>
      </w:r>
    </w:p>
    <w:p>
      <w:pPr>
        <w:pStyle w:val="Compact"/>
        <w:numPr>
          <w:ilvl w:val="0"/>
          <w:numId w:val="1313"/>
        </w:numPr>
      </w:pPr>
      <w:r>
        <w:rPr>
          <w:bCs/>
          <w:b/>
        </w:rPr>
        <w:t xml:space="preserve">Pulse crop intensification assessment:</w:t>
      </w:r>
      <w:r>
        <w:t xml:space="preserve"> </w:t>
      </w:r>
      <w:r>
        <w:t xml:space="preserve">monitoring area expansion and cropping-intensity change attributable to NFSM’s pulse-crop-intensification component, using multi-date crop-area classification to detect the conversion of fallow/mono-cropped land to pulse cultivation (often as a second/relay crop).</w:t>
      </w:r>
    </w:p>
    <w:p>
      <w:pPr>
        <w:pStyle w:val="Compact"/>
        <w:numPr>
          <w:ilvl w:val="0"/>
          <w:numId w:val="1313"/>
        </w:numPr>
      </w:pPr>
      <w:r>
        <w:rPr>
          <w:bCs/>
          <w:b/>
        </w:rPr>
        <w:t xml:space="preserve">Prototype crop-insurance technology development</w:t>
      </w:r>
      <w:r>
        <w:t xml:space="preserve"> </w:t>
      </w:r>
      <w:r>
        <w:t xml:space="preserve">— the KISAN/CIDSS prototypes described above, first piloted under NFSM-linked demonstration districts before wider PMFBY/YES-TECH roll-out.</w:t>
      </w:r>
    </w:p>
    <w:p>
      <w:pPr>
        <w:pStyle w:val="Heading2"/>
      </w:pPr>
      <w:r>
        <w:t xml:space="preserve">42.7 Green Fodder Assessment (GCMMF/NDDB Application)</w:t>
      </w:r>
    </w:p>
    <w:p>
      <w:pPr>
        <w:pStyle w:val="FirstParagraph"/>
      </w:pPr>
      <w:r>
        <w:t xml:space="preserve">ISRO/DoS has developed</w:t>
      </w:r>
      <w:r>
        <w:t xml:space="preserve"> </w:t>
      </w:r>
      <w:r>
        <w:rPr>
          <w:bCs/>
          <w:b/>
        </w:rPr>
        <w:t xml:space="preserve">green-fodder assessment techniques</w:t>
      </w:r>
      <w:r>
        <w:t xml:space="preserve"> </w:t>
      </w:r>
      <w:r>
        <w:t xml:space="preserve">using remote-sensing data for the Gujarat Cooperative Milk Marketing Federation (GCMMF, the</w:t>
      </w:r>
      <w:r>
        <w:t xml:space="preserve"> </w:t>
      </w:r>
      <w:r>
        <w:t xml:space="preserve">“</w:t>
      </w:r>
      <w:r>
        <w:t xml:space="preserve">Amul</w:t>
      </w:r>
      <w:r>
        <w:t xml:space="preserve">”</w:t>
      </w:r>
      <w:r>
        <w:t xml:space="preserve"> </w:t>
      </w:r>
      <w:r>
        <w:t xml:space="preserve">cooperative) and the National Dairy Development Board (NDDB), mapping and periodically monitoring green-fodder crop area and biomass/vigour condition (via NDVI-type vegetation-index time series over fodder-crop-growing districts) to support dairy-sector fodder-availability planning and early warning of fodder shortage — a direct example of ISRO/DoS’s expanding beyond the traditional food-grain crop mandate into allied-sector (livestock/dairy) agricultural remote sensing.</w:t>
      </w:r>
    </w:p>
    <w:p>
      <w:pPr>
        <w:pStyle w:val="Heading2"/>
      </w:pPr>
      <w:r>
        <w:t xml:space="preserve">42.8 Case Study: Bringing Green Revolution to Eastern India (BGREI) — Rice Production Impact Monitoring</w:t>
      </w:r>
    </w:p>
    <w:p>
      <w:pPr>
        <w:pStyle w:val="FirstParagraph"/>
      </w:pPr>
      <w:r>
        <w:rPr>
          <w:bCs/>
          <w:b/>
        </w:rPr>
        <w:t xml:space="preserve">Background:</w:t>
      </w:r>
      <w:r>
        <w:t xml:space="preserve"> </w:t>
      </w:r>
      <w:r>
        <w:t xml:space="preserve">BGREI is an NFSM sub-initiative targeting rice-productivity enhancement in eastern Indian states (historically characterised by high rice-cultivation potential but comparatively low realised yields relative to the Green Revolution heartland of Punjab/Haryana), through improved seed, input and water-management interventions.</w:t>
      </w:r>
    </w:p>
    <w:p>
      <w:pPr>
        <w:pStyle w:val="BodyText"/>
      </w:pPr>
      <w:r>
        <w:rPr>
          <w:bCs/>
          <w:b/>
        </w:rPr>
        <w:t xml:space="preserve">ISRO/SAC monitoring role:</w:t>
      </w:r>
      <w:r>
        <w:t xml:space="preserve"> </w:t>
      </w:r>
      <w:r>
        <w:t xml:space="preserve">using multi-year (pre- and post-intervention) satellite-derived rice crop-area time series (via the SAR/optical rice-mapping methodology, Section 18.1.1) combined with yield-model output, area-expansion and productivity-gain trends attributable to BGREI interventions are quantified at district level, providing an independent, remotely sensed impact-evaluation evidence base to complement ground administrative reporting of scheme implementation — a useful example, if asked, of remote sensing being used not just for routine monitoring but for</w:t>
      </w:r>
      <w:r>
        <w:t xml:space="preserve"> </w:t>
      </w:r>
      <w:r>
        <w:rPr>
          <w:bCs/>
          <w:b/>
        </w:rPr>
        <w:t xml:space="preserve">programme impact evaluation</w:t>
      </w:r>
      <w:r>
        <w:t xml:space="preserve">.</w:t>
      </w:r>
    </w:p>
    <w:p>
      <w:pPr>
        <w:pStyle w:val="Heading2"/>
      </w:pPr>
      <w:r>
        <w:t xml:space="preserve">42.9 Crop Residue Burning Monitoring by Satellite</w:t>
      </w:r>
    </w:p>
    <w:p>
      <w:pPr>
        <w:pStyle w:val="Heading3"/>
      </w:pPr>
      <w:r>
        <w:t xml:space="preserve">42.9.1 The problem context</w:t>
      </w:r>
    </w:p>
    <w:p>
      <w:pPr>
        <w:pStyle w:val="FirstParagraph"/>
      </w:pPr>
      <w:r>
        <w:t xml:space="preserve">Post-harvest burning of crop residue — predominantly paddy (rice) stubble in the intensively double-cropped rice-wheat belt of Punjab, Haryana and western Uttar Pradesh, timed to rapidly clear fields for the narrow sowing window before the following wheat crop — is a major, well-documented seasonal contributor to severe air-quality degradation across the Indo-Gangetic Plain (including Delhi-NCR) each October–November, making satellite-based monitoring of burning events a policy-critical application combining agricultural remote sensing with atmospheric/air-quality science.</w:t>
      </w:r>
    </w:p>
    <w:p>
      <w:pPr>
        <w:pStyle w:val="Heading3"/>
      </w:pPr>
      <w:r>
        <w:t xml:space="preserve">42.9.2 Thermal-anomaly (</w:t>
      </w:r>
      <w:r>
        <w:t xml:space="preserve">“</w:t>
      </w:r>
      <w:r>
        <w:t xml:space="preserve">hotspot</w:t>
      </w:r>
      <w:r>
        <w:t xml:space="preserve">”</w:t>
      </w:r>
      <w:r>
        <w:t xml:space="preserve">/</w:t>
      </w:r>
      <w:r>
        <w:t xml:space="preserve">“</w:t>
      </w:r>
      <w:r>
        <w:t xml:space="preserve">fire-pixel</w:t>
      </w:r>
      <w:r>
        <w:t xml:space="preserve">”</w:t>
      </w:r>
      <w:r>
        <w:t xml:space="preserve">) detection algorithm — concept</w:t>
      </w:r>
    </w:p>
    <w:p>
      <w:pPr>
        <w:pStyle w:val="FirstParagraph"/>
      </w:pPr>
      <w:r>
        <w:t xml:space="preserve">Active fires are detected from satellite thermal-infrared imagery using</w:t>
      </w:r>
      <w:r>
        <w:t xml:space="preserve"> </w:t>
      </w:r>
      <w:r>
        <w:rPr>
          <w:bCs/>
          <w:b/>
        </w:rPr>
        <w:t xml:space="preserve">contextual fire-detection algorithms</w:t>
      </w:r>
      <w:r>
        <w:t xml:space="preserve">, of which the internationally standard reference is the</w:t>
      </w:r>
      <w:r>
        <w:t xml:space="preserve"> </w:t>
      </w:r>
      <w:r>
        <w:rPr>
          <w:bCs/>
          <w:b/>
        </w:rPr>
        <w:t xml:space="preserve">MODIS/VIIRS fire-detection algorithm</w:t>
      </w:r>
      <w:r>
        <w:t xml:space="preserve"> </w:t>
      </w:r>
      <w:r>
        <w:t xml:space="preserve">(whose logic ISRO’s own operational algorithms, and those used at NRSC/SAC for Indian residue-burning monitoring, closely follow and have progressively refined, including an ISRO-developed</w:t>
      </w:r>
      <w:r>
        <w:t xml:space="preserve"> </w:t>
      </w:r>
      <w:r>
        <w:rPr>
          <w:bCs/>
          <w:b/>
        </w:rPr>
        <w:t xml:space="preserve">“</w:t>
      </w:r>
      <w:r>
        <w:rPr>
          <w:bCs/>
          <w:b/>
        </w:rPr>
        <w:t xml:space="preserve">improved fire-detection algorithm</w:t>
      </w:r>
      <w:r>
        <w:rPr>
          <w:bCs/>
          <w:b/>
        </w:rPr>
        <w:t xml:space="preserve">”</w:t>
      </w:r>
      <w:r>
        <w:t xml:space="preserve"> </w:t>
      </w:r>
      <w:r>
        <w:t xml:space="preserve">specifically tuned to reduce both missed-detection and false-alarm rates for the small, short-duration agricultural burns typical of Indian field conditions). The core physical basis:</w:t>
      </w:r>
    </w:p>
    <w:p>
      <w:pPr>
        <w:pStyle w:val="Compact"/>
        <w:numPr>
          <w:ilvl w:val="0"/>
          <w:numId w:val="1314"/>
        </w:numPr>
      </w:pPr>
      <w:r>
        <w:rPr>
          <w:bCs/>
          <w:b/>
        </w:rPr>
        <w:t xml:space="preserve">Wien’s Displacement Law</w:t>
      </w:r>
      <w:r>
        <w:t xml:space="preserve"> </w:t>
      </w:r>
      <w:r>
        <w:t xml:space="preserve">— a fire (combustion temperature typically 600–1200 K for smouldering-to-flaming agricultural residue fires) radiates thermal energy with its spectral peak shifted to much shorter wavelengths (mid-infrared, ~3–4 µm) than the ambient (~300 K) land surface, whose thermal emission peaks in the longer-wave thermal-infrared (~10–12 µm) region — Wien’s law, λmax = b/T (b = 2898 µm·K), predicting the fire’s ~3.9 µm emission peak versus the background surface’s ~9.7 µm peak.</w:t>
      </w:r>
    </w:p>
    <w:p>
      <w:pPr>
        <w:pStyle w:val="Compact"/>
        <w:numPr>
          <w:ilvl w:val="0"/>
          <w:numId w:val="1314"/>
        </w:numPr>
      </w:pPr>
      <w:r>
        <w:rPr>
          <w:bCs/>
          <w:b/>
        </w:rPr>
        <w:t xml:space="preserve">Dual mid-IR/thermal-IR channel contrast:</w:t>
      </w:r>
      <w:r>
        <w:t xml:space="preserve"> </w:t>
      </w:r>
      <w:r>
        <w:t xml:space="preserve">because of this spectral-peak difference, even a sub-pixel-sized actively burning fire (occupying only a small fraction of a coarse-resolution pixel, e.g., a MODIS/VIIRS ~375 m–1 km pixel, or the finer pixels of a dedicated fire-monitoring channel) causes a</w:t>
      </w:r>
      <w:r>
        <w:t xml:space="preserve"> </w:t>
      </w:r>
      <w:r>
        <w:rPr>
          <w:bCs/>
          <w:b/>
        </w:rPr>
        <w:t xml:space="preserve">disproportionately large brightness-temperature elevation in the mid-infrared (~4 µm) channel relative to the thermal-infrared (~11 µm) channel</w:t>
      </w:r>
      <w:r>
        <w:t xml:space="preserve">, compared to the surrounding non-fire background — the algorithm’s core test is therefore a</w:t>
      </w:r>
      <w:r>
        <w:t xml:space="preserve"> </w:t>
      </w:r>
      <w:r>
        <w:rPr>
          <w:bCs/>
          <w:b/>
        </w:rPr>
        <w:t xml:space="preserve">contextual comparison</w:t>
      </w:r>
      <w:r>
        <w:t xml:space="preserve">: the candidate pixel’s 4 µm brightness temperature (T4) and the 4-µm-minus-11-µm brightness-temperature difference (T4−T11) are compared against the mean and standard deviation of T4 and (T4−T11) computed from a surrounding window of</w:t>
      </w:r>
      <w:r>
        <w:t xml:space="preserve"> </w:t>
      </w:r>
      <w:r>
        <w:t xml:space="preserve">“</w:t>
      </w:r>
      <w:r>
        <w:t xml:space="preserve">background</w:t>
      </w:r>
      <w:r>
        <w:t xml:space="preserve">”</w:t>
      </w:r>
      <w:r>
        <w:t xml:space="preserve"> </w:t>
      </w:r>
      <w:r>
        <w:t xml:space="preserve">(non-fire) pixels, with the candidate flagged as a fire pixel if it exceeds the local background mean by a specified number of standard deviations (an adaptive, locally-calibrated threshold rather than a single fixed global threshold, making the algorithm robust across varying background land-surface-temperature conditions from region to region and season to season).</w:t>
      </w:r>
    </w:p>
    <w:p>
      <w:pPr>
        <w:pStyle w:val="Compact"/>
        <w:numPr>
          <w:ilvl w:val="0"/>
          <w:numId w:val="1314"/>
        </w:numPr>
      </w:pPr>
      <w:r>
        <w:rPr>
          <w:bCs/>
          <w:b/>
        </w:rPr>
        <w:t xml:space="preserve">Cloud and false-alarm masking:</w:t>
      </w:r>
      <w:r>
        <w:t xml:space="preserve"> </w:t>
      </w:r>
      <w:r>
        <w:t xml:space="preserve">additional tests exclude cloud-contaminated pixels (using visible/near-IR reflectance and brightness-temperature cloud tests), sun-glint, and other false-alarm sources (hot bare soil, industrial heat sources), and a confidence level (low/nominal/high) is assigned to each detected fire pixel based on how many/how strongly the contextual tests were exceeded.</w:t>
      </w:r>
    </w:p>
    <w:p>
      <w:pPr>
        <w:pStyle w:val="Heading3"/>
      </w:pPr>
      <w:r>
        <w:t xml:space="preserve">42.9.3 Satellites and sensors used</w:t>
      </w:r>
    </w:p>
    <w:p>
      <w:pPr>
        <w:pStyle w:val="Compact"/>
        <w:numPr>
          <w:ilvl w:val="0"/>
          <w:numId w:val="1315"/>
        </w:numPr>
      </w:pPr>
      <w:r>
        <w:rPr>
          <w:bCs/>
          <w:b/>
        </w:rPr>
        <w:t xml:space="preserve">MODIS</w:t>
      </w:r>
      <w:r>
        <w:t xml:space="preserve"> </w:t>
      </w:r>
      <w:r>
        <w:t xml:space="preserve">(Terra/Aqua, NASA) — the original, most widely used operational active-fire product (MOD14/MYD14, and the improved MCD64A1 burned-area product), providing twice-daily coverage at ~1 km fire-detection resolution.</w:t>
      </w:r>
    </w:p>
    <w:p>
      <w:pPr>
        <w:pStyle w:val="Compact"/>
        <w:numPr>
          <w:ilvl w:val="0"/>
          <w:numId w:val="1315"/>
        </w:numPr>
      </w:pPr>
      <w:r>
        <w:rPr>
          <w:bCs/>
          <w:b/>
        </w:rPr>
        <w:t xml:space="preserve">VIIRS</w:t>
      </w:r>
      <w:r>
        <w:t xml:space="preserve"> </w:t>
      </w:r>
      <w:r>
        <w:t xml:space="preserve">(Suomi-NPP/NOAA-20/21, NASA-NOAA) — finer (375 m) active-fire detection, better able to detect smaller agricultural fires than MODIS’s coarser 1 km pixel, and now the primary operational source for most Indian crop-residue-burning monitoring and reporting (including by ISRO/SAC and the System of Air Quality and Weather Forecasting And Research, SAFAR).</w:t>
      </w:r>
    </w:p>
    <w:p>
      <w:pPr>
        <w:pStyle w:val="Compact"/>
        <w:numPr>
          <w:ilvl w:val="0"/>
          <w:numId w:val="1315"/>
        </w:numPr>
      </w:pPr>
      <w:r>
        <w:rPr>
          <w:bCs/>
          <w:b/>
        </w:rPr>
        <w:t xml:space="preserve">INSAT-3D/3DR</w:t>
      </w:r>
      <w:r>
        <w:t xml:space="preserve"> </w:t>
      </w:r>
      <w:r>
        <w:t xml:space="preserve">— provides a dedicated operational</w:t>
      </w:r>
      <w:r>
        <w:t xml:space="preserve"> </w:t>
      </w:r>
      <w:r>
        <w:rPr>
          <w:bCs/>
          <w:b/>
        </w:rPr>
        <w:t xml:space="preserve">“</w:t>
      </w:r>
      <w:r>
        <w:rPr>
          <w:bCs/>
          <w:b/>
        </w:rPr>
        <w:t xml:space="preserve">Fire</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Smoke</w:t>
      </w:r>
      <w:r>
        <w:rPr>
          <w:bCs/>
          <w:b/>
        </w:rPr>
        <w:t xml:space="preserve">”</w:t>
      </w:r>
      <w:r>
        <w:t xml:space="preserve"> </w:t>
      </w:r>
      <w:r>
        <w:t xml:space="preserve">geophysical product from its geostationary vantage, contributing much higher</w:t>
      </w:r>
      <w:r>
        <w:t xml:space="preserve"> </w:t>
      </w:r>
      <w:r>
        <w:rPr>
          <w:bCs/>
          <w:b/>
        </w:rPr>
        <w:t xml:space="preserve">temporal</w:t>
      </w:r>
      <w:r>
        <w:t xml:space="preserve"> </w:t>
      </w:r>
      <w:r>
        <w:t xml:space="preserve">frequency (near-continuous, sub-hourly) fire monitoring, at the cost of coarser spatial resolution than the polar-orbiting MODIS/VIIRS, valuable for tracking the diurnal onset/intensification pattern of burning (agricultural residue fires in India show a strong afternoon peak) and smoke-plume transport.</w:t>
      </w:r>
    </w:p>
    <w:p>
      <w:pPr>
        <w:pStyle w:val="Compact"/>
        <w:numPr>
          <w:ilvl w:val="0"/>
          <w:numId w:val="1315"/>
        </w:numPr>
      </w:pPr>
      <w:r>
        <w:rPr>
          <w:bCs/>
          <w:b/>
        </w:rPr>
        <w:t xml:space="preserve">ResourceSat AWiFS/LISS</w:t>
      </w:r>
      <w:r>
        <w:t xml:space="preserve"> </w:t>
      </w:r>
      <w:r>
        <w:t xml:space="preserve">and Sentinel-2/Landsat — used for pre- and post-fire optical mapping of the actual</w:t>
      </w:r>
      <w:r>
        <w:t xml:space="preserve"> </w:t>
      </w:r>
      <w:r>
        <w:rPr>
          <w:bCs/>
          <w:b/>
        </w:rPr>
        <w:t xml:space="preserve">burnt-area extent/scar</w:t>
      </w:r>
      <w:r>
        <w:t xml:space="preserve"> </w:t>
      </w:r>
      <w:r>
        <w:t xml:space="preserve">(as distinct from the instantaneous active-fire hotspot count), via burnt-area spectral indices (e.g., Normalized Burn Ratio, NBR, exploiting the strong reflectance contrast between healthy vegetation and charred/ash-covered burnt residue in the NIR and SWIR bands), providing a spatially complete seasonal burnt-area statistic that complements the hotspot-count-based near-real-time monitoring.</w:t>
      </w:r>
    </w:p>
    <w:p>
      <w:pPr>
        <w:pStyle w:val="Heading3"/>
      </w:pPr>
      <w:r>
        <w:t xml:space="preserve">42.9.4 Reported findings and adaptive farmer behaviour</w:t>
      </w:r>
    </w:p>
    <w:p>
      <w:pPr>
        <w:pStyle w:val="FirstParagraph"/>
      </w:pPr>
      <w:r>
        <w:t xml:space="preserve">NRSC/ISRO longitudinal fire-count monitoring studies have documented that farmers have progressively shifted the</w:t>
      </w:r>
      <w:r>
        <w:t xml:space="preserve"> </w:t>
      </w:r>
      <w:r>
        <w:rPr>
          <w:bCs/>
          <w:b/>
        </w:rPr>
        <w:t xml:space="preserve">time-of-day</w:t>
      </w:r>
      <w:r>
        <w:t xml:space="preserve"> </w:t>
      </w:r>
      <w:r>
        <w:t xml:space="preserve">of residue burning — increasingly burning during the pre-dawn/early-morning hours — a behavioural adaptation reported by ISRO researchers as an apparent response to (and, functionally, a way of reducing detection probability under) the overpass timing of the polar-orbiting satellites most commonly used for fire monitoring (which typically cross India around late morning/early afternoon), an example of the practical, real-world</w:t>
      </w:r>
      <w:r>
        <w:t xml:space="preserve"> </w:t>
      </w:r>
      <w:r>
        <w:t xml:space="preserve">“</w:t>
      </w:r>
      <w:r>
        <w:t xml:space="preserve">sensor overpass timing versus target behaviour</w:t>
      </w:r>
      <w:r>
        <w:t xml:space="preserve">”</w:t>
      </w:r>
      <w:r>
        <w:t xml:space="preserve"> </w:t>
      </w:r>
      <w:r>
        <w:t xml:space="preserve">limitation that a remote-sensing monitoring programme must account for and adapt to (via increased use of geostationary INSAT-3D/3DR’s continuous coverage, and multi-satellite/multi-overpass-time compositing, precisely to counter this detection gap).</w:t>
      </w:r>
    </w:p>
    <w:p>
      <w:pPr>
        <w:pStyle w:val="Heading2"/>
      </w:pPr>
      <w:r>
        <w:t xml:space="preserve">42.10 Why fire counts undercount reality</w:t>
      </w:r>
    </w:p>
    <w:p>
      <w:pPr>
        <w:pStyle w:val="FirstParagraph"/>
      </w:pPr>
      <w:r>
        <w:t xml:space="preserve">A well-documented limitation, and a good interview talking point, is that satellite-based fire counts systematically undercount actual burning events: individual stubble fires are often short-lived (tens of minutes), so a fire that starts and ends between two satellite overpasses is missed entirely regardless of sensor resolution; dense smoke plumes from earlier, already-detected fires can obscure adjacent active fires from an optical/thermal sensor; persistent regional haze reduces detection sensitivity; and very small field-fires can fall below a sensor's minimum detectable fire size. This is precisely analogous, conceptually, to the cloud-cover problem that motivates SAR use for kharif rice mapping (discussed later) — polar-orbiting sensors sample the Earth at discrete instants, and any transient phenomenon (a short fire, a monsoon cloud gap) can simply be missed between samples. The practical mitigation is combining higher-spatial-resolution polar orbiters (VIIRS) with higher-temporal-frequency geostationary sensors (INSAT) to shrink the detection gap from both directions.</w:t>
      </w:r>
    </w:p>
    <w:p>
      <w:pPr>
        <w:pStyle w:val="Heading2"/>
      </w:pPr>
      <w:r>
        <w:t xml:space="preserve">42.11 Horticulture, plantations and the North-East (NESAC)</w:t>
      </w:r>
    </w:p>
    <w:p>
      <w:pPr>
        <w:numPr>
          <w:ilvl w:val="0"/>
          <w:numId w:val="1316"/>
        </w:numPr>
      </w:pPr>
      <w:r>
        <w:rPr>
          <w:bCs/>
          <w:b/>
        </w:rPr>
        <w:t xml:space="preserve">Coconut root-wilt (1970)</w:t>
      </w:r>
      <w:r>
        <w:t xml:space="preserve">: diseased palms showed lower infrared reflectance on CIR film, India's first remote sensing application.</w:t>
      </w:r>
    </w:p>
    <w:p>
      <w:pPr>
        <w:numPr>
          <w:ilvl w:val="0"/>
          <w:numId w:val="1316"/>
        </w:numPr>
      </w:pPr>
      <w:r>
        <w:rPr>
          <w:bCs/>
          <w:b/>
        </w:rPr>
        <w:t xml:space="preserve">CHAMAN</w:t>
      </w:r>
      <w:r>
        <w:t xml:space="preserve"> </w:t>
      </w:r>
      <w:r>
        <w:t xml:space="preserve">(see 3.3) for fruit and vegetable crops.</w:t>
      </w:r>
    </w:p>
    <w:p>
      <w:pPr>
        <w:numPr>
          <w:ilvl w:val="0"/>
          <w:numId w:val="1316"/>
        </w:numPr>
      </w:pPr>
      <w:r>
        <w:rPr>
          <w:bCs/>
          <w:b/>
        </w:rPr>
        <w:t xml:space="preserve">Shifting cultivation (jhum) mapping</w:t>
      </w:r>
      <w:r>
        <w:t xml:space="preserve"> </w:t>
      </w:r>
      <w:r>
        <w:t xml:space="preserve">in the North-East: area under current and abandoned jhum, regeneration, and land-use planning (NESAC).</w:t>
      </w:r>
    </w:p>
    <w:p>
      <w:pPr>
        <w:numPr>
          <w:ilvl w:val="0"/>
          <w:numId w:val="1316"/>
        </w:numPr>
      </w:pPr>
      <w:r>
        <w:rPr>
          <w:bCs/>
          <w:b/>
        </w:rPr>
        <w:t xml:space="preserve">Tea, rubber, coffee, arecanut and coconut plantations</w:t>
      </w:r>
      <w:r>
        <w:t xml:space="preserve">: inventory and expansion potential (NESAC, RRSC Bengaluru, commodity boards).</w:t>
      </w:r>
    </w:p>
    <w:p>
      <w:pPr>
        <w:numPr>
          <w:ilvl w:val="0"/>
          <w:numId w:val="1316"/>
        </w:numPr>
      </w:pPr>
      <w:r>
        <w:rPr>
          <w:bCs/>
          <w:b/>
        </w:rPr>
        <w:t xml:space="preserve">Sericulture</w:t>
      </w:r>
      <w:r>
        <w:t xml:space="preserve">: site suitability for mulberry and silkworm host plants with the Central Silk Board (NESAC-led projects).</w:t>
      </w:r>
    </w:p>
    <w:p>
      <w:pPr>
        <w:numPr>
          <w:ilvl w:val="0"/>
          <w:numId w:val="1316"/>
        </w:numPr>
      </w:pPr>
      <w:r>
        <w:rPr>
          <w:bCs/>
          <w:b/>
        </w:rPr>
        <w:t xml:space="preserve">Rice and flood damage in Assam</w:t>
      </w:r>
      <w:r>
        <w:t xml:space="preserve">: SAR-based rice mapping and flood-affected crop area (NESAC, NRSC).</w:t>
      </w:r>
    </w:p>
    <w:p>
      <w:pPr>
        <w:pStyle w:val="Heading2"/>
      </w:pPr>
      <w:r>
        <w:t xml:space="preserve">42.12 Other applications</w:t>
      </w:r>
    </w:p>
    <w:p>
      <w:pPr>
        <w:numPr>
          <w:ilvl w:val="0"/>
          <w:numId w:val="1317"/>
        </w:numPr>
      </w:pPr>
      <w:r>
        <w:rPr>
          <w:bCs/>
          <w:b/>
        </w:rPr>
        <w:t xml:space="preserve">Crop residue (stubble) burning</w:t>
      </w:r>
      <w:r>
        <w:t xml:space="preserve">: active fire detection (MODIS, VIIRS) and burnt-area mapping in Punjab, Haryana and UP during October–November (NRSC, with IARI's CREAMS lab and state boards).</w:t>
      </w:r>
    </w:p>
    <w:p>
      <w:pPr>
        <w:numPr>
          <w:ilvl w:val="0"/>
          <w:numId w:val="1317"/>
        </w:numPr>
      </w:pPr>
      <w:r>
        <w:rPr>
          <w:bCs/>
          <w:b/>
        </w:rPr>
        <w:t xml:space="preserve">Desert locust (2020)</w:t>
      </w:r>
      <w:r>
        <w:t xml:space="preserve">: vegetation greenness and soil moisture maps supported locust breeding-ground monitoring with the Locust Warning Organisation.</w:t>
      </w:r>
    </w:p>
    <w:p>
      <w:pPr>
        <w:numPr>
          <w:ilvl w:val="0"/>
          <w:numId w:val="1317"/>
        </w:numPr>
      </w:pPr>
      <w:r>
        <w:rPr>
          <w:bCs/>
          <w:b/>
        </w:rPr>
        <w:t xml:space="preserve">Flood and cyclone crop damage</w:t>
      </w:r>
      <w:r>
        <w:t xml:space="preserve">: rapid crop loss assessment from SAR and optical data through NRSC's Decision Support Centre (Disaster Management Support Programme).</w:t>
      </w:r>
    </w:p>
    <w:p>
      <w:pPr>
        <w:numPr>
          <w:ilvl w:val="0"/>
          <w:numId w:val="1317"/>
        </w:numPr>
      </w:pPr>
      <w:r>
        <w:rPr>
          <w:bCs/>
          <w:b/>
        </w:rPr>
        <w:t xml:space="preserve">Fisheries (allied sector)</w:t>
      </w:r>
      <w:r>
        <w:t xml:space="preserve">: Potential Fishing Zone (PFZ) advisories from OCM chlorophyll and SST; method developed at SAC, now operational at INCOIS.</w:t>
      </w:r>
    </w:p>
    <w:p>
      <w:pPr>
        <w:numPr>
          <w:ilvl w:val="0"/>
          <w:numId w:val="1317"/>
        </w:numPr>
      </w:pPr>
      <w:r>
        <w:rPr>
          <w:bCs/>
          <w:b/>
        </w:rPr>
        <w:t xml:space="preserve">Farmer communication</w:t>
      </w:r>
      <w:r>
        <w:t xml:space="preserve">: SITE (1975–76), Kheda Communication Project,</w:t>
      </w:r>
      <w:r>
        <w:t xml:space="preserve"> </w:t>
      </w:r>
      <w:r>
        <w:rPr>
          <w:bCs/>
          <w:b/>
        </w:rPr>
        <w:t xml:space="preserve">Village Resource Centres</w:t>
      </w:r>
      <w:r>
        <w:t xml:space="preserve"> </w:t>
      </w:r>
      <w:r>
        <w:t xml:space="preserve">(from 2004, a few hundred VRCs) for tele-agriculture advice, market and weather information.</w:t>
      </w:r>
    </w:p>
    <w:p>
      <w:pPr>
        <w:pStyle w:val="Heading1"/>
      </w:pPr>
      <w:r>
        <w:t xml:space="preserve">Chapter 43. Pest, Disease and Desert Locust Monitoring</w:t>
      </w:r>
    </w:p>
    <w:p>
      <w:pPr>
        <w:pStyle w:val="Heading2"/>
      </w:pPr>
      <w:r>
        <w:t xml:space="preserve">43.1 Pest and Disease Detection and Incidence Forecasting</w:t>
      </w:r>
    </w:p>
    <w:p>
      <w:pPr>
        <w:pStyle w:val="Heading3"/>
      </w:pPr>
      <w:r>
        <w:t xml:space="preserve">43.1.1 General remote-sensing detection logic</w:t>
      </w:r>
    </w:p>
    <w:p>
      <w:pPr>
        <w:pStyle w:val="FirstParagraph"/>
      </w:pPr>
      <w:r>
        <w:t xml:space="preserve">Pest/disease stress, like most biotic and abiotic crop stresses, manifests spectrally through a cascading sequence: (i) physiological stress (reduced chlorophyll synthesis, altered water status) precedes (ii) visible symptom expression (chlorosis, necrosis, defoliation, lodging), which precedes (iii) structural/canopy-density change. Remote sensing exploits the fact that reflectance in the</w:t>
      </w:r>
      <w:r>
        <w:t xml:space="preserve"> </w:t>
      </w:r>
      <w:r>
        <w:rPr>
          <w:bCs/>
          <w:b/>
        </w:rPr>
        <w:t xml:space="preserve">red-edge (690–740 nm) and near-infrared</w:t>
      </w:r>
      <w:r>
        <w:t xml:space="preserve"> </w:t>
      </w:r>
      <w:r>
        <w:t xml:space="preserve">region is highly sensitive to chlorophyll content and internal leaf/canopy structure respectively, so that even</w:t>
      </w:r>
      <w:r>
        <w:t xml:space="preserve"> </w:t>
      </w:r>
      <w:r>
        <w:rPr>
          <w:iCs/>
          <w:i/>
        </w:rPr>
        <w:t xml:space="preserve">pre-visual</w:t>
      </w:r>
      <w:r>
        <w:t xml:space="preserve"> </w:t>
      </w:r>
      <w:r>
        <w:t xml:space="preserve">stress (before a human scout would notice discoloration in the field) can sometimes be detected as a subtle red-edge shift or NIR reflectance decline, particularly using hyperspectral narrow-band data — the basis of</w:t>
      </w:r>
      <w:r>
        <w:t xml:space="preserve"> </w:t>
      </w:r>
      <w:r>
        <w:t xml:space="preserve">“</w:t>
      </w:r>
      <w:r>
        <w:t xml:space="preserve">early warning</w:t>
      </w:r>
      <w:r>
        <w:t xml:space="preserve">”</w:t>
      </w:r>
      <w:r>
        <w:t xml:space="preserve"> </w:t>
      </w:r>
      <w:r>
        <w:t xml:space="preserve">pest/disease remote sensing, as distinct from post-hoc damage mapping (which uses coarser change-detection of NDVI/canopy-cover loss after symptoms are already field-visible).</w:t>
      </w:r>
    </w:p>
    <w:p>
      <w:pPr>
        <w:pStyle w:val="Heading3"/>
      </w:pPr>
      <w:r>
        <w:t xml:space="preserve">43.1.2 General algorithmic/procedural framework used by ISRO/SAC-type studies</w:t>
      </w:r>
    </w:p>
    <w:p>
      <w:pPr>
        <w:pStyle w:val="Compact"/>
        <w:numPr>
          <w:ilvl w:val="0"/>
          <w:numId w:val="1318"/>
        </w:numPr>
      </w:pPr>
      <w:r>
        <w:rPr>
          <w:bCs/>
          <w:b/>
        </w:rPr>
        <w:t xml:space="preserve">Establish the pest/disease favourability model</w:t>
      </w:r>
      <w:r>
        <w:t xml:space="preserve"> </w:t>
      </w:r>
      <w:r>
        <w:t xml:space="preserve">from the causal weather/agronomic variables specific to the pest or pathogen (e.g., temperature-humidity windows for fungal rusts; specific host-crop phenological stage and temperature thresholds for insect pests such as aphids) — often a</w:t>
      </w:r>
      <w:r>
        <w:t xml:space="preserve"> </w:t>
      </w:r>
      <w:r>
        <w:rPr>
          <w:bCs/>
          <w:b/>
        </w:rPr>
        <w:t xml:space="preserve">degree-day</w:t>
      </w:r>
      <w:r>
        <w:t xml:space="preserve"> </w:t>
      </w:r>
      <w:r>
        <w:t xml:space="preserve">or</w:t>
      </w:r>
      <w:r>
        <w:t xml:space="preserve"> </w:t>
      </w:r>
      <w:r>
        <w:rPr>
          <w:bCs/>
          <w:b/>
        </w:rPr>
        <w:t xml:space="preserve">logistic/empirical favourability index</w:t>
      </w:r>
      <w:r>
        <w:t xml:space="preserve"> </w:t>
      </w:r>
      <w:r>
        <w:t xml:space="preserve">model calibrated from historical outbreak records against weather variables from AWS/reanalysis/satellite-derived land-surface temperature and humidity proxies.</w:t>
      </w:r>
    </w:p>
    <w:p>
      <w:pPr>
        <w:pStyle w:val="Compact"/>
        <w:numPr>
          <w:ilvl w:val="0"/>
          <w:numId w:val="1318"/>
        </w:numPr>
      </w:pPr>
      <w:r>
        <w:rPr>
          <w:bCs/>
          <w:b/>
        </w:rPr>
        <w:t xml:space="preserve">Generate a spatial risk/forewarning map</w:t>
      </w:r>
      <w:r>
        <w:t xml:space="preserve"> </w:t>
      </w:r>
      <w:r>
        <w:t xml:space="preserve">by applying the favourability model across the region using gridded weather/AWS/satellite meteorological inputs, ahead of the pest’s typical incidence window.</w:t>
      </w:r>
    </w:p>
    <w:p>
      <w:pPr>
        <w:pStyle w:val="Compact"/>
        <w:numPr>
          <w:ilvl w:val="0"/>
          <w:numId w:val="1318"/>
        </w:numPr>
      </w:pPr>
      <w:r>
        <w:rPr>
          <w:bCs/>
          <w:b/>
        </w:rPr>
        <w:t xml:space="preserve">Detect actual incidence/damage</w:t>
      </w:r>
      <w:r>
        <w:t xml:space="preserve"> </w:t>
      </w:r>
      <w:r>
        <w:t xml:space="preserve">via remote-sensing anomaly detection — comparing observed multi-temporal vegetation-index/canopy-status trajectories against the expected</w:t>
      </w:r>
      <w:r>
        <w:t xml:space="preserve"> </w:t>
      </w:r>
      <w:r>
        <w:t xml:space="preserve">“</w:t>
      </w:r>
      <w:r>
        <w:t xml:space="preserve">healthy crop</w:t>
      </w:r>
      <w:r>
        <w:t xml:space="preserve">”</w:t>
      </w:r>
      <w:r>
        <w:t xml:space="preserve"> </w:t>
      </w:r>
      <w:r>
        <w:t xml:space="preserve">trajectory for the same crop stage and agro-climatic zone, flagging significant negative anomalies as probable incidence.</w:t>
      </w:r>
    </w:p>
    <w:p>
      <w:pPr>
        <w:pStyle w:val="Compact"/>
        <w:numPr>
          <w:ilvl w:val="0"/>
          <w:numId w:val="1318"/>
        </w:numPr>
      </w:pPr>
      <w:r>
        <w:rPr>
          <w:bCs/>
          <w:b/>
        </w:rPr>
        <w:t xml:space="preserve">Field validation and calibration</w:t>
      </w:r>
      <w:r>
        <w:t xml:space="preserve"> </w:t>
      </w:r>
      <w:r>
        <w:t xml:space="preserve">— ground survey at a sample of flagged and non-flagged locations to estimate detection accuracy (commission/omission error) and refine the favourability-model thresholds.</w:t>
      </w:r>
    </w:p>
    <w:p>
      <w:pPr>
        <w:pStyle w:val="Compact"/>
        <w:numPr>
          <w:ilvl w:val="0"/>
          <w:numId w:val="1318"/>
        </w:numPr>
      </w:pPr>
      <w:r>
        <w:rPr>
          <w:bCs/>
          <w:b/>
        </w:rPr>
        <w:t xml:space="preserve">Advisory dissemination</w:t>
      </w:r>
      <w:r>
        <w:t xml:space="preserve"> </w:t>
      </w:r>
      <w:r>
        <w:t xml:space="preserve">— bulletins issued (via GKMS-linked Agro-Meteorological Field Units, state agriculture departments, and geoportal dissemination such as Bhuvan/VEDAS) recommending timely plant-protection measures within the favourable-risk window identified.</w:t>
      </w:r>
    </w:p>
    <w:p>
      <w:pPr>
        <w:pStyle w:val="Heading3"/>
      </w:pPr>
      <w:r>
        <w:t xml:space="preserve">43.1.3 Case study: mustard aphid geospatial forewarning</w:t>
      </w:r>
    </w:p>
    <w:p>
      <w:pPr>
        <w:pStyle w:val="FirstParagraph"/>
      </w:pPr>
      <w:r>
        <w:t xml:space="preserve">ISRO/DoS has developed and operationally transferred (to the National Gateway/e-Governance agency, NGE) a</w:t>
      </w:r>
      <w:r>
        <w:t xml:space="preserve"> </w:t>
      </w:r>
      <w:r>
        <w:rPr>
          <w:bCs/>
          <w:b/>
        </w:rPr>
        <w:t xml:space="preserve">geospatial pest-forewarning technique for mustard aphid</w:t>
      </w:r>
      <w:r>
        <w:t xml:space="preserve"> </w:t>
      </w:r>
      <w:r>
        <w:t xml:space="preserve">(</w:t>
      </w:r>
      <w:r>
        <w:rPr>
          <w:iCs/>
          <w:i/>
        </w:rPr>
        <w:t xml:space="preserve">Lipaphis erysimi</w:t>
      </w:r>
      <w:r>
        <w:t xml:space="preserve">), a major sap-sucking pest of rapeseed-mustard in northern/western India whose population buildup is strongly conditioned by a specific temperature window (optimum roughly 15–20 °C, with population decline above ~25 °C and below near-freezing conditions) combined with crop phenological stage (most damaging during the vegetative-to-flowering stage). The technique combines gridded temperature/weather-derived aphid-population-growth favourability modelling with crop-stage information (derived from the mustard sowing-date/crop-calendar mapping already generated under FASAL’s mustard crop-monitoring procedure) to generate a spatially explicit, time-phased pest-risk advisory, subsequently extended to support digital agricultural monitoring services in Gujarat and other states.</w:t>
      </w:r>
    </w:p>
    <w:p>
      <w:pPr>
        <w:pStyle w:val="Heading2"/>
      </w:pPr>
      <w:r>
        <w:t xml:space="preserve">43.2 Detailed Case Study: Wheat Yellow Rust Early-Warning Methodology</w:t>
      </w:r>
    </w:p>
    <w:p>
      <w:pPr>
        <w:pStyle w:val="FirstParagraph"/>
      </w:pPr>
      <w:r>
        <w:rPr>
          <w:bCs/>
          <w:b/>
        </w:rPr>
        <w:t xml:space="preserve">Background:</w:t>
      </w:r>
      <w:r>
        <w:t xml:space="preserve"> </w:t>
      </w:r>
      <w:r>
        <w:t xml:space="preserve">Yellow (stripe) rust, caused by the fungal pathogen</w:t>
      </w:r>
      <w:r>
        <w:t xml:space="preserve"> </w:t>
      </w:r>
      <w:r>
        <w:rPr>
          <w:iCs/>
          <w:i/>
        </w:rPr>
        <w:t xml:space="preserve">Puccinia striiformis</w:t>
      </w:r>
      <w:r>
        <w:t xml:space="preserve"> </w:t>
      </w:r>
      <w:r>
        <w:t xml:space="preserve">f. sp.</w:t>
      </w:r>
      <w:r>
        <w:t xml:space="preserve"> </w:t>
      </w:r>
      <w:r>
        <w:rPr>
          <w:iCs/>
          <w:i/>
        </w:rPr>
        <w:t xml:space="preserve">tritici</w:t>
      </w:r>
      <w:r>
        <w:t xml:space="preserve">, is capable of causing severe yield loss (in extreme epidemic years, well over 30 percent in susceptible varieties) in India’s northern and north-western wheat belt (Punjab, Haryana, parts of Uttar Pradesh and the wheat-growing hill states), where cool, humid winter conditions are frequently favourable for infection.</w:t>
      </w:r>
    </w:p>
    <w:p>
      <w:pPr>
        <w:pStyle w:val="BodyText"/>
      </w:pPr>
      <w:r>
        <w:rPr>
          <w:bCs/>
          <w:b/>
        </w:rPr>
        <w:t xml:space="preserve">Step-by-step methodology (representative of the ISRO/SAC-type approach):</w:t>
      </w:r>
    </w:p>
    <w:p>
      <w:pPr>
        <w:pStyle w:val="Compact"/>
        <w:numPr>
          <w:ilvl w:val="0"/>
          <w:numId w:val="1319"/>
        </w:numPr>
      </w:pPr>
      <w:r>
        <w:rPr>
          <w:bCs/>
          <w:b/>
        </w:rPr>
        <w:t xml:space="preserve">Historical NDVI baseline construction.</w:t>
      </w:r>
      <w:r>
        <w:t xml:space="preserve"> </w:t>
      </w:r>
      <w:r>
        <w:t xml:space="preserve">Using multi-year AWiFS/LISS-III NDVI time series for wheat-growing districts, construct the</w:t>
      </w:r>
      <w:r>
        <w:t xml:space="preserve"> </w:t>
      </w:r>
      <w:r>
        <w:t xml:space="preserve">“</w:t>
      </w:r>
      <w:r>
        <w:t xml:space="preserve">normal</w:t>
      </w:r>
      <w:r>
        <w:t xml:space="preserve">”</w:t>
      </w:r>
      <w:r>
        <w:t xml:space="preserve"> </w:t>
      </w:r>
      <w:r>
        <w:t xml:space="preserve">expected NDVI growth trajectory for wheat, stratified by district/agro-climatic zone and sowing-date window, capturing the typical vegetative-growth-to-senescence curve shape under disease-free conditions.</w:t>
      </w:r>
    </w:p>
    <w:p>
      <w:pPr>
        <w:pStyle w:val="Compact"/>
        <w:numPr>
          <w:ilvl w:val="0"/>
          <w:numId w:val="1319"/>
        </w:numPr>
      </w:pPr>
      <w:r>
        <w:rPr>
          <w:bCs/>
          <w:b/>
        </w:rPr>
        <w:t xml:space="preserve">Weather-based favourability modelling.</w:t>
      </w:r>
      <w:r>
        <w:t xml:space="preserve"> </w:t>
      </w:r>
      <w:r>
        <w:t xml:space="preserve">Using AWS/gridded temperature and humidity data (and, where available, satellite-derived land-surface-temperature/humidity proxies), compute a rust-favourability index for each time step, based on the known epidemiological requirement of a sustained window of ~10–20°C temperature combined with adequate leaf-wetness-duration/relative-humidity conditions (dew formation under clear, cool nights followed by daytime warming is a classic favourable pattern).</w:t>
      </w:r>
    </w:p>
    <w:p>
      <w:pPr>
        <w:pStyle w:val="Compact"/>
        <w:numPr>
          <w:ilvl w:val="0"/>
          <w:numId w:val="1319"/>
        </w:numPr>
      </w:pPr>
      <w:r>
        <w:rPr>
          <w:bCs/>
          <w:b/>
        </w:rPr>
        <w:t xml:space="preserve">Within-season NDVI/red-edge anomaly detection.</w:t>
      </w:r>
      <w:r>
        <w:t xml:space="preserve"> </w:t>
      </w:r>
      <w:r>
        <w:t xml:space="preserve">For each new satellite acquisition through the growing season, compare the observed NDVI (and, where hyperspectral/fine-resolution data are available, red-edge position, Chapter 15, Section 15.4) against the expected baseline trajectory for the corresponding sowing-date cohort and growth stage; flag pixels/fields showing a statistically significant negative departure.</w:t>
      </w:r>
    </w:p>
    <w:p>
      <w:pPr>
        <w:pStyle w:val="Compact"/>
        <w:numPr>
          <w:ilvl w:val="0"/>
          <w:numId w:val="1319"/>
        </w:numPr>
      </w:pPr>
      <w:r>
        <w:rPr>
          <w:bCs/>
          <w:b/>
        </w:rPr>
        <w:t xml:space="preserve">Spatio-temporal cross-verification.</w:t>
      </w:r>
      <w:r>
        <w:t xml:space="preserve"> </w:t>
      </w:r>
      <w:r>
        <w:t xml:space="preserve">Overlay the NDVI-anomaly-flagged locations against the weather-favourability-risk map from Step 2 — locations flagged by both the independent remote-sensing anomaly signal and the independent weather-favourability signal are assigned high confidence; locations flagged by only one are treated as lower-confidence/requiring field verification (since NDVI anomalies can also arise from non-disease causes — waterlogging, nutrient deficiency, hail damage — that a purely spectral anomaly detector cannot itself distinguish from rust).</w:t>
      </w:r>
    </w:p>
    <w:p>
      <w:pPr>
        <w:pStyle w:val="Compact"/>
        <w:numPr>
          <w:ilvl w:val="0"/>
          <w:numId w:val="1319"/>
        </w:numPr>
      </w:pPr>
      <w:r>
        <w:rPr>
          <w:bCs/>
          <w:b/>
        </w:rPr>
        <w:t xml:space="preserve">Field/pathology-survey validation.</w:t>
      </w:r>
      <w:r>
        <w:t xml:space="preserve"> </w:t>
      </w:r>
      <w:r>
        <w:t xml:space="preserve">A sample of high-confidence flagged locations (and, ideally, a control sample of non-flagged locations) is field-verified by plant-pathology survey teams to confirm actual rust incidence and severity, both validating/calibrating the algorithm’s detection accuracy for the current season and providing ground truth for future-season threshold refinement.</w:t>
      </w:r>
    </w:p>
    <w:p>
      <w:pPr>
        <w:pStyle w:val="Compact"/>
        <w:numPr>
          <w:ilvl w:val="0"/>
          <w:numId w:val="1319"/>
        </w:numPr>
      </w:pPr>
      <w:r>
        <w:rPr>
          <w:bCs/>
          <w:b/>
        </w:rPr>
        <w:t xml:space="preserve">Advisory bulletin issuance.</w:t>
      </w:r>
      <w:r>
        <w:t xml:space="preserve"> </w:t>
      </w:r>
      <w:r>
        <w:t xml:space="preserve">Confirmed/high-confidence risk information is disseminated to state agriculture departments and, via GKMS-linked Agro-Meteorological Field Units, to farmers, recommending timely fungicide application within the epidemiologically critical early-infection window (rust control is far more effective when applied at early, localised infection stages than after an epidemic has established across a wider area).</w:t>
      </w:r>
    </w:p>
    <w:p>
      <w:pPr>
        <w:pStyle w:val="FirstParagraph"/>
      </w:pPr>
      <w:r>
        <w:rPr>
          <w:bCs/>
          <w:b/>
        </w:rPr>
        <w:t xml:space="preserve">Key interview-relevant point:</w:t>
      </w:r>
      <w:r>
        <w:t xml:space="preserve"> </w:t>
      </w:r>
      <w:r>
        <w:t xml:space="preserve">this case study exemplifies the general two-track (weather-favourability-model + remote-sensing-anomaly-detection) pest/disease forecasting architecture introduced generically in the relevant chapter, and demonstrates why</w:t>
      </w:r>
      <w:r>
        <w:t xml:space="preserve"> </w:t>
      </w:r>
      <w:r>
        <w:rPr>
          <w:iCs/>
          <w:i/>
        </w:rPr>
        <w:t xml:space="preserve">neither</w:t>
      </w:r>
      <w:r>
        <w:t xml:space="preserve"> </w:t>
      </w:r>
      <w:r>
        <w:t xml:space="preserve">track alone is sufficient — the weather-favourability model alone cannot confirm actual infection has occurred (only that conditions are favourable for it), while the remote-sensing anomaly-detection track alone cannot distinguish rust from other causes of NDVI decline without the corroborating epidemiological context.</w:t>
      </w:r>
    </w:p>
    <w:p>
      <w:pPr>
        <w:pStyle w:val="Heading2"/>
      </w:pPr>
      <w:r>
        <w:t xml:space="preserve">43.3 Biotic Stress Monitoring</w:t>
      </w:r>
    </w:p>
    <w:p>
      <w:pPr>
        <w:pStyle w:val="FirstParagraph"/>
      </w:pPr>
      <w:r>
        <w:t xml:space="preserve">Biotic stresses — pests, pathogens (fungal/bacterial/viral disease), and weeds — are inherently harder to detect remotely than abiotic stresses because their spectral/thermal signatures often overlap with those of water or nutrient stress (since infection frequently disrupts water relations and chlorophyll content too), and because early infection may be spatially patchy and sub-pixel in extent for coarse-resolution sensors.</w:t>
      </w:r>
    </w:p>
    <w:p>
      <w:pPr>
        <w:pStyle w:val="Heading3"/>
      </w:pPr>
      <w:r>
        <w:t xml:space="preserve">43.3.1 Pest and Disease Detection</w:t>
      </w:r>
    </w:p>
    <w:p>
      <w:pPr>
        <w:pStyle w:val="FirstParagraph"/>
      </w:pPr>
      <w:r>
        <w:rPr>
          <w:bCs/>
          <w:b/>
        </w:rPr>
        <w:t xml:space="preserve">Spectral basis of detection</w:t>
      </w:r>
      <w:r>
        <w:t xml:space="preserve">: Pathogen or pest infestation alters the plant’s biochemical and structural properties progressively:</w:t>
      </w:r>
    </w:p>
    <w:p>
      <w:pPr>
        <w:numPr>
          <w:ilvl w:val="0"/>
          <w:numId w:val="1320"/>
        </w:numPr>
      </w:pPr>
      <w:r>
        <w:t xml:space="preserve">At the earliest stage (often pre-visible /</w:t>
      </w:r>
      <w:r>
        <w:t xml:space="preserve"> </w:t>
      </w:r>
      <w:r>
        <w:t xml:space="preserve">“</w:t>
      </w:r>
      <w:r>
        <w:t xml:space="preserve">pre-symptomatic</w:t>
      </w:r>
      <w:r>
        <w:t xml:space="preserve">”</w:t>
      </w:r>
      <w:r>
        <w:t xml:space="preserve">), infection triggers physiological changes — altered photosynthetic efficiency, changes in xanthophyll-cycle pigments, and early stomatal dysregulation — that are detectable through narrow-band indices sensitive to subtle pigment shifts, notably the</w:t>
      </w:r>
      <w:r>
        <w:t xml:space="preserve"> </w:t>
      </w:r>
      <w:r>
        <w:rPr>
          <w:bCs/>
          <w:b/>
        </w:rPr>
        <w:t xml:space="preserve">Photochemical Reflectance Index (PRI)</w:t>
      </w:r>
      <w:r>
        <w:t xml:space="preserve">, and through changes in chlorophyll fluorescence (solar-induced fluorescence, SIF, retrievable from high-spectral-resolution hyperspectral data), even before any visible chlorosis or necrosis appears.</w:t>
      </w:r>
    </w:p>
    <w:p>
      <w:pPr>
        <w:numPr>
          <w:ilvl w:val="0"/>
          <w:numId w:val="1320"/>
        </w:numPr>
      </w:pPr>
      <w:r>
        <w:t xml:space="preserve">As infection progresses, chlorophyll degradation increases visible-band (red/green) reflectance and reduces NIR reflectance as internal leaf structure (mesophyll) is damaged, producing the classic disease-associated NDVI/chlorophyll-index decline.</w:t>
      </w:r>
    </w:p>
    <w:p>
      <w:pPr>
        <w:numPr>
          <w:ilvl w:val="0"/>
          <w:numId w:val="1320"/>
        </w:numPr>
      </w:pPr>
      <w:r>
        <w:t xml:space="preserve">At advanced stages, necrotic lesions, wilting, and defoliation cause large, visually obvious reductions in NIR reflectance and canopy cover, by which point remote detection is trivial but intervention value is much reduced.</w:t>
      </w:r>
    </w:p>
    <w:p>
      <w:pPr>
        <w:pStyle w:val="FirstParagraph"/>
      </w:pPr>
      <w:r>
        <w:t xml:space="preserve">The practical importance of remote sensing for disease/pest management lies precisely in</w:t>
      </w:r>
      <w:r>
        <w:t xml:space="preserve"> </w:t>
      </w:r>
      <w:r>
        <w:rPr>
          <w:bCs/>
          <w:b/>
        </w:rPr>
        <w:t xml:space="preserve">stage 1 detection</w:t>
      </w:r>
      <w:r>
        <w:t xml:space="preserve"> </w:t>
      </w:r>
      <w:r>
        <w:t xml:space="preserve">— identifying stress before visible symptoms appear, when targeted intervention (fungicide/insecticide application) can still prevent spread — which is why hyperspectral and thermal sensing (rather than simple broadband NDVI) are emphasized in disease-detection research.</w:t>
      </w:r>
    </w:p>
    <w:p>
      <w:pPr>
        <w:pStyle w:val="BodyText"/>
      </w:pPr>
      <w:r>
        <w:rPr>
          <w:bCs/>
          <w:b/>
        </w:rPr>
        <w:t xml:space="preserve">Hyperspectral disease-detection techniques</w:t>
      </w:r>
      <w:r>
        <w:t xml:space="preserve">:</w:t>
      </w:r>
    </w:p>
    <w:p>
      <w:pPr>
        <w:pStyle w:val="Compact"/>
        <w:numPr>
          <w:ilvl w:val="0"/>
          <w:numId w:val="1321"/>
        </w:numPr>
      </w:pPr>
      <w:r>
        <w:rPr>
          <w:bCs/>
          <w:b/>
        </w:rPr>
        <w:t xml:space="preserve">Narrow-band vegetation indices</w:t>
      </w:r>
      <w:r>
        <w:t xml:space="preserve"> </w:t>
      </w:r>
      <w:r>
        <w:t xml:space="preserve">tailored to specific pigment or water-content absorption features (e.g., indices built around 550, 700, 970, 1450, 1650, 1750 nm regions) that are more diagnostic of specific biochemical changes than broad multispectral bands.</w:t>
      </w:r>
    </w:p>
    <w:p>
      <w:pPr>
        <w:pStyle w:val="Compact"/>
        <w:numPr>
          <w:ilvl w:val="0"/>
          <w:numId w:val="1321"/>
        </w:numPr>
      </w:pPr>
      <w:r>
        <w:rPr>
          <w:bCs/>
          <w:b/>
        </w:rPr>
        <w:t xml:space="preserve">Full-spectrum chemometric/machine-learning classification</w:t>
      </w:r>
      <w:r>
        <w:t xml:space="preserve"> </w:t>
      </w:r>
      <w:r>
        <w:t xml:space="preserve">— using the complete reflectance spectrum (350–2500 nm from field spectroradiometers, or narrower ranges from imaging hyperspectral sensors) with techniques such as PLS-DA, support vector machines, and deep learning (1D-CNNs on spectral curves) to classify healthy vs. infected tissue and even discriminate between different pathogens/pest species based on their distinct spectral fingerprints.</w:t>
      </w:r>
    </w:p>
    <w:p>
      <w:pPr>
        <w:pStyle w:val="Compact"/>
        <w:numPr>
          <w:ilvl w:val="0"/>
          <w:numId w:val="1321"/>
        </w:numPr>
      </w:pPr>
      <w:r>
        <w:rPr>
          <w:bCs/>
          <w:b/>
        </w:rPr>
        <w:t xml:space="preserve">Thermal imaging</w:t>
      </w:r>
      <w:r>
        <w:t xml:space="preserve"> </w:t>
      </w:r>
      <w:r>
        <w:t xml:space="preserve">as a complementary technique — many pathogens (e.g., rusts, some fungal infections) disrupt stomatal function, causing localized canopy temperature anomalies detectable before visible symptoms.</w:t>
      </w:r>
    </w:p>
    <w:p>
      <w:pPr>
        <w:pStyle w:val="Compact"/>
        <w:numPr>
          <w:ilvl w:val="0"/>
          <w:numId w:val="1321"/>
        </w:numPr>
      </w:pPr>
      <w:r>
        <w:rPr>
          <w:bCs/>
          <w:b/>
        </w:rPr>
        <w:t xml:space="preserve">Fluorescence imaging</w:t>
      </w:r>
      <w:r>
        <w:t xml:space="preserve"> </w:t>
      </w:r>
      <w:r>
        <w:t xml:space="preserve">— chlorophyll fluorescence imaging detects photosynthetic efficiency disruption at a very early, pre-symptomatic stage and is used in high-throughput phenotyping platforms and increasingly in UAV-borne SIF-sensitive sensors.</w:t>
      </w:r>
    </w:p>
    <w:p>
      <w:pPr>
        <w:pStyle w:val="Compact"/>
        <w:numPr>
          <w:ilvl w:val="0"/>
          <w:numId w:val="1321"/>
        </w:numPr>
      </w:pPr>
      <w:r>
        <w:rPr>
          <w:bCs/>
          <w:b/>
        </w:rPr>
        <w:t xml:space="preserve">UAV-based disease mapping</w:t>
      </w:r>
      <w:r>
        <w:t xml:space="preserve"> </w:t>
      </w:r>
      <w:r>
        <w:t xml:space="preserve">at the field scale combines high-spatial-resolution multispectral/hyperspectral imagery with machine-learning classifiers trained on ground-truthed disease severity scores to produce field disease-severity maps for targeted (rather than blanket) fungicide application.</w:t>
      </w:r>
    </w:p>
    <w:p>
      <w:pPr>
        <w:pStyle w:val="Heading3"/>
      </w:pPr>
      <w:r>
        <w:t xml:space="preserve">43.3.2 Weed Detection and Mapping</w:t>
      </w:r>
    </w:p>
    <w:p>
      <w:pPr>
        <w:pStyle w:val="FirstParagraph"/>
      </w:pPr>
      <w:r>
        <w:t xml:space="preserve">Weeds compete with crops for light, water, and nutrients, and their remote/proximal detection relies on spectral, spatial, and temporal discrimination from the crop and background soil:</w:t>
      </w:r>
    </w:p>
    <w:p>
      <w:pPr>
        <w:pStyle w:val="Compact"/>
        <w:numPr>
          <w:ilvl w:val="0"/>
          <w:numId w:val="1322"/>
        </w:numPr>
      </w:pPr>
      <w:r>
        <w:rPr>
          <w:bCs/>
          <w:b/>
        </w:rPr>
        <w:t xml:space="preserve">Spectral discrimination</w:t>
      </w:r>
      <w:r>
        <w:t xml:space="preserve">: In early growth stages before canopy closure, weeds and crop plants may have broadly similar leaf-level spectral signatures (both green vegetation vs. soil background), so discrimination often relies on subtler differences — leaf morphology-driven reflectance patterns, or species-specific narrow-band differences captured by hyperspectral sensors — combined with the fact that weeds frequently emerge in inter-row or off-pattern spatial positions that a purely spectral crop/soil/weed classifier can exploit.</w:t>
      </w:r>
    </w:p>
    <w:p>
      <w:pPr>
        <w:pStyle w:val="Compact"/>
        <w:numPr>
          <w:ilvl w:val="0"/>
          <w:numId w:val="1322"/>
        </w:numPr>
      </w:pPr>
      <w:r>
        <w:rPr>
          <w:bCs/>
          <w:b/>
        </w:rPr>
        <w:t xml:space="preserve">Spatial/pattern-based discrimination</w:t>
      </w:r>
      <w:r>
        <w:t xml:space="preserve">: Because crops are typically planted in regular rows, machine-vision and photogrammetric approaches use the</w:t>
      </w:r>
      <w:r>
        <w:t xml:space="preserve"> </w:t>
      </w:r>
      <w:r>
        <w:rPr>
          <w:bCs/>
          <w:b/>
        </w:rPr>
        <w:t xml:space="preserve">row-detection principle</w:t>
      </w:r>
      <w:r>
        <w:t xml:space="preserve"> </w:t>
      </w:r>
      <w:r>
        <w:t xml:space="preserve">— vegetation between and outside known crop rows is flagged as a weed candidate — combined with object-based image analysis to differentiate crop and weed canopies by shape, size, and texture, particularly effective in UAV-acquired centimeter-resolution RGB/multispectral imagery.</w:t>
      </w:r>
    </w:p>
    <w:p>
      <w:pPr>
        <w:pStyle w:val="Compact"/>
        <w:numPr>
          <w:ilvl w:val="0"/>
          <w:numId w:val="1322"/>
        </w:numPr>
      </w:pPr>
      <w:r>
        <w:rPr>
          <w:bCs/>
          <w:b/>
        </w:rPr>
        <w:t xml:space="preserve">UAV-based weed mapping</w:t>
      </w:r>
      <w:r>
        <w:t xml:space="preserve">: UAVs are the platform of choice for weed detection because weed patches are often small and irregularly distributed, requiring sub-decimeter-to-centimeter spatial resolution unattainable from most satellites; typical workflows combine high-resolution RGB or multispectral UAV imagery with machine-learning/deep-learning classifiers (random forest, CNN-based semantic segmentation) trained on labeled weed/crop image patches, producing weed-density or presence/absence maps.</w:t>
      </w:r>
    </w:p>
    <w:p>
      <w:pPr>
        <w:pStyle w:val="Compact"/>
        <w:numPr>
          <w:ilvl w:val="0"/>
          <w:numId w:val="1322"/>
        </w:numPr>
      </w:pPr>
      <w:r>
        <w:rPr>
          <w:bCs/>
          <w:b/>
        </w:rPr>
        <w:t xml:space="preserve">Timing</w:t>
      </w:r>
      <w:r>
        <w:t xml:space="preserve">: Weed mapping is most effective either very early in the season (before crop canopy closes, exploiting bare-soil contrast and row geometry) or, for weeds that emerge/persist after crop senescence, late in the season when the weed remains green against a senescing/harvested crop background.</w:t>
      </w:r>
    </w:p>
    <w:p>
      <w:pPr>
        <w:pStyle w:val="Compact"/>
        <w:numPr>
          <w:ilvl w:val="0"/>
          <w:numId w:val="1322"/>
        </w:numPr>
      </w:pPr>
      <w:r>
        <w:t xml:space="preserve">The resulting weed maps feed directly into</w:t>
      </w:r>
      <w:r>
        <w:t xml:space="preserve"> </w:t>
      </w:r>
      <w:r>
        <w:rPr>
          <w:bCs/>
          <w:b/>
        </w:rPr>
        <w:t xml:space="preserve">site-specific/spot spraying</w:t>
      </w:r>
      <w:r>
        <w:t xml:space="preserve"> </w:t>
      </w:r>
      <w:r>
        <w:t xml:space="preserve">(variable-rate herbicide application restricted to detected weed patches), which is one of the most mature and economically validated VRT applications, substantially reducing herbicide volumes compared to blanket spraying.</w:t>
      </w:r>
    </w:p>
    <w:p>
      <w:pPr>
        <w:pStyle w:val="Heading3"/>
      </w:pPr>
      <w:r>
        <w:t xml:space="preserve">43.3.3 Table 2 — Biotic Stress Detection: Signature and Technique</w:t>
      </w:r>
    </w:p>
    <w:tbl>
      <w:tblPr>
        <w:tblStyle w:val="Table"/>
        <w:tblW w:type="pct" w:w="4958"/>
        <w:jc w:val="left"/>
        <w:tblLook w:firstRow="1" w:lastRow="0" w:firstColumn="0" w:lastColumn="0" w:noHBand="0" w:noVBand="0" w:val="0020"/>
      </w:tblPr>
      <w:tblGrid>
        <w:gridCol w:w="1452"/>
        <w:gridCol w:w="1914"/>
        <w:gridCol w:w="2442"/>
        <w:gridCol w:w="2046"/>
      </w:tblGrid>
      <w:tr>
        <w:trPr>
          <w:tblHeader w:val="true"/>
        </w:trPr>
        <w:tc>
          <w:tcPr/>
          <w:p>
            <w:pPr>
              <w:pStyle w:val="Compact"/>
              <w:jc w:val="left"/>
            </w:pPr>
            <w:r>
              <w:t xml:space="preserve">Biotic Stress</w:t>
            </w:r>
          </w:p>
        </w:tc>
        <w:tc>
          <w:tcPr/>
          <w:p>
            <w:pPr>
              <w:pStyle w:val="Compact"/>
              <w:jc w:val="left"/>
            </w:pPr>
            <w:r>
              <w:t xml:space="preserve">Detection Basis</w:t>
            </w:r>
          </w:p>
        </w:tc>
        <w:tc>
          <w:tcPr/>
          <w:p>
            <w:pPr>
              <w:pStyle w:val="Compact"/>
              <w:jc w:val="left"/>
            </w:pPr>
            <w:r>
              <w:t xml:space="preserve">Pre-symptomatic Indicator</w:t>
            </w:r>
          </w:p>
        </w:tc>
        <w:tc>
          <w:tcPr/>
          <w:p>
            <w:pPr>
              <w:pStyle w:val="Compact"/>
              <w:jc w:val="left"/>
            </w:pPr>
            <w:r>
              <w:t xml:space="preserve">Sensor/Technique</w:t>
            </w:r>
          </w:p>
        </w:tc>
      </w:tr>
      <w:tr>
        <w:tc>
          <w:tcPr/>
          <w:p>
            <w:pPr>
              <w:pStyle w:val="Compact"/>
              <w:jc w:val="left"/>
            </w:pPr>
            <w:r>
              <w:t xml:space="preserve">Fungal/bacterial disease (early stage)</w:t>
            </w:r>
          </w:p>
        </w:tc>
        <w:tc>
          <w:tcPr/>
          <w:p>
            <w:pPr>
              <w:pStyle w:val="Compact"/>
              <w:jc w:val="left"/>
            </w:pPr>
            <w:r>
              <w:t xml:space="preserve">Disrupted photosynthetic efficiency, pigment shifts</w:t>
            </w:r>
          </w:p>
        </w:tc>
        <w:tc>
          <w:tcPr/>
          <w:p>
            <w:pPr>
              <w:pStyle w:val="Compact"/>
              <w:jc w:val="left"/>
            </w:pPr>
            <w:r>
              <w:t xml:space="preserve">PRI, chlorophyll fluorescence (SIF), narrow-band hyperspectral features</w:t>
            </w:r>
          </w:p>
        </w:tc>
        <w:tc>
          <w:tcPr/>
          <w:p>
            <w:pPr>
              <w:pStyle w:val="Compact"/>
              <w:jc w:val="left"/>
            </w:pPr>
            <w:r>
              <w:t xml:space="preserve">Hyperspectral imaging, fluorescence imaging</w:t>
            </w:r>
          </w:p>
        </w:tc>
      </w:tr>
      <w:tr>
        <w:tc>
          <w:tcPr/>
          <w:p>
            <w:pPr>
              <w:pStyle w:val="Compact"/>
              <w:jc w:val="left"/>
            </w:pPr>
            <w:r>
              <w:t xml:space="preserve">Fungal/bacterial disease (progressed)</w:t>
            </w:r>
          </w:p>
        </w:tc>
        <w:tc>
          <w:tcPr/>
          <w:p>
            <w:pPr>
              <w:pStyle w:val="Compact"/>
              <w:jc w:val="left"/>
            </w:pPr>
            <w:r>
              <w:t xml:space="preserve">Chlorophyll loss, necrosis, defoliation</w:t>
            </w:r>
          </w:p>
        </w:tc>
        <w:tc>
          <w:tcPr/>
          <w:p>
            <w:pPr>
              <w:pStyle w:val="Compact"/>
              <w:jc w:val="left"/>
            </w:pPr>
            <w:r>
              <w:t xml:space="preserve">NDVI/chlorophyll index decline, reduced NIR reflectance</w:t>
            </w:r>
          </w:p>
        </w:tc>
        <w:tc>
          <w:tcPr/>
          <w:p>
            <w:pPr>
              <w:pStyle w:val="Compact"/>
              <w:jc w:val="left"/>
            </w:pPr>
            <w:r>
              <w:t xml:space="preserve">UAV/satellite multispectral</w:t>
            </w:r>
          </w:p>
        </w:tc>
      </w:tr>
      <w:tr>
        <w:tc>
          <w:tcPr/>
          <w:p>
            <w:pPr>
              <w:pStyle w:val="Compact"/>
              <w:jc w:val="left"/>
            </w:pPr>
            <w:r>
              <w:t xml:space="preserve">Disease-induced water-relation disruption</w:t>
            </w:r>
          </w:p>
        </w:tc>
        <w:tc>
          <w:tcPr/>
          <w:p>
            <w:pPr>
              <w:pStyle w:val="Compact"/>
              <w:jc w:val="left"/>
            </w:pPr>
            <w:r>
              <w:t xml:space="preserve">Altered stomatal conductance</w:t>
            </w:r>
          </w:p>
        </w:tc>
        <w:tc>
          <w:tcPr/>
          <w:p>
            <w:pPr>
              <w:pStyle w:val="Compact"/>
              <w:jc w:val="left"/>
            </w:pPr>
            <w:r>
              <w:t xml:space="preserve">Canopy temperature anomaly</w:t>
            </w:r>
          </w:p>
        </w:tc>
        <w:tc>
          <w:tcPr/>
          <w:p>
            <w:pPr>
              <w:pStyle w:val="Compact"/>
              <w:jc w:val="left"/>
            </w:pPr>
            <w:r>
              <w:t xml:space="preserve">Thermal IR (handheld/UAV)</w:t>
            </w:r>
          </w:p>
        </w:tc>
      </w:tr>
      <w:tr>
        <w:tc>
          <w:tcPr/>
          <w:p>
            <w:pPr>
              <w:pStyle w:val="Compact"/>
              <w:jc w:val="left"/>
            </w:pPr>
            <w:r>
              <w:t xml:space="preserve">Insect pest infestation</w:t>
            </w:r>
          </w:p>
        </w:tc>
        <w:tc>
          <w:tcPr/>
          <w:p>
            <w:pPr>
              <w:pStyle w:val="Compact"/>
              <w:jc w:val="left"/>
            </w:pPr>
            <w:r>
              <w:t xml:space="preserve">Feeding damage, sap loss, induced biochemical response</w:t>
            </w:r>
          </w:p>
        </w:tc>
        <w:tc>
          <w:tcPr/>
          <w:p>
            <w:pPr>
              <w:pStyle w:val="Compact"/>
              <w:jc w:val="left"/>
            </w:pPr>
            <w:r>
              <w:t xml:space="preserve">Localized reflectance/texture anomalies, narrow-band indices</w:t>
            </w:r>
          </w:p>
        </w:tc>
        <w:tc>
          <w:tcPr/>
          <w:p>
            <w:pPr>
              <w:pStyle w:val="Compact"/>
              <w:jc w:val="left"/>
            </w:pPr>
            <w:r>
              <w:t xml:space="preserve">Hyperspectral, high-res multispectral, RGB texture analysis</w:t>
            </w:r>
          </w:p>
        </w:tc>
      </w:tr>
      <w:tr>
        <w:tc>
          <w:tcPr/>
          <w:p>
            <w:pPr>
              <w:pStyle w:val="Compact"/>
              <w:jc w:val="left"/>
            </w:pPr>
            <w:r>
              <w:t xml:space="preserve">Weeds (pre-canopy closure)</w:t>
            </w:r>
          </w:p>
        </w:tc>
        <w:tc>
          <w:tcPr/>
          <w:p>
            <w:pPr>
              <w:pStyle w:val="Compact"/>
              <w:jc w:val="left"/>
            </w:pPr>
            <w:r>
              <w:t xml:space="preserve">Off-row vegetation, spectral/spatial contrast with soil</w:t>
            </w:r>
          </w:p>
        </w:tc>
        <w:tc>
          <w:tcPr/>
          <w:p>
            <w:pPr>
              <w:pStyle w:val="Compact"/>
              <w:jc w:val="left"/>
            </w:pPr>
            <w:r>
              <w:t xml:space="preserve">Row-geometry deviation, spectral classification</w:t>
            </w:r>
          </w:p>
        </w:tc>
        <w:tc>
          <w:tcPr/>
          <w:p>
            <w:pPr>
              <w:pStyle w:val="Compact"/>
              <w:jc w:val="left"/>
            </w:pPr>
            <w:r>
              <w:t xml:space="preserve">UAV RGB/multispectral + ML classification</w:t>
            </w:r>
          </w:p>
        </w:tc>
      </w:tr>
      <w:tr>
        <w:tc>
          <w:tcPr/>
          <w:p>
            <w:pPr>
              <w:pStyle w:val="Compact"/>
              <w:jc w:val="left"/>
            </w:pPr>
            <w:r>
              <w:t xml:space="preserve">Weeds (post-crop senescence)</w:t>
            </w:r>
          </w:p>
        </w:tc>
        <w:tc>
          <w:tcPr/>
          <w:p>
            <w:pPr>
              <w:pStyle w:val="Compact"/>
              <w:jc w:val="left"/>
            </w:pPr>
            <w:r>
              <w:t xml:space="preserve">Green vegetation persisting after crop dries/harvest</w:t>
            </w:r>
          </w:p>
        </w:tc>
        <w:tc>
          <w:tcPr/>
          <w:p>
            <w:pPr>
              <w:pStyle w:val="Compact"/>
              <w:jc w:val="left"/>
            </w:pPr>
            <w:r>
              <w:t xml:space="preserve">Temporal NDVI contrast</w:t>
            </w:r>
          </w:p>
        </w:tc>
        <w:tc>
          <w:tcPr/>
          <w:p>
            <w:pPr>
              <w:pStyle w:val="Compact"/>
              <w:jc w:val="left"/>
            </w:pPr>
            <w:r>
              <w:t xml:space="preserve">Satellite/UAV time series</w:t>
            </w:r>
          </w:p>
        </w:tc>
      </w:tr>
    </w:tbl>
    <w:p>
      <w:pPr>
        <w:pStyle w:val="Heading2"/>
      </w:pPr>
      <w:r>
        <w:t xml:space="preserve">43.4 Desert Locust: Biology and the Forecasting Challenge</w:t>
      </w:r>
    </w:p>
    <w:p>
      <w:pPr>
        <w:pStyle w:val="FirstParagraph"/>
      </w:pPr>
      <w:r>
        <w:t xml:space="preserve">The</w:t>
      </w:r>
      <w:r>
        <w:t xml:space="preserve"> </w:t>
      </w:r>
      <w:r>
        <w:rPr>
          <w:bCs/>
          <w:b/>
        </w:rPr>
        <w:t xml:space="preserve">desert locust</w:t>
      </w:r>
      <w:r>
        <w:t xml:space="preserve"> </w:t>
      </w:r>
      <w:r>
        <w:t xml:space="preserve">(</w:t>
      </w:r>
      <w:r>
        <w:rPr>
          <w:iCs/>
          <w:i/>
        </w:rPr>
        <w:t xml:space="preserve">Schistocerca gregaria</w:t>
      </w:r>
      <w:r>
        <w:t xml:space="preserve"> </w:t>
      </w:r>
      <w:r>
        <w:t xml:space="preserve">Forskål) is among the most dreaded migratory pests. In its</w:t>
      </w:r>
      <w:r>
        <w:t xml:space="preserve"> </w:t>
      </w:r>
      <w:r>
        <w:rPr>
          <w:bCs/>
          <w:b/>
        </w:rPr>
        <w:t xml:space="preserve">solitary phase</w:t>
      </w:r>
      <w:r>
        <w:t xml:space="preserve"> </w:t>
      </w:r>
      <w:r>
        <w:t xml:space="preserve">densities are low and harmless; after favourable rains, successive generations multiply and crowding triggers</w:t>
      </w:r>
      <w:r>
        <w:t xml:space="preserve"> </w:t>
      </w:r>
      <w:r>
        <w:rPr>
          <w:bCs/>
          <w:b/>
        </w:rPr>
        <w:t xml:space="preserve">phase change to the gregarious phase</w:t>
      </w:r>
      <w:r>
        <w:t xml:space="preserve"> </w:t>
      </w:r>
      <w:r>
        <w:t xml:space="preserve">— hopper bands and adult swarms that migrate hundreds of kilometres and devour crops. Plagues can affect ~60 countries and ~20% of the Earth’s land surface (Africa, Middle East, South-West Asia, including western India). Other species (Asian/migratory</w:t>
      </w:r>
      <w:r>
        <w:t xml:space="preserve"> </w:t>
      </w:r>
      <w:r>
        <w:rPr>
          <w:iCs/>
          <w:i/>
        </w:rPr>
        <w:t xml:space="preserve">Locusta migratoria</w:t>
      </w:r>
      <w:r>
        <w:t xml:space="preserve">, Italian</w:t>
      </w:r>
      <w:r>
        <w:t xml:space="preserve"> </w:t>
      </w:r>
      <w:r>
        <w:rPr>
          <w:iCs/>
          <w:i/>
        </w:rPr>
        <w:t xml:space="preserve">Calliptamus italicus</w:t>
      </w:r>
      <w:r>
        <w:t xml:space="preserve">, Moroccan</w:t>
      </w:r>
      <w:r>
        <w:t xml:space="preserve"> </w:t>
      </w:r>
      <w:r>
        <w:rPr>
          <w:iCs/>
          <w:i/>
        </w:rPr>
        <w:t xml:space="preserve">Dociostaurus maroccanus</w:t>
      </w:r>
      <w:r>
        <w:t xml:space="preserve">) cause outbreaks in Central Asia, e.g., Kazakhstan, where shrinking cultivation after 1992 created extensive fallows and grasslands — ideal habitats — leading to major losses (~5 Mt of grain in 2000).</w:t>
      </w:r>
    </w:p>
    <w:p>
      <w:pPr>
        <w:pStyle w:val="BodyText"/>
      </w:pPr>
      <w:r>
        <w:rPr>
          <w:bCs/>
          <w:b/>
        </w:rPr>
        <w:t xml:space="preserve">Life cycle:</w:t>
      </w:r>
      <w:r>
        <w:t xml:space="preserve"> </w:t>
      </w:r>
      <w:r>
        <w:t xml:space="preserve">eggs laid in pods in moist sandy soil (needs soil moisture over ~10–15 days at 5–15 cm) → hatch after incubation (~10–65 days, temperature-dependent) → five hopper instars (~24–95 days) → fledglings → mature adults. Swarm migration follows</w:t>
      </w:r>
      <w:r>
        <w:t xml:space="preserve"> </w:t>
      </w:r>
      <w:r>
        <w:rPr>
          <w:bCs/>
          <w:b/>
        </w:rPr>
        <w:t xml:space="preserve">downwind</w:t>
      </w:r>
      <w:r>
        <w:t xml:space="preserve"> </w:t>
      </w:r>
      <w:r>
        <w:t xml:space="preserve">movement, often towards convergence zones (ITCZ, troughs) where rain creates new breeding conditions; in India the Locust Warning Organisation (LWO, Jodhpur) monitors the Scheduled Desert Area (Rajasthan, Gujarat), where spring and summer breeding link with Pakistan and Iran (major upsurge in 2019–20).</w:t>
      </w:r>
    </w:p>
    <w:p>
      <w:pPr>
        <w:pStyle w:val="BodyText"/>
      </w:pPr>
      <w:r>
        <w:rPr>
          <w:bCs/>
          <w:b/>
        </w:rPr>
        <w:t xml:space="preserve">Key needs:</w:t>
      </w:r>
      <w:r>
        <w:t xml:space="preserve"> </w:t>
      </w:r>
      <w:r>
        <w:t xml:space="preserve">early detection of breeding sites and growth stages, monitoring vast, inaccessible terrain, and forecasting migration — since control (ground/aerial spraying) is most effective against hopper bands before swarms form.</w:t>
      </w:r>
    </w:p>
    <w:p>
      <w:pPr>
        <w:pStyle w:val="Heading2"/>
      </w:pPr>
      <w:r>
        <w:t xml:space="preserve">43.5 Environmental Requirements Used in Models</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Process</w:t>
            </w:r>
          </w:p>
        </w:tc>
        <w:tc>
          <w:tcPr/>
          <w:p>
            <w:pPr>
              <w:pStyle w:val="Compact"/>
              <w:jc w:val="left"/>
            </w:pPr>
            <w:r>
              <w:t xml:space="preserve">Conditions</w:t>
            </w:r>
          </w:p>
        </w:tc>
      </w:tr>
      <w:tr>
        <w:tc>
          <w:tcPr/>
          <w:p>
            <w:pPr>
              <w:pStyle w:val="Compact"/>
              <w:jc w:val="left"/>
            </w:pPr>
            <w:r>
              <w:rPr>
                <w:bCs/>
                <w:b/>
              </w:rPr>
              <w:t xml:space="preserve">Breeding</w:t>
            </w:r>
          </w:p>
        </w:tc>
        <w:tc>
          <w:tcPr/>
          <w:p>
            <w:pPr>
              <w:pStyle w:val="Compact"/>
              <w:jc w:val="left"/>
            </w:pPr>
            <w:r>
              <w:t xml:space="preserve">Rainfall over consecutive weeks keeping surface soil moist ~10–15 days; sandy/sandy-loam soil; green vegetation for hoppers; suitable soil temperature (avoid egg desiccation)</w:t>
            </w:r>
          </w:p>
        </w:tc>
      </w:tr>
      <w:tr>
        <w:tc>
          <w:tcPr/>
          <w:p>
            <w:pPr>
              <w:pStyle w:val="Compact"/>
              <w:jc w:val="left"/>
            </w:pPr>
            <w:r>
              <w:rPr>
                <w:bCs/>
                <w:b/>
              </w:rPr>
              <w:t xml:space="preserve">Egg incubation &amp; hopper development</w:t>
            </w:r>
          </w:p>
        </w:tc>
        <w:tc>
          <w:tcPr/>
          <w:p>
            <w:pPr>
              <w:pStyle w:val="Compact"/>
              <w:jc w:val="left"/>
            </w:pPr>
            <w:r>
              <w:t xml:space="preserve">Rate depends on temperature — % development per day from empirical temperature–development curves (Symmons et al., 1973); thermal sums indicate completion</w:t>
            </w:r>
          </w:p>
        </w:tc>
      </w:tr>
      <w:tr>
        <w:tc>
          <w:tcPr/>
          <w:p>
            <w:pPr>
              <w:pStyle w:val="Compact"/>
              <w:jc w:val="left"/>
            </w:pPr>
            <w:r>
              <w:rPr>
                <w:bCs/>
                <w:b/>
              </w:rPr>
              <w:t xml:space="preserve">Flight / migration</w:t>
            </w:r>
          </w:p>
        </w:tc>
        <w:tc>
          <w:tcPr/>
          <w:p>
            <w:pPr>
              <w:pStyle w:val="Compact"/>
              <w:jc w:val="left"/>
            </w:pPr>
            <w:r>
              <w:t xml:space="preserve">Air temperature above ~17 °C (flight muscle activation), optimum ~35 °C, inactivation above ~42 °C; wind speed around ≥ 13 m s⁻¹ for long passive downwind displacement (±10° of wind direction); no flight on cloudy days; humidity for water balance; upper-air convergence</w:t>
            </w:r>
          </w:p>
        </w:tc>
      </w:tr>
    </w:tbl>
    <w:p>
      <w:pPr>
        <w:pStyle w:val="Heading2"/>
      </w:pPr>
      <w:r>
        <w:t xml:space="preserve">43.6 Remote Sensing and GIS Inputs</w:t>
      </w:r>
    </w:p>
    <w:p>
      <w:pPr>
        <w:pStyle w:val="Compact"/>
        <w:numPr>
          <w:ilvl w:val="0"/>
          <w:numId w:val="1323"/>
        </w:numPr>
      </w:pPr>
      <w:r>
        <w:rPr>
          <w:bCs/>
          <w:b/>
        </w:rPr>
        <w:t xml:space="preserve">Green vegetation</w:t>
      </w:r>
      <w:r>
        <w:t xml:space="preserve"> </w:t>
      </w:r>
      <w:r>
        <w:t xml:space="preserve">(NDVI time series from MODIS, SPOT-VEGETATION, AVHRR, Sentinel) — habitat greening after rain.</w:t>
      </w:r>
    </w:p>
    <w:p>
      <w:pPr>
        <w:pStyle w:val="Compact"/>
        <w:numPr>
          <w:ilvl w:val="0"/>
          <w:numId w:val="1323"/>
        </w:numPr>
      </w:pPr>
      <w:r>
        <w:rPr>
          <w:bCs/>
          <w:b/>
        </w:rPr>
        <w:t xml:space="preserve">Rainfall</w:t>
      </w:r>
      <w:r>
        <w:t xml:space="preserve"> </w:t>
      </w:r>
      <w:r>
        <w:t xml:space="preserve">(cold-cloud duration from Meteosat/INSAT; TRMM/GPM).</w:t>
      </w:r>
    </w:p>
    <w:p>
      <w:pPr>
        <w:pStyle w:val="Compact"/>
        <w:numPr>
          <w:ilvl w:val="0"/>
          <w:numId w:val="1323"/>
        </w:numPr>
      </w:pPr>
      <w:r>
        <w:rPr>
          <w:bCs/>
          <w:b/>
        </w:rPr>
        <w:t xml:space="preserve">Soil moisture</w:t>
      </w:r>
      <w:r>
        <w:t xml:space="preserve"> </w:t>
      </w:r>
      <w:r>
        <w:t xml:space="preserve">(SAR — e.g., Radarsat; passive microwave; SMAP).</w:t>
      </w:r>
    </w:p>
    <w:p>
      <w:pPr>
        <w:pStyle w:val="Compact"/>
        <w:numPr>
          <w:ilvl w:val="0"/>
          <w:numId w:val="1323"/>
        </w:numPr>
      </w:pPr>
      <w:r>
        <w:rPr>
          <w:bCs/>
          <w:b/>
        </w:rPr>
        <w:t xml:space="preserve">Soil texture and landform</w:t>
      </w:r>
      <w:r>
        <w:t xml:space="preserve"> </w:t>
      </w:r>
      <w:r>
        <w:t xml:space="preserve">(sandy plains, wadis),</w:t>
      </w:r>
      <w:r>
        <w:t xml:space="preserve"> </w:t>
      </w:r>
      <w:r>
        <w:rPr>
          <w:bCs/>
          <w:b/>
        </w:rPr>
        <w:t xml:space="preserve">land use/land cover</w:t>
      </w:r>
      <w:r>
        <w:t xml:space="preserve"> </w:t>
      </w:r>
      <w:r>
        <w:t xml:space="preserve">and vegetation density.</w:t>
      </w:r>
    </w:p>
    <w:p>
      <w:pPr>
        <w:pStyle w:val="Compact"/>
        <w:numPr>
          <w:ilvl w:val="0"/>
          <w:numId w:val="1323"/>
        </w:numPr>
      </w:pPr>
      <w:r>
        <w:rPr>
          <w:bCs/>
          <w:b/>
        </w:rPr>
        <w:t xml:space="preserve">Weather</w:t>
      </w:r>
      <w:r>
        <w:t xml:space="preserve"> </w:t>
      </w:r>
      <w:r>
        <w:t xml:space="preserve">(temperature, wind, humidity) from stations/internet servers.</w:t>
      </w:r>
    </w:p>
    <w:p>
      <w:pPr>
        <w:pStyle w:val="Compact"/>
        <w:numPr>
          <w:ilvl w:val="0"/>
          <w:numId w:val="1323"/>
        </w:numPr>
      </w:pPr>
      <w:r>
        <w:t xml:space="preserve">FAO’s Desert Locust Information Service (DLIS) uses such data in</w:t>
      </w:r>
      <w:r>
        <w:t xml:space="preserve"> </w:t>
      </w:r>
      <w:r>
        <w:rPr>
          <w:bCs/>
          <w:b/>
        </w:rPr>
        <w:t xml:space="preserve">SWARMS</w:t>
      </w:r>
      <w:r>
        <w:t xml:space="preserve"> </w:t>
      </w:r>
      <w:r>
        <w:t xml:space="preserve">and the</w:t>
      </w:r>
      <w:r>
        <w:t xml:space="preserve"> </w:t>
      </w:r>
      <w:r>
        <w:rPr>
          <w:bCs/>
          <w:b/>
        </w:rPr>
        <w:t xml:space="preserve">eLocust</w:t>
      </w:r>
      <w:r>
        <w:t xml:space="preserve"> </w:t>
      </w:r>
      <w:r>
        <w:t xml:space="preserve">field system (GPS-tagged survey reports via satellite).</w:t>
      </w:r>
    </w:p>
    <w:p>
      <w:pPr>
        <w:pStyle w:val="Heading2"/>
      </w:pPr>
      <w:r>
        <w:t xml:space="preserve">43.7 A GIS Decision Support System — the Geo-LIMIS Example</w:t>
      </w:r>
    </w:p>
    <w:p>
      <w:pPr>
        <w:pStyle w:val="FirstParagraph"/>
      </w:pPr>
      <w:r>
        <w:t xml:space="preserve">The</w:t>
      </w:r>
      <w:r>
        <w:t xml:space="preserve"> </w:t>
      </w:r>
      <w:r>
        <w:rPr>
          <w:bCs/>
          <w:b/>
        </w:rPr>
        <w:t xml:space="preserve">Geographically encoded Locust Impact Minimisation Information System (Geo-LIMIS)</w:t>
      </w:r>
      <w:r>
        <w:t xml:space="preserve">, developed by ISRO’s Regional Remote Sensing Service Centre (Jodhpur) on ARC/INFO with ergonomic menus for Kazakhstan, illustrates a complete locust DSS:</w:t>
      </w:r>
    </w:p>
    <w:p>
      <w:pPr>
        <w:pStyle w:val="Compact"/>
        <w:numPr>
          <w:ilvl w:val="0"/>
          <w:numId w:val="1324"/>
        </w:numPr>
      </w:pPr>
      <w:r>
        <w:rPr>
          <w:bCs/>
          <w:b/>
        </w:rPr>
        <w:t xml:space="preserve">Spatial database dictionary</w:t>
      </w:r>
      <w:r>
        <w:t xml:space="preserve"> </w:t>
      </w:r>
      <w:r>
        <w:t xml:space="preserve">— registry of all layers and attributes.</w:t>
      </w:r>
    </w:p>
    <w:p>
      <w:pPr>
        <w:pStyle w:val="Compact"/>
        <w:numPr>
          <w:ilvl w:val="0"/>
          <w:numId w:val="1324"/>
        </w:numPr>
      </w:pPr>
      <w:r>
        <w:rPr>
          <w:bCs/>
          <w:b/>
        </w:rPr>
        <w:t xml:space="preserve">Database validation</w:t>
      </w:r>
      <w:r>
        <w:t xml:space="preserve"> </w:t>
      </w:r>
      <w:r>
        <w:t xml:space="preserve">— checks layer names, types, attribute tables, link codes, projections against design standards.</w:t>
      </w:r>
    </w:p>
    <w:p>
      <w:pPr>
        <w:pStyle w:val="Compact"/>
        <w:numPr>
          <w:ilvl w:val="0"/>
          <w:numId w:val="1324"/>
        </w:numPr>
      </w:pPr>
      <w:r>
        <w:rPr>
          <w:bCs/>
          <w:b/>
        </w:rPr>
        <w:t xml:space="preserve">Database integration</w:t>
      </w:r>
      <w:r>
        <w:t xml:space="preserve"> </w:t>
      </w:r>
      <w:r>
        <w:t xml:space="preserve">— pre-processes validated layers (virtual masking grids, projection files, Thiessen polygons for weather stations).</w:t>
      </w:r>
    </w:p>
    <w:p>
      <w:pPr>
        <w:pStyle w:val="Compact"/>
        <w:numPr>
          <w:ilvl w:val="0"/>
          <w:numId w:val="1324"/>
        </w:numPr>
      </w:pPr>
      <w:r>
        <w:rPr>
          <w:bCs/>
          <w:b/>
        </w:rPr>
        <w:t xml:space="preserve">Locust information input</w:t>
      </w:r>
      <w:r>
        <w:t xml:space="preserve"> </w:t>
      </w:r>
      <w:r>
        <w:t xml:space="preserve">— field sightings (swarm type, species, egg/hopper/adult density) converted to geo-referenced points with attributes (keyboard, graphical or GPS).</w:t>
      </w:r>
    </w:p>
    <w:p>
      <w:pPr>
        <w:pStyle w:val="Compact"/>
        <w:numPr>
          <w:ilvl w:val="0"/>
          <w:numId w:val="1324"/>
        </w:numPr>
      </w:pPr>
      <w:r>
        <w:rPr>
          <w:bCs/>
          <w:b/>
        </w:rPr>
        <w:t xml:space="preserve">Query shell</w:t>
      </w:r>
      <w:r>
        <w:t xml:space="preserve"> </w:t>
      </w:r>
      <w:r>
        <w:t xml:space="preserve">— display, overlay, identify, visual query; generation of integrated layers:</w:t>
      </w:r>
      <w:r>
        <w:t xml:space="preserve"> </w:t>
      </w:r>
      <w:r>
        <w:rPr>
          <w:bCs/>
          <w:b/>
        </w:rPr>
        <w:t xml:space="preserve">SOLSCAPE</w:t>
      </w:r>
      <w:r>
        <w:t xml:space="preserve"> </w:t>
      </w:r>
      <w:r>
        <w:t xml:space="preserve">(soil texture + landform + broad land use — quasi-static, updated every few years) and</w:t>
      </w:r>
      <w:r>
        <w:t xml:space="preserve"> </w:t>
      </w:r>
      <w:r>
        <w:rPr>
          <w:bCs/>
          <w:b/>
        </w:rPr>
        <w:t xml:space="preserve">SOMVI</w:t>
      </w:r>
      <w:r>
        <w:t xml:space="preserve"> </w:t>
      </w:r>
      <w:r>
        <w:t xml:space="preserve">(soil moisture + vegetation density — dynamic, 7–10-day updates from coarse-resolution data) → composite layer; buffer analysis around critical sightings to learn preferred habitat conditions (knowledge gain / cohort distribution) →</w:t>
      </w:r>
      <w:r>
        <w:t xml:space="preserve"> </w:t>
      </w:r>
      <w:r>
        <w:rPr>
          <w:bCs/>
          <w:b/>
        </w:rPr>
        <w:t xml:space="preserve">habitat suitability map</w:t>
      </w:r>
      <w:r>
        <w:t xml:space="preserve"> </w:t>
      </w:r>
      <w:r>
        <w:t xml:space="preserve">(most favourable, favourable, medium, unfavourable).</w:t>
      </w:r>
    </w:p>
    <w:p>
      <w:pPr>
        <w:pStyle w:val="Compact"/>
        <w:numPr>
          <w:ilvl w:val="0"/>
          <w:numId w:val="1324"/>
        </w:numPr>
      </w:pPr>
      <w:r>
        <w:rPr>
          <w:bCs/>
          <w:b/>
        </w:rPr>
        <w:t xml:space="preserve">Life-cycle builder</w:t>
      </w:r>
      <w:r>
        <w:t xml:space="preserve"> </w:t>
      </w:r>
      <w:r>
        <w:t xml:space="preserve">— daily internet weather → (a)</w:t>
      </w:r>
      <w:r>
        <w:t xml:space="preserve"> </w:t>
      </w:r>
      <w:r>
        <w:rPr>
          <w:bCs/>
          <w:b/>
        </w:rPr>
        <w:t xml:space="preserve">breeding suitability</w:t>
      </w:r>
      <w:r>
        <w:t xml:space="preserve"> </w:t>
      </w:r>
      <w:r>
        <w:t xml:space="preserve">(rainfall type, number and spacing of rain events in past 3 weeks), (b)</w:t>
      </w:r>
      <w:r>
        <w:t xml:space="preserve"> </w:t>
      </w:r>
      <w:r>
        <w:rPr>
          <w:bCs/>
          <w:b/>
        </w:rPr>
        <w:t xml:space="preserve">flight/migration suitability</w:t>
      </w:r>
      <w:r>
        <w:t xml:space="preserve"> </w:t>
      </w:r>
      <w:r>
        <w:t xml:space="preserve">(temperature, saturation deficit, wind, cloud thresholds), (c)</w:t>
      </w:r>
      <w:r>
        <w:t xml:space="preserve"> </w:t>
      </w:r>
      <w:r>
        <w:rPr>
          <w:bCs/>
          <w:b/>
        </w:rPr>
        <w:t xml:space="preserve">% egg incubation</w:t>
      </w:r>
      <w:r>
        <w:t xml:space="preserve"> </w:t>
      </w:r>
      <w:r>
        <w:t xml:space="preserve">and (d)</w:t>
      </w:r>
      <w:r>
        <w:t xml:space="preserve"> </w:t>
      </w:r>
      <w:r>
        <w:rPr>
          <w:bCs/>
          <w:b/>
        </w:rPr>
        <w:t xml:space="preserve">% hopper development</w:t>
      </w:r>
      <w:r>
        <w:t xml:space="preserve"> </w:t>
      </w:r>
      <w:r>
        <w:t xml:space="preserve">from temperature-development curves, to time surveys and control.</w:t>
      </w:r>
    </w:p>
    <w:p>
      <w:pPr>
        <w:pStyle w:val="CaptionedFigure"/>
      </w:pPr>
      <w:r>
        <w:drawing>
          <wp:inline>
            <wp:extent cx="5334000" cy="2867024"/>
            <wp:effectExtent b="0" l="0" r="0" t="0"/>
            <wp:docPr descr="RS–GIS desert locust monitoring and forecasting" title="" id="144" name="Picture"/>
            <a:graphic>
              <a:graphicData uri="http://schemas.openxmlformats.org/drawingml/2006/picture">
                <pic:pic>
                  <pic:nvPicPr>
                    <pic:cNvPr descr="/tmp/claude-0/-home-user-sonu/ab07c29a-21cd-5a4a-9d2d-68ad72d07153/scratchpad/build/../flows/flow_030.png" id="145" name="Picture"/>
                    <pic:cNvPicPr>
                      <a:picLocks noChangeArrowheads="1" noChangeAspect="1"/>
                    </pic:cNvPicPr>
                  </pic:nvPicPr>
                  <pic:blipFill>
                    <a:blip r:embed="rId143"/>
                    <a:stretch>
                      <a:fillRect/>
                    </a:stretch>
                  </pic:blipFill>
                  <pic:spPr bwMode="auto">
                    <a:xfrm>
                      <a:off x="0" y="0"/>
                      <a:ext cx="5334000" cy="2867024"/>
                    </a:xfrm>
                    <a:prstGeom prst="rect">
                      <a:avLst/>
                    </a:prstGeom>
                    <a:noFill/>
                    <a:ln w="9525">
                      <a:noFill/>
                      <a:headEnd/>
                      <a:tailEnd/>
                    </a:ln>
                  </pic:spPr>
                </pic:pic>
              </a:graphicData>
            </a:graphic>
          </wp:inline>
        </w:drawing>
      </w:r>
    </w:p>
    <w:p>
      <w:pPr>
        <w:pStyle w:val="ImageCaption"/>
      </w:pPr>
      <w:r>
        <w:t xml:space="preserve">RS–GIS desert locust monitoring and forecasting</w:t>
      </w:r>
    </w:p>
    <w:p>
      <w:pPr>
        <w:pStyle w:val="BodyText"/>
      </w:pPr>
      <w:r>
        <w:rPr>
          <w:bCs/>
          <w:b/>
        </w:rPr>
        <w:t xml:space="preserve">Future improvements:</w:t>
      </w:r>
      <w:r>
        <w:t xml:space="preserve"> </w:t>
      </w:r>
      <w:r>
        <w:t xml:space="preserve">mobile GIS and GPS-equipped palmtops sending survey data by radio/satellite to headquarters in near real time; coupling with species-specific population models (e.g., DYMEX), climate-matching functions for risk-zone assessment, and generalisation of the system to other migratory pests.</w:t>
      </w:r>
    </w:p>
    <w:p>
      <w:pPr>
        <w:pStyle w:val="Heading3"/>
      </w:pPr>
      <w:r>
        <w:t xml:space="preserve">43.7.1 Likely interview questions</w:t>
      </w:r>
    </w:p>
    <w:p>
      <w:pPr>
        <w:pStyle w:val="FirstParagraph"/>
      </w:pPr>
      <w:r>
        <w:rPr>
          <w:bCs/>
          <w:b/>
        </w:rPr>
        <w:t xml:space="preserve">Q. Why is remote sensing essential for locust forecasting?</w:t>
      </w:r>
      <w:r>
        <w:t xml:space="preserve"> </w:t>
      </w:r>
      <w:r>
        <w:t xml:space="preserve">Breeding habitats are vast, remote and ephemeral; satellites detect greening and soil moisture after rain over the whole recession area.</w:t>
      </w:r>
    </w:p>
    <w:p>
      <w:pPr>
        <w:pStyle w:val="BodyText"/>
      </w:pPr>
      <w:r>
        <w:rPr>
          <w:bCs/>
          <w:b/>
        </w:rPr>
        <w:t xml:space="preserve">Q. What conditions trigger desert locust breeding and flight?</w:t>
      </w:r>
      <w:r>
        <w:t xml:space="preserve"> </w:t>
      </w:r>
      <w:r>
        <w:t xml:space="preserve">Moist sandy soil for 10–15 days plus green vegetation for breeding; temperatures roughly 17–42 °C (optimum ~35 °C), adequate wind and clear skies for flight.</w:t>
      </w:r>
    </w:p>
    <w:p>
      <w:pPr>
        <w:pStyle w:val="BodyText"/>
      </w:pPr>
      <w:r>
        <w:rPr>
          <w:bCs/>
          <w:b/>
        </w:rPr>
        <w:t xml:space="preserve">Q. What were SOLSCAPE and SOMVI in Geo-LIMIS?</w:t>
      </w:r>
      <w:r>
        <w:t xml:space="preserve"> </w:t>
      </w:r>
      <w:r>
        <w:t xml:space="preserve">Static integrated layer (soil, landform, land use) and dynamic layer (soil moisture, vegetation) combined for habitat suitability.</w:t>
      </w:r>
    </w:p>
    <w:p>
      <w:pPr>
        <w:pStyle w:val="Heading1"/>
      </w:pPr>
      <w:r>
        <w:t xml:space="preserve">Chapter 44. Precision Agriculture</w:t>
      </w:r>
    </w:p>
    <w:p>
      <w:pPr>
        <w:pStyle w:val="Heading2"/>
      </w:pPr>
      <w:r>
        <w:t xml:space="preserve">44.1 Introduction and Concept of Precision Agriculture</w:t>
      </w:r>
    </w:p>
    <w:p>
      <w:pPr>
        <w:pStyle w:val="FirstParagraph"/>
      </w:pPr>
      <w:r>
        <w:t xml:space="preserve">Precision Agriculture (PA), also called site-specific crop management (SSCM), is the application of geospatial technologies, sensors, and information systems to manage spatial and temporal variability in soil, crop, and environmental conditions within a field, so that inputs (water, fertilizer, pesticide, seed) and management actions are matched to the actual, localized needs of the crop rather than applied uniformly across a field. The International Society of Precision Agriculture (ISPA) defines PA as</w:t>
      </w:r>
      <w:r>
        <w:t xml:space="preserve"> </w:t>
      </w:r>
      <w:r>
        <w:t xml:space="preserve">“</w:t>
      </w:r>
      <w:r>
        <w:t xml:space="preserve">a management strategy that gathers, processes and analyzes temporal, spatial and individual data and combines it with other information to support management decisions according to estimated variability for improved resource use efficiency, productivity, quality, profitability and sustainability of agricultural production.</w:t>
      </w:r>
      <w:r>
        <w:t xml:space="preserve">”</w:t>
      </w:r>
    </w:p>
    <w:p>
      <w:pPr>
        <w:pStyle w:val="BodyText"/>
      </w:pPr>
      <w:r>
        <w:t xml:space="preserve">The conceptual shift PA represents is from</w:t>
      </w:r>
      <w:r>
        <w:t xml:space="preserve"> </w:t>
      </w:r>
      <w:r>
        <w:rPr>
          <w:bCs/>
          <w:b/>
        </w:rPr>
        <w:t xml:space="preserve">field-average management</w:t>
      </w:r>
      <w:r>
        <w:t xml:space="preserve"> </w:t>
      </w:r>
      <w:r>
        <w:t xml:space="preserve">(treating a field as a single homogeneous unit) to</w:t>
      </w:r>
      <w:r>
        <w:t xml:space="preserve"> </w:t>
      </w:r>
      <w:r>
        <w:rPr>
          <w:bCs/>
          <w:b/>
        </w:rPr>
        <w:t xml:space="preserve">management-zone or pixel/plant-level management</w:t>
      </w:r>
      <w:r>
        <w:t xml:space="preserve">, recognizing that soil fertility, topography, moisture-holding capacity, pest pressure, and microclimate vary continuously within a field — sometimes over distances of a few metres. Remote sensing (satellite, UAV, and proximal/in-situ sensing) is the primary means of characterizing this within-field variability at a resolution and frequency that farm-level decision-making requires.</w:t>
      </w:r>
    </w:p>
    <w:p>
      <w:pPr>
        <w:pStyle w:val="Heading3"/>
      </w:pPr>
      <w:r>
        <w:t xml:space="preserve">44.1.1 Components of a Precision Agriculture System</w:t>
      </w:r>
    </w:p>
    <w:p>
      <w:pPr>
        <w:pStyle w:val="FirstParagraph"/>
      </w:pPr>
      <w:r>
        <w:t xml:space="preserve">A complete PA system is generally described as a closed loop with four interlocking components:</w:t>
      </w:r>
    </w:p>
    <w:p>
      <w:pPr>
        <w:numPr>
          <w:ilvl w:val="0"/>
          <w:numId w:val="1325"/>
        </w:numPr>
      </w:pPr>
      <w:r>
        <w:rPr>
          <w:bCs/>
          <w:b/>
        </w:rPr>
        <w:t xml:space="preserve">Sensing / data acquisition</w:t>
      </w:r>
      <w:r>
        <w:t xml:space="preserve"> </w:t>
      </w:r>
      <w:r>
        <w:t xml:space="preserve">— satellite, UAV, proximal (ground-based) and in-situ (IoT) sensors that measure crop reflectance, canopy temperature, soil moisture/EC, weather variables, and yield.</w:t>
      </w:r>
    </w:p>
    <w:p>
      <w:pPr>
        <w:numPr>
          <w:ilvl w:val="0"/>
          <w:numId w:val="1325"/>
        </w:numPr>
      </w:pPr>
      <w:r>
        <w:rPr>
          <w:bCs/>
          <w:b/>
        </w:rPr>
        <w:t xml:space="preserve">Data processing and geo-referencing</w:t>
      </w:r>
      <w:r>
        <w:t xml:space="preserve"> </w:t>
      </w:r>
      <w:r>
        <w:t xml:space="preserve">— GIS integration, atmospheric/radiometric correction, index computation, and creation of spatially explicit layers.</w:t>
      </w:r>
    </w:p>
    <w:p>
      <w:pPr>
        <w:numPr>
          <w:ilvl w:val="0"/>
          <w:numId w:val="1325"/>
        </w:numPr>
      </w:pPr>
      <w:r>
        <w:rPr>
          <w:bCs/>
          <w:b/>
        </w:rPr>
        <w:t xml:space="preserve">Decision support (analysis and interpretation)</w:t>
      </w:r>
      <w:r>
        <w:t xml:space="preserve"> </w:t>
      </w:r>
      <w:r>
        <w:t xml:space="preserve">— thresholding, classification, crop growth/yield models, machine-learning based stress classifiers, and expert-system rules that convert raw sensor signals into actionable maps (e.g., management zones, stress maps, nitrogen prescription maps).</w:t>
      </w:r>
    </w:p>
    <w:p>
      <w:pPr>
        <w:numPr>
          <w:ilvl w:val="0"/>
          <w:numId w:val="1325"/>
        </w:numPr>
      </w:pPr>
      <w:r>
        <w:rPr>
          <w:bCs/>
          <w:b/>
        </w:rPr>
        <w:t xml:space="preserve">Variable-rate application (VRA/VRT) and feedback</w:t>
      </w:r>
      <w:r>
        <w:t xml:space="preserve"> </w:t>
      </w:r>
      <w:r>
        <w:t xml:space="preserve">— actuation via VRT-enabled machinery (sprayers, spreaders, drip/irrigation controllers) guided by prescription maps, followed by yield monitoring that feeds back into the next season’s sensing and zoning.</w:t>
      </w:r>
    </w:p>
    <w:p>
      <w:pPr>
        <w:pStyle w:val="Heading3"/>
      </w:pPr>
      <w:r>
        <w:t xml:space="preserve">44.1.2 The PA Management Cycle</w:t>
      </w:r>
    </w:p>
    <w:p>
      <w:pPr>
        <w:pStyle w:val="FirstParagraph"/>
      </w:pPr>
      <w:r>
        <w:t xml:space="preserve">The PA cycle is iterative and typically follows:</w:t>
      </w:r>
      <w:r>
        <w:t xml:space="preserve"> </w:t>
      </w:r>
      <w:r>
        <w:rPr>
          <w:bCs/>
          <w:b/>
        </w:rPr>
        <w:t xml:space="preserve">(a)</w:t>
      </w:r>
      <w:r>
        <w:t xml:space="preserve"> </w:t>
      </w:r>
      <w:r>
        <w:t xml:space="preserve">field characterization (soil sampling, terrain, historical yield maps) →</w:t>
      </w:r>
      <w:r>
        <w:t xml:space="preserve"> </w:t>
      </w:r>
      <w:r>
        <w:rPr>
          <w:bCs/>
          <w:b/>
        </w:rPr>
        <w:t xml:space="preserve">(b)</w:t>
      </w:r>
      <w:r>
        <w:t xml:space="preserve"> </w:t>
      </w:r>
      <w:r>
        <w:t xml:space="preserve">in-season crop/soil monitoring using remote and proximal sensors →</w:t>
      </w:r>
      <w:r>
        <w:t xml:space="preserve"> </w:t>
      </w:r>
      <w:r>
        <w:rPr>
          <w:bCs/>
          <w:b/>
        </w:rPr>
        <w:t xml:space="preserve">(c)</w:t>
      </w:r>
      <w:r>
        <w:t xml:space="preserve"> </w:t>
      </w:r>
      <w:r>
        <w:t xml:space="preserve">stress/variability detection and diagnosis (is the anomaly abiotic — water, nutrient, salinity — or biotic — pest, disease, weed?) →</w:t>
      </w:r>
      <w:r>
        <w:t xml:space="preserve"> </w:t>
      </w:r>
      <w:r>
        <w:rPr>
          <w:bCs/>
          <w:b/>
        </w:rPr>
        <w:t xml:space="preserve">(d)</w:t>
      </w:r>
      <w:r>
        <w:t xml:space="preserve"> </w:t>
      </w:r>
      <w:r>
        <w:t xml:space="preserve">generation of management-zone or prescription maps →</w:t>
      </w:r>
      <w:r>
        <w:t xml:space="preserve"> </w:t>
      </w:r>
      <w:r>
        <w:rPr>
          <w:bCs/>
          <w:b/>
        </w:rPr>
        <w:t xml:space="preserve">(e)</w:t>
      </w:r>
      <w:r>
        <w:t xml:space="preserve"> </w:t>
      </w:r>
      <w:r>
        <w:t xml:space="preserve">variable-rate intervention (irrigation, fertigation, targeted spray) →</w:t>
      </w:r>
      <w:r>
        <w:t xml:space="preserve"> </w:t>
      </w:r>
      <w:r>
        <w:rPr>
          <w:bCs/>
          <w:b/>
        </w:rPr>
        <w:t xml:space="preserve">(f)</w:t>
      </w:r>
      <w:r>
        <w:t xml:space="preserve"> </w:t>
      </w:r>
      <w:r>
        <w:t xml:space="preserve">post-treatment monitoring and yield mapping →</w:t>
      </w:r>
      <w:r>
        <w:t xml:space="preserve"> </w:t>
      </w:r>
      <w:r>
        <w:rPr>
          <w:bCs/>
          <w:b/>
        </w:rPr>
        <w:t xml:space="preserve">(g)</w:t>
      </w:r>
      <w:r>
        <w:t xml:space="preserve"> </w:t>
      </w:r>
      <w:r>
        <w:t xml:space="preserve">archiving of multi-year data to refine zones and models for the next cycle.</w:t>
      </w:r>
    </w:p>
    <w:p>
      <w:pPr>
        <w:pStyle w:val="BodyText"/>
      </w:pPr>
      <w:r>
        <w:drawing>
          <wp:inline>
            <wp:extent cx="5334000" cy="4158662"/>
            <wp:effectExtent b="0" l="0" r="0" t="0"/>
            <wp:docPr descr="" title="" id="147" name="Picture"/>
            <a:graphic>
              <a:graphicData uri="http://schemas.openxmlformats.org/drawingml/2006/picture">
                <pic:pic>
                  <pic:nvPicPr>
                    <pic:cNvPr descr="up/media/media/image13.png" id="148" name="Picture"/>
                    <pic:cNvPicPr>
                      <a:picLocks noChangeArrowheads="1" noChangeAspect="1"/>
                    </pic:cNvPicPr>
                  </pic:nvPicPr>
                  <pic:blipFill>
                    <a:blip r:embed="rId146"/>
                    <a:stretch>
                      <a:fillRect/>
                    </a:stretch>
                  </pic:blipFill>
                  <pic:spPr bwMode="auto">
                    <a:xfrm>
                      <a:off x="0" y="0"/>
                      <a:ext cx="5334000" cy="4158662"/>
                    </a:xfrm>
                    <a:prstGeom prst="rect">
                      <a:avLst/>
                    </a:prstGeom>
                    <a:noFill/>
                    <a:ln w="9525">
                      <a:noFill/>
                      <a:headEnd/>
                      <a:tailEnd/>
                    </a:ln>
                  </pic:spPr>
                </pic:pic>
              </a:graphicData>
            </a:graphic>
          </wp:inline>
        </w:drawing>
      </w:r>
    </w:p>
    <w:p>
      <w:pPr>
        <w:pStyle w:val="BodyText"/>
      </w:pPr>
      <w:r>
        <w:rPr>
          <w:bCs/>
          <w:b/>
        </w:rPr>
        <w:t xml:space="preserve">Figure: The Precision Agriculture Management Cycle — from field characterization through variable-rate action and multi-year data archiving.</w:t>
      </w:r>
    </w:p>
    <w:p>
      <w:pPr>
        <w:pStyle w:val="BodyText"/>
      </w:pPr>
      <w:r>
        <w:t xml:space="preserve">A key operational distinction for an interview candidate to articulate is between</w:t>
      </w:r>
      <w:r>
        <w:t xml:space="preserve"> </w:t>
      </w:r>
      <w:r>
        <w:rPr>
          <w:bCs/>
          <w:b/>
        </w:rPr>
        <w:t xml:space="preserve">stress detection</w:t>
      </w:r>
      <w:r>
        <w:t xml:space="preserve"> </w:t>
      </w:r>
      <w:r>
        <w:t xml:space="preserve">(identifying that something abnormal is occurring),</w:t>
      </w:r>
      <w:r>
        <w:t xml:space="preserve"> </w:t>
      </w:r>
      <w:r>
        <w:rPr>
          <w:bCs/>
          <w:b/>
        </w:rPr>
        <w:t xml:space="preserve">stress diagnosis</w:t>
      </w:r>
      <w:r>
        <w:t xml:space="preserve"> </w:t>
      </w:r>
      <w:r>
        <w:t xml:space="preserve">(attributing the anomaly to a specific abiotic or biotic cause), and</w:t>
      </w:r>
      <w:r>
        <w:t xml:space="preserve"> </w:t>
      </w:r>
      <w:r>
        <w:rPr>
          <w:bCs/>
          <w:b/>
        </w:rPr>
        <w:t xml:space="preserve">stress quantification</w:t>
      </w:r>
      <w:r>
        <w:t xml:space="preserve"> </w:t>
      </w:r>
      <w:r>
        <w:t xml:space="preserve">(estimating severity/duration for yield-loss forecasting or insurance purposes) — remote sensing indices are strong at the first task, increasingly capable at the second (especially with hyperspectral and multi-sensor fusion), and require calibration/validation with ground truth for the third.</w:t>
      </w:r>
    </w:p>
    <w:p>
      <w:pPr>
        <w:pStyle w:val="Heading2"/>
      </w:pPr>
      <w:r>
        <w:t xml:space="preserve">44.2 Abiotic Stress Monitoring via Remote Sensing</w:t>
      </w:r>
    </w:p>
    <w:p>
      <w:pPr>
        <w:pStyle w:val="FirstParagraph"/>
      </w:pPr>
      <w:r>
        <w:t xml:space="preserve">Abiotic stresses — drought, waterlogging/flooding, salinity, nutrient deficiency, and temperature extremes — are the dominant causes of yield variability globally and are well suited to remote sensing because they manifest as changes in canopy reflectance (chlorophyll degradation, leaf area reduction, cell-wall damage), canopy temperature (stomatal closure), or radar backscatter (surface water, soil moisture, canopy structure change).</w:t>
      </w:r>
    </w:p>
    <w:p>
      <w:pPr>
        <w:pStyle w:val="Heading3"/>
      </w:pPr>
      <w:r>
        <w:t xml:space="preserve">44.2.1 Drought Monitoring</w:t>
      </w:r>
    </w:p>
    <w:p>
      <w:pPr>
        <w:pStyle w:val="FirstParagraph"/>
      </w:pPr>
      <w:r>
        <w:t xml:space="preserve">Drought is unique among stresses in requiring a distinction between the</w:t>
      </w:r>
      <w:r>
        <w:t xml:space="preserve"> </w:t>
      </w:r>
      <w:r>
        <w:rPr>
          <w:bCs/>
          <w:b/>
        </w:rPr>
        <w:t xml:space="preserve">meteorological</w:t>
      </w:r>
      <w:r>
        <w:t xml:space="preserve">,</w:t>
      </w:r>
      <w:r>
        <w:t xml:space="preserve"> </w:t>
      </w:r>
      <w:r>
        <w:rPr>
          <w:bCs/>
          <w:b/>
        </w:rPr>
        <w:t xml:space="preserve">agricultural</w:t>
      </w:r>
      <w:r>
        <w:t xml:space="preserve">,</w:t>
      </w:r>
      <w:r>
        <w:t xml:space="preserve"> </w:t>
      </w:r>
      <w:r>
        <w:rPr>
          <w:bCs/>
          <w:b/>
        </w:rPr>
        <w:t xml:space="preserve">hydrological</w:t>
      </w:r>
      <w:r>
        <w:t xml:space="preserve">, and</w:t>
      </w:r>
      <w:r>
        <w:t xml:space="preserve"> </w:t>
      </w:r>
      <w:r>
        <w:rPr>
          <w:bCs/>
          <w:b/>
        </w:rPr>
        <w:t xml:space="preserve">socio-economic</w:t>
      </w:r>
      <w:r>
        <w:t xml:space="preserve"> </w:t>
      </w:r>
      <w:r>
        <w:t xml:space="preserve">categories:</w:t>
      </w:r>
    </w:p>
    <w:p>
      <w:pPr>
        <w:pStyle w:val="Compact"/>
        <w:numPr>
          <w:ilvl w:val="0"/>
          <w:numId w:val="1326"/>
        </w:numPr>
      </w:pPr>
      <w:r>
        <w:rPr>
          <w:bCs/>
          <w:b/>
        </w:rPr>
        <w:t xml:space="preserve">Meteorological drought</w:t>
      </w:r>
      <w:r>
        <w:t xml:space="preserve"> </w:t>
      </w:r>
      <w:r>
        <w:t xml:space="preserve">is a precipitation deficit relative to a long-term average over a defined period, independent of impacts on crops — commonly quantified by the</w:t>
      </w:r>
      <w:r>
        <w:t xml:space="preserve"> </w:t>
      </w:r>
      <w:r>
        <w:rPr>
          <w:bCs/>
          <w:b/>
        </w:rPr>
        <w:t xml:space="preserve">Standardized Precipitation Index (SPI)</w:t>
      </w:r>
      <w:r>
        <w:t xml:space="preserve">, developed by McKee et al. (1993), which fits precipitation totals at multiple timescales (1, 3, 6, 12 months) to a probability distribution and expresses the deficit as a standardized (z-score-like) value; SPI &lt; -1 typically denotes moderate drought and &lt; -2 extreme drought.</w:t>
      </w:r>
    </w:p>
    <w:p>
      <w:pPr>
        <w:pStyle w:val="Compact"/>
        <w:numPr>
          <w:ilvl w:val="0"/>
          <w:numId w:val="1326"/>
        </w:numPr>
      </w:pPr>
      <w:r>
        <w:rPr>
          <w:bCs/>
          <w:b/>
        </w:rPr>
        <w:t xml:space="preserve">Agricultural drought</w:t>
      </w:r>
      <w:r>
        <w:t xml:space="preserve"> </w:t>
      </w:r>
      <w:r>
        <w:t xml:space="preserve">occurs when soil moisture and crop water availability fall below levels needed to sustain crop growth, and it may lag or lead meteorological drought depending on soil water-holding capacity and crop growth stage. This is the category remote sensing addresses most directly, using vegetation-condition, land-surface-temperature, soil-moisture, and evapotranspiration-based indices.</w:t>
      </w:r>
    </w:p>
    <w:p>
      <w:pPr>
        <w:pStyle w:val="Compact"/>
        <w:numPr>
          <w:ilvl w:val="0"/>
          <w:numId w:val="1326"/>
        </w:numPr>
      </w:pPr>
      <w:r>
        <w:rPr>
          <w:bCs/>
          <w:b/>
        </w:rPr>
        <w:t xml:space="preserve">Hydrological drought</w:t>
      </w:r>
      <w:r>
        <w:t xml:space="preserve"> </w:t>
      </w:r>
      <w:r>
        <w:t xml:space="preserve">relates to deficits in streamflow, reservoir, and groundwater storage (monitored via GRACE-type gravimetry or reservoir remote sensing), and</w:t>
      </w:r>
      <w:r>
        <w:t xml:space="preserve"> </w:t>
      </w:r>
      <w:r>
        <w:rPr>
          <w:bCs/>
          <w:b/>
        </w:rPr>
        <w:t xml:space="preserve">socio-economic drought</w:t>
      </w:r>
      <w:r>
        <w:t xml:space="preserve"> </w:t>
      </w:r>
      <w:r>
        <w:t xml:space="preserve">captures the downstream impact on water-dependent goods and services.</w:t>
      </w:r>
    </w:p>
    <w:p>
      <w:pPr>
        <w:pStyle w:val="FirstParagraph"/>
      </w:pPr>
      <w:r>
        <w:rPr>
          <w:bCs/>
          <w:b/>
        </w:rPr>
        <w:t xml:space="preserve">Key agricultural drought indices:</w:t>
      </w:r>
    </w:p>
    <w:p>
      <w:pPr>
        <w:numPr>
          <w:ilvl w:val="0"/>
          <w:numId w:val="1327"/>
        </w:numPr>
      </w:pPr>
      <w:r>
        <w:rPr>
          <w:bCs/>
          <w:b/>
        </w:rPr>
        <w:t xml:space="preserve">Vegetation Condition Index (VCI)</w:t>
      </w:r>
      <w:r>
        <w:t xml:space="preserve"> </w:t>
      </w:r>
      <w:r>
        <w:t xml:space="preserve">— proposed by Kogan (1995, 1997) using AVHRR NDVI, VCI rescales NDVI for a given pixel and date between the historical (multi-year) minimum and maximum NDVI observed for that pixel:</w:t>
      </w:r>
    </w:p>
    <w:p>
      <w:pPr>
        <w:numPr>
          <w:ilvl w:val="0"/>
          <w:numId w:val="1327"/>
        </w:numPr>
      </w:pPr>
      <w:r>
        <w:t xml:space="preserve">VCI = 100 × (NDVI − NDVI_min) / (NDVI_max − NDVI_min)</w:t>
      </w:r>
    </w:p>
    <w:p>
      <w:pPr>
        <w:numPr>
          <w:ilvl w:val="0"/>
          <w:numId w:val="1327"/>
        </w:numPr>
      </w:pPr>
      <w:r>
        <w:t xml:space="preserve">VCI removes the influence of local ecological/climatic gradients (soil type, land cover) so that anomalies purely reflect deviation from that pixel’s own normal range; VCI &lt; 35–40% is commonly used as a vegetation-stress/drought threshold.</w:t>
      </w:r>
    </w:p>
    <w:p>
      <w:pPr>
        <w:numPr>
          <w:ilvl w:val="0"/>
          <w:numId w:val="1327"/>
        </w:numPr>
      </w:pPr>
      <w:r>
        <w:rPr>
          <w:bCs/>
          <w:b/>
        </w:rPr>
        <w:t xml:space="preserve">Temperature Condition Index (TCI)</w:t>
      </w:r>
      <w:r>
        <w:t xml:space="preserve"> </w:t>
      </w:r>
      <w:r>
        <w:t xml:space="preserve">— the thermal analogue, using land surface temperature (LST, typically from thermal-IR brightness temperature):</w:t>
      </w:r>
    </w:p>
    <w:p>
      <w:pPr>
        <w:numPr>
          <w:ilvl w:val="0"/>
          <w:numId w:val="1327"/>
        </w:numPr>
      </w:pPr>
      <w:r>
        <w:t xml:space="preserve">TCI = 100 × (T_max − T) / (T_max − T_min)</w:t>
      </w:r>
    </w:p>
    <w:p>
      <w:pPr>
        <w:numPr>
          <w:ilvl w:val="0"/>
          <w:numId w:val="1327"/>
        </w:numPr>
      </w:pPr>
      <w:r>
        <w:t xml:space="preserve">TCI captures thermal stress and is particularly useful because rising canopy/land-surface temperature (from stomatal closure and reduced transpirational cooling) often precedes visible greenness loss, giving TCI early-warning value.</w:t>
      </w:r>
    </w:p>
    <w:p>
      <w:pPr>
        <w:numPr>
          <w:ilvl w:val="0"/>
          <w:numId w:val="1327"/>
        </w:numPr>
      </w:pPr>
      <w:r>
        <w:rPr>
          <w:bCs/>
          <w:b/>
        </w:rPr>
        <w:t xml:space="preserve">Vegetation Health Index (VHI)</w:t>
      </w:r>
      <w:r>
        <w:t xml:space="preserve"> </w:t>
      </w:r>
      <w:r>
        <w:t xml:space="preserve">— Kogan’s composite index combining VCI and TCI:</w:t>
      </w:r>
    </w:p>
    <w:p>
      <w:pPr>
        <w:numPr>
          <w:ilvl w:val="0"/>
          <w:numId w:val="1327"/>
        </w:numPr>
      </w:pPr>
      <w:r>
        <w:t xml:space="preserve">VHI = a × VCI + (1 − a) × TCI (a is typically 0.5)</w:t>
      </w:r>
    </w:p>
    <w:p>
      <w:pPr>
        <w:numPr>
          <w:ilvl w:val="0"/>
          <w:numId w:val="1327"/>
        </w:numPr>
      </w:pPr>
      <w:r>
        <w:t xml:space="preserve">VHI is widely used operationally (e.g., NOAA/STAR, FAO’s Agricultural Stress Index System - ASIS) because it jointly captures moisture (via greenness) and heat (via temperature) stress components of agricultural drought.</w:t>
      </w:r>
    </w:p>
    <w:p>
      <w:pPr>
        <w:numPr>
          <w:ilvl w:val="0"/>
          <w:numId w:val="1327"/>
        </w:numPr>
      </w:pPr>
      <w:r>
        <w:rPr>
          <w:bCs/>
          <w:b/>
        </w:rPr>
        <w:t xml:space="preserve">Standardized Precipitation Index (SPI)</w:t>
      </w:r>
      <w:r>
        <w:t xml:space="preserve"> </w:t>
      </w:r>
      <w:r>
        <w:t xml:space="preserve">— as above, the standard WMO-recommended meteorological drought index, often used alongside VHI/VCI to separate meteorological cause from vegetation response.</w:t>
      </w:r>
    </w:p>
    <w:p>
      <w:pPr>
        <w:numPr>
          <w:ilvl w:val="0"/>
          <w:numId w:val="1327"/>
        </w:numPr>
      </w:pPr>
      <w:r>
        <w:rPr>
          <w:bCs/>
          <w:b/>
        </w:rPr>
        <w:t xml:space="preserve">Soil Moisture Deficit / Soil Moisture Anomaly</w:t>
      </w:r>
      <w:r>
        <w:t xml:space="preserve"> </w:t>
      </w:r>
      <w:r>
        <w:t xml:space="preserve">— derived from microwave remote sensing (passive: SMOS, SMAP, AMSR2; active: Sentinel-1 SAR-based soil moisture retrieval) or from land-surface/water-balance models assimilating rainfall and PET; expressed as percentile departure from climatological soil moisture, directly relevant to root-zone water availability.</w:t>
      </w:r>
    </w:p>
    <w:p>
      <w:pPr>
        <w:numPr>
          <w:ilvl w:val="0"/>
          <w:numId w:val="1327"/>
        </w:numPr>
      </w:pPr>
      <w:r>
        <w:rPr>
          <w:bCs/>
          <w:b/>
        </w:rPr>
        <w:t xml:space="preserve">Evaporative Stress Index (ESI)</w:t>
      </w:r>
      <w:r>
        <w:t xml:space="preserve"> </w:t>
      </w:r>
      <w:r>
        <w:t xml:space="preserve">— developed by Anderson et al., ESI is based on the ratio of actual to reference (potential) evapotranspiration (ET_a/ET_p, sometimes called the</w:t>
      </w:r>
      <w:r>
        <w:t xml:space="preserve"> </w:t>
      </w:r>
      <w:r>
        <w:t xml:space="preserve">“</w:t>
      </w:r>
      <w:r>
        <w:t xml:space="preserve">evaporative stress ratio</w:t>
      </w:r>
      <w:r>
        <w:t xml:space="preserve">”</w:t>
      </w:r>
      <w:r>
        <w:t xml:space="preserve"> </w:t>
      </w:r>
      <w:r>
        <w:t xml:space="preserve">fSM), typically retrieved via the ALEXI/DisALEXI thermal-based surface energy balance modeling framework using land surface temperature trends from geostationary or polar-orbiting thermal sensors. Because ET responds rapidly to root-zone water stress even before visible canopy browning, ESI is particularly effective at detecting</w:t>
      </w:r>
      <w:r>
        <w:t xml:space="preserve"> </w:t>
      </w:r>
      <w:r>
        <w:rPr>
          <w:bCs/>
          <w:b/>
        </w:rPr>
        <w:t xml:space="preserve">rapid-onset (</w:t>
      </w:r>
      <w:r>
        <w:rPr>
          <w:bCs/>
          <w:b/>
        </w:rPr>
        <w:t xml:space="preserve">“</w:t>
      </w:r>
      <w:r>
        <w:rPr>
          <w:bCs/>
          <w:b/>
        </w:rPr>
        <w:t xml:space="preserve">flash</w:t>
      </w:r>
      <w:r>
        <w:rPr>
          <w:bCs/>
          <w:b/>
        </w:rPr>
        <w:t xml:space="preserve">”</w:t>
      </w:r>
      <w:r>
        <w:rPr>
          <w:bCs/>
          <w:b/>
        </w:rPr>
        <w:t xml:space="preserve">) drought</w:t>
      </w:r>
      <w:r>
        <w:t xml:space="preserve">, and it captures the physiological water-stress signal more directly than greenness-only indices since transpiration is tied directly to stomatal conductance.</w:t>
      </w:r>
    </w:p>
    <w:p>
      <w:pPr>
        <w:pStyle w:val="FirstParagraph"/>
      </w:pPr>
      <w:r>
        <w:rPr>
          <w:bCs/>
          <w:b/>
        </w:rPr>
        <w:t xml:space="preserve">Operational drought monitoring in India:</w:t>
      </w:r>
      <w:r>
        <w:t xml:space="preserve"> </w:t>
      </w:r>
      <w:r>
        <w:t xml:space="preserve">ISRO’s National Remote Sensing Centre (NRSC) operates the</w:t>
      </w:r>
      <w:r>
        <w:t xml:space="preserve"> </w:t>
      </w:r>
      <w:r>
        <w:rPr>
          <w:bCs/>
          <w:b/>
        </w:rPr>
        <w:t xml:space="preserve">National Agricultural Drought Assessment and Monitoring System (NADAMS)</w:t>
      </w:r>
      <w:r>
        <w:t xml:space="preserve">, which uses NDVI/VCI-type products derived from AWiFS/MODIS time series (compared against historical baselines) combined with rainfall data to issue near-real-time district-level agricultural drought bulletins during the kharif season across India — a program a candidate should be able to name as the principal Indian institutional application of these indices.</w:t>
      </w:r>
    </w:p>
    <w:p>
      <w:pPr>
        <w:pStyle w:val="Heading3"/>
      </w:pPr>
      <w:r>
        <w:t xml:space="preserve">44.2.2 Waterlogging and Flood Impact Assessment via SAR</w:t>
      </w:r>
    </w:p>
    <w:p>
      <w:pPr>
        <w:pStyle w:val="FirstParagraph"/>
      </w:pPr>
      <w:r>
        <w:t xml:space="preserve">Excess water — from heavy rainfall, poor drainage, or river/flash flooding — damages crops through root-zone oxygen depletion (anoxia), which is difficult to detect via optical greenness indices alone because standing water and cloud cover during monsoon/flood events frequently block optical sensors. This is where</w:t>
      </w:r>
      <w:r>
        <w:t xml:space="preserve"> </w:t>
      </w:r>
      <w:r>
        <w:rPr>
          <w:bCs/>
          <w:b/>
        </w:rPr>
        <w:t xml:space="preserve">Synthetic Aperture Radar (SAR)</w:t>
      </w:r>
      <w:r>
        <w:t xml:space="preserve">, which operates independent of cloud cover and daylight, is the primary tool:</w:t>
      </w:r>
    </w:p>
    <w:p>
      <w:pPr>
        <w:pStyle w:val="Compact"/>
        <w:numPr>
          <w:ilvl w:val="0"/>
          <w:numId w:val="1328"/>
        </w:numPr>
      </w:pPr>
      <w:r>
        <w:rPr>
          <w:bCs/>
          <w:b/>
        </w:rPr>
        <w:t xml:space="preserve">Backscatter change detection</w:t>
      </w:r>
      <w:r>
        <w:t xml:space="preserve">: Open standing water is a smooth (specular) surface for radar wavelengths, producing very low backscatter (near-zero, appearing dark) because most incident energy is specularly reflected away from the sensor. Comparing a flood/post-event SAR image with a pre-event baseline image (simple differencing or ratioing of backscatter, often in dB) reveals abrupt drops in backscatter over newly inundated pixels — the standard method used with Sentinel-1 C-band VV/VH data for near-real-time flood mapping.</w:t>
      </w:r>
    </w:p>
    <w:p>
      <w:pPr>
        <w:pStyle w:val="Compact"/>
        <w:numPr>
          <w:ilvl w:val="0"/>
          <w:numId w:val="1328"/>
        </w:numPr>
      </w:pPr>
      <w:r>
        <w:rPr>
          <w:bCs/>
          <w:b/>
        </w:rPr>
        <w:t xml:space="preserve">Waterlogged (but not fully inundated) cropland</w:t>
      </w:r>
      <w:r>
        <w:t xml:space="preserve"> </w:t>
      </w:r>
      <w:r>
        <w:t xml:space="preserve">shows a different signature: partially submerged vegetation (e.g., paddy or standing crop with water between rows) exhibits a</w:t>
      </w:r>
      <w:r>
        <w:t xml:space="preserve"> </w:t>
      </w:r>
      <w:r>
        <w:rPr>
          <w:bCs/>
          <w:b/>
        </w:rPr>
        <w:t xml:space="preserve">double-bounce (dihedral corner-reflector) effect</w:t>
      </w:r>
      <w:r>
        <w:t xml:space="preserve"> </w:t>
      </w:r>
      <w:r>
        <w:t xml:space="preserve">between the water surface and vertical crop stems, causing backscatter to increase rather than decrease — a diagnostic used to separate</w:t>
      </w:r>
      <w:r>
        <w:t xml:space="preserve"> </w:t>
      </w:r>
      <w:r>
        <w:t xml:space="preserve">“</w:t>
      </w:r>
      <w:r>
        <w:t xml:space="preserve">crop over flooded soil</w:t>
      </w:r>
      <w:r>
        <w:t xml:space="preserve">”</w:t>
      </w:r>
      <w:r>
        <w:t xml:space="preserve"> </w:t>
      </w:r>
      <w:r>
        <w:t xml:space="preserve">from</w:t>
      </w:r>
      <w:r>
        <w:t xml:space="preserve"> </w:t>
      </w:r>
      <w:r>
        <w:t xml:space="preserve">“</w:t>
      </w:r>
      <w:r>
        <w:t xml:space="preserve">bare open water</w:t>
      </w:r>
      <w:r>
        <w:t xml:space="preserve">”</w:t>
      </w:r>
      <w:r>
        <w:t xml:space="preserve"> </w:t>
      </w:r>
      <w:r>
        <w:t xml:space="preserve">and from</w:t>
      </w:r>
      <w:r>
        <w:t xml:space="preserve"> </w:t>
      </w:r>
      <w:r>
        <w:t xml:space="preserve">“</w:t>
      </w:r>
      <w:r>
        <w:t xml:space="preserve">healthy, non-flooded crop.</w:t>
      </w:r>
      <w:r>
        <w:t xml:space="preserve">”</w:t>
      </w:r>
    </w:p>
    <w:p>
      <w:pPr>
        <w:pStyle w:val="Compact"/>
        <w:numPr>
          <w:ilvl w:val="0"/>
          <w:numId w:val="1328"/>
        </w:numPr>
      </w:pPr>
      <w:r>
        <w:rPr>
          <w:bCs/>
          <w:b/>
        </w:rPr>
        <w:t xml:space="preserve">Time-series SAR</w:t>
      </w:r>
      <w:r>
        <w:t xml:space="preserve"> </w:t>
      </w:r>
      <w:r>
        <w:t xml:space="preserve">(multi-date VV, VH, and VV/VH ratio) allows monitoring of flood recession and subsequent crop recovery or confirmed crop loss, supporting damage assessment and, increasingly, parametric crop-insurance claim settlement.</w:t>
      </w:r>
    </w:p>
    <w:p>
      <w:pPr>
        <w:pStyle w:val="Compact"/>
        <w:numPr>
          <w:ilvl w:val="0"/>
          <w:numId w:val="1328"/>
        </w:numPr>
      </w:pPr>
      <w:r>
        <w:t xml:space="preserve">Combining SAR-derived flood extent with pre-flood crop-type/crop-area maps (from optical time series) enables quantification of</w:t>
      </w:r>
      <w:r>
        <w:t xml:space="preserve"> </w:t>
      </w:r>
      <w:r>
        <w:rPr>
          <w:bCs/>
          <w:b/>
        </w:rPr>
        <w:t xml:space="preserve">crop area affected and expected yield loss</w:t>
      </w:r>
      <w:r>
        <w:t xml:space="preserve">.</w:t>
      </w:r>
    </w:p>
    <w:p>
      <w:pPr>
        <w:pStyle w:val="Heading3"/>
      </w:pPr>
      <w:r>
        <w:t xml:space="preserve">44.2.3 Salinity Stress Detection and Mapping</w:t>
      </w:r>
    </w:p>
    <w:p>
      <w:pPr>
        <w:pStyle w:val="FirstParagraph"/>
      </w:pPr>
      <w:r>
        <w:t xml:space="preserve">Soil salinization (and the resulting osmotic and ionic stress on crops) is detected through a combination of:</w:t>
      </w:r>
    </w:p>
    <w:p>
      <w:pPr>
        <w:pStyle w:val="Compact"/>
        <w:numPr>
          <w:ilvl w:val="0"/>
          <w:numId w:val="1329"/>
        </w:numPr>
      </w:pPr>
      <w:r>
        <w:rPr>
          <w:bCs/>
          <w:b/>
        </w:rPr>
        <w:t xml:space="preserve">Spectral indices</w:t>
      </w:r>
      <w:r>
        <w:t xml:space="preserve">: Salt-affected bare soils have characteristically high reflectance across visible-NIR-SWIR wavelengths (due to surface salt crusts/efflorescence), captured by indices such as the</w:t>
      </w:r>
      <w:r>
        <w:t xml:space="preserve"> </w:t>
      </w:r>
      <w:r>
        <w:rPr>
          <w:bCs/>
          <w:b/>
        </w:rPr>
        <w:t xml:space="preserve">Salinity Index (SI)</w:t>
      </w:r>
      <w:r>
        <w:t xml:space="preserve">,</w:t>
      </w:r>
      <w:r>
        <w:t xml:space="preserve"> </w:t>
      </w:r>
      <w:r>
        <w:rPr>
          <w:bCs/>
          <w:b/>
        </w:rPr>
        <w:t xml:space="preserve">Normalized Difference Salinity Index (NDSI)</w:t>
      </w:r>
      <w:r>
        <w:t xml:space="preserve">, and</w:t>
      </w:r>
      <w:r>
        <w:t xml:space="preserve"> </w:t>
      </w:r>
      <w:r>
        <w:rPr>
          <w:bCs/>
          <w:b/>
        </w:rPr>
        <w:t xml:space="preserve">Canopy Response Salinity Index (CRSI)</w:t>
      </w:r>
      <w:r>
        <w:t xml:space="preserve">; under vegetation cover, crop-level stress manifests as reduced NDVI/chlorophyll indices and altered SWIR reflectance related to changed leaf water content and cell structure.</w:t>
      </w:r>
    </w:p>
    <w:p>
      <w:pPr>
        <w:pStyle w:val="Compact"/>
        <w:numPr>
          <w:ilvl w:val="0"/>
          <w:numId w:val="1329"/>
        </w:numPr>
      </w:pPr>
      <w:r>
        <w:rPr>
          <w:bCs/>
          <w:b/>
        </w:rPr>
        <w:t xml:space="preserve">Thermal signatures</w:t>
      </w:r>
      <w:r>
        <w:t xml:space="preserve">: Saline soils and salt-stressed canopies (which close stomata to limit ion uptake, reducing transpirational cooling) tend to show elevated surface/canopy temperatures compared to non-saline areas.</w:t>
      </w:r>
    </w:p>
    <w:p>
      <w:pPr>
        <w:pStyle w:val="Compact"/>
        <w:numPr>
          <w:ilvl w:val="0"/>
          <w:numId w:val="1329"/>
        </w:numPr>
      </w:pPr>
      <w:r>
        <w:rPr>
          <w:bCs/>
          <w:b/>
        </w:rPr>
        <w:t xml:space="preserve">Multi-temporal and terrain-based mapping</w:t>
      </w:r>
      <w:r>
        <w:t xml:space="preserve">: Because salinity is strongly correlated with topographic depressions, groundwater table depth, and irrigation/drainage patterns, salinity mapping commonly fuses spectral indices with DEM-derived terrain indices (e.g., topographic wetness index) and electromagnetic induction (EM38) or electrical conductivity (ECa) ground surveys for calibration, often within a machine-learning regression framework (random forest, PLSR) trained against ground-truth soil EC samples.</w:t>
      </w:r>
    </w:p>
    <w:p>
      <w:pPr>
        <w:pStyle w:val="Compact"/>
        <w:numPr>
          <w:ilvl w:val="0"/>
          <w:numId w:val="1329"/>
        </w:numPr>
      </w:pPr>
      <w:r>
        <w:t xml:space="preserve">ISRO/NRSC and the National Bureau of Soil Survey and Land Use Planning (NBSS&amp;LUP) have both used Landsat/IRS-based salinity mapping to delineate salt-affected soils across states such as Haryana, Punjab, and Gujarat for reclamation planning.</w:t>
      </w:r>
    </w:p>
    <w:p>
      <w:pPr>
        <w:pStyle w:val="Heading3"/>
      </w:pPr>
      <w:r>
        <w:t xml:space="preserve">44.2.4 Nutrient Deficiency and Nitrogen Status Monitoring</w:t>
      </w:r>
    </w:p>
    <w:p>
      <w:pPr>
        <w:pStyle w:val="FirstParagraph"/>
      </w:pPr>
      <w:r>
        <w:t xml:space="preserve">Nitrogen (N) is the nutrient most commonly monitored remotely because it directly controls chlorophyll content and canopy biomass, both of which alter spectral reflectance predictably:</w:t>
      </w:r>
    </w:p>
    <w:p>
      <w:pPr>
        <w:pStyle w:val="Compact"/>
        <w:numPr>
          <w:ilvl w:val="0"/>
          <w:numId w:val="1330"/>
        </w:numPr>
      </w:pPr>
      <w:r>
        <w:t xml:space="preserve">Chlorophyll absorbs strongly in blue and red wavelengths; under N deficiency, chlorophyll content drops, red-band absorption weakens (red reflectance rises), and the red-edge (the steep reflectance transition ~690–740 nm) shifts toward shorter wavelengths (</w:t>
      </w:r>
      <w:r>
        <w:t xml:space="preserve">“</w:t>
      </w:r>
      <w:r>
        <w:t xml:space="preserve">blue shift</w:t>
      </w:r>
      <w:r>
        <w:t xml:space="preserve">”</w:t>
      </w:r>
      <w:r>
        <w:t xml:space="preserve">) — the physiological basis for most N-sensitive indices.</w:t>
      </w:r>
    </w:p>
    <w:p>
      <w:pPr>
        <w:pStyle w:val="Compact"/>
        <w:numPr>
          <w:ilvl w:val="0"/>
          <w:numId w:val="1330"/>
        </w:numPr>
      </w:pPr>
      <w:r>
        <w:rPr>
          <w:bCs/>
          <w:b/>
        </w:rPr>
        <w:t xml:space="preserve">Common chlorophyll/N indices</w:t>
      </w:r>
      <w:r>
        <w:t xml:space="preserve">: NDVI (saturates at moderate-to-high biomass/LAI, limiting sensitivity in dense, well-fertilized canopies),</w:t>
      </w:r>
      <w:r>
        <w:t xml:space="preserve"> </w:t>
      </w:r>
      <w:r>
        <w:rPr>
          <w:bCs/>
          <w:b/>
        </w:rPr>
        <w:t xml:space="preserve">Green NDVI (GNDVI)</w:t>
      </w:r>
      <w:r>
        <w:t xml:space="preserve"> </w:t>
      </w:r>
      <w:r>
        <w:t xml:space="preserve">(uses green instead of red band, less prone to saturation),</w:t>
      </w:r>
      <w:r>
        <w:t xml:space="preserve"> </w:t>
      </w:r>
      <w:r>
        <w:rPr>
          <w:bCs/>
          <w:b/>
        </w:rPr>
        <w:t xml:space="preserve">Normalized Difference Red Edge (NDRE)</w:t>
      </w:r>
      <w:r>
        <w:t xml:space="preserve"> </w:t>
      </w:r>
      <w:r>
        <w:t xml:space="preserve">(uses the red-edge band, remaining sensitive at higher biomass and later growth stages when NDVI has saturated — making NDRE the preferred index for mid-late season N management),</w:t>
      </w:r>
      <w:r>
        <w:t xml:space="preserve"> </w:t>
      </w:r>
      <w:r>
        <w:rPr>
          <w:bCs/>
          <w:b/>
        </w:rPr>
        <w:t xml:space="preserve">Chlorophyll Index (CI, green or red-edge based)</w:t>
      </w:r>
      <w:r>
        <w:t xml:space="preserve">,</w:t>
      </w:r>
      <w:r>
        <w:t xml:space="preserve"> </w:t>
      </w:r>
      <w:r>
        <w:rPr>
          <w:bCs/>
          <w:b/>
        </w:rPr>
        <w:t xml:space="preserve">MERIS Terrestrial Chlorophyll Index (MTCI)</w:t>
      </w:r>
      <w:r>
        <w:t xml:space="preserve">, and the</w:t>
      </w:r>
      <w:r>
        <w:t xml:space="preserve"> </w:t>
      </w:r>
      <w:r>
        <w:rPr>
          <w:bCs/>
          <w:b/>
        </w:rPr>
        <w:t xml:space="preserve">Photochemical Reflectance Index (PRI)</w:t>
      </w:r>
      <w:r>
        <w:t xml:space="preserve"> </w:t>
      </w:r>
      <w:r>
        <w:t xml:space="preserve">(sensitive to xanthophyll-cycle pigment changes associated with light-use efficiency and early physiological stress, often ahead of visible chlorosis).</w:t>
      </w:r>
    </w:p>
    <w:p>
      <w:pPr>
        <w:pStyle w:val="Compact"/>
        <w:numPr>
          <w:ilvl w:val="0"/>
          <w:numId w:val="1330"/>
        </w:numPr>
      </w:pPr>
      <w:r>
        <w:t xml:space="preserve">Canopy-N estimation is operationalized via handheld/tractor-mounted active optical sensors that compute NDVI or NDRE in real time and compare it against a well-fertilized reference strip to compute a</w:t>
      </w:r>
      <w:r>
        <w:t xml:space="preserve"> </w:t>
      </w:r>
      <w:r>
        <w:rPr>
          <w:bCs/>
          <w:b/>
        </w:rPr>
        <w:t xml:space="preserve">Sufficiency Index (SI = NDVI_target/NDVI_reference)</w:t>
      </w:r>
      <w:r>
        <w:t xml:space="preserve">, which is then converted to a variable N-fertilizer rate recommendation — this is the classic</w:t>
      </w:r>
      <w:r>
        <w:t xml:space="preserve"> </w:t>
      </w:r>
      <w:r>
        <w:t xml:space="preserve">“</w:t>
      </w:r>
      <w:r>
        <w:t xml:space="preserve">N-rich strip</w:t>
      </w:r>
      <w:r>
        <w:t xml:space="preserve">”</w:t>
      </w:r>
      <w:r>
        <w:t xml:space="preserve"> </w:t>
      </w:r>
      <w:r>
        <w:t xml:space="preserve">approach used with GreenSeeker/Crop Circle sensors in cereal systems (wheat, maize, rice).</w:t>
      </w:r>
    </w:p>
    <w:p>
      <w:pPr>
        <w:pStyle w:val="Compact"/>
        <w:numPr>
          <w:ilvl w:val="0"/>
          <w:numId w:val="1330"/>
        </w:numPr>
      </w:pPr>
      <w:r>
        <w:t xml:space="preserve">Hyperspectral sensing extends this to estimation of leaf/canopy N concentration via narrow-band indices and full-spectrum chemometric models (PLSR, machine learning), and can, in principle, separate N deficiency from other chlorosis-inducing stresses (e.g., sulfur or iron deficiency) using diagnostic absorption features not resolvable by broadband multispectral sensors.</w:t>
      </w:r>
    </w:p>
    <w:p>
      <w:pPr>
        <w:pStyle w:val="Heading3"/>
      </w:pPr>
      <w:r>
        <w:t xml:space="preserve">44.2.5 Heat and Cold Stress Detection via Thermal Remote Sensing</w:t>
      </w:r>
    </w:p>
    <w:p>
      <w:pPr>
        <w:pStyle w:val="FirstParagraph"/>
      </w:pPr>
      <w:r>
        <w:t xml:space="preserve">Plant canopy temperature is governed by the energy balance: under adequate water supply, transpiration (stomatal opening) cools the canopy below ambient air temperature; under water/heat stress, stomata close, transpirational cooling drops, and canopy temperature rises above air temperature. This is the physical basis of thermal crop-stress sensing:</w:t>
      </w:r>
    </w:p>
    <w:p>
      <w:pPr>
        <w:numPr>
          <w:ilvl w:val="0"/>
          <w:numId w:val="1331"/>
        </w:numPr>
      </w:pPr>
      <w:r>
        <w:rPr>
          <w:bCs/>
          <w:b/>
        </w:rPr>
        <w:t xml:space="preserve">Crop Water Stress Index (CWSI)</w:t>
      </w:r>
      <w:r>
        <w:t xml:space="preserve">: originally formulated by Idso et al. (1981) and Jackson et al. (1981), CWSI is computed from canopy-minus-air temperature (Tc − Ta) normalized between a</w:t>
      </w:r>
      <w:r>
        <w:t xml:space="preserve"> </w:t>
      </w:r>
      <w:r>
        <w:rPr>
          <w:bCs/>
          <w:b/>
        </w:rPr>
        <w:t xml:space="preserve">non-water-stressed baseline (lower limit)</w:t>
      </w:r>
      <w:r>
        <w:t xml:space="preserve"> </w:t>
      </w:r>
      <w:r>
        <w:t xml:space="preserve">— the Tc−Ta expected for a fully transpiring, non-stressed canopy at a given vapor pressure deficit — and a</w:t>
      </w:r>
      <w:r>
        <w:t xml:space="preserve"> </w:t>
      </w:r>
      <w:r>
        <w:rPr>
          <w:bCs/>
          <w:b/>
        </w:rPr>
        <w:t xml:space="preserve">non-transpiring upper limit</w:t>
      </w:r>
      <w:r>
        <w:t xml:space="preserve"> </w:t>
      </w:r>
      <w:r>
        <w:t xml:space="preserve">(a canopy with stomata fully closed):</w:t>
      </w:r>
    </w:p>
    <w:p>
      <w:pPr>
        <w:numPr>
          <w:ilvl w:val="0"/>
          <w:numId w:val="1331"/>
        </w:numPr>
      </w:pPr>
      <w:r>
        <w:t xml:space="preserve">CWSI = (Tc − Ta − LL) / (UL − LL)</w:t>
      </w:r>
    </w:p>
    <w:p>
      <w:pPr>
        <w:numPr>
          <w:ilvl w:val="0"/>
          <w:numId w:val="1331"/>
        </w:numPr>
      </w:pPr>
      <w:r>
        <w:t xml:space="preserve">where LL and UL are the lower and upper baseline temperature differentials. CWSI ranges from 0 (no stress, fully transpiring) to 1 (maximum stress, no transpiration), and is widely used for irrigation scheduling because it integrates the plant’s own physiological response to combined atmospheric demand and soil water supply, rather than relying solely on soil-moisture sensors that may not reflect actual root-zone uptake.</w:t>
      </w:r>
    </w:p>
    <w:p>
      <w:pPr>
        <w:numPr>
          <w:ilvl w:val="0"/>
          <w:numId w:val="1331"/>
        </w:numPr>
      </w:pPr>
      <w:r>
        <w:t xml:space="preserve">Thermal imaging (handheld IR thermometers, UAV-mounted thermal cameras, or satellite thermal bands such as Landsat TIRS/ECOSTRESS) is used to map canopy temperature spatially, identifying water-stressed zones within a field for targeted irrigation, and CWSI maps derived from UAV thermal imagery are now a standard precision-irrigation tool in orchard and row-crop systems.</w:t>
      </w:r>
    </w:p>
    <w:p>
      <w:pPr>
        <w:numPr>
          <w:ilvl w:val="0"/>
          <w:numId w:val="1331"/>
        </w:numPr>
      </w:pPr>
      <w:r>
        <w:rPr>
          <w:bCs/>
          <w:b/>
        </w:rPr>
        <w:t xml:space="preserve">Cold stress</w:t>
      </w:r>
      <w:r>
        <w:t xml:space="preserve"> </w:t>
      </w:r>
      <w:r>
        <w:t xml:space="preserve">(chilling/frost) is similarly detectable via reduced canopy temperature relative to expected baselines, ice-related changes in leaf spectral properties (increased reflectance from ice crystal formation and cell rupture), and — for frost risk forecasting — nighttime thermal imagery combined with radiative-cooling models.</w:t>
      </w:r>
    </w:p>
    <w:p>
      <w:pPr>
        <w:numPr>
          <w:ilvl w:val="0"/>
          <w:numId w:val="1331"/>
        </w:numPr>
      </w:pPr>
      <w:r>
        <w:rPr>
          <w:bCs/>
          <w:b/>
        </w:rPr>
        <w:t xml:space="preserve">Heat stress</w:t>
      </w:r>
      <w:r>
        <w:t xml:space="preserve"> </w:t>
      </w:r>
      <w:r>
        <w:t xml:space="preserve">during critical reproductive stages (e.g., anthesis in wheat, flowering in rice) is increasingly tracked using land-surface-temperature anomaly products and canopy temperature depression (CTD, the inverse concept to CWSI) as a phenotyping/monitoring trait.</w:t>
      </w:r>
    </w:p>
    <w:p>
      <w:pPr>
        <w:pStyle w:val="Heading3"/>
      </w:pPr>
      <w:r>
        <w:t xml:space="preserve">44.2.6 Table 1 — Abiotic Stress Types, Indicators, and Remote Sensing Tools</w:t>
      </w:r>
    </w:p>
    <w:tbl>
      <w:tblPr>
        <w:tblStyle w:val="Table"/>
        <w:tblW w:type="pct" w:w="4956"/>
        <w:jc w:val="left"/>
        <w:tblLook w:firstRow="1" w:lastRow="0" w:firstColumn="0" w:lastColumn="0" w:noHBand="0" w:noVBand="0" w:val="0020"/>
      </w:tblPr>
      <w:tblGrid>
        <w:gridCol w:w="1563"/>
        <w:gridCol w:w="2396"/>
        <w:gridCol w:w="1875"/>
        <w:gridCol w:w="2014"/>
      </w:tblGrid>
      <w:tr>
        <w:trPr>
          <w:tblHeader w:val="true"/>
        </w:trPr>
        <w:tc>
          <w:tcPr/>
          <w:p>
            <w:pPr>
              <w:pStyle w:val="Compact"/>
              <w:jc w:val="left"/>
            </w:pPr>
            <w:r>
              <w:t xml:space="preserve">Abiotic Stress</w:t>
            </w:r>
          </w:p>
        </w:tc>
        <w:tc>
          <w:tcPr/>
          <w:p>
            <w:pPr>
              <w:pStyle w:val="Compact"/>
              <w:jc w:val="left"/>
            </w:pPr>
            <w:r>
              <w:t xml:space="preserve">Physiological/Physical Signal</w:t>
            </w:r>
          </w:p>
        </w:tc>
        <w:tc>
          <w:tcPr/>
          <w:p>
            <w:pPr>
              <w:pStyle w:val="Compact"/>
              <w:jc w:val="left"/>
            </w:pPr>
            <w:r>
              <w:t xml:space="preserve">Key Index / Parameter</w:t>
            </w:r>
          </w:p>
        </w:tc>
        <w:tc>
          <w:tcPr/>
          <w:p>
            <w:pPr>
              <w:pStyle w:val="Compact"/>
              <w:jc w:val="left"/>
            </w:pPr>
            <w:r>
              <w:t xml:space="preserve">Typical Sensor/Platform</w:t>
            </w:r>
          </w:p>
        </w:tc>
      </w:tr>
      <w:tr>
        <w:tc>
          <w:tcPr/>
          <w:p>
            <w:pPr>
              <w:pStyle w:val="Compact"/>
              <w:jc w:val="left"/>
            </w:pPr>
            <w:r>
              <w:t xml:space="preserve">Meteorological drought</w:t>
            </w:r>
          </w:p>
        </w:tc>
        <w:tc>
          <w:tcPr/>
          <w:p>
            <w:pPr>
              <w:pStyle w:val="Compact"/>
              <w:jc w:val="left"/>
            </w:pPr>
            <w:r>
              <w:t xml:space="preserve">Precipitation deficit</w:t>
            </w:r>
          </w:p>
        </w:tc>
        <w:tc>
          <w:tcPr/>
          <w:p>
            <w:pPr>
              <w:pStyle w:val="Compact"/>
              <w:jc w:val="left"/>
            </w:pPr>
            <w:r>
              <w:t xml:space="preserve">SPI (Standardized Precipitation Index)</w:t>
            </w:r>
          </w:p>
        </w:tc>
        <w:tc>
          <w:tcPr/>
          <w:p>
            <w:pPr>
              <w:pStyle w:val="Compact"/>
              <w:jc w:val="left"/>
            </w:pPr>
            <w:r>
              <w:t xml:space="preserve">Rain-gauge/satellite rainfall (TRMM/GPM, IMD gridded)</w:t>
            </w:r>
          </w:p>
        </w:tc>
      </w:tr>
      <w:tr>
        <w:tc>
          <w:tcPr/>
          <w:p>
            <w:pPr>
              <w:pStyle w:val="Compact"/>
              <w:jc w:val="left"/>
            </w:pPr>
            <w:r>
              <w:t xml:space="preserve">Agricultural drought (vegetation response)</w:t>
            </w:r>
          </w:p>
        </w:tc>
        <w:tc>
          <w:tcPr/>
          <w:p>
            <w:pPr>
              <w:pStyle w:val="Compact"/>
              <w:jc w:val="left"/>
            </w:pPr>
            <w:r>
              <w:t xml:space="preserve">Canopy greenness/chlorophyll decline</w:t>
            </w:r>
          </w:p>
        </w:tc>
        <w:tc>
          <w:tcPr/>
          <w:p>
            <w:pPr>
              <w:pStyle w:val="Compact"/>
              <w:jc w:val="left"/>
            </w:pPr>
            <w:r>
              <w:t xml:space="preserve">VCI, NDVI anomaly</w:t>
            </w:r>
          </w:p>
        </w:tc>
        <w:tc>
          <w:tcPr/>
          <w:p>
            <w:pPr>
              <w:pStyle w:val="Compact"/>
              <w:jc w:val="left"/>
            </w:pPr>
            <w:r>
              <w:t xml:space="preserve">AVHRR, MODIS, AWiFS (NADAMS)</w:t>
            </w:r>
          </w:p>
        </w:tc>
      </w:tr>
      <w:tr>
        <w:tc>
          <w:tcPr/>
          <w:p>
            <w:pPr>
              <w:pStyle w:val="Compact"/>
              <w:jc w:val="left"/>
            </w:pPr>
            <w:r>
              <w:t xml:space="preserve">Agricultural drought (thermal response)</w:t>
            </w:r>
          </w:p>
        </w:tc>
        <w:tc>
          <w:tcPr/>
          <w:p>
            <w:pPr>
              <w:pStyle w:val="Compact"/>
              <w:jc w:val="left"/>
            </w:pPr>
            <w:r>
              <w:t xml:space="preserve">Reduced transpirational cooling</w:t>
            </w:r>
          </w:p>
        </w:tc>
        <w:tc>
          <w:tcPr/>
          <w:p>
            <w:pPr>
              <w:pStyle w:val="Compact"/>
              <w:jc w:val="left"/>
            </w:pPr>
            <w:r>
              <w:t xml:space="preserve">TCI, LST anomaly</w:t>
            </w:r>
          </w:p>
        </w:tc>
        <w:tc>
          <w:tcPr/>
          <w:p>
            <w:pPr>
              <w:pStyle w:val="Compact"/>
              <w:jc w:val="left"/>
            </w:pPr>
            <w:r>
              <w:t xml:space="preserve">Thermal IR (MODIS LST, Landsat TIRS)</w:t>
            </w:r>
          </w:p>
        </w:tc>
      </w:tr>
      <w:tr>
        <w:tc>
          <w:tcPr/>
          <w:p>
            <w:pPr>
              <w:pStyle w:val="Compact"/>
              <w:jc w:val="left"/>
            </w:pPr>
            <w:r>
              <w:t xml:space="preserve">Composite agricultural drought</w:t>
            </w:r>
          </w:p>
        </w:tc>
        <w:tc>
          <w:tcPr/>
          <w:p>
            <w:pPr>
              <w:pStyle w:val="Compact"/>
              <w:jc w:val="left"/>
            </w:pPr>
            <w:r>
              <w:t xml:space="preserve">Combined moisture + thermal stress</w:t>
            </w:r>
          </w:p>
        </w:tc>
        <w:tc>
          <w:tcPr/>
          <w:p>
            <w:pPr>
              <w:pStyle w:val="Compact"/>
              <w:jc w:val="left"/>
            </w:pPr>
            <w:r>
              <w:t xml:space="preserve">VHI</w:t>
            </w:r>
          </w:p>
        </w:tc>
        <w:tc>
          <w:tcPr/>
          <w:p>
            <w:pPr>
              <w:pStyle w:val="Compact"/>
              <w:jc w:val="left"/>
            </w:pPr>
            <w:r>
              <w:t xml:space="preserve">AVHRR/MODIS</w:t>
            </w:r>
          </w:p>
        </w:tc>
      </w:tr>
      <w:tr>
        <w:tc>
          <w:tcPr/>
          <w:p>
            <w:pPr>
              <w:pStyle w:val="Compact"/>
              <w:jc w:val="left"/>
            </w:pPr>
            <w:r>
              <w:t xml:space="preserve">Root-zone water deficit / flash drought</w:t>
            </w:r>
          </w:p>
        </w:tc>
        <w:tc>
          <w:tcPr/>
          <w:p>
            <w:pPr>
              <w:pStyle w:val="Compact"/>
              <w:jc w:val="left"/>
            </w:pPr>
            <w:r>
              <w:t xml:space="preserve">ET deficit relative to potential ET</w:t>
            </w:r>
          </w:p>
        </w:tc>
        <w:tc>
          <w:tcPr/>
          <w:p>
            <w:pPr>
              <w:pStyle w:val="Compact"/>
              <w:jc w:val="left"/>
            </w:pPr>
            <w:r>
              <w:t xml:space="preserve">ESI (ET_a/ET_p)</w:t>
            </w:r>
          </w:p>
        </w:tc>
        <w:tc>
          <w:tcPr/>
          <w:p>
            <w:pPr>
              <w:pStyle w:val="Compact"/>
              <w:jc w:val="left"/>
            </w:pPr>
            <w:r>
              <w:t xml:space="preserve">ALEXI/DisALEXI, geostationary + polar thermal</w:t>
            </w:r>
          </w:p>
        </w:tc>
      </w:tr>
      <w:tr>
        <w:tc>
          <w:tcPr/>
          <w:p>
            <w:pPr>
              <w:pStyle w:val="Compact"/>
              <w:jc w:val="left"/>
            </w:pPr>
            <w:r>
              <w:t xml:space="preserve">Soil moisture deficit</w:t>
            </w:r>
          </w:p>
        </w:tc>
        <w:tc>
          <w:tcPr/>
          <w:p>
            <w:pPr>
              <w:pStyle w:val="Compact"/>
              <w:jc w:val="left"/>
            </w:pPr>
            <w:r>
              <w:t xml:space="preserve">Root-zone water content</w:t>
            </w:r>
          </w:p>
        </w:tc>
        <w:tc>
          <w:tcPr/>
          <w:p>
            <w:pPr>
              <w:pStyle w:val="Compact"/>
              <w:jc w:val="left"/>
            </w:pPr>
            <w:r>
              <w:t xml:space="preserve">Soil moisture anomaly/percentile</w:t>
            </w:r>
          </w:p>
        </w:tc>
        <w:tc>
          <w:tcPr/>
          <w:p>
            <w:pPr>
              <w:pStyle w:val="Compact"/>
              <w:jc w:val="left"/>
            </w:pPr>
            <w:r>
              <w:t xml:space="preserve">SMAP, SMOS, Sentinel-1 SAR</w:t>
            </w:r>
          </w:p>
        </w:tc>
      </w:tr>
      <w:tr>
        <w:tc>
          <w:tcPr/>
          <w:p>
            <w:pPr>
              <w:pStyle w:val="Compact"/>
              <w:jc w:val="left"/>
            </w:pPr>
            <w:r>
              <w:t xml:space="preserve">Waterlogging / flood</w:t>
            </w:r>
          </w:p>
        </w:tc>
        <w:tc>
          <w:tcPr/>
          <w:p>
            <w:pPr>
              <w:pStyle w:val="Compact"/>
              <w:jc w:val="left"/>
            </w:pPr>
            <w:r>
              <w:t xml:space="preserve">Standing water, double-bounce from submerged stems</w:t>
            </w:r>
          </w:p>
        </w:tc>
        <w:tc>
          <w:tcPr/>
          <w:p>
            <w:pPr>
              <w:pStyle w:val="Compact"/>
              <w:jc w:val="left"/>
            </w:pPr>
            <w:r>
              <w:t xml:space="preserve">Backscatter drop (open water) / rise (flooded veg.)</w:t>
            </w:r>
          </w:p>
        </w:tc>
        <w:tc>
          <w:tcPr/>
          <w:p>
            <w:pPr>
              <w:pStyle w:val="Compact"/>
              <w:jc w:val="left"/>
            </w:pPr>
            <w:r>
              <w:t xml:space="preserve">Sentinel-1 SAR (C-band VV/VH)</w:t>
            </w:r>
          </w:p>
        </w:tc>
      </w:tr>
      <w:tr>
        <w:tc>
          <w:tcPr/>
          <w:p>
            <w:pPr>
              <w:pStyle w:val="Compact"/>
              <w:jc w:val="left"/>
            </w:pPr>
            <w:r>
              <w:t xml:space="preserve">Salinity stress</w:t>
            </w:r>
          </w:p>
        </w:tc>
        <w:tc>
          <w:tcPr/>
          <w:p>
            <w:pPr>
              <w:pStyle w:val="Compact"/>
              <w:jc w:val="left"/>
            </w:pPr>
            <w:r>
              <w:t xml:space="preserve">Salt crust reflectance, reduced chlorophyll, elevated canopy temp.</w:t>
            </w:r>
          </w:p>
        </w:tc>
        <w:tc>
          <w:tcPr/>
          <w:p>
            <w:pPr>
              <w:pStyle w:val="Compact"/>
              <w:jc w:val="left"/>
            </w:pPr>
            <w:r>
              <w:t xml:space="preserve">SI, NDSI, CRSI, thermal anomaly</w:t>
            </w:r>
          </w:p>
        </w:tc>
        <w:tc>
          <w:tcPr/>
          <w:p>
            <w:pPr>
              <w:pStyle w:val="Compact"/>
              <w:jc w:val="left"/>
            </w:pPr>
            <w:r>
              <w:t xml:space="preserve">Sentinel-2, Landsat, TIR sensors</w:t>
            </w:r>
          </w:p>
        </w:tc>
      </w:tr>
      <w:tr>
        <w:tc>
          <w:tcPr/>
          <w:p>
            <w:pPr>
              <w:pStyle w:val="Compact"/>
              <w:jc w:val="left"/>
            </w:pPr>
            <w:r>
              <w:t xml:space="preserve">Nitrogen/nutrient deficiency</w:t>
            </w:r>
          </w:p>
        </w:tc>
        <w:tc>
          <w:tcPr/>
          <w:p>
            <w:pPr>
              <w:pStyle w:val="Compact"/>
              <w:jc w:val="left"/>
            </w:pPr>
            <w:r>
              <w:t xml:space="preserve">Reduced chlorophyll, red-edge shift</w:t>
            </w:r>
          </w:p>
        </w:tc>
        <w:tc>
          <w:tcPr/>
          <w:p>
            <w:pPr>
              <w:pStyle w:val="Compact"/>
              <w:jc w:val="left"/>
            </w:pPr>
            <w:r>
              <w:t xml:space="preserve">NDVI, GNDVI, NDRE, CI, PRI</w:t>
            </w:r>
          </w:p>
        </w:tc>
        <w:tc>
          <w:tcPr/>
          <w:p>
            <w:pPr>
              <w:pStyle w:val="Compact"/>
              <w:jc w:val="left"/>
            </w:pPr>
            <w:r>
              <w:t xml:space="preserve">GreenSeeker, Crop Circle, Sentinel-2, UAV multispectral</w:t>
            </w:r>
          </w:p>
        </w:tc>
      </w:tr>
      <w:tr>
        <w:tc>
          <w:tcPr/>
          <w:p>
            <w:pPr>
              <w:pStyle w:val="Compact"/>
              <w:jc w:val="left"/>
            </w:pPr>
            <w:r>
              <w:t xml:space="preserve">Water stress (irrigation scheduling)</w:t>
            </w:r>
          </w:p>
        </w:tc>
        <w:tc>
          <w:tcPr/>
          <w:p>
            <w:pPr>
              <w:pStyle w:val="Compact"/>
              <w:jc w:val="left"/>
            </w:pPr>
            <w:r>
              <w:t xml:space="preserve">Canopy temperature elevation, stomatal closure</w:t>
            </w:r>
          </w:p>
        </w:tc>
        <w:tc>
          <w:tcPr/>
          <w:p>
            <w:pPr>
              <w:pStyle w:val="Compact"/>
              <w:jc w:val="left"/>
            </w:pPr>
            <w:r>
              <w:t xml:space="preserve">CWSI</w:t>
            </w:r>
          </w:p>
        </w:tc>
        <w:tc>
          <w:tcPr/>
          <w:p>
            <w:pPr>
              <w:pStyle w:val="Compact"/>
              <w:jc w:val="left"/>
            </w:pPr>
            <w:r>
              <w:t xml:space="preserve">Thermal IR camera (handheld/UAV/satellite)</w:t>
            </w:r>
          </w:p>
        </w:tc>
      </w:tr>
      <w:tr>
        <w:tc>
          <w:tcPr/>
          <w:p>
            <w:pPr>
              <w:pStyle w:val="Compact"/>
              <w:jc w:val="left"/>
            </w:pPr>
            <w:r>
              <w:t xml:space="preserve">Heat/cold stress</w:t>
            </w:r>
          </w:p>
        </w:tc>
        <w:tc>
          <w:tcPr/>
          <w:p>
            <w:pPr>
              <w:pStyle w:val="Compact"/>
              <w:jc w:val="left"/>
            </w:pPr>
            <w:r>
              <w:t xml:space="preserve">Canopy temperature anomaly, tissue damage</w:t>
            </w:r>
          </w:p>
        </w:tc>
        <w:tc>
          <w:tcPr/>
          <w:p>
            <w:pPr>
              <w:pStyle w:val="Compact"/>
              <w:jc w:val="left"/>
            </w:pPr>
            <w:r>
              <w:t xml:space="preserve">CTD, LST anomaly, post-event NDVI decline</w:t>
            </w:r>
          </w:p>
        </w:tc>
        <w:tc>
          <w:tcPr/>
          <w:p>
            <w:pPr>
              <w:pStyle w:val="Compact"/>
              <w:jc w:val="left"/>
            </w:pPr>
            <w:r>
              <w:t xml:space="preserve">Thermal IR, MODIS/Landsat LST</w:t>
            </w:r>
          </w:p>
        </w:tc>
      </w:tr>
    </w:tbl>
    <w:p>
      <w:pPr>
        <w:pStyle w:val="Heading2"/>
      </w:pPr>
      <w:r>
        <w:t xml:space="preserve">44.3 Sensor Platforms for Precision Agriculture</w:t>
      </w:r>
    </w:p>
    <w:p>
      <w:pPr>
        <w:pStyle w:val="FirstParagraph"/>
      </w:pPr>
      <w:r>
        <w:t xml:space="preserve">PA relies on a hierarchy of platforms trading off spatial resolution, spectral capability, revisit frequency, and cost/coverage:</w:t>
      </w:r>
    </w:p>
    <w:p>
      <w:pPr>
        <w:pStyle w:val="Heading3"/>
      </w:pPr>
      <w:r>
        <w:t xml:space="preserve">44.3.1 UAV/Drone-Based Sensing</w:t>
      </w:r>
    </w:p>
    <w:p>
      <w:pPr>
        <w:pStyle w:val="FirstParagraph"/>
      </w:pPr>
      <w:r>
        <w:t xml:space="preserve">UAVs occupy the critical</w:t>
      </w:r>
      <w:r>
        <w:t xml:space="preserve"> </w:t>
      </w:r>
      <w:r>
        <w:t xml:space="preserve">“</w:t>
      </w:r>
      <w:r>
        <w:t xml:space="preserve">meso-scale</w:t>
      </w:r>
      <w:r>
        <w:t xml:space="preserve">”</w:t>
      </w:r>
      <w:r>
        <w:t xml:space="preserve"> </w:t>
      </w:r>
      <w:r>
        <w:t xml:space="preserve">niche between coarse/moderate satellite resolution and point-based ground sensors, offering centimeter-to-decimeter resolution on demand:</w:t>
      </w:r>
    </w:p>
    <w:p>
      <w:pPr>
        <w:pStyle w:val="Compact"/>
        <w:numPr>
          <w:ilvl w:val="0"/>
          <w:numId w:val="1332"/>
        </w:numPr>
      </w:pPr>
      <w:r>
        <w:rPr>
          <w:bCs/>
          <w:b/>
        </w:rPr>
        <w:t xml:space="preserve">Multispectral sensors</w:t>
      </w:r>
      <w:r>
        <w:t xml:space="preserve"> </w:t>
      </w:r>
      <w:r>
        <w:t xml:space="preserve">(typically 4–10 discrete bands spanning blue, green, red, red-edge, NIR — e.g., MicaSense RedEdge/Altum, Sentera, Parrot Sequoia) are the workhorse for computing NDVI, NDRE, GNDVI etc. at plot/sub-plot scale for biomass, chlorophyll/N status, and general vigor mapping.</w:t>
      </w:r>
    </w:p>
    <w:p>
      <w:pPr>
        <w:pStyle w:val="Compact"/>
        <w:numPr>
          <w:ilvl w:val="0"/>
          <w:numId w:val="1332"/>
        </w:numPr>
      </w:pPr>
      <w:r>
        <w:rPr>
          <w:bCs/>
          <w:b/>
        </w:rPr>
        <w:t xml:space="preserve">Hyperspectral sensors</w:t>
      </w:r>
      <w:r>
        <w:t xml:space="preserve"> </w:t>
      </w:r>
      <w:r>
        <w:t xml:space="preserve">(pushbroom or snapshot imagers capturing tens to hundreds of narrow contiguous bands) provide the spectral resolution needed for early disease detection, species-level weed discrimination, and detailed biochemical (N, chlorophyll, water content) estimation, at the cost of heavier payload, higher data volume, and more complex radiometric calibration.</w:t>
      </w:r>
    </w:p>
    <w:p>
      <w:pPr>
        <w:pStyle w:val="Compact"/>
        <w:numPr>
          <w:ilvl w:val="0"/>
          <w:numId w:val="1332"/>
        </w:numPr>
      </w:pPr>
      <w:r>
        <w:rPr>
          <w:bCs/>
          <w:b/>
        </w:rPr>
        <w:t xml:space="preserve">Thermal sensors</w:t>
      </w:r>
      <w:r>
        <w:t xml:space="preserve"> </w:t>
      </w:r>
      <w:r>
        <w:t xml:space="preserve">(uncooled microbolometer thermal cameras) enable canopy temperature mapping and CWSI computation at the individual-plant or sub-plot scale, critical for precision irrigation scheduling and early water-stress/disease detection.</w:t>
      </w:r>
    </w:p>
    <w:p>
      <w:pPr>
        <w:pStyle w:val="Compact"/>
        <w:numPr>
          <w:ilvl w:val="0"/>
          <w:numId w:val="1332"/>
        </w:numPr>
      </w:pPr>
      <w:r>
        <w:t xml:space="preserve">UAVs also increasingly carry</w:t>
      </w:r>
      <w:r>
        <w:t xml:space="preserve"> </w:t>
      </w:r>
      <w:r>
        <w:rPr>
          <w:bCs/>
          <w:b/>
        </w:rPr>
        <w:t xml:space="preserve">LiDAR</w:t>
      </w:r>
      <w:r>
        <w:t xml:space="preserve"> </w:t>
      </w:r>
      <w:r>
        <w:t xml:space="preserve">(canopy height/structure, useful for biomass and lodging assessment) and combined multi-camera payloads (RGB + multispectral + thermal simultaneously) to enable multi-sensor stress diagnosis in a single flight.</w:t>
      </w:r>
    </w:p>
    <w:p>
      <w:pPr>
        <w:pStyle w:val="Heading3"/>
      </w:pPr>
      <w:r>
        <w:t xml:space="preserve">44.3.2 Proximal Sensing</w:t>
      </w:r>
    </w:p>
    <w:p>
      <w:pPr>
        <w:pStyle w:val="FirstParagraph"/>
      </w:pPr>
      <w:r>
        <w:t xml:space="preserve">Proximal (ground-based, near-contact) sensors provide high-frequency, high-accuracy point or line measurements, often used both as stand-alone real-time VRT triggers and as ground-truth/calibration data for UAV and satellite products:</w:t>
      </w:r>
    </w:p>
    <w:p>
      <w:pPr>
        <w:pStyle w:val="Compact"/>
        <w:numPr>
          <w:ilvl w:val="0"/>
          <w:numId w:val="1333"/>
        </w:numPr>
      </w:pPr>
      <w:r>
        <w:rPr>
          <w:bCs/>
          <w:b/>
        </w:rPr>
        <w:t xml:space="preserve">Handheld field spectroradiometers</w:t>
      </w:r>
      <w:r>
        <w:t xml:space="preserve"> </w:t>
      </w:r>
      <w:r>
        <w:t xml:space="preserve">(e.g., ASD FieldSpec) measure full-range (350–2500 nm) reflectance at leaf or canopy level, serving as the reference-grade instrument for developing and validating new spectral indices.</w:t>
      </w:r>
    </w:p>
    <w:p>
      <w:pPr>
        <w:pStyle w:val="Compact"/>
        <w:numPr>
          <w:ilvl w:val="0"/>
          <w:numId w:val="1333"/>
        </w:numPr>
      </w:pPr>
      <w:r>
        <w:rPr>
          <w:bCs/>
          <w:b/>
        </w:rPr>
        <w:t xml:space="preserve">Active canopy sensors</w:t>
      </w:r>
      <w:r>
        <w:t xml:space="preserve"> </w:t>
      </w:r>
      <w:r>
        <w:t xml:space="preserve">such as</w:t>
      </w:r>
      <w:r>
        <w:t xml:space="preserve"> </w:t>
      </w:r>
      <w:r>
        <w:rPr>
          <w:bCs/>
          <w:b/>
        </w:rPr>
        <w:t xml:space="preserve">GreenSeeker</w:t>
      </w:r>
      <w:r>
        <w:t xml:space="preserve"> </w:t>
      </w:r>
      <w:r>
        <w:t xml:space="preserve">and</w:t>
      </w:r>
      <w:r>
        <w:t xml:space="preserve"> </w:t>
      </w:r>
      <w:r>
        <w:rPr>
          <w:bCs/>
          <w:b/>
        </w:rPr>
        <w:t xml:space="preserve">Crop Circle</w:t>
      </w:r>
      <w:r>
        <w:t xml:space="preserve"> </w:t>
      </w:r>
      <w:r>
        <w:t xml:space="preserve">use their own modulated light source (LEDs at specific red/NIR or red-edge wavelengths) rather than relying on ambient sunlight, making them usable at any time of day and largely insensitive to variable illumination — a major operational advantage for tractor-mounted, real-time, on-the-go N-status sensing and variable-rate fertilizer application in cereals.</w:t>
      </w:r>
    </w:p>
    <w:p>
      <w:pPr>
        <w:pStyle w:val="Compact"/>
        <w:numPr>
          <w:ilvl w:val="0"/>
          <w:numId w:val="1333"/>
        </w:numPr>
      </w:pPr>
      <w:r>
        <w:rPr>
          <w:bCs/>
          <w:b/>
        </w:rPr>
        <w:t xml:space="preserve">Chlorophyll meters</w:t>
      </w:r>
      <w:r>
        <w:t xml:space="preserve"> </w:t>
      </w:r>
      <w:r>
        <w:t xml:space="preserve">(e.g., SPAD meters) provide point-based leaf chlorophyll estimates used to calibrate canopy-level index-to-N relationships.</w:t>
      </w:r>
    </w:p>
    <w:p>
      <w:pPr>
        <w:pStyle w:val="Compact"/>
        <w:numPr>
          <w:ilvl w:val="0"/>
          <w:numId w:val="1333"/>
        </w:numPr>
      </w:pPr>
      <w:r>
        <w:rPr>
          <w:bCs/>
          <w:b/>
        </w:rPr>
        <w:t xml:space="preserve">Proximal soil sensors</w:t>
      </w:r>
      <w:r>
        <w:t xml:space="preserve"> </w:t>
      </w:r>
      <w:r>
        <w:t xml:space="preserve">(EM38 electromagnetic induction for soil EC/salinity and texture, gamma-ray spectrometry for soil mapping, penetrometers for compaction) support the delineation of stable, soil-based management zones that complement dynamic vegetation-index-based zones.</w:t>
      </w:r>
    </w:p>
    <w:p>
      <w:pPr>
        <w:pStyle w:val="Heading3"/>
      </w:pPr>
      <w:r>
        <w:t xml:space="preserve">44.3.3 IoT-Based In-Situ Sensor Networks</w:t>
      </w:r>
    </w:p>
    <w:p>
      <w:pPr>
        <w:pStyle w:val="FirstParagraph"/>
      </w:pPr>
      <w:r>
        <w:t xml:space="preserve">Wireless sensor networks (WSNs) deployed across a field provide continuous, ground-truthed point measurements that satellite/UAV imagery alone cannot deliver:</w:t>
      </w:r>
    </w:p>
    <w:p>
      <w:pPr>
        <w:pStyle w:val="Compact"/>
        <w:numPr>
          <w:ilvl w:val="0"/>
          <w:numId w:val="1334"/>
        </w:numPr>
      </w:pPr>
      <w:r>
        <w:rPr>
          <w:bCs/>
          <w:b/>
        </w:rPr>
        <w:t xml:space="preserve">Soil moisture and soil temperature probes</w:t>
      </w:r>
      <w:r>
        <w:t xml:space="preserve"> </w:t>
      </w:r>
      <w:r>
        <w:t xml:space="preserve">at multiple depths (capacitance/TDR sensors) provide direct root-zone data for irrigation scheduling, complementing satellite/SAR soil-moisture products which have coarser resolution and represent only near-surface moisture.</w:t>
      </w:r>
    </w:p>
    <w:p>
      <w:pPr>
        <w:pStyle w:val="Compact"/>
        <w:numPr>
          <w:ilvl w:val="0"/>
          <w:numId w:val="1334"/>
        </w:numPr>
      </w:pPr>
      <w:r>
        <w:rPr>
          <w:bCs/>
          <w:b/>
        </w:rPr>
        <w:t xml:space="preserve">Micro-weather stations</w:t>
      </w:r>
      <w:r>
        <w:t xml:space="preserve"> </w:t>
      </w:r>
      <w:r>
        <w:t xml:space="preserve">(temperature, humidity, rainfall, wind, solar radiation) distributed across a farm or region capture microclimatic variability relevant to disease-risk models (many fungal disease models require leaf-wetness duration and humidity thresholds) and evapotranspiration estimation.</w:t>
      </w:r>
    </w:p>
    <w:p>
      <w:pPr>
        <w:pStyle w:val="Compact"/>
        <w:numPr>
          <w:ilvl w:val="0"/>
          <w:numId w:val="1334"/>
        </w:numPr>
      </w:pPr>
      <w:r>
        <w:rPr>
          <w:bCs/>
          <w:b/>
        </w:rPr>
        <w:t xml:space="preserve">Canopy/leaf-level IoT sensors</w:t>
      </w:r>
      <w:r>
        <w:t xml:space="preserve"> </w:t>
      </w:r>
      <w:r>
        <w:t xml:space="preserve">(leaf wetness sensors, dendrometers, sap-flow sensors) provide continuous physiological monitoring for high-value crops.</w:t>
      </w:r>
    </w:p>
    <w:p>
      <w:pPr>
        <w:pStyle w:val="Compact"/>
        <w:numPr>
          <w:ilvl w:val="0"/>
          <w:numId w:val="1334"/>
        </w:numPr>
      </w:pPr>
      <w:r>
        <w:t xml:space="preserve">IoT data is transmitted via LPWAN protocols (LoRaWAN, NB-IoT, Sigfox) or cellular/satellite backhaul to cloud platforms, where it is time-synchronized and spatially integrated with remote sensing layers — IoT’s core contribution to PA is</w:t>
      </w:r>
      <w:r>
        <w:t xml:space="preserve"> </w:t>
      </w:r>
      <w:r>
        <w:rPr>
          <w:bCs/>
          <w:b/>
        </w:rPr>
        <w:t xml:space="preserve">temporal density</w:t>
      </w:r>
      <w:r>
        <w:t xml:space="preserve"> </w:t>
      </w:r>
      <w:r>
        <w:t xml:space="preserve">(continuous, near-real-time measurement) that complements the</w:t>
      </w:r>
      <w:r>
        <w:t xml:space="preserve"> </w:t>
      </w:r>
      <w:r>
        <w:rPr>
          <w:bCs/>
          <w:b/>
        </w:rPr>
        <w:t xml:space="preserve">spatial density</w:t>
      </w:r>
      <w:r>
        <w:t xml:space="preserve"> </w:t>
      </w:r>
      <w:r>
        <w:t xml:space="preserve">contributed by imagery.</w:t>
      </w:r>
    </w:p>
    <w:p>
      <w:pPr>
        <w:pStyle w:val="Heading3"/>
      </w:pPr>
      <w:r>
        <w:t xml:space="preserve">44.3.4 Satellite-Based PA — High-Revisit Constellations</w:t>
      </w:r>
    </w:p>
    <w:p>
      <w:pPr>
        <w:pStyle w:val="FirstParagraph"/>
      </w:pPr>
      <w:r>
        <w:t xml:space="preserve">Traditional moderate-resolution satellites (Landsat, 16-day revisit; single-satellite Sentinel-2, 10-day) were historically too infrequent for in-season PA decision-making, especially given frequent cloud cover during critical growth periods. This has been substantially addressed by:</w:t>
      </w:r>
    </w:p>
    <w:p>
      <w:pPr>
        <w:pStyle w:val="Compact"/>
        <w:numPr>
          <w:ilvl w:val="0"/>
          <w:numId w:val="1335"/>
        </w:numPr>
      </w:pPr>
      <w:r>
        <w:rPr>
          <w:bCs/>
          <w:b/>
        </w:rPr>
        <w:t xml:space="preserve">Sentinel-2 (A/B/C constellation)</w:t>
      </w:r>
      <w:r>
        <w:t xml:space="preserve">: 10 m (visible/NIR/red-edge) and 20 m (SWIR/red-edge) resolution, 5-day revisit with the two/three-satellite constellation, and — crucially — dedicated</w:t>
      </w:r>
      <w:r>
        <w:t xml:space="preserve"> </w:t>
      </w:r>
      <w:r>
        <w:rPr>
          <w:bCs/>
          <w:b/>
        </w:rPr>
        <w:t xml:space="preserve">red-edge bands</w:t>
      </w:r>
      <w:r>
        <w:t xml:space="preserve"> </w:t>
      </w:r>
      <w:r>
        <w:t xml:space="preserve">(705, 740, 783 nm) that make it particularly valuable for chlorophyll/N-status indices (NDRE, MTCI) not computable from earlier Landsat-generation sensors.</w:t>
      </w:r>
    </w:p>
    <w:p>
      <w:pPr>
        <w:pStyle w:val="Compact"/>
        <w:numPr>
          <w:ilvl w:val="0"/>
          <w:numId w:val="1335"/>
        </w:numPr>
      </w:pPr>
      <w:r>
        <w:rPr>
          <w:bCs/>
          <w:b/>
        </w:rPr>
        <w:t xml:space="preserve">Planet (PlanetScope/SuperDove)</w:t>
      </w:r>
      <w:r>
        <w:t xml:space="preserve">: A constellation of &gt;150 small satellites (CubeSats,</w:t>
      </w:r>
      <w:r>
        <w:t xml:space="preserve"> </w:t>
      </w:r>
      <w:r>
        <w:t xml:space="preserve">“</w:t>
      </w:r>
      <w:r>
        <w:t xml:space="preserve">Doves</w:t>
      </w:r>
      <w:r>
        <w:t xml:space="preserve">”</w:t>
      </w:r>
      <w:r>
        <w:t xml:space="preserve">) providing</w:t>
      </w:r>
      <w:r>
        <w:t xml:space="preserve"> </w:t>
      </w:r>
      <w:r>
        <w:rPr>
          <w:bCs/>
          <w:b/>
        </w:rPr>
        <w:t xml:space="preserve">daily, global, ~3 m resolution</w:t>
      </w:r>
      <w:r>
        <w:t xml:space="preserve"> </w:t>
      </w:r>
      <w:r>
        <w:t xml:space="preserve">imagery — the highest-revisit optical constellation operationally available for agriculture, enabling near-daily NDVI/crop-condition tracking at a spatial scale close to management-zone resolution, at the cost of somewhat lower radiometric/spectral fidelity than Sentinel-2.</w:t>
      </w:r>
    </w:p>
    <w:p>
      <w:pPr>
        <w:pStyle w:val="Compact"/>
        <w:numPr>
          <w:ilvl w:val="0"/>
          <w:numId w:val="1335"/>
        </w:numPr>
      </w:pPr>
      <w:r>
        <w:rPr>
          <w:bCs/>
          <w:b/>
        </w:rPr>
        <w:t xml:space="preserve">Sentinel-1 SAR constellation</w:t>
      </w:r>
      <w:r>
        <w:t xml:space="preserve">: C-band, 6-day (12-day single satellite) revisit, cloud/illumination-independent, essential for monsoon-season crop-area mapping, flood/waterlogging detection, and soil-moisture retrieval where optical sensors are frequently obstructed by cloud.</w:t>
      </w:r>
    </w:p>
    <w:p>
      <w:pPr>
        <w:pStyle w:val="Compact"/>
        <w:numPr>
          <w:ilvl w:val="0"/>
          <w:numId w:val="1335"/>
        </w:numPr>
      </w:pPr>
      <w:r>
        <w:t xml:space="preserve">Indian assets relevant to this domain include</w:t>
      </w:r>
      <w:r>
        <w:t xml:space="preserve"> </w:t>
      </w:r>
      <w:r>
        <w:rPr>
          <w:bCs/>
          <w:b/>
        </w:rPr>
        <w:t xml:space="preserve">ResourceSat-2/2A (LISS-III/IV, AWiFS)</w:t>
      </w:r>
      <w:r>
        <w:t xml:space="preserve"> </w:t>
      </w:r>
      <w:r>
        <w:t xml:space="preserve">for national-scale crop monitoring (used in FASAL),</w:t>
      </w:r>
      <w:r>
        <w:t xml:space="preserve"> </w:t>
      </w:r>
      <w:r>
        <w:rPr>
          <w:bCs/>
          <w:b/>
        </w:rPr>
        <w:t xml:space="preserve">RISAT/EOS-04</w:t>
      </w:r>
      <w:r>
        <w:t xml:space="preserve"> </w:t>
      </w:r>
      <w:r>
        <w:t xml:space="preserve">SAR satellites for all-weather monitoring, and the NRSC’s NADAMS drought program.</w:t>
      </w:r>
    </w:p>
    <w:p>
      <w:pPr>
        <w:pStyle w:val="Compact"/>
        <w:numPr>
          <w:ilvl w:val="0"/>
          <w:numId w:val="1335"/>
        </w:numPr>
      </w:pPr>
      <w:r>
        <w:t xml:space="preserve">The general PA design principle:</w:t>
      </w:r>
      <w:r>
        <w:t xml:space="preserve"> </w:t>
      </w:r>
      <w:r>
        <w:rPr>
          <w:bCs/>
          <w:b/>
        </w:rPr>
        <w:t xml:space="preserve">coarse-but-frequent</w:t>
      </w:r>
      <w:r>
        <w:t xml:space="preserve"> </w:t>
      </w:r>
      <w:r>
        <w:t xml:space="preserve">satellite/constellation data (Planet, MODIS) is used for continuous field-level anomaly screening and trend monitoring;</w:t>
      </w:r>
      <w:r>
        <w:t xml:space="preserve"> </w:t>
      </w:r>
      <w:r>
        <w:rPr>
          <w:bCs/>
          <w:b/>
        </w:rPr>
        <w:t xml:space="preserve">finer-but-less-frequent</w:t>
      </w:r>
      <w:r>
        <w:t xml:space="preserve"> </w:t>
      </w:r>
      <w:r>
        <w:t xml:space="preserve">data (Sentinel-2, Landsat) for periodic detailed index mapping; and</w:t>
      </w:r>
      <w:r>
        <w:t xml:space="preserve"> </w:t>
      </w:r>
      <w:r>
        <w:rPr>
          <w:bCs/>
          <w:b/>
        </w:rPr>
        <w:t xml:space="preserve">on-demand, very-high-resolution</w:t>
      </w:r>
      <w:r>
        <w:t xml:space="preserve"> </w:t>
      </w:r>
      <w:r>
        <w:t xml:space="preserve">UAV flights for targeted diagnosis and ground-truthing once an anomaly is flagged.</w:t>
      </w:r>
    </w:p>
    <w:p>
      <w:pPr>
        <w:pStyle w:val="Heading3"/>
      </w:pPr>
      <w:r>
        <w:t xml:space="preserve">44.3.5 Table 3 — Sensor Platform Comparison for Precision Agriculture</w:t>
      </w:r>
    </w:p>
    <w:tbl>
      <w:tblPr>
        <w:tblStyle w:val="Table"/>
        <w:tblW w:type="pct" w:w="4954"/>
        <w:jc w:val="left"/>
        <w:tblLook w:firstRow="1" w:lastRow="0" w:firstColumn="0" w:lastColumn="0" w:noHBand="0" w:noVBand="0" w:val="0020"/>
      </w:tblPr>
      <w:tblGrid>
        <w:gridCol w:w="1897"/>
        <w:gridCol w:w="1058"/>
        <w:gridCol w:w="912"/>
        <w:gridCol w:w="1496"/>
        <w:gridCol w:w="2481"/>
      </w:tblGrid>
      <w:tr>
        <w:trPr>
          <w:tblHeader w:val="true"/>
        </w:trPr>
        <w:tc>
          <w:tcPr/>
          <w:p>
            <w:pPr>
              <w:pStyle w:val="Compact"/>
              <w:jc w:val="left"/>
            </w:pPr>
            <w:r>
              <w:t xml:space="preserve">Platform</w:t>
            </w:r>
          </w:p>
        </w:tc>
        <w:tc>
          <w:tcPr/>
          <w:p>
            <w:pPr>
              <w:pStyle w:val="Compact"/>
              <w:jc w:val="left"/>
            </w:pPr>
            <w:r>
              <w:t xml:space="preserve">Typical Spatial Resolution</w:t>
            </w:r>
          </w:p>
        </w:tc>
        <w:tc>
          <w:tcPr/>
          <w:p>
            <w:pPr>
              <w:pStyle w:val="Compact"/>
              <w:jc w:val="left"/>
            </w:pPr>
            <w:r>
              <w:t xml:space="preserve">Typical Revisit</w:t>
            </w:r>
          </w:p>
        </w:tc>
        <w:tc>
          <w:tcPr/>
          <w:p>
            <w:pPr>
              <w:pStyle w:val="Compact"/>
              <w:jc w:val="left"/>
            </w:pPr>
            <w:r>
              <w:t xml:space="preserve">Spectral Capability</w:t>
            </w:r>
          </w:p>
        </w:tc>
        <w:tc>
          <w:tcPr/>
          <w:p>
            <w:pPr>
              <w:pStyle w:val="Compact"/>
              <w:jc w:val="left"/>
            </w:pPr>
            <w:r>
              <w:t xml:space="preserve">Best Suited For</w:t>
            </w:r>
          </w:p>
        </w:tc>
      </w:tr>
      <w:tr>
        <w:tc>
          <w:tcPr/>
          <w:p>
            <w:pPr>
              <w:pStyle w:val="Compact"/>
              <w:jc w:val="left"/>
            </w:pPr>
            <w:r>
              <w:t xml:space="preserve">PlanetScope (SuperDove)</w:t>
            </w:r>
          </w:p>
        </w:tc>
        <w:tc>
          <w:tcPr/>
          <w:p>
            <w:pPr>
              <w:pStyle w:val="Compact"/>
              <w:jc w:val="left"/>
            </w:pPr>
            <w:r>
              <w:t xml:space="preserve">~3 m</w:t>
            </w:r>
          </w:p>
        </w:tc>
        <w:tc>
          <w:tcPr/>
          <w:p>
            <w:pPr>
              <w:pStyle w:val="Compact"/>
              <w:jc w:val="left"/>
            </w:pPr>
            <w:r>
              <w:t xml:space="preserve">Daily</w:t>
            </w:r>
          </w:p>
        </w:tc>
        <w:tc>
          <w:tcPr/>
          <w:p>
            <w:pPr>
              <w:pStyle w:val="Compact"/>
              <w:jc w:val="left"/>
            </w:pPr>
            <w:r>
              <w:t xml:space="preserve">8-band multispectral (incl. red-edge)</w:t>
            </w:r>
          </w:p>
        </w:tc>
        <w:tc>
          <w:tcPr/>
          <w:p>
            <w:pPr>
              <w:pStyle w:val="Compact"/>
              <w:jc w:val="left"/>
            </w:pPr>
            <w:r>
              <w:t xml:space="preserve">Frequent field-level anomaly/condition tracking</w:t>
            </w:r>
          </w:p>
        </w:tc>
      </w:tr>
      <w:tr>
        <w:tc>
          <w:tcPr/>
          <w:p>
            <w:pPr>
              <w:pStyle w:val="Compact"/>
              <w:jc w:val="left"/>
            </w:pPr>
            <w:r>
              <w:t xml:space="preserve">Sentinel-2</w:t>
            </w:r>
          </w:p>
        </w:tc>
        <w:tc>
          <w:tcPr/>
          <w:p>
            <w:pPr>
              <w:pStyle w:val="Compact"/>
              <w:jc w:val="left"/>
            </w:pPr>
            <w:r>
              <w:t xml:space="preserve">10–20 m</w:t>
            </w:r>
          </w:p>
        </w:tc>
        <w:tc>
          <w:tcPr/>
          <w:p>
            <w:pPr>
              <w:pStyle w:val="Compact"/>
              <w:jc w:val="left"/>
            </w:pPr>
            <w:r>
              <w:t xml:space="preserve">5 days (constellation)</w:t>
            </w:r>
          </w:p>
        </w:tc>
        <w:tc>
          <w:tcPr/>
          <w:p>
            <w:pPr>
              <w:pStyle w:val="Compact"/>
              <w:jc w:val="left"/>
            </w:pPr>
            <w:r>
              <w:t xml:space="preserve">13-band incl. 3 red-edge bands</w:t>
            </w:r>
          </w:p>
        </w:tc>
        <w:tc>
          <w:tcPr/>
          <w:p>
            <w:pPr>
              <w:pStyle w:val="Compact"/>
              <w:jc w:val="left"/>
            </w:pPr>
            <w:r>
              <w:t xml:space="preserve">Chlorophyll/N status, standard PA indices</w:t>
            </w:r>
          </w:p>
        </w:tc>
      </w:tr>
      <w:tr>
        <w:tc>
          <w:tcPr/>
          <w:p>
            <w:pPr>
              <w:pStyle w:val="Compact"/>
              <w:jc w:val="left"/>
            </w:pPr>
            <w:r>
              <w:t xml:space="preserve">Sentinel-1 SAR</w:t>
            </w:r>
          </w:p>
        </w:tc>
        <w:tc>
          <w:tcPr/>
          <w:p>
            <w:pPr>
              <w:pStyle w:val="Compact"/>
              <w:jc w:val="left"/>
            </w:pPr>
            <w:r>
              <w:t xml:space="preserve">10–20 m</w:t>
            </w:r>
          </w:p>
        </w:tc>
        <w:tc>
          <w:tcPr/>
          <w:p>
            <w:pPr>
              <w:pStyle w:val="Compact"/>
              <w:jc w:val="left"/>
            </w:pPr>
            <w:r>
              <w:t xml:space="preserve">6–12 days</w:t>
            </w:r>
          </w:p>
        </w:tc>
        <w:tc>
          <w:tcPr/>
          <w:p>
            <w:pPr>
              <w:pStyle w:val="Compact"/>
              <w:jc w:val="left"/>
            </w:pPr>
            <w:r>
              <w:t xml:space="preserve">C-band VV/VH</w:t>
            </w:r>
          </w:p>
        </w:tc>
        <w:tc>
          <w:tcPr/>
          <w:p>
            <w:pPr>
              <w:pStyle w:val="Compact"/>
              <w:jc w:val="left"/>
            </w:pPr>
            <w:r>
              <w:t xml:space="preserve">Flood/waterlogging, soil moisture, all-weather monitoring</w:t>
            </w:r>
          </w:p>
        </w:tc>
      </w:tr>
      <w:tr>
        <w:tc>
          <w:tcPr/>
          <w:p>
            <w:pPr>
              <w:pStyle w:val="Compact"/>
              <w:jc w:val="left"/>
            </w:pPr>
            <w:r>
              <w:t xml:space="preserve">ResourceSat-2/2A (LISS/AWiFS)</w:t>
            </w:r>
          </w:p>
        </w:tc>
        <w:tc>
          <w:tcPr/>
          <w:p>
            <w:pPr>
              <w:pStyle w:val="Compact"/>
              <w:jc w:val="left"/>
            </w:pPr>
            <w:r>
              <w:t xml:space="preserve">5.8–56 m</w:t>
            </w:r>
          </w:p>
        </w:tc>
        <w:tc>
          <w:tcPr/>
          <w:p>
            <w:pPr>
              <w:pStyle w:val="Compact"/>
              <w:jc w:val="left"/>
            </w:pPr>
            <w:r>
              <w:t xml:space="preserve">5–24 days</w:t>
            </w:r>
          </w:p>
        </w:tc>
        <w:tc>
          <w:tcPr/>
          <w:p>
            <w:pPr>
              <w:pStyle w:val="Compact"/>
              <w:jc w:val="left"/>
            </w:pPr>
            <w:r>
              <w:t xml:space="preserve">Multispectral</w:t>
            </w:r>
          </w:p>
        </w:tc>
        <w:tc>
          <w:tcPr/>
          <w:p>
            <w:pPr>
              <w:pStyle w:val="Compact"/>
              <w:jc w:val="left"/>
            </w:pPr>
            <w:r>
              <w:t xml:space="preserve">National/regional crop area &amp; drought monitoring (India)</w:t>
            </w:r>
          </w:p>
        </w:tc>
      </w:tr>
      <w:tr>
        <w:tc>
          <w:tcPr/>
          <w:p>
            <w:pPr>
              <w:pStyle w:val="Compact"/>
              <w:jc w:val="left"/>
            </w:pPr>
            <w:r>
              <w:t xml:space="preserve">MODIS/AVHRR</w:t>
            </w:r>
          </w:p>
        </w:tc>
        <w:tc>
          <w:tcPr/>
          <w:p>
            <w:pPr>
              <w:pStyle w:val="Compact"/>
              <w:jc w:val="left"/>
            </w:pPr>
            <w:r>
              <w:t xml:space="preserve">250 m–1 km</w:t>
            </w:r>
          </w:p>
        </w:tc>
        <w:tc>
          <w:tcPr/>
          <w:p>
            <w:pPr>
              <w:pStyle w:val="Compact"/>
              <w:jc w:val="left"/>
            </w:pPr>
            <w:r>
              <w:t xml:space="preserve">Daily</w:t>
            </w:r>
          </w:p>
        </w:tc>
        <w:tc>
          <w:tcPr/>
          <w:p>
            <w:pPr>
              <w:pStyle w:val="Compact"/>
              <w:jc w:val="left"/>
            </w:pPr>
            <w:r>
              <w:t xml:space="preserve">Multispectral + thermal</w:t>
            </w:r>
          </w:p>
        </w:tc>
        <w:tc>
          <w:tcPr/>
          <w:p>
            <w:pPr>
              <w:pStyle w:val="Compact"/>
              <w:jc w:val="left"/>
            </w:pPr>
            <w:r>
              <w:t xml:space="preserve">Regional drought indices (VCI/TCI/VHI), large-area trend</w:t>
            </w:r>
          </w:p>
        </w:tc>
      </w:tr>
      <w:tr>
        <w:tc>
          <w:tcPr/>
          <w:p>
            <w:pPr>
              <w:pStyle w:val="Compact"/>
              <w:jc w:val="left"/>
            </w:pPr>
            <w:r>
              <w:t xml:space="preserve">UAV multispectral</w:t>
            </w:r>
          </w:p>
        </w:tc>
        <w:tc>
          <w:tcPr/>
          <w:p>
            <w:pPr>
              <w:pStyle w:val="Compact"/>
              <w:jc w:val="left"/>
            </w:pPr>
            <w:r>
              <w:t xml:space="preserve">cm-level</w:t>
            </w:r>
          </w:p>
        </w:tc>
        <w:tc>
          <w:tcPr/>
          <w:p>
            <w:pPr>
              <w:pStyle w:val="Compact"/>
              <w:jc w:val="left"/>
            </w:pPr>
            <w:r>
              <w:t xml:space="preserve">On-demand</w:t>
            </w:r>
          </w:p>
        </w:tc>
        <w:tc>
          <w:tcPr/>
          <w:p>
            <w:pPr>
              <w:pStyle w:val="Compact"/>
              <w:jc w:val="left"/>
            </w:pPr>
            <w:r>
              <w:t xml:space="preserve">4–10 discrete bands</w:t>
            </w:r>
          </w:p>
        </w:tc>
        <w:tc>
          <w:tcPr/>
          <w:p>
            <w:pPr>
              <w:pStyle w:val="Compact"/>
              <w:jc w:val="left"/>
            </w:pPr>
            <w:r>
              <w:t xml:space="preserve">Farm/plot-level N status, biomass, stress mapping</w:t>
            </w:r>
          </w:p>
        </w:tc>
      </w:tr>
      <w:tr>
        <w:tc>
          <w:tcPr/>
          <w:p>
            <w:pPr>
              <w:pStyle w:val="Compact"/>
              <w:jc w:val="left"/>
            </w:pPr>
            <w:r>
              <w:t xml:space="preserve">UAV hyperspectral</w:t>
            </w:r>
          </w:p>
        </w:tc>
        <w:tc>
          <w:tcPr/>
          <w:p>
            <w:pPr>
              <w:pStyle w:val="Compact"/>
              <w:jc w:val="left"/>
            </w:pPr>
            <w:r>
              <w:t xml:space="preserve">cm-level</w:t>
            </w:r>
          </w:p>
        </w:tc>
        <w:tc>
          <w:tcPr/>
          <w:p>
            <w:pPr>
              <w:pStyle w:val="Compact"/>
              <w:jc w:val="left"/>
            </w:pPr>
            <w:r>
              <w:t xml:space="preserve">On-demand</w:t>
            </w:r>
          </w:p>
        </w:tc>
        <w:tc>
          <w:tcPr/>
          <w:p>
            <w:pPr>
              <w:pStyle w:val="Compact"/>
              <w:jc w:val="left"/>
            </w:pPr>
            <w:r>
              <w:t xml:space="preserve">Tens–hundreds of narrow bands</w:t>
            </w:r>
          </w:p>
        </w:tc>
        <w:tc>
          <w:tcPr/>
          <w:p>
            <w:pPr>
              <w:pStyle w:val="Compact"/>
              <w:jc w:val="left"/>
            </w:pPr>
            <w:r>
              <w:t xml:space="preserve">Early disease detection, weed species discrimination</w:t>
            </w:r>
          </w:p>
        </w:tc>
      </w:tr>
      <w:tr>
        <w:tc>
          <w:tcPr/>
          <w:p>
            <w:pPr>
              <w:pStyle w:val="Compact"/>
              <w:jc w:val="left"/>
            </w:pPr>
            <w:r>
              <w:t xml:space="preserve">UAV thermal</w:t>
            </w:r>
          </w:p>
        </w:tc>
        <w:tc>
          <w:tcPr/>
          <w:p>
            <w:pPr>
              <w:pStyle w:val="Compact"/>
              <w:jc w:val="left"/>
            </w:pPr>
            <w:r>
              <w:t xml:space="preserve">cm–dm level</w:t>
            </w:r>
          </w:p>
        </w:tc>
        <w:tc>
          <w:tcPr/>
          <w:p>
            <w:pPr>
              <w:pStyle w:val="Compact"/>
              <w:jc w:val="left"/>
            </w:pPr>
            <w:r>
              <w:t xml:space="preserve">On-demand</w:t>
            </w:r>
          </w:p>
        </w:tc>
        <w:tc>
          <w:tcPr/>
          <w:p>
            <w:pPr>
              <w:pStyle w:val="Compact"/>
              <w:jc w:val="left"/>
            </w:pPr>
            <w:r>
              <w:t xml:space="preserve">Thermal IR</w:t>
            </w:r>
          </w:p>
        </w:tc>
        <w:tc>
          <w:tcPr/>
          <w:p>
            <w:pPr>
              <w:pStyle w:val="Compact"/>
              <w:jc w:val="left"/>
            </w:pPr>
            <w:r>
              <w:t xml:space="preserve">CWSI, irrigation scheduling, early water-stress/disease detection</w:t>
            </w:r>
          </w:p>
        </w:tc>
      </w:tr>
      <w:tr>
        <w:tc>
          <w:tcPr/>
          <w:p>
            <w:pPr>
              <w:pStyle w:val="Compact"/>
              <w:jc w:val="left"/>
            </w:pPr>
            <w:r>
              <w:t xml:space="preserve">Proximal active sensors (GreenSeeker/Crop Circle)</w:t>
            </w:r>
          </w:p>
        </w:tc>
        <w:tc>
          <w:tcPr/>
          <w:p>
            <w:pPr>
              <w:pStyle w:val="Compact"/>
              <w:jc w:val="left"/>
            </w:pPr>
            <w:r>
              <w:t xml:space="preserve">Point/line (on-the-go)</w:t>
            </w:r>
          </w:p>
        </w:tc>
        <w:tc>
          <w:tcPr/>
          <w:p>
            <w:pPr>
              <w:pStyle w:val="Compact"/>
              <w:jc w:val="left"/>
            </w:pPr>
            <w:r>
              <w:t xml:space="preserve">Continuous during pass</w:t>
            </w:r>
          </w:p>
        </w:tc>
        <w:tc>
          <w:tcPr/>
          <w:p>
            <w:pPr>
              <w:pStyle w:val="Compact"/>
              <w:jc w:val="left"/>
            </w:pPr>
            <w:r>
              <w:t xml:space="preserve">2–3 discrete bands (own light source)</w:t>
            </w:r>
          </w:p>
        </w:tc>
        <w:tc>
          <w:tcPr/>
          <w:p>
            <w:pPr>
              <w:pStyle w:val="Compact"/>
              <w:jc w:val="left"/>
            </w:pPr>
            <w:r>
              <w:t xml:space="preserve">Real-time N sufficiency index, VRT fertilizer control</w:t>
            </w:r>
          </w:p>
        </w:tc>
      </w:tr>
      <w:tr>
        <w:tc>
          <w:tcPr/>
          <w:p>
            <w:pPr>
              <w:pStyle w:val="Compact"/>
              <w:jc w:val="left"/>
            </w:pPr>
            <w:r>
              <w:t xml:space="preserve">IoT soil/weather sensors</w:t>
            </w:r>
          </w:p>
        </w:tc>
        <w:tc>
          <w:tcPr/>
          <w:p>
            <w:pPr>
              <w:pStyle w:val="Compact"/>
              <w:jc w:val="left"/>
            </w:pPr>
            <w:r>
              <w:t xml:space="preserve">Point</w:t>
            </w:r>
          </w:p>
        </w:tc>
        <w:tc>
          <w:tcPr/>
          <w:p>
            <w:pPr>
              <w:pStyle w:val="Compact"/>
              <w:jc w:val="left"/>
            </w:pPr>
            <w:r>
              <w:t xml:space="preserve">Continuous (minutes)</w:t>
            </w:r>
          </w:p>
        </w:tc>
        <w:tc>
          <w:tcPr/>
          <w:p>
            <w:pPr>
              <w:pStyle w:val="Compact"/>
              <w:jc w:val="left"/>
            </w:pPr>
            <w:r>
              <w:t xml:space="preserve">N/A (physical sensors)</w:t>
            </w:r>
          </w:p>
        </w:tc>
        <w:tc>
          <w:tcPr/>
          <w:p>
            <w:pPr>
              <w:pStyle w:val="Compact"/>
              <w:jc w:val="left"/>
            </w:pPr>
            <w:r>
              <w:t xml:space="preserve">Root-zone soil moisture, microclimate, disease-risk models</w:t>
            </w:r>
          </w:p>
        </w:tc>
      </w:tr>
    </w:tbl>
    <w:p>
      <w:pPr>
        <w:pStyle w:val="Heading2"/>
      </w:pPr>
      <w:r>
        <w:t xml:space="preserve">44.4 Variable Rate Technology (VRT)</w:t>
      </w:r>
    </w:p>
    <w:p>
      <w:pPr>
        <w:pStyle w:val="FirstParagraph"/>
      </w:pPr>
      <w:r>
        <w:t xml:space="preserve">Variable Rate Technology is the actuation layer that converts remote-sensing/proximal-sensing-derived spatial information into differentiated field operations, and represents the practical payoff of the entire PA sensing chain:</w:t>
      </w:r>
    </w:p>
    <w:p>
      <w:pPr>
        <w:pStyle w:val="Compact"/>
        <w:numPr>
          <w:ilvl w:val="0"/>
          <w:numId w:val="1336"/>
        </w:numPr>
      </w:pPr>
      <w:r>
        <w:rPr>
          <w:bCs/>
          <w:b/>
        </w:rPr>
        <w:t xml:space="preserve">Management zone delineation</w:t>
      </w:r>
      <w:r>
        <w:t xml:space="preserve">: Multi-year satellite/UAV vegetation-index composites, yield-monitor data, soil-sampling grids, and terrain attributes (elevation, slope, topographic wetness index) are combined — typically via unsupervised clustering (k-means, fuzzy c-means) or supervised zoning — to delineate relatively homogeneous</w:t>
      </w:r>
      <w:r>
        <w:t xml:space="preserve"> </w:t>
      </w:r>
      <w:r>
        <w:rPr>
          <w:bCs/>
          <w:b/>
        </w:rPr>
        <w:t xml:space="preserve">management zones</w:t>
      </w:r>
      <w:r>
        <w:t xml:space="preserve"> </w:t>
      </w:r>
      <w:r>
        <w:t xml:space="preserve">within a field, each assigned a differentiated input-application rate.</w:t>
      </w:r>
    </w:p>
    <w:p>
      <w:pPr>
        <w:pStyle w:val="Compact"/>
        <w:numPr>
          <w:ilvl w:val="0"/>
          <w:numId w:val="1336"/>
        </w:numPr>
      </w:pPr>
      <w:r>
        <w:rPr>
          <w:bCs/>
          <w:b/>
        </w:rPr>
        <w:t xml:space="preserve">Variable-rate fertilizer application</w:t>
      </w:r>
      <w:r>
        <w:t xml:space="preserve">: The dominant VRT application, using either (a)</w:t>
      </w:r>
      <w:r>
        <w:t xml:space="preserve"> </w:t>
      </w:r>
      <w:r>
        <w:rPr>
          <w:bCs/>
          <w:b/>
        </w:rPr>
        <w:t xml:space="preserve">map-based control</w:t>
      </w:r>
      <w:r>
        <w:t xml:space="preserve">, where a prescription map (often an N-recommendation surface derived from NDRE/canopy-N models, soil test results, and yield-goal models) is loaded into the applicator’s GPS-guided controller, or (b)</w:t>
      </w:r>
      <w:r>
        <w:t xml:space="preserve"> </w:t>
      </w:r>
      <w:r>
        <w:rPr>
          <w:bCs/>
          <w:b/>
        </w:rPr>
        <w:t xml:space="preserve">sensor-based (real-time) control</w:t>
      </w:r>
      <w:r>
        <w:t xml:space="preserve">, where an on-the-go optical sensor (GreenSeeker/Crop Circle/OptRx) measures canopy NDVI/NDRE continuously and the controller adjusts the fertilizer rate instantaneously as the applicator moves through the field, without a pre-built map — the sensor-based approach is particularly valued for topdress N application in cereals because it responds to actual, current-season crop status rather than historical zones.</w:t>
      </w:r>
    </w:p>
    <w:p>
      <w:pPr>
        <w:pStyle w:val="Compact"/>
        <w:numPr>
          <w:ilvl w:val="0"/>
          <w:numId w:val="1336"/>
        </w:numPr>
      </w:pPr>
      <w:r>
        <w:rPr>
          <w:bCs/>
          <w:b/>
        </w:rPr>
        <w:t xml:space="preserve">Variable-rate pesticide/herbicide application</w:t>
      </w:r>
      <w:r>
        <w:t xml:space="preserve">: Weed maps and disease-severity maps drive spot/patch spraying, restricting herbicide/fungicide application to detected infestation zones — demonstrated to reduce herbicide usage by a large margin (commonly cited savings in the 30–70% range depending on weed patchiness) relative to blanket spraying, while also reducing off-target chemical load and resistance-selection pressure.</w:t>
      </w:r>
    </w:p>
    <w:p>
      <w:pPr>
        <w:pStyle w:val="Compact"/>
        <w:numPr>
          <w:ilvl w:val="0"/>
          <w:numId w:val="1336"/>
        </w:numPr>
      </w:pPr>
      <w:r>
        <w:rPr>
          <w:bCs/>
          <w:b/>
        </w:rPr>
        <w:t xml:space="preserve">Variable-rate irrigation (VRI)</w:t>
      </w:r>
      <w:r>
        <w:t xml:space="preserve">: Center-pivot and drip systems equipped with individually controllable sprinkler/emitter zones adjust water application according to CWSI maps, soil-moisture zone data, or ET-based water-balance models, addressing within-field variability in soil water-holding capacity and topography-driven runoff/ponding.</w:t>
      </w:r>
    </w:p>
    <w:p>
      <w:pPr>
        <w:pStyle w:val="Compact"/>
        <w:numPr>
          <w:ilvl w:val="0"/>
          <w:numId w:val="1336"/>
        </w:numPr>
      </w:pPr>
      <w:r>
        <w:rPr>
          <w:bCs/>
          <w:b/>
        </w:rPr>
        <w:t xml:space="preserve">Variable-rate seeding</w:t>
      </w:r>
      <w:r>
        <w:t xml:space="preserve">: Though less directly tied to stress monitoring, seeding-rate prescriptions are increasingly derived from the same management-zone layers to optimize plant population against zone-specific yield potential.</w:t>
      </w:r>
    </w:p>
    <w:p>
      <w:pPr>
        <w:pStyle w:val="FirstParagraph"/>
      </w:pPr>
      <w:r>
        <w:t xml:space="preserve">The overarching principle linking Sections 2–3 to Section 5 is that</w:t>
      </w:r>
      <w:r>
        <w:t xml:space="preserve"> </w:t>
      </w:r>
      <w:r>
        <w:rPr>
          <w:bCs/>
          <w:b/>
        </w:rPr>
        <w:t xml:space="preserve">stress-detection outputs (drought/salinity/N/disease/weed maps) are the direct input layers for VRT prescription generation</w:t>
      </w:r>
      <w:r>
        <w:t xml:space="preserve"> </w:t>
      </w:r>
      <w:r>
        <w:t xml:space="preserve">— the entire value proposition of remote-sensing-based PA rests on this translation from detection to differentiated, site-specific action.</w:t>
      </w:r>
    </w:p>
    <w:p>
      <w:pPr>
        <w:pStyle w:val="Heading2"/>
      </w:pPr>
      <w:r>
        <w:t xml:space="preserve">44.5 Data Fusion for Integrated Decision Support</w:t>
      </w:r>
    </w:p>
    <w:p>
      <w:pPr>
        <w:pStyle w:val="FirstParagraph"/>
      </w:pPr>
      <w:r>
        <w:t xml:space="preserve">No single sensor or platform provides a complete picture of crop stress; operational PA decision-support systems (DSS) increasingly rely on</w:t>
      </w:r>
      <w:r>
        <w:t xml:space="preserve"> </w:t>
      </w:r>
      <w:r>
        <w:rPr>
          <w:bCs/>
          <w:b/>
        </w:rPr>
        <w:t xml:space="preserve">multi-source data fusion</w:t>
      </w:r>
      <w:r>
        <w:t xml:space="preserve">:</w:t>
      </w:r>
    </w:p>
    <w:p>
      <w:pPr>
        <w:pStyle w:val="Compact"/>
        <w:numPr>
          <w:ilvl w:val="0"/>
          <w:numId w:val="1337"/>
        </w:numPr>
      </w:pPr>
      <w:r>
        <w:rPr>
          <w:bCs/>
          <w:b/>
        </w:rPr>
        <w:t xml:space="preserve">Satellite + UAV fusion</w:t>
      </w:r>
      <w:r>
        <w:t xml:space="preserve">: Satellite time series (Sentinel-2/Planet) provide continuous, field-wide temporal context and anomaly screening; UAV flights are triggered selectively (on anomaly detection or at critical growth stages) to provide fine-scale diagnostic imagery (multispectral/hyperspectral/thermal) over flagged zones — a tiered, cost-efficient monitoring strategy.</w:t>
      </w:r>
    </w:p>
    <w:p>
      <w:pPr>
        <w:pStyle w:val="Compact"/>
        <w:numPr>
          <w:ilvl w:val="0"/>
          <w:numId w:val="1337"/>
        </w:numPr>
      </w:pPr>
      <w:r>
        <w:rPr>
          <w:bCs/>
          <w:b/>
        </w:rPr>
        <w:t xml:space="preserve">Optical + SAR fusion</w:t>
      </w:r>
      <w:r>
        <w:t xml:space="preserve">: Combining optical vegetation indices with SAR backscatter/soil-moisture data overcomes cloud-cover gaps (critical during monsoon cropping seasons) and adds structural/moisture information.</w:t>
      </w:r>
    </w:p>
    <w:p>
      <w:pPr>
        <w:pStyle w:val="Compact"/>
        <w:numPr>
          <w:ilvl w:val="0"/>
          <w:numId w:val="1337"/>
        </w:numPr>
      </w:pPr>
      <w:r>
        <w:rPr>
          <w:bCs/>
          <w:b/>
        </w:rPr>
        <w:t xml:space="preserve">Remote sensing + ground/IoT sensor fusion</w:t>
      </w:r>
      <w:r>
        <w:t xml:space="preserve">: Point-based IoT soil-moisture, weather, and canopy sensors are used both to calibrate/validate satellite and UAV-derived stress indices (ground truth) and to fill temporal gaps between satellite overpasses, while remote sensing extrapolates the point measurements to full-field/regional spatial coverage — a classic</w:t>
      </w:r>
      <w:r>
        <w:t xml:space="preserve"> </w:t>
      </w:r>
      <w:r>
        <w:t xml:space="preserve">“</w:t>
      </w:r>
      <w:r>
        <w:t xml:space="preserve">upscaling</w:t>
      </w:r>
      <w:r>
        <w:t xml:space="preserve">”</w:t>
      </w:r>
      <w:r>
        <w:t xml:space="preserve"> </w:t>
      </w:r>
      <w:r>
        <w:t xml:space="preserve">data-assimilation problem often addressed via geostatistical interpolation (kriging) or machine-learning regression (random forest, Gaussian process) trained on co-located sensor and imagery data.</w:t>
      </w:r>
    </w:p>
    <w:p>
      <w:pPr>
        <w:pStyle w:val="Compact"/>
        <w:numPr>
          <w:ilvl w:val="0"/>
          <w:numId w:val="1337"/>
        </w:numPr>
      </w:pPr>
      <w:r>
        <w:rPr>
          <w:bCs/>
          <w:b/>
        </w:rPr>
        <w:t xml:space="preserve">Weather data integration</w:t>
      </w:r>
      <w:r>
        <w:t xml:space="preserve">: Numerical weather prediction (rainfall forecast, temperature, humidity, wind) and historical climatology are combined with real-time sensing to drive crop-growth-model-based decision support (e.g., DSSAT, APSIM, InfoCrop) for forward-looking recommendations (irrigation scheduling, disease-risk forecasting based on leaf-wetness/humidity thresholds, spray-timing windows), rather than purely reactive, current-condition-based recommendations.</w:t>
      </w:r>
    </w:p>
    <w:p>
      <w:pPr>
        <w:pStyle w:val="Compact"/>
        <w:numPr>
          <w:ilvl w:val="0"/>
          <w:numId w:val="1337"/>
        </w:numPr>
      </w:pPr>
      <w:r>
        <w:rPr>
          <w:bCs/>
          <w:b/>
        </w:rPr>
        <w:t xml:space="preserve">Machine learning / AI-based fusion frameworks</w:t>
      </w:r>
      <w:r>
        <w:t xml:space="preserve">: Increasingly, DSS architectures use ensemble or deep-learning models (e.g., multi-modal CNNs, random forest stacking) that ingest satellite time series, UAV imagery, IoT sensor streams, and weather data jointly to output integrated stress-risk scores, yield forecasts, and prescription maps, rather than treating each data source as a separate, manually interpreted layer.</w:t>
      </w:r>
    </w:p>
    <w:p>
      <w:pPr>
        <w:pStyle w:val="Compact"/>
        <w:numPr>
          <w:ilvl w:val="0"/>
          <w:numId w:val="1337"/>
        </w:numPr>
      </w:pPr>
      <w:r>
        <w:t xml:space="preserve">The practical architecture for an integrated DSS typically comprises: a</w:t>
      </w:r>
      <w:r>
        <w:t xml:space="preserve"> </w:t>
      </w:r>
      <w:r>
        <w:rPr>
          <w:bCs/>
          <w:b/>
        </w:rPr>
        <w:t xml:space="preserve">data ingestion layer</w:t>
      </w:r>
      <w:r>
        <w:t xml:space="preserve"> </w:t>
      </w:r>
      <w:r>
        <w:t xml:space="preserve">(satellite APIs, UAV image processing pipelines, IoT telemetry, weather APIs) → a</w:t>
      </w:r>
      <w:r>
        <w:t xml:space="preserve"> </w:t>
      </w:r>
      <w:r>
        <w:rPr>
          <w:bCs/>
          <w:b/>
        </w:rPr>
        <w:t xml:space="preserve">data harmonization/GIS layer</w:t>
      </w:r>
      <w:r>
        <w:t xml:space="preserve"> </w:t>
      </w:r>
      <w:r>
        <w:t xml:space="preserve">(common spatial reference, temporal alignment) → an</w:t>
      </w:r>
      <w:r>
        <w:t xml:space="preserve"> </w:t>
      </w:r>
      <w:r>
        <w:rPr>
          <w:bCs/>
          <w:b/>
        </w:rPr>
        <w:t xml:space="preserve">analytics layer</w:t>
      </w:r>
      <w:r>
        <w:t xml:space="preserve"> </w:t>
      </w:r>
      <w:r>
        <w:t xml:space="preserve">(index computation, ML classifiers, crop models) → and a</w:t>
      </w:r>
      <w:r>
        <w:t xml:space="preserve"> </w:t>
      </w:r>
      <w:r>
        <w:rPr>
          <w:bCs/>
          <w:b/>
        </w:rPr>
        <w:t xml:space="preserve">decision/visualization layer</w:t>
      </w:r>
      <w:r>
        <w:t xml:space="preserve"> </w:t>
      </w:r>
      <w:r>
        <w:t xml:space="preserve">(farmer-facing dashboards, automated VRT prescription file generation, alert systems).</w:t>
      </w:r>
    </w:p>
    <w:p>
      <w:pPr>
        <w:pStyle w:val="Heading2"/>
      </w:pPr>
      <w:r>
        <w:t xml:space="preserve">44.6 The Core Precision-Agriculture Workflow</w:t>
      </w:r>
    </w:p>
    <w:p>
      <w:pPr>
        <w:pStyle w:val="Compact"/>
        <w:numPr>
          <w:ilvl w:val="0"/>
          <w:numId w:val="1338"/>
        </w:numPr>
      </w:pPr>
      <w:r>
        <w:rPr>
          <w:bCs/>
          <w:b/>
        </w:rPr>
        <w:t xml:space="preserve">Variability mapping</w:t>
      </w:r>
      <w:r>
        <w:t xml:space="preserve"> </w:t>
      </w:r>
      <w:r>
        <w:t xml:space="preserve">— characterising within-field spatial variability in soil properties (via the fine-scale, 1:10,000-class soil mapping and kriging-interpolated soil-property surfaces of Chapters 4–5), crop vigour/stress (via LISS-IV/Cartosat-2S high-resolution vegetation-index time series, Chapter 3, Section 3.2.2, or, at even finer scale, drone/UAV-based multispectral imagery), and yield (via combine-harvester-mounted yield monitors, which record instantaneous grain-flow rate and moisture content georeferenced by an onboard GNSS receiver, producing a high-density point yield map).</w:t>
      </w:r>
    </w:p>
    <w:p>
      <w:pPr>
        <w:pStyle w:val="Compact"/>
        <w:numPr>
          <w:ilvl w:val="0"/>
          <w:numId w:val="1338"/>
        </w:numPr>
      </w:pPr>
      <w:r>
        <w:rPr>
          <w:bCs/>
          <w:b/>
        </w:rPr>
        <w:t xml:space="preserve">Management-zone delineation</w:t>
      </w:r>
      <w:r>
        <w:t xml:space="preserve"> </w:t>
      </w:r>
      <w:r>
        <w:t xml:space="preserve">— clustering/classifying the field into a small number of relatively homogeneous management zones using the variability layers above (often via unsupervised classification or clustering algorithms, Chapter 18, Section 18.1, applied to a stacked multi-layer dataset of soil, terrain and vegetation-index variables), the same underlying delineation logic as the</w:t>
      </w:r>
      <w:r>
        <w:t xml:space="preserve"> </w:t>
      </w:r>
      <w:r>
        <w:t xml:space="preserve">“</w:t>
      </w:r>
      <w:r>
        <w:t xml:space="preserve">homogeneous management zones for macro-nutrient management</w:t>
      </w:r>
      <w:r>
        <w:t xml:space="preserve">”</w:t>
      </w:r>
      <w:r>
        <w:t xml:space="preserve"> </w:t>
      </w:r>
      <w:r>
        <w:t xml:space="preserve">pilot studies referenced in the relevant chapter.</w:t>
      </w:r>
    </w:p>
    <w:p>
      <w:pPr>
        <w:pStyle w:val="Compact"/>
        <w:numPr>
          <w:ilvl w:val="0"/>
          <w:numId w:val="1338"/>
        </w:numPr>
      </w:pPr>
      <w:r>
        <w:rPr>
          <w:bCs/>
          <w:b/>
        </w:rPr>
        <w:t xml:space="preserve">Variable Rate Technology (VRT) application</w:t>
      </w:r>
      <w:r>
        <w:t xml:space="preserve"> </w:t>
      </w:r>
      <w:r>
        <w:t xml:space="preserve">— applying inputs (seed, fertiliser, irrigation water, pesticide) at a rate that varies spatially according to the management-zone prescription map, using GNSS-guided VRT-equipped farm machinery that automatically adjusts application rate as it traverses the field, guided by a pre-loaded prescription map referenced to the machinery’s real-time GNSS position.</w:t>
      </w:r>
    </w:p>
    <w:p>
      <w:pPr>
        <w:pStyle w:val="Compact"/>
        <w:numPr>
          <w:ilvl w:val="0"/>
          <w:numId w:val="1338"/>
        </w:numPr>
      </w:pPr>
      <w:r>
        <w:rPr>
          <w:bCs/>
          <w:b/>
        </w:rPr>
        <w:t xml:space="preserve">In-season monitoring and adaptive management</w:t>
      </w:r>
      <w:r>
        <w:t xml:space="preserve"> </w:t>
      </w:r>
      <w:r>
        <w:t xml:space="preserve">— repeated within-season high-resolution/high-frequency imagery (satellite or UAV) tracks crop response to the differentiated management, flagging zones requiring additional intervention (supplementary irrigation, rescue fertiliser application, targeted pest/disease response using the forewarning techniques of the relevant chapter, Section 16.2–16.3).</w:t>
      </w:r>
    </w:p>
    <w:p>
      <w:pPr>
        <w:pStyle w:val="Compact"/>
        <w:numPr>
          <w:ilvl w:val="0"/>
          <w:numId w:val="1338"/>
        </w:numPr>
      </w:pPr>
      <w:r>
        <w:rPr>
          <w:bCs/>
          <w:b/>
        </w:rPr>
        <w:t xml:space="preserve">Post-harvest evaluation</w:t>
      </w:r>
      <w:r>
        <w:t xml:space="preserve"> </w:t>
      </w:r>
      <w:r>
        <w:t xml:space="preserve">— the yield map itself becomes input data for refining next season’s management-zone delineation, closing the precision-agriculture feedback loop.</w:t>
      </w:r>
    </w:p>
    <w:p>
      <w:pPr>
        <w:pStyle w:val="Heading2"/>
      </w:pPr>
      <w:r>
        <w:t xml:space="preserve">44.7 GNSS Positioning Accuracy Requirements Across the Workflow</w:t>
      </w:r>
    </w:p>
    <w:p>
      <w:pPr>
        <w:pStyle w:val="FirstParagraph"/>
      </w:pPr>
      <w:r>
        <w:t xml:space="preserve">Different precision-agriculture tasks require markedly different positioning accuracy, directly connecting back to the GAGAN/NavIC discussion of the relevant chapter:</w:t>
      </w:r>
    </w:p>
    <w:p>
      <w:pPr>
        <w:pStyle w:val="Compact"/>
        <w:numPr>
          <w:ilvl w:val="0"/>
          <w:numId w:val="1339"/>
        </w:numPr>
      </w:pPr>
      <w:r>
        <w:rPr>
          <w:bCs/>
          <w:b/>
        </w:rPr>
        <w:t xml:space="preserve">Field-boundary mapping / basic guidance:</w:t>
      </w:r>
      <w:r>
        <w:t xml:space="preserve"> </w:t>
      </w:r>
      <w:r>
        <w:t xml:space="preserve">metre-level accuracy, achievable with standalone GNSS or basic SBAS (GAGAN) correction.</w:t>
      </w:r>
    </w:p>
    <w:p>
      <w:pPr>
        <w:pStyle w:val="Compact"/>
        <w:numPr>
          <w:ilvl w:val="0"/>
          <w:numId w:val="1339"/>
        </w:numPr>
      </w:pPr>
      <w:r>
        <w:rPr>
          <w:bCs/>
          <w:b/>
        </w:rPr>
        <w:t xml:space="preserve">VRT application and yield-map georeferencing:</w:t>
      </w:r>
      <w:r>
        <w:t xml:space="preserve"> </w:t>
      </w:r>
      <w:r>
        <w:t xml:space="preserve">sub-metre accuracy generally sufficient, achievable with GAGAN-corrected or similarly augmented GNSS.</w:t>
      </w:r>
    </w:p>
    <w:p>
      <w:pPr>
        <w:pStyle w:val="Compact"/>
        <w:numPr>
          <w:ilvl w:val="0"/>
          <w:numId w:val="1339"/>
        </w:numPr>
      </w:pPr>
      <w:r>
        <w:rPr>
          <w:bCs/>
          <w:b/>
        </w:rPr>
        <w:t xml:space="preserve">Auto-steer machinery guidance for precise, non-overlapping pass-to-pass field coverage (minimising both input-application overlap-waste and skipped-strip gaps):</w:t>
      </w:r>
      <w:r>
        <w:t xml:space="preserve"> </w:t>
      </w:r>
      <w:r>
        <w:t xml:space="preserve">centimetre-level accuracy, requiring</w:t>
      </w:r>
      <w:r>
        <w:t xml:space="preserve"> </w:t>
      </w:r>
      <w:r>
        <w:rPr>
          <w:bCs/>
          <w:b/>
        </w:rPr>
        <w:t xml:space="preserve">Real-Time Kinematic (RTK)</w:t>
      </w:r>
      <w:r>
        <w:t xml:space="preserve"> </w:t>
      </w:r>
      <w:r>
        <w:t xml:space="preserve">GNSS correction — a technique distinct from SBAS, using a fixed local base-station receiver at a precisely surveyed location to compute and broadcast (via radio or internet/NTRIP) real-time carrier-phase corrections to a nearby rover receiver, achieving 1–2 cm accuracy over ranges of several to tens of kilometres from the base station, well beyond what SBAS-class correction alone can provide.</w:t>
      </w:r>
    </w:p>
    <w:p>
      <w:pPr>
        <w:pStyle w:val="Heading2"/>
      </w:pPr>
      <w:r>
        <w:t xml:space="preserve">44.8 Precision Agriculture in the Indian Smallholder Context — a Necessary Caveat</w:t>
      </w:r>
    </w:p>
    <w:p>
      <w:pPr>
        <w:pStyle w:val="FirstParagraph"/>
      </w:pPr>
      <w:r>
        <w:t xml:space="preserve">An interview panel may well probe whether</w:t>
      </w:r>
      <w:r>
        <w:t xml:space="preserve"> </w:t>
      </w:r>
      <w:r>
        <w:t xml:space="preserve">“</w:t>
      </w:r>
      <w:r>
        <w:t xml:space="preserve">Western-style</w:t>
      </w:r>
      <w:r>
        <w:t xml:space="preserve">”</w:t>
      </w:r>
      <w:r>
        <w:t xml:space="preserve"> </w:t>
      </w:r>
      <w:r>
        <w:t xml:space="preserve">precision agriculture (built around large, mechanised, single-owner fields) genuinely transfers to India’s smallholder-dominated agriculture, where average operational holding size is under 1.1 hectares and individual fields are frequently far smaller and irregularly shaped. The honest, technically grounded answer draws on points already established across this manual: India’s precision-farming pilot studies are explicitly built around LISS-IV/Cartosat-2S high-resolution satellite data (rather than assuming universal individual-farmer access to UAV/proximal sensing equipment) precisely because satellite-based management-zone delineation and advisory generation can be centrally produced and disseminated at comparatively low per-farmer cost even for small holdings — and community/cooperative-level aggregation (e.g., the KISAN/CIDSS, GCMMF green-fodder, and GKMS advisory-dissemination models described in Chapters 6 and 13) represents the institutionally realistic pathway for translating precision-agriculture-derived recommendations into small-holder-scale practice, rather than expecting individual smallholder purchase of VRT-equipped machinery — a nuanced, India-specific framing likely to be well received relative to an unreflective import of large-farm-mechanisation-centric precision-agriculture assumptions.</w:t>
      </w:r>
    </w:p>
    <w:p>
      <w:pPr>
        <w:pStyle w:val="Heading1"/>
      </w:pPr>
      <w:r>
        <w:t xml:space="preserve">Chapter 45. Land Use, Wastelands and Water Resources</w:t>
      </w:r>
    </w:p>
    <w:p>
      <w:pPr>
        <w:pStyle w:val="Heading2"/>
      </w:pPr>
      <w:r>
        <w:t xml:space="preserve">45.1 Land Use Land Cover (LULC) Mapping — Purpose, Scales and Classification Scheme</w:t>
      </w:r>
    </w:p>
    <w:p>
      <w:pPr>
        <w:pStyle w:val="Heading3"/>
      </w:pPr>
      <w:r>
        <w:t xml:space="preserve">45.1.1 Purpose</w:t>
      </w:r>
    </w:p>
    <w:p>
      <w:pPr>
        <w:pStyle w:val="FirstParagraph"/>
      </w:pPr>
      <w:r>
        <w:t xml:space="preserve">LULC maps provide the fundamental spatial baseline against which most other applications in this manual — crop area estimation, drought monitoring, watershed planning, disaster damage assessment, carbon accounting — are referenced, since virtually every downstream analysis requires knowing, as a first step, what the land is currently being used for and how that has changed over time. Annual LULC information specifically enables monitoring of the</w:t>
      </w:r>
      <w:r>
        <w:t xml:space="preserve"> </w:t>
      </w:r>
      <w:r>
        <w:rPr>
          <w:bCs/>
          <w:b/>
        </w:rPr>
        <w:t xml:space="preserve">temporal dynamics of agricultural ecosystems</w:t>
      </w:r>
      <w:r>
        <w:t xml:space="preserve"> </w:t>
      </w:r>
      <w:r>
        <w:t xml:space="preserve">(crop-fallow-crop rotation, cropping-intensity change),</w:t>
      </w:r>
      <w:r>
        <w:t xml:space="preserve"> </w:t>
      </w:r>
      <w:r>
        <w:rPr>
          <w:bCs/>
          <w:b/>
        </w:rPr>
        <w:t xml:space="preserve">forest conversion</w:t>
      </w:r>
      <w:r>
        <w:t xml:space="preserve">, and changes in the extent of</w:t>
      </w:r>
      <w:r>
        <w:t xml:space="preserve"> </w:t>
      </w:r>
      <w:r>
        <w:rPr>
          <w:bCs/>
          <w:b/>
        </w:rPr>
        <w:t xml:space="preserve">surface water bodies</w:t>
      </w:r>
      <w:r>
        <w:t xml:space="preserve">.</w:t>
      </w:r>
    </w:p>
    <w:p>
      <w:pPr>
        <w:pStyle w:val="Heading3"/>
      </w:pPr>
      <w:r>
        <w:t xml:space="preserve">45.1.2 The three operational mapping scales (cross-reference to Chapter 5, Section 5.2)</w:t>
      </w:r>
    </w:p>
    <w:p>
      <w:pPr>
        <w:pStyle w:val="Compact"/>
        <w:numPr>
          <w:ilvl w:val="0"/>
          <w:numId w:val="1340"/>
        </w:numPr>
      </w:pPr>
      <w:r>
        <w:rPr>
          <w:bCs/>
          <w:b/>
        </w:rPr>
        <w:t xml:space="preserve">1:250,000 scale — Annual.</w:t>
      </w:r>
      <w:r>
        <w:t xml:space="preserve"> </w:t>
      </w:r>
      <w:r>
        <w:t xml:space="preserve">Carried out annually across the country using moderate-resolution (AWiFS-class) data; in addition to the standard LULC classes, this annual exercise specifically generates the</w:t>
      </w:r>
      <w:r>
        <w:t xml:space="preserve"> </w:t>
      </w:r>
      <w:r>
        <w:rPr>
          <w:bCs/>
          <w:b/>
        </w:rPr>
        <w:t xml:space="preserve">Net Sown Area</w:t>
      </w:r>
      <w:r>
        <w:t xml:space="preserve"> </w:t>
      </w:r>
      <w:r>
        <w:t xml:space="preserve">estimate — the actual area sown to crops in a given agricultural year (as distinct from Gross Cropped Area, which counts multiply-cropped land once for each crop grown, or Total Geographical Area) — a key input to the national agricultural-statistics system.</w:t>
      </w:r>
    </w:p>
    <w:p>
      <w:pPr>
        <w:pStyle w:val="Compact"/>
        <w:numPr>
          <w:ilvl w:val="0"/>
          <w:numId w:val="1340"/>
        </w:numPr>
      </w:pPr>
      <w:r>
        <w:rPr>
          <w:bCs/>
          <w:b/>
        </w:rPr>
        <w:t xml:space="preserve">1:50,000 scale — Quinquennial (once every five years).</w:t>
      </w:r>
      <w:r>
        <w:t xml:space="preserve"> </w:t>
      </w:r>
      <w:r>
        <w:t xml:space="preserve">Higher-resolution (LISS-III-class) mapping providing finer LULC-class discrimination and boundary accuracy, appropriate to district-level land-use planning, repeated on a five-year cycle to balance mapping cost/effort against the rate of genuine land-use change at this resolution.</w:t>
      </w:r>
    </w:p>
    <w:p>
      <w:pPr>
        <w:pStyle w:val="Compact"/>
        <w:numPr>
          <w:ilvl w:val="0"/>
          <w:numId w:val="1340"/>
        </w:numPr>
      </w:pPr>
      <w:r>
        <w:rPr>
          <w:bCs/>
          <w:b/>
        </w:rPr>
        <w:t xml:space="preserve">1:10,000 scale.</w:t>
      </w:r>
      <w:r>
        <w:t xml:space="preserve"> </w:t>
      </w:r>
      <w:r>
        <w:t xml:space="preserve">The finest operational LULC scale, using LISS-IV/Cartosat-class high-resolution data, generating parcel-level land-use information directly useful for</w:t>
      </w:r>
      <w:r>
        <w:t xml:space="preserve"> </w:t>
      </w:r>
      <w:r>
        <w:rPr>
          <w:bCs/>
          <w:b/>
        </w:rPr>
        <w:t xml:space="preserve">water and land-resource planning at the village/taluk level</w:t>
      </w:r>
      <w:r>
        <w:t xml:space="preserve">, and, as a specific cited application, for planning under the</w:t>
      </w:r>
      <w:r>
        <w:t xml:space="preserve"> </w:t>
      </w:r>
      <w:r>
        <w:rPr>
          <w:bCs/>
          <w:b/>
        </w:rPr>
        <w:t xml:space="preserve">Pradhan Mantri Gram Sadak Yojana (PMGSY)</w:t>
      </w:r>
      <w:r>
        <w:t xml:space="preserve"> </w:t>
      </w:r>
      <w:r>
        <w:t xml:space="preserve">rural-road-connectivity scheme, which requires precise, locally verified land-parcel and existing-infrastructure information for route alignment.</w:t>
      </w:r>
    </w:p>
    <w:p>
      <w:pPr>
        <w:pStyle w:val="Heading3"/>
      </w:pPr>
      <w:r>
        <w:t xml:space="preserve">45.1.3 Classification approach</w:t>
      </w:r>
    </w:p>
    <w:p>
      <w:pPr>
        <w:pStyle w:val="FirstParagraph"/>
      </w:pPr>
      <w:r>
        <w:t xml:space="preserve">LULC classification (at all three scales) follows a standardised, hierarchical classification scheme (broadly following the National Remote Sensing Centre’s LULC classification legend, itself broadly compatible with the internationally used Anderson land-use/land-cover classification-system logic) with a Level-I set of broad classes (built-up, agricultural land, forest, wasteland/barren land, water bodies, etc.) further subdivided at Level II/III into progressively more specific sub-classes (e.g., agricultural land subdivided into cropland, plantation, fallow; cropland further subdivided by irrigation status/cropping pattern where resolution and multi-date data permit) — the classification is generated through a combination of supervised digital classification (using training samples collected through field verification) and, particularly for boundary refinement and mixed-class discrimination, visual/on-screen interpretation, following broadly the same physiography/pattern/texture-based photo-interpretation logic described for soil mapping in the relevant chapter.</w:t>
      </w:r>
    </w:p>
    <w:p>
      <w:pPr>
        <w:pStyle w:val="Heading2"/>
      </w:pPr>
      <w:r>
        <w:t xml:space="preserve">45.2 Wasteland Mapping and Monitoring</w:t>
      </w:r>
    </w:p>
    <w:p>
      <w:pPr>
        <w:pStyle w:val="Heading3"/>
      </w:pPr>
      <w:r>
        <w:t xml:space="preserve">45.2.1 Definition and scales</w:t>
      </w:r>
    </w:p>
    <w:p>
      <w:pPr>
        <w:pStyle w:val="FirstParagraph"/>
      </w:pPr>
      <w:r>
        <w:t xml:space="preserve">“</w:t>
      </w:r>
      <w:r>
        <w:t xml:space="preserve">Wasteland</w:t>
      </w:r>
      <w:r>
        <w:t xml:space="preserve">”</w:t>
      </w:r>
      <w:r>
        <w:t xml:space="preserve"> </w:t>
      </w:r>
      <w:r>
        <w:t xml:space="preserve">in the Indian land-classification context refers to degraded land not currently put to productive agricultural, forestry or other economic use, encompassing categories such as gullied/ravinous land, land with/without scrub, waterlogged/marshy land, saline/alkali land, sandy areas (coastal/desertic), barren rocky/stony waste, and steep sloping/degraded-forest land. Wasteland mapping and monitoring is carried out at</w:t>
      </w:r>
      <w:r>
        <w:t xml:space="preserve"> </w:t>
      </w:r>
      <w:r>
        <w:rPr>
          <w:bCs/>
          <w:b/>
        </w:rPr>
        <w:t xml:space="preserve">1:50,000 and 1:25,000 scales</w:t>
      </w:r>
      <w:r>
        <w:t xml:space="preserve">, using the same physiography-based interpretation approach as soil mapping, since most wasteland categories are directly diagnosable from a combination of terrain, drainage, vegetation-cover and spectral (bare-soil/salt-crust/waterlogging) signatures.</w:t>
      </w:r>
    </w:p>
    <w:p>
      <w:pPr>
        <w:pStyle w:val="Heading3"/>
      </w:pPr>
      <w:r>
        <w:t xml:space="preserve">45.2.2 Applications</w:t>
      </w:r>
    </w:p>
    <w:p>
      <w:pPr>
        <w:pStyle w:val="FirstParagraph"/>
      </w:pPr>
      <w:r>
        <w:t xml:space="preserve">Wasteland and associated</w:t>
      </w:r>
      <w:r>
        <w:t xml:space="preserve"> </w:t>
      </w:r>
      <w:r>
        <w:rPr>
          <w:bCs/>
          <w:b/>
        </w:rPr>
        <w:t xml:space="preserve">land degradation maps</w:t>
      </w:r>
      <w:r>
        <w:t xml:space="preserve"> </w:t>
      </w:r>
      <w:r>
        <w:t xml:space="preserve">(integrating salt-affected/waterlogged-area mapping and soil-erosion mapping, all made available on the</w:t>
      </w:r>
      <w:r>
        <w:t xml:space="preserve"> </w:t>
      </w:r>
      <w:r>
        <w:rPr>
          <w:bCs/>
          <w:b/>
        </w:rPr>
        <w:t xml:space="preserve">Bhuvan</w:t>
      </w:r>
      <w:r>
        <w:t xml:space="preserve"> </w:t>
      </w:r>
      <w:r>
        <w:t xml:space="preserve">portal, Chapter 5, Section 5.4.1) are used for: planning</w:t>
      </w:r>
      <w:r>
        <w:t xml:space="preserve"> </w:t>
      </w:r>
      <w:r>
        <w:rPr>
          <w:bCs/>
          <w:b/>
        </w:rPr>
        <w:t xml:space="preserve">soil-conservation and reclamation programmes</w:t>
      </w:r>
      <w:r>
        <w:t xml:space="preserve">;</w:t>
      </w:r>
      <w:r>
        <w:t xml:space="preserve"> </w:t>
      </w:r>
      <w:r>
        <w:rPr>
          <w:bCs/>
          <w:b/>
        </w:rPr>
        <w:t xml:space="preserve">land-use planning</w:t>
      </w:r>
      <w:r>
        <w:t xml:space="preserve"> </w:t>
      </w:r>
      <w:r>
        <w:t xml:space="preserve">decisions on which wasteland categories are realistically reclaimable for agricultural expansion versus better suited to afforestation/other non-agricultural use;</w:t>
      </w:r>
      <w:r>
        <w:t xml:space="preserve"> </w:t>
      </w:r>
      <w:r>
        <w:rPr>
          <w:bCs/>
          <w:b/>
        </w:rPr>
        <w:t xml:space="preserve">bringing additional area under cultivation</w:t>
      </w:r>
      <w:r>
        <w:t xml:space="preserve"> </w:t>
      </w:r>
      <w:r>
        <w:t xml:space="preserve">through targeted reclamation (a specific national land-resource-management objective these maps directly support); and</w:t>
      </w:r>
      <w:r>
        <w:t xml:space="preserve"> </w:t>
      </w:r>
      <w:r>
        <w:rPr>
          <w:bCs/>
          <w:b/>
        </w:rPr>
        <w:t xml:space="preserve">improving productivity levels</w:t>
      </w:r>
      <w:r>
        <w:t xml:space="preserve"> </w:t>
      </w:r>
      <w:r>
        <w:t xml:space="preserve">on already-degraded land through appropriately targeted soil-management/reclamation interventions informed by the specific degradation category mapped at each location.</w:t>
      </w:r>
    </w:p>
    <w:p>
      <w:pPr>
        <w:pStyle w:val="Heading2"/>
      </w:pPr>
      <w:r>
        <w:t xml:space="preserve">45.3 VEDAS Terrestrial Product Suite</w:t>
      </w:r>
    </w:p>
    <w:p>
      <w:pPr>
        <w:pStyle w:val="FirstParagraph"/>
      </w:pPr>
      <w:r>
        <w:t xml:space="preserve">The</w:t>
      </w:r>
      <w:r>
        <w:t xml:space="preserve"> </w:t>
      </w:r>
      <w:r>
        <w:rPr>
          <w:bCs/>
          <w:b/>
        </w:rPr>
        <w:t xml:space="preserve">VEDAS (Visualization of Earth Observation Data and Archival System)</w:t>
      </w:r>
      <w:r>
        <w:t xml:space="preserve"> </w:t>
      </w:r>
      <w:r>
        <w:t xml:space="preserve">geoportal (vedas.sac.gov.in) operationally disseminates a structured suite of terrestrial-condition products, organised into five thematic categories, providing a useful organising framework for recalling the full product breadth expected of an SAC land-applications scientist:</w:t>
      </w:r>
    </w:p>
    <w:p>
      <w:pPr>
        <w:pStyle w:val="Heading3"/>
      </w:pPr>
      <w:r>
        <w:t xml:space="preserve">45.3.1 Vegetation products</w:t>
      </w:r>
    </w:p>
    <w:p>
      <w:pPr>
        <w:pStyle w:val="Compact"/>
        <w:numPr>
          <w:ilvl w:val="0"/>
          <w:numId w:val="1341"/>
        </w:numPr>
      </w:pPr>
      <w:r>
        <w:rPr>
          <w:bCs/>
          <w:b/>
        </w:rPr>
        <w:t xml:space="preserve">Albedo</w:t>
      </w:r>
      <w:r>
        <w:t xml:space="preserve"> </w:t>
      </w:r>
      <w:r>
        <w:t xml:space="preserve">(from Oceansat-2 OCM-II) — surface shortwave reflectance/energy-balance input.</w:t>
      </w:r>
    </w:p>
    <w:p>
      <w:pPr>
        <w:pStyle w:val="Compact"/>
        <w:numPr>
          <w:ilvl w:val="0"/>
          <w:numId w:val="1341"/>
        </w:numPr>
      </w:pPr>
      <w:r>
        <w:rPr>
          <w:bCs/>
          <w:b/>
        </w:rPr>
        <w:t xml:space="preserve">Normalized Difference Vegetation Index (NDVI)</w:t>
      </w:r>
      <w:r>
        <w:t xml:space="preserve"> </w:t>
      </w:r>
      <w:r>
        <w:t xml:space="preserve">— the standard greenness/vegetation-vigour index, NDVI = (NIR−Red)/(NIR+Red), the single most widely used vegetation index in this entire manual’s crop-monitoring and drought-assessment discussion.</w:t>
      </w:r>
    </w:p>
    <w:p>
      <w:pPr>
        <w:pStyle w:val="Heading3"/>
      </w:pPr>
      <w:r>
        <w:t xml:space="preserve">45.3.2 Hydrology products</w:t>
      </w:r>
    </w:p>
    <w:p>
      <w:pPr>
        <w:pStyle w:val="Compact"/>
        <w:numPr>
          <w:ilvl w:val="0"/>
          <w:numId w:val="1342"/>
        </w:numPr>
      </w:pPr>
      <w:r>
        <w:rPr>
          <w:bCs/>
          <w:b/>
        </w:rPr>
        <w:t xml:space="preserve">Spatial distribution of surface water</w:t>
      </w:r>
      <w:r>
        <w:t xml:space="preserve"> </w:t>
      </w:r>
      <w:r>
        <w:t xml:space="preserve">— open-water-body extent mapping (using the same low-reflectance/NDWI-type spectral logic as flood mapping, Chapter 7, but for the routine, non-emergency, seasonal water-body-extent product).</w:t>
      </w:r>
    </w:p>
    <w:p>
      <w:pPr>
        <w:pStyle w:val="Compact"/>
        <w:numPr>
          <w:ilvl w:val="0"/>
          <w:numId w:val="1342"/>
        </w:numPr>
      </w:pPr>
      <w:r>
        <w:rPr>
          <w:bCs/>
          <w:b/>
        </w:rPr>
        <w:t xml:space="preserve">Evapotranspiration</w:t>
      </w:r>
      <w:r>
        <w:t xml:space="preserve"> </w:t>
      </w:r>
      <w:r>
        <w:t xml:space="preserve">— the operational ET product referenced throughout Chapters 1 and 7.</w:t>
      </w:r>
    </w:p>
    <w:p>
      <w:pPr>
        <w:pStyle w:val="Compact"/>
        <w:numPr>
          <w:ilvl w:val="0"/>
          <w:numId w:val="1342"/>
        </w:numPr>
      </w:pPr>
      <w:r>
        <w:rPr>
          <w:bCs/>
          <w:b/>
        </w:rPr>
        <w:t xml:space="preserve">Soil moisture and runoff</w:t>
      </w:r>
      <w:r>
        <w:t xml:space="preserve"> </w:t>
      </w:r>
      <w:r>
        <w:t xml:space="preserve">— surface soil-moisture retrieval and modelled/remote-sensing-informed runoff estimation.</w:t>
      </w:r>
    </w:p>
    <w:p>
      <w:pPr>
        <w:pStyle w:val="Heading3"/>
      </w:pPr>
      <w:r>
        <w:t xml:space="preserve">45.3.3 Land cover products</w:t>
      </w:r>
    </w:p>
    <w:p>
      <w:pPr>
        <w:pStyle w:val="Compact"/>
        <w:numPr>
          <w:ilvl w:val="0"/>
          <w:numId w:val="1343"/>
        </w:numPr>
      </w:pPr>
      <w:r>
        <w:rPr>
          <w:bCs/>
          <w:b/>
        </w:rPr>
        <w:t xml:space="preserve">LULC for Globe, compatible with MM5 and with WRF</w:t>
      </w:r>
      <w:r>
        <w:t xml:space="preserve"> </w:t>
      </w:r>
      <w:r>
        <w:t xml:space="preserve">— specially reformatted global land-cover products matching the specific land-cover classification scheme and grid required as input by the MM5 and WRF (Weather Research and Forecasting) mesoscale numerical weather prediction models, since land-cover type directly parameterises a model’s surface-roughness, albedo and moisture-availability boundary conditions.</w:t>
      </w:r>
    </w:p>
    <w:p>
      <w:pPr>
        <w:pStyle w:val="Compact"/>
        <w:numPr>
          <w:ilvl w:val="0"/>
          <w:numId w:val="1343"/>
        </w:numPr>
      </w:pPr>
      <w:r>
        <w:rPr>
          <w:bCs/>
          <w:b/>
        </w:rPr>
        <w:t xml:space="preserve">Vegetation Fraction</w:t>
      </w:r>
      <w:r>
        <w:t xml:space="preserve"> </w:t>
      </w:r>
      <w:r>
        <w:t xml:space="preserve">— fractional vegetation cover, another standard land-surface-model boundary-condition input, typically derived from an NDVI-based linear or quadratic unmixing relationship (relating NDVI to the fraction of a pixel covered by vegetation versus bare soil, calibrated between NDVI-bare-soil and NDVI-full-vegetation-cover reference endpoints).</w:t>
      </w:r>
    </w:p>
    <w:p>
      <w:pPr>
        <w:pStyle w:val="Heading3"/>
      </w:pPr>
      <w:r>
        <w:t xml:space="preserve">45.3.4 Terrain and soil products</w:t>
      </w:r>
    </w:p>
    <w:p>
      <w:pPr>
        <w:pStyle w:val="Compact"/>
        <w:numPr>
          <w:ilvl w:val="0"/>
          <w:numId w:val="1344"/>
        </w:numPr>
      </w:pPr>
      <w:r>
        <w:rPr>
          <w:bCs/>
          <w:b/>
        </w:rPr>
        <w:t xml:space="preserve">Soil Carbon Density in India (5 km grid), 2014</w:t>
      </w:r>
      <w:r>
        <w:t xml:space="preserve">, and separate</w:t>
      </w:r>
      <w:r>
        <w:t xml:space="preserve"> </w:t>
      </w:r>
      <w:r>
        <w:rPr>
          <w:bCs/>
          <w:b/>
        </w:rPr>
        <w:t xml:space="preserve">Mean Organic Soil Carbon Density</w:t>
      </w:r>
      <w:r>
        <w:t xml:space="preserve"> </w:t>
      </w:r>
      <w:r>
        <w:t xml:space="preserve">and</w:t>
      </w:r>
      <w:r>
        <w:t xml:space="preserve"> </w:t>
      </w:r>
      <w:r>
        <w:rPr>
          <w:bCs/>
          <w:b/>
        </w:rPr>
        <w:t xml:space="preserve">Mean Inorganic Soil Carbon Density</w:t>
      </w:r>
      <w:r>
        <w:t xml:space="preserve"> </w:t>
      </w:r>
      <w:r>
        <w:t xml:space="preserve">layers.</w:t>
      </w:r>
    </w:p>
    <w:p>
      <w:pPr>
        <w:pStyle w:val="Compact"/>
        <w:numPr>
          <w:ilvl w:val="0"/>
          <w:numId w:val="1344"/>
        </w:numPr>
      </w:pPr>
      <w:r>
        <w:rPr>
          <w:bCs/>
          <w:b/>
        </w:rPr>
        <w:t xml:space="preserve">Spatial Map of Soil Depth Class in India (5 km grid), 2000</w:t>
      </w:r>
      <w:r>
        <w:t xml:space="preserve">, and</w:t>
      </w:r>
      <w:r>
        <w:t xml:space="preserve"> </w:t>
      </w:r>
      <w:r>
        <w:rPr>
          <w:bCs/>
          <w:b/>
        </w:rPr>
        <w:t xml:space="preserve">Fraction Soil Depth</w:t>
      </w:r>
      <w:r>
        <w:t xml:space="preserve"> </w:t>
      </w:r>
      <w:r>
        <w:t xml:space="preserve">— gridded soil-depth-class information, a key determinant of plant-available water-holding capacity and hence drought vulnerability.</w:t>
      </w:r>
    </w:p>
    <w:p>
      <w:pPr>
        <w:pStyle w:val="Compact"/>
        <w:numPr>
          <w:ilvl w:val="0"/>
          <w:numId w:val="1344"/>
        </w:numPr>
      </w:pPr>
      <w:r>
        <w:rPr>
          <w:bCs/>
          <w:b/>
        </w:rPr>
        <w:t xml:space="preserve">Spatial Distribution of Soil Texture Class in India (5 km grid), 2014</w:t>
      </w:r>
      <w:r>
        <w:t xml:space="preserve">, and</w:t>
      </w:r>
      <w:r>
        <w:t xml:space="preserve"> </w:t>
      </w:r>
      <w:r>
        <w:rPr>
          <w:bCs/>
          <w:b/>
        </w:rPr>
        <w:t xml:space="preserve">Fraction Soil Textural Class</w:t>
      </w:r>
      <w:r>
        <w:t xml:space="preserve">.</w:t>
      </w:r>
    </w:p>
    <w:p>
      <w:pPr>
        <w:pStyle w:val="Compact"/>
        <w:numPr>
          <w:ilvl w:val="0"/>
          <w:numId w:val="1344"/>
        </w:numPr>
      </w:pPr>
      <w:r>
        <w:rPr>
          <w:bCs/>
          <w:b/>
        </w:rPr>
        <w:t xml:space="preserve">Fraction Water Erosion</w:t>
      </w:r>
      <w:r>
        <w:t xml:space="preserve"> </w:t>
      </w:r>
      <w:r>
        <w:t xml:space="preserve">and</w:t>
      </w:r>
      <w:r>
        <w:t xml:space="preserve"> </w:t>
      </w:r>
      <w:r>
        <w:rPr>
          <w:bCs/>
          <w:b/>
        </w:rPr>
        <w:t xml:space="preserve">Fraction Wind Erosion</w:t>
      </w:r>
      <w:r>
        <w:t xml:space="preserve"> </w:t>
      </w:r>
      <w:r>
        <w:t xml:space="preserve">— gridded erosion-susceptibility/occurrence fraction layers.</w:t>
      </w:r>
    </w:p>
    <w:p>
      <w:pPr>
        <w:pStyle w:val="Compact"/>
        <w:numPr>
          <w:ilvl w:val="0"/>
          <w:numId w:val="1344"/>
        </w:numPr>
      </w:pPr>
      <w:r>
        <w:rPr>
          <w:bCs/>
          <w:b/>
        </w:rPr>
        <w:t xml:space="preserve">Surface Soil Moisture</w:t>
      </w:r>
      <w:r>
        <w:t xml:space="preserve"> </w:t>
      </w:r>
      <w:r>
        <w:t xml:space="preserve">— the terrain-and-soil-category counterpart to the hydrology-category soil-moisture product above.</w:t>
      </w:r>
    </w:p>
    <w:p>
      <w:pPr>
        <w:pStyle w:val="Heading3"/>
      </w:pPr>
      <w:r>
        <w:t xml:space="preserve">45.3.5 Vegetation and ecosystem products</w:t>
      </w:r>
    </w:p>
    <w:p>
      <w:pPr>
        <w:pStyle w:val="Compact"/>
        <w:numPr>
          <w:ilvl w:val="0"/>
          <w:numId w:val="1345"/>
        </w:numPr>
      </w:pPr>
      <w:r>
        <w:rPr>
          <w:bCs/>
          <w:b/>
        </w:rPr>
        <w:t xml:space="preserve">Fire Regime for India based on AQUA MODIS, 2003–2015 (5 km)</w:t>
      </w:r>
      <w:r>
        <w:t xml:space="preserve"> </w:t>
      </w:r>
      <w:r>
        <w:t xml:space="preserve">and</w:t>
      </w:r>
      <w:r>
        <w:t xml:space="preserve"> </w:t>
      </w:r>
      <w:r>
        <w:rPr>
          <w:bCs/>
          <w:b/>
        </w:rPr>
        <w:t xml:space="preserve">Average Annual Forest Fire Density</w:t>
      </w:r>
      <w:r>
        <w:t xml:space="preserve"> </w:t>
      </w:r>
      <w:r>
        <w:t xml:space="preserve">— long-term, climatological fire-occurrence statistics (distinct from the near-real-time hotspot alerting of the relevant chapter), used for fire-regime characterisation and long-term fire-risk-zonation studies.</w:t>
      </w:r>
    </w:p>
    <w:p>
      <w:pPr>
        <w:pStyle w:val="Compact"/>
        <w:numPr>
          <w:ilvl w:val="0"/>
          <w:numId w:val="1345"/>
        </w:numPr>
      </w:pPr>
      <w:r>
        <w:rPr>
          <w:bCs/>
          <w:b/>
        </w:rPr>
        <w:t xml:space="preserve">Forest Fraction Cover</w:t>
      </w:r>
      <w:r>
        <w:t xml:space="preserve"> </w:t>
      </w:r>
      <w:r>
        <w:t xml:space="preserve">and</w:t>
      </w:r>
      <w:r>
        <w:t xml:space="preserve"> </w:t>
      </w:r>
      <w:r>
        <w:rPr>
          <w:bCs/>
          <w:b/>
        </w:rPr>
        <w:t xml:space="preserve">Forest Types</w:t>
      </w:r>
      <w:r>
        <w:t xml:space="preserve"> </w:t>
      </w:r>
      <w:r>
        <w:t xml:space="preserve">— gridded forest-cover-fraction and forest-type classification layers.</w:t>
      </w:r>
    </w:p>
    <w:p>
      <w:pPr>
        <w:pStyle w:val="Heading3"/>
      </w:pPr>
      <w:r>
        <w:t xml:space="preserve">45.3.6 Crop area product</w:t>
      </w:r>
    </w:p>
    <w:p>
      <w:pPr>
        <w:pStyle w:val="Compact"/>
        <w:numPr>
          <w:ilvl w:val="0"/>
          <w:numId w:val="1346"/>
        </w:numPr>
      </w:pPr>
      <w:r>
        <w:rPr>
          <w:bCs/>
          <w:b/>
        </w:rPr>
        <w:t xml:space="preserve">Seasonal Fraction Net Sown Area</w:t>
      </w:r>
      <w:r>
        <w:t xml:space="preserve"> </w:t>
      </w:r>
      <w:r>
        <w:t xml:space="preserve">— the gridded, season-wise fractional net-sown-area product, the VEDAS-disseminated counterpart to the annual 1:250,000-scale Net Sown Area LULC output described in the relevant chapter.</w:t>
      </w:r>
    </w:p>
    <w:p>
      <w:pPr>
        <w:pStyle w:val="Heading2"/>
      </w:pPr>
      <w:r>
        <w:t xml:space="preserve">45.4 Urban and Built-Up Land Monitoring</w:t>
      </w:r>
    </w:p>
    <w:p>
      <w:pPr>
        <w:pStyle w:val="FirstParagraph"/>
      </w:pPr>
      <w:r>
        <w:t xml:space="preserve">Although this manual’s focus is predominantly agricultural, the same LULC methodology applied to the built-up class supports urban-sprawl monitoring — multi-date classification tracking the conversion of agricultural/vacant land to built-up use around expanding urban centres, a change-detection application directly using the post-classification-comparison and image-differencing techniques of the relevant chapter, and of specific relevance to Net Sown Area trend interpretation, since urban-encroachment-driven agricultural-land loss is a distinct process from and should not be conflated with fallow/cropping-pattern-driven Net Sown Area fluctuation.</w:t>
      </w:r>
    </w:p>
    <w:p>
      <w:pPr>
        <w:pStyle w:val="Heading2"/>
      </w:pPr>
      <w:r>
        <w:t xml:space="preserve">45.5 Watershed Characterisation and Planning using RS-GIS</w:t>
      </w:r>
    </w:p>
    <w:p>
      <w:pPr>
        <w:pStyle w:val="FirstParagraph"/>
      </w:pPr>
      <w:r>
        <w:t xml:space="preserve">Watershed development planning (under national programmes such as the Watershed Development Component of PMKSY and earlier Integrated Watershed Management Programme) uses remote sensing and GIS to delineate watershed/sub-watershed boundaries (from DEM-derived drainage analysis — flow-direction and flow-accumulation algorithms applied to a Digital Elevation Model automatically delineate stream networks and their contributing catchment boundaries), and to overlay LULC, soil, slope and drainage-density thematic layers into a composite</w:t>
      </w:r>
      <w:r>
        <w:t xml:space="preserve"> </w:t>
      </w:r>
      <w:r>
        <w:rPr>
          <w:bCs/>
          <w:b/>
        </w:rPr>
        <w:t xml:space="preserve">land/water-resource development plan</w:t>
      </w:r>
      <w:r>
        <w:t xml:space="preserve"> </w:t>
      </w:r>
      <w:r>
        <w:t xml:space="preserve">prioritising sub-watersheds by degradation severity and treatment need (soil-and-moisture-conservation structures, afforestation, water-harvesting-structure siting) — a direct, large-scale application of the multi-criteria GIS-overlay logic already introduced for landslide-susceptibility and forest-fire-risk mapping.</w:t>
      </w:r>
    </w:p>
    <w:p>
      <w:pPr>
        <w:pStyle w:val="Heading2"/>
      </w:pPr>
      <w:r>
        <w:t xml:space="preserve">45.6 Microwave Remote Sensing for Water Resources (SAR, Altimeters, Radiometer, Scatterometer)</w:t>
      </w:r>
    </w:p>
    <w:p>
      <w:pPr>
        <w:pStyle w:val="FirstParagraph"/>
      </w:pPr>
      <w:r>
        <w:t xml:space="preserve">Four distinct microwave-sensor types serve complementary water-resources roles:</w:t>
      </w:r>
    </w:p>
    <w:p>
      <w:pPr>
        <w:pStyle w:val="Compact"/>
        <w:numPr>
          <w:ilvl w:val="0"/>
          <w:numId w:val="1347"/>
        </w:numPr>
      </w:pPr>
      <w:r>
        <w:rPr>
          <w:bCs/>
          <w:b/>
        </w:rPr>
        <w:t xml:space="preserve">SAR</w:t>
      </w:r>
      <w:r>
        <w:t xml:space="preserve"> </w:t>
      </w:r>
      <w:r>
        <w:t xml:space="preserve">— active imaging radar — surface-water/flood-extent mapping, soil-moisture retrieval (via the dielectric-constant mechanism of the relevant chapter, Section 5.3.3, now specifically exploiting SAR’s spatial-mapping, as opposed to point/coarse-footprint radiometer, capability), and, through interferometric-SAR (InSAR) techniques, land-subsidence monitoring relevant to groundwater-depletion assessment in over-exploited aquifer regions.</w:t>
      </w:r>
    </w:p>
    <w:p>
      <w:pPr>
        <w:pStyle w:val="Compact"/>
        <w:numPr>
          <w:ilvl w:val="0"/>
          <w:numId w:val="1347"/>
        </w:numPr>
      </w:pPr>
      <w:r>
        <w:rPr>
          <w:bCs/>
          <w:b/>
        </w:rPr>
        <w:t xml:space="preserve">Radar altimeters</w:t>
      </w:r>
      <w:r>
        <w:t xml:space="preserve"> </w:t>
      </w:r>
      <w:r>
        <w:t xml:space="preserve">(e.g., SARAL/AltiKa, Chapter 3, Section 3.8) — precise measurement of water-surface elevation along the satellite ground-track, for reservoir/lake water-level monitoring (a valuable data source for reservoirs lacking continuous gauge telemetry) and river-stage monitoring at track-crossing locations, feeding both water-balance/storage-change assessment and flood-forecast data-assimilation.</w:t>
      </w:r>
    </w:p>
    <w:p>
      <w:pPr>
        <w:pStyle w:val="Compact"/>
        <w:numPr>
          <w:ilvl w:val="0"/>
          <w:numId w:val="1347"/>
        </w:numPr>
      </w:pPr>
      <w:r>
        <w:rPr>
          <w:bCs/>
          <w:b/>
        </w:rPr>
        <w:t xml:space="preserve">Passive microwave radiometers</w:t>
      </w:r>
      <w:r>
        <w:t xml:space="preserve"> </w:t>
      </w:r>
      <w:r>
        <w:t xml:space="preserve">— measure naturally emitted microwave brightness temperature, whose relationship to surface dielectric constant (and hence soil moisture, via the same physical mechanism as active-SAR retrieval but through emission rather than backscatter) underlies coarse-resolution (tens of km) but high-temporal-frequency operational soil-moisture products (e.g., international missions such as SMAP/SMOS), complementary to SAR’s finer spatial but coarser temporal resolution.</w:t>
      </w:r>
    </w:p>
    <w:p>
      <w:pPr>
        <w:pStyle w:val="Compact"/>
        <w:numPr>
          <w:ilvl w:val="0"/>
          <w:numId w:val="1347"/>
        </w:numPr>
      </w:pPr>
      <w:r>
        <w:rPr>
          <w:bCs/>
          <w:b/>
        </w:rPr>
        <w:t xml:space="preserve">Scatterometers</w:t>
      </w:r>
      <w:r>
        <w:t xml:space="preserve"> </w:t>
      </w:r>
      <w:r>
        <w:t xml:space="preserve">(e.g., Oceansat-2’s Ku-band scatterometer, Chapter 3, Section 3.6) — primarily an ocean surface wind-vector instrument, but the same active-microwave backscatter measurement, applied over land, also provides a coarse-resolution, very-high-temporal-frequency (near-daily) soil-moisture/surface-wetness proxy used in some large-area drought/wetness-monitoring applications, trading spatial detail for temporal frequency.</w:t>
      </w:r>
    </w:p>
    <w:p>
      <w:pPr>
        <w:pStyle w:val="Heading2"/>
      </w:pPr>
      <w:r>
        <w:t xml:space="preserve">45.7 Hyperspectral Remote Sensing for Water Quality and Soil Moisture</w:t>
      </w:r>
    </w:p>
    <w:p>
      <w:pPr>
        <w:pStyle w:val="FirstParagraph"/>
      </w:pPr>
      <w:r>
        <w:t xml:space="preserve">Hyperspectral data support two water-resources applications distinct from the broadband techniques above:</w:t>
      </w:r>
      <w:r>
        <w:t xml:space="preserve"> </w:t>
      </w:r>
      <w:r>
        <w:rPr>
          <w:bCs/>
          <w:b/>
        </w:rPr>
        <w:t xml:space="preserve">water-quality retrieval</w:t>
      </w:r>
      <w:r>
        <w:t xml:space="preserve"> </w:t>
      </w:r>
      <w:r>
        <w:t xml:space="preserve">— narrow-band absorption/scattering features associated with chlorophyll-a (phytoplankton, ~440 and ~670 nm absorption features), suspended-sediment concentration (increasing reflectance broadly across visible-NIR with sediment load), and coloured dissolved organic matter (CDOM, strong blue-wavelength absorption) allow simultaneous multi-parameter water-quality assessment of inland/coastal water bodies at a level of discrimination broadband multispectral sensors cannot achieve; and</w:t>
      </w:r>
      <w:r>
        <w:t xml:space="preserve"> </w:t>
      </w:r>
      <w:r>
        <w:rPr>
          <w:bCs/>
          <w:b/>
        </w:rPr>
        <w:t xml:space="preserve">soil-moisture-related spectral-absorption-feature analysis</w:t>
      </w:r>
      <w:r>
        <w:t xml:space="preserve"> </w:t>
      </w:r>
      <w:r>
        <w:t xml:space="preserve">— hyperspectral SWIR water-absorption features provide surface (near-surface, optical-penetration-depth-limited) soil-moisture information as a complement to the deeper (several-cm penetration) microwave-based soil-moisture retrieval described above.</w:t>
      </w:r>
    </w:p>
    <w:p>
      <w:pPr>
        <w:pStyle w:val="Heading2"/>
      </w:pPr>
      <w:r>
        <w:t xml:space="preserve">45.8 Hydrological and Hydraulic Modelling and RS-Based Parameter Assimilation</w:t>
      </w:r>
    </w:p>
    <w:p>
      <w:pPr>
        <w:pStyle w:val="FirstParagraph"/>
      </w:pPr>
      <w:r>
        <w:t xml:space="preserve">Beyond the flood-specific application of the relevant chapter, remote sensing supplies several</w:t>
      </w:r>
      <w:r>
        <w:t xml:space="preserve"> </w:t>
      </w:r>
      <w:r>
        <w:rPr>
          <w:bCs/>
          <w:b/>
        </w:rPr>
        <w:t xml:space="preserve">model-parameterisation and state-updating</w:t>
      </w:r>
      <w:r>
        <w:t xml:space="preserve"> </w:t>
      </w:r>
      <w:r>
        <w:t xml:space="preserve">inputs to general hydrological modelling: LULC/vegetation-fraction data parameterise runoff-curve-number or infiltration-capacity model parameters; DEM-derived terrain attributes parameterise flow-routing and slope-dependent hydrological-response-unit delineation; satellite-derived soil moisture and evapotranspiration are assimilated (via sequential data-assimilation techniques such as the Ensemble Kalman Filter, which statistically blends a model’s forecast state with a new satellite observation, weighted by their relative uncertainties, to produce an updated</w:t>
      </w:r>
      <w:r>
        <w:t xml:space="preserve"> </w:t>
      </w:r>
      <w:r>
        <w:t xml:space="preserve">“</w:t>
      </w:r>
      <w:r>
        <w:t xml:space="preserve">analysis</w:t>
      </w:r>
      <w:r>
        <w:t xml:space="preserve">”</w:t>
      </w:r>
      <w:r>
        <w:t xml:space="preserve"> </w:t>
      </w:r>
      <w:r>
        <w:t xml:space="preserve">state that is more accurate than either the model or the observation alone) into the running soil-water-balance state of land-surface/crop-water-balance models, correcting for model-structural and forcing-data errors that would otherwise accumulate uncorrected over a growing season.</w:t>
      </w:r>
    </w:p>
    <w:p>
      <w:pPr>
        <w:pStyle w:val="Heading2"/>
      </w:pPr>
      <w:r>
        <w:t xml:space="preserve">45.9 Irrigation Water Management and Command-Area Monitoring</w:t>
      </w:r>
    </w:p>
    <w:p>
      <w:pPr>
        <w:pStyle w:val="FirstParagraph"/>
      </w:pPr>
      <w:r>
        <w:rPr>
          <w:bCs/>
          <w:b/>
        </w:rPr>
        <w:t xml:space="preserve">Command Area &amp; Water Resources Monitoring</w:t>
      </w:r>
      <w:r>
        <w:t xml:space="preserve"> </w:t>
      </w:r>
      <w:r>
        <w:t xml:space="preserve">applies remote sensing to assess the actual performance of irrigation schemes against their designed command area and cropping plan: mapping the</w:t>
      </w:r>
      <w:r>
        <w:t xml:space="preserve"> </w:t>
      </w:r>
      <w:r>
        <w:rPr>
          <w:bCs/>
          <w:b/>
        </w:rPr>
        <w:t xml:space="preserve">actually irrigated area</w:t>
      </w:r>
      <w:r>
        <w:t xml:space="preserve"> </w:t>
      </w:r>
      <w:r>
        <w:t xml:space="preserve">within a scheme’s designed command (via multi-date crop-classification and, where relevant, surface-water/canal-network extent mapping) against the</w:t>
      </w:r>
      <w:r>
        <w:t xml:space="preserve"> </w:t>
      </w:r>
      <w:r>
        <w:rPr>
          <w:bCs/>
          <w:b/>
        </w:rPr>
        <w:t xml:space="preserve">culturable command area (CCA)</w:t>
      </w:r>
      <w:r>
        <w:t xml:space="preserve"> </w:t>
      </w:r>
      <w:r>
        <w:t xml:space="preserve">on record, to compute irrigation-scheme performance indicators such as the ratio of actual-to-planned irrigated area and cropping-intensity achieved; monitoring</w:t>
      </w:r>
      <w:r>
        <w:t xml:space="preserve"> </w:t>
      </w:r>
      <w:r>
        <w:rPr>
          <w:bCs/>
          <w:b/>
        </w:rPr>
        <w:t xml:space="preserve">reservoir storage/water-spread</w:t>
      </w:r>
      <w:r>
        <w:t xml:space="preserve"> </w:t>
      </w:r>
      <w:r>
        <w:t xml:space="preserve">through the season (via optical/SAR water-extent mapping at successive dates, converted to storage volume via a pre-surveyed elevation-area-capacity curve) to track water-availability status against seasonal irrigation demand; and using field-scale evapotranspiration mapping to assess</w:t>
      </w:r>
      <w:r>
        <w:t xml:space="preserve"> </w:t>
      </w:r>
      <w:r>
        <w:rPr>
          <w:bCs/>
          <w:b/>
        </w:rPr>
        <w:t xml:space="preserve">water-use efficiency</w:t>
      </w:r>
      <w:r>
        <w:t xml:space="preserve"> </w:t>
      </w:r>
      <w:r>
        <w:t xml:space="preserve">and identify over-/under-irrigated zones within a command area, supporting more equitable and efficient water allocation — an application area of direct relevance to India’s canal-command modernisation and micro-irrigation-expansion policy priorities.</w:t>
      </w:r>
    </w:p>
    <w:p>
      <w:pPr>
        <w:pStyle w:val="Heading2"/>
      </w:pPr>
      <w:r>
        <w:t xml:space="preserve">45.10 Groundwater Applications</w:t>
      </w:r>
    </w:p>
    <w:p>
      <w:pPr>
        <w:pStyle w:val="FirstParagraph"/>
      </w:pPr>
      <w:r>
        <w:t xml:space="preserve">While satellite optical/SAR/thermal sensors cannot directly</w:t>
      </w:r>
      <w:r>
        <w:t xml:space="preserve"> </w:t>
      </w:r>
      <w:r>
        <w:t xml:space="preserve">“</w:t>
      </w:r>
      <w:r>
        <w:t xml:space="preserve">see</w:t>
      </w:r>
      <w:r>
        <w:t xml:space="preserve">”</w:t>
      </w:r>
      <w:r>
        <w:t xml:space="preserve"> </w:t>
      </w:r>
      <w:r>
        <w:t xml:space="preserve">groundwater (an opaque subsurface resource), remote sensing contributes to groundwater assessment through several indirect routes:</w:t>
      </w:r>
      <w:r>
        <w:t xml:space="preserve"> </w:t>
      </w:r>
      <w:r>
        <w:rPr>
          <w:bCs/>
          <w:b/>
        </w:rPr>
        <w:t xml:space="preserve">geomorphological/lineament mapping</w:t>
      </w:r>
      <w:r>
        <w:t xml:space="preserve"> </w:t>
      </w:r>
      <w:r>
        <w:t xml:space="preserve">— satellite-image-interpreted landform and structural-lineament (fracture/fault trace) maps identify likely groundwater-recharge and groundwater-occurrence-favourable zones (e.g., alluvial plains and structurally fractured hard-rock terrain generally have higher groundwater potential than massive, unfractured bedrock), the basis of the widely used</w:t>
      </w:r>
      <w:r>
        <w:t xml:space="preserve"> </w:t>
      </w:r>
      <w:r>
        <w:rPr>
          <w:bCs/>
          <w:b/>
        </w:rPr>
        <w:t xml:space="preserve">Groundwater Prospect Zone mapping</w:t>
      </w:r>
      <w:r>
        <w:t xml:space="preserve"> </w:t>
      </w:r>
      <w:r>
        <w:t xml:space="preserve">produced by NRSC/state remote-sensing centres, typically as a GIS multi-criteria overlay combining geomorphology, lineament density, slope, drainage density, land use and soil/lithology layers, each criterion assigned a groundwater-favourability weight;</w:t>
      </w:r>
      <w:r>
        <w:t xml:space="preserve"> </w:t>
      </w:r>
      <w:r>
        <w:rPr>
          <w:bCs/>
          <w:b/>
        </w:rPr>
        <w:t xml:space="preserve">InSAR-based land-subsidence monitoring</w:t>
      </w:r>
      <w:r>
        <w:t xml:space="preserve"> </w:t>
      </w:r>
      <w:r>
        <w:t xml:space="preserve">provides an indirect but quantitative proxy for groundwater over-extraction, since aquifer-system compaction from sustained groundwater-level decline in unconsolidated alluvial aquifers produces measurable land-surface subsidence detectable via repeat-pass SAR interferometry; and satellite gravimetry (international missions such as GRACE/GRACE-FO, measuring minute time-varying gravitational-field anomalies attributable to total terrestrial water-storage change, including the groundwater component) provides large-area, though coarse-resolution, groundwater-storage-trend information at basin-to-regional scale, valuable for large-aquifer-system depletion-trend assessment (e.g., the well-documented northwestern Indian groundwater-depletion signal) even though it cannot resolve individual well-field-scale variation.</w:t>
      </w:r>
    </w:p>
    <w:p>
      <w:pPr>
        <w:pStyle w:val="Heading2"/>
      </w:pPr>
      <w:r>
        <w:t xml:space="preserve">45.11 Wetland Mapping and Monitoring</w:t>
      </w:r>
    </w:p>
    <w:p>
      <w:pPr>
        <w:pStyle w:val="FirstParagraph"/>
      </w:pPr>
      <w:r>
        <w:t xml:space="preserve">Wetlands — seasonally or permanently inundated ecosystems distinct from both permanent open water and dryland — are mapped using multi-date, multi-season imagery specifically because a wetland’s diagnostic characteristic is its</w:t>
      </w:r>
      <w:r>
        <w:t xml:space="preserve"> </w:t>
      </w:r>
      <w:r>
        <w:rPr>
          <w:bCs/>
          <w:b/>
        </w:rPr>
        <w:t xml:space="preserve">inundation regime</w:t>
      </w:r>
      <w:r>
        <w:t xml:space="preserve"> </w:t>
      </w:r>
      <w:r>
        <w:t xml:space="preserve">(the seasonal pattern and duration of flooding) rather than any single-date spectral signature: a single dry-season image might show a wetland as apparently dry grassland, while a single monsoon-season image might show it as open water indistinguishable from a permanent lake, so reliable wetland delineation requires observing the same location across multiple points in the annual hydrological cycle (using the SAR/optical water-extent-mapping techniques of Chapters 7 and 10) to confirm the characteristic intermittent-inundation signature, often further refined with vegetation-community mapping (marsh, swamp-forest, mudflat) to support the Ramsar-Convention-linked wetland-inventory and conservation-planning obligations India maintains for its internationally designated wetland sites.</w:t>
      </w:r>
    </w:p>
    <w:p>
      <w:pPr>
        <w:pStyle w:val="Heading2"/>
      </w:pPr>
      <w:r>
        <w:t xml:space="preserve">45.12 Water for agriculture</w:t>
      </w:r>
    </w:p>
    <w:p>
      <w:pPr>
        <w:numPr>
          <w:ilvl w:val="0"/>
          <w:numId w:val="1348"/>
        </w:numPr>
      </w:pPr>
      <w:r>
        <w:rPr>
          <w:bCs/>
          <w:b/>
        </w:rPr>
        <w:t xml:space="preserve">IMSD (1992)</w:t>
      </w:r>
      <w:r>
        <w:t xml:space="preserve">: Integrated Mission for Sustainable Development (NRSA). Combined satellite maps (land use, soils, groundwater, slope) to make</w:t>
      </w:r>
      <w:r>
        <w:t xml:space="preserve"> </w:t>
      </w:r>
      <w:r>
        <w:rPr>
          <w:bCs/>
          <w:b/>
        </w:rPr>
        <w:t xml:space="preserve">land and water resource action plans</w:t>
      </w:r>
      <w:r>
        <w:t xml:space="preserve"> </w:t>
      </w:r>
      <w:r>
        <w:t xml:space="preserve">for many drought-prone districts. A classic example of integrated RS-based planning.</w:t>
      </w:r>
    </w:p>
    <w:p>
      <w:pPr>
        <w:numPr>
          <w:ilvl w:val="0"/>
          <w:numId w:val="1348"/>
        </w:numPr>
      </w:pPr>
      <w:r>
        <w:rPr>
          <w:bCs/>
          <w:b/>
        </w:rPr>
        <w:t xml:space="preserve">Watershed management</w:t>
      </w:r>
      <w:r>
        <w:t xml:space="preserve">: prioritisation of watersheds; monitoring of IWMP / PMKSY-Watershed Development works using Bhuvan geotagging (Srishti and Drishti apps) and multi-date imagery (NRSC). State examples: Sujala (Karnataka).</w:t>
      </w:r>
    </w:p>
    <w:p>
      <w:pPr>
        <w:numPr>
          <w:ilvl w:val="0"/>
          <w:numId w:val="1348"/>
        </w:numPr>
      </w:pPr>
      <w:r>
        <w:rPr>
          <w:bCs/>
          <w:b/>
        </w:rPr>
        <w:t xml:space="preserve">Irrigation command area studies</w:t>
      </w:r>
      <w:r>
        <w:t xml:space="preserve"> </w:t>
      </w:r>
      <w:r>
        <w:t xml:space="preserve">(NRSC): irrigated area, cropping pattern, water use and</w:t>
      </w:r>
      <w:r>
        <w:t xml:space="preserve"> </w:t>
      </w:r>
      <w:r>
        <w:rPr>
          <w:bCs/>
          <w:b/>
        </w:rPr>
        <w:t xml:space="preserve">performance evaluation</w:t>
      </w:r>
      <w:r>
        <w:t xml:space="preserve"> </w:t>
      </w:r>
      <w:r>
        <w:t xml:space="preserve">of major projects;</w:t>
      </w:r>
      <w:r>
        <w:t xml:space="preserve"> </w:t>
      </w:r>
      <w:r>
        <w:rPr>
          <w:bCs/>
          <w:b/>
        </w:rPr>
        <w:t xml:space="preserve">AIBP</w:t>
      </w:r>
      <w:r>
        <w:t xml:space="preserve"> </w:t>
      </w:r>
      <w:r>
        <w:t xml:space="preserve">(Accelerated Irrigation Benefits Programme) monitoring with Cartosat and Resourcesat for the Ministry of Jal Shakti and CWC.</w:t>
      </w:r>
    </w:p>
    <w:p>
      <w:pPr>
        <w:numPr>
          <w:ilvl w:val="0"/>
          <w:numId w:val="1348"/>
        </w:numPr>
      </w:pPr>
      <w:r>
        <w:rPr>
          <w:bCs/>
          <w:b/>
        </w:rPr>
        <w:t xml:space="preserve">Groundwater prospects maps</w:t>
      </w:r>
      <w:r>
        <w:t xml:space="preserve"> </w:t>
      </w:r>
      <w:r>
        <w:t xml:space="preserve">(NRSC, 1:50,000) under the Rajiv Gandhi National Drinking Water Mission; help locate wells for irrigation and drinking water.</w:t>
      </w:r>
    </w:p>
    <w:p>
      <w:pPr>
        <w:numPr>
          <w:ilvl w:val="0"/>
          <w:numId w:val="1348"/>
        </w:numPr>
      </w:pPr>
      <w:r>
        <w:rPr>
          <w:bCs/>
          <w:b/>
        </w:rPr>
        <w:t xml:space="preserve">India-WRIS</w:t>
      </w:r>
      <w:r>
        <w:t xml:space="preserve"> </w:t>
      </w:r>
      <w:r>
        <w:t xml:space="preserve">(CWC and ISRO/NRSC, 2010 onward) and NRSC hydrological products: daily soil moisture, ET and runoff from the VIC model (National Hydrology Project).</w:t>
      </w:r>
    </w:p>
    <w:p>
      <w:pPr>
        <w:numPr>
          <w:ilvl w:val="0"/>
          <w:numId w:val="1348"/>
        </w:numPr>
      </w:pPr>
      <w:r>
        <w:rPr>
          <w:bCs/>
          <w:b/>
        </w:rPr>
        <w:t xml:space="preserve">Reservoir and water body monitoring</w:t>
      </w:r>
      <w:r>
        <w:t xml:space="preserve">: surface water spread from satellites for estimating rabi irrigation availability.</w:t>
      </w:r>
    </w:p>
    <w:p>
      <w:pPr>
        <w:pStyle w:val="Heading2"/>
      </w:pPr>
      <w:r>
        <w:t xml:space="preserve">45.13 Ocean Colour and Coastal Zone Remote Sensing</w:t>
      </w:r>
    </w:p>
    <w:p>
      <w:pPr>
        <w:pStyle w:val="FirstParagraph"/>
      </w:pPr>
      <w:r>
        <w:t xml:space="preserve">Although this manual’s centre of gravity is land/agricultural applications, SAC maintains a substantial ocean-and-atmosphere applications portfolio (reflected in Oceansat-2, Megha-Tropiques and SARAL, Chapter 3), and coastal-zone applications directly intersect the agricultural/disaster-management material already covered (coastal-cyclone crop damage, Chapter 7; salinity, Chapter 5). This chapter provides the additional ocean-specific grounding.</w:t>
      </w:r>
    </w:p>
    <w:p>
      <w:pPr>
        <w:pStyle w:val="Heading3"/>
      </w:pPr>
      <w:r>
        <w:t xml:space="preserve">45.13.1 Ocean Colour Retrieval — Chlorophyll and Water Quality</w:t>
      </w:r>
    </w:p>
    <w:p>
      <w:pPr>
        <w:pStyle w:val="FirstParagraph"/>
      </w:pPr>
      <w:r>
        <w:rPr>
          <w:bCs/>
          <w:b/>
        </w:rPr>
        <w:t xml:space="preserve">Physical basis:</w:t>
      </w:r>
      <w:r>
        <w:t xml:space="preserve"> </w:t>
      </w:r>
      <w:r>
        <w:t xml:space="preserve">phytoplankton chlorophyll-a strongly absorbs blue light (~440 nm) and, to a lesser degree, red light (~670 nm), while scattering green light comparatively more — so water with higher chlorophyll concentration appears progressively more green/less blue as viewed from space. The classical</w:t>
      </w:r>
      <w:r>
        <w:t xml:space="preserve"> </w:t>
      </w:r>
      <w:r>
        <w:rPr>
          <w:bCs/>
          <w:b/>
        </w:rPr>
        <w:t xml:space="preserve">OC (Ocean Colour) band-ratio algorithm family</w:t>
      </w:r>
      <w:r>
        <w:t xml:space="preserve"> </w:t>
      </w:r>
      <w:r>
        <w:t xml:space="preserve">(e.g., the widely used OC4-type algorithms) retrieves chlorophyll-a concentration from the ratio of blue-to-green water-leaving reflectance:</w:t>
      </w:r>
    </w:p>
    <w:p>
      <w:pPr>
        <w:pStyle w:val="BodyText"/>
      </w:pPr>
      <w:r>
        <w:t xml:space="preserve">Chl-a = 10^(a0 + a1R + a2R² + a3R³ + a4R⁴), R = log10[max(Rrs(blue bands))/Rrs(green)]</w:t>
      </w:r>
    </w:p>
    <w:p>
      <w:pPr>
        <w:pStyle w:val="BodyText"/>
      </w:pPr>
      <w:r>
        <w:t xml:space="preserve">where Rrs is remote-sensing reflectance (water-leaving radiance normalised by incident irradiance) and a0–a4 are empirically fitted polynomial coefficients — the algorithm family underlying Oceansat-2 OCM-2’s chlorophyll product.</w:t>
      </w:r>
    </w:p>
    <w:p>
      <w:pPr>
        <w:pStyle w:val="BodyText"/>
      </w:pPr>
      <w:r>
        <w:rPr>
          <w:bCs/>
          <w:b/>
        </w:rPr>
        <w:t xml:space="preserve">The atmospheric-correction challenge specific to ocean colour:</w:t>
      </w:r>
      <w:r>
        <w:t xml:space="preserve"> </w:t>
      </w:r>
      <w:r>
        <w:t xml:space="preserve">because the ocean’s water-leaving radiance signal is a very small fraction (typically &lt;10%) of the total at-sensor radiance (the great majority of which is atmospheric path radiance, chiefly Rayleigh and aerosol scattering, over the dark ocean surface), ocean-colour atmospheric correction is exceptionally demanding relative to land atmospheric correction — standard ocean-colour atmospheric-correction algorithms exploit one or more Near-Infrared/SWIR bands where water-leaving radiance is assumed negligible (water absorbs NIR/SWIR radiation almost completely) to estimate the aerosol path-radiance contribution, then extrapolate that aerosol correction back into the visible bands where the actual chlorophyll retrieval is performed — a</w:t>
      </w:r>
      <w:r>
        <w:t xml:space="preserve"> </w:t>
      </w:r>
      <w:r>
        <w:t xml:space="preserve">“</w:t>
      </w:r>
      <w:r>
        <w:t xml:space="preserve">black-pixel</w:t>
      </w:r>
      <w:r>
        <w:t xml:space="preserve">”</w:t>
      </w:r>
      <w:r>
        <w:t xml:space="preserve"> </w:t>
      </w:r>
      <w:r>
        <w:t xml:space="preserve">assumption that itself breaks down in optically complex, sediment- or CDOM-rich coastal/estuarine waters, a recognised, still-active area of ocean-colour algorithm research.</w:t>
      </w:r>
    </w:p>
    <w:p>
      <w:pPr>
        <w:pStyle w:val="BodyText"/>
      </w:pPr>
      <w:r>
        <w:rPr>
          <w:bCs/>
          <w:b/>
        </w:rPr>
        <w:t xml:space="preserve">Case-II (optically complex) coastal-water algorithms:</w:t>
      </w:r>
      <w:r>
        <w:t xml:space="preserve"> </w:t>
      </w:r>
      <w:r>
        <w:t xml:space="preserve">in Case-I (open-ocean, phytoplankton-dominated) waters, chlorophyll alone governs optical properties, and the simple band-ratio approach above works well; in Case-II (coastal, estuarine, turbid) waters, suspended sediment and coloured dissolved organic matter (CDOM) independently affect water-leaving reflectance, confounding a simple chlorophyll band-ratio — requiring more sophisticated semi-analytical or hyperspectral inversion algorithms that simultaneously solve for chlorophyll, sediment and CDOM rather than assuming chlorophyll is the sole optically active constituent.</w:t>
      </w:r>
    </w:p>
    <w:p>
      <w:pPr>
        <w:pStyle w:val="Heading3"/>
      </w:pPr>
      <w:r>
        <w:t xml:space="preserve">45.13.2 Scatterometry — Ocean Surface Wind Retrieval</w:t>
      </w:r>
    </w:p>
    <w:p>
      <w:pPr>
        <w:pStyle w:val="FirstParagraph"/>
      </w:pPr>
      <w:r>
        <w:t xml:space="preserve">Oceansat-2’s Ku-band scatterometer retrieves ocean-surface wind speed and direction by exploiting the relationship between near-surface wind stress and the amplitude of centimetre-scale capillary/short-gravity waves on the sea surface (Bragg-resonant with the radar’s Ku-band wavelength), which in turn govern the radar backscatter coefficient σ° — stronger wind roughens the surface more, increasing backscatter (a similar underlying</w:t>
      </w:r>
      <w:r>
        <w:t xml:space="preserve"> </w:t>
      </w:r>
      <w:r>
        <w:t xml:space="preserve">“</w:t>
      </w:r>
      <w:r>
        <w:t xml:space="preserve">surface roughness modulates microwave backscatter</w:t>
      </w:r>
      <w:r>
        <w:t xml:space="preserve">”</w:t>
      </w:r>
      <w:r>
        <w:t xml:space="preserve"> </w:t>
      </w:r>
      <w:r>
        <w:t xml:space="preserve">logic to the SAR soil/vegetation-surface-scattering mechanisms of Chapters 2 and 19, now applied to the ocean-wave surface). Because backscatter also depends on the</w:t>
      </w:r>
      <w:r>
        <w:t xml:space="preserve"> </w:t>
      </w:r>
      <w:r>
        <w:rPr>
          <w:iCs/>
          <w:i/>
        </w:rPr>
        <w:t xml:space="preserve">relative</w:t>
      </w:r>
      <w:r>
        <w:t xml:space="preserve"> </w:t>
      </w:r>
      <w:r>
        <w:t xml:space="preserve">angle between the radar look direction and the wind direction (backscatter is generally stronger when looking upwind/downwind than crosswind, due to the directional alignment of wind-generated surface roughness), a scatterometer acquires backscatter from the same ocean cell at multiple azimuth look angles (via a rotating/multi-beam antenna geometry) and inverts the resulting multi-angle backscatter set — using an empirically calibrated Geophysical Model Function (GMF) relating σ°, wind speed and relative wind direction — to simultaneously solve for both wind speed and wind direction, feeding cyclone-intensity/structure monitoring and general marine-meteorological forecasting.</w:t>
      </w:r>
    </w:p>
    <w:p>
      <w:pPr>
        <w:pStyle w:val="Heading3"/>
      </w:pPr>
      <w:r>
        <w:t xml:space="preserve">45.13.3 Coastal Vulnerability and Mangrove/Coral Ecosystem Mapping</w:t>
      </w:r>
    </w:p>
    <w:p>
      <w:pPr>
        <w:pStyle w:val="FirstParagraph"/>
      </w:pPr>
      <w:r>
        <w:rPr>
          <w:bCs/>
          <w:b/>
        </w:rPr>
        <w:t xml:space="preserve">Coastal vulnerability assessment</w:t>
      </w:r>
      <w:r>
        <w:t xml:space="preserve"> </w:t>
      </w:r>
      <w:r>
        <w:t xml:space="preserve">combines physical exposure factors (shoreline elevation from DEM, historical shoreline-change rate from multi-date satellite/aerial-photo comparison, wave/tidal-range climatology, geomorphology) into a composite coastal-vulnerability-index framework, directly analogous in structure to the ecosystem-vulnerability and agricultural-drought-vulnerability frameworks already introduced — informing coastal-protection infrastructure planning and, of direct agricultural relevance, salinity-ingress risk zonation for coastal paddy-growing tracts (linking to the salt-affected-soil mapping of the relevant chapter, Section 5.4.1).</w:t>
      </w:r>
    </w:p>
    <w:p>
      <w:pPr>
        <w:pStyle w:val="BodyText"/>
      </w:pPr>
      <w:r>
        <w:rPr>
          <w:bCs/>
          <w:b/>
        </w:rPr>
        <w:t xml:space="preserve">Mangrove mapping</w:t>
      </w:r>
      <w:r>
        <w:t xml:space="preserve"> </w:t>
      </w:r>
      <w:r>
        <w:t xml:space="preserve">exploits mangrove canopy’s distinctive combination of very high NIR reflectance (dense, healthy leaf canopy) situated in a tidal, frequently-inundated intertidal zone (distinguishable via the multi-date, tide-stage-aware SAR/optical water-extent-mapping logic of Chapters 7 and 10), with species-level discrimination (where required) supported by hyperspectral canopy-biochemistry retrieval methods analogous to the forest-biochemistry techniques of the relevant chapter — mangrove-extent change monitoring is a recurring national coastal-ecosystem-monitoring product given mangroves’ recognised coastal-protection (storm-surge attenuation) and blue-carbon (coastal wetland carbon-sequestration, complementing the terrestrial forest and soil carbon accounting of Chapters 9 and 5) significance.</w:t>
      </w:r>
    </w:p>
    <w:p>
      <w:pPr>
        <w:pStyle w:val="BodyText"/>
      </w:pPr>
      <w:r>
        <w:rPr>
          <w:bCs/>
          <w:b/>
        </w:rPr>
        <w:t xml:space="preserve">Coral reef mapping</w:t>
      </w:r>
      <w:r>
        <w:t xml:space="preserve"> </w:t>
      </w:r>
      <w:r>
        <w:t xml:space="preserve">uses shallow-water bathymetry-corrected multispectral classification (exploiting differential water-column attenuation across visible bands — blue light penetrates deepest, red light shallowest — to both estimate water depth and correct reflectance for the depth-dependent attenuation before reef-substrate classification, a technique conceptually related to, though methodologically distinct from, the atmospheric-correction logic of the relevant chapter) to map reef extent and, at high spatial/spectral resolution, live-coral-versus-degraded/bleached-coral condition, supporting reef-ecosystem-health monitoring and, indirectly, coastal-fisheries-productivity assessment.</w:t>
      </w:r>
    </w:p>
    <w:p>
      <w:pPr>
        <w:pStyle w:val="Heading1"/>
      </w:pPr>
      <w:r>
        <w:t xml:space="preserve">Chapter 46. ISRO Institutions, Platforms and Programmes</w:t>
      </w:r>
    </w:p>
    <w:p>
      <w:pPr>
        <w:pStyle w:val="Heading2"/>
      </w:pPr>
      <w:r>
        <w:t xml:space="preserve">46.1 Who does what: ISRO centres and partners</w:t>
      </w:r>
    </w:p>
    <w:tbl>
      <w:tblPr>
        <w:tblStyle w:val="Table"/>
        <w:tblW w:type="pct" w:w="4984"/>
        <w:jc w:val="left"/>
        <w:tblLook w:firstRow="1" w:lastRow="0" w:firstColumn="0" w:lastColumn="0" w:noHBand="0" w:noVBand="0" w:val="0020"/>
      </w:tblPr>
      <w:tblGrid>
        <w:gridCol w:w="1559"/>
        <w:gridCol w:w="1089"/>
        <w:gridCol w:w="5247"/>
      </w:tblGrid>
      <w:tr>
        <w:trPr>
          <w:tblHeader w:val="true"/>
        </w:trPr>
        <w:tc>
          <w:tcPr/>
          <w:p>
            <w:pPr>
              <w:pStyle w:val="Compact"/>
              <w:jc w:val="left"/>
            </w:pPr>
            <w:r>
              <w:rPr>
                <w:bCs/>
                <w:b/>
              </w:rPr>
              <w:t xml:space="preserve">Centre</w:t>
            </w:r>
          </w:p>
        </w:tc>
        <w:tc>
          <w:tcPr/>
          <w:p>
            <w:pPr>
              <w:pStyle w:val="Compact"/>
              <w:jc w:val="left"/>
            </w:pPr>
            <w:r>
              <w:rPr>
                <w:bCs/>
                <w:b/>
              </w:rPr>
              <w:t xml:space="preserve">Location</w:t>
            </w:r>
          </w:p>
        </w:tc>
        <w:tc>
          <w:tcPr/>
          <w:p>
            <w:pPr>
              <w:pStyle w:val="Compact"/>
              <w:jc w:val="left"/>
            </w:pPr>
            <w:r>
              <w:rPr>
                <w:bCs/>
                <w:b/>
              </w:rPr>
              <w:t xml:space="preserve">Role in agriculture</w:t>
            </w:r>
          </w:p>
        </w:tc>
      </w:tr>
      <w:tr>
        <w:tc>
          <w:tcPr/>
          <w:p>
            <w:pPr>
              <w:pStyle w:val="Compact"/>
              <w:jc w:val="left"/>
            </w:pPr>
            <w:r>
              <w:rPr>
                <w:bCs/>
                <w:b/>
              </w:rPr>
              <w:t xml:space="preserve">SAC (Space Applications Centre)</w:t>
            </w:r>
          </w:p>
        </w:tc>
        <w:tc>
          <w:tcPr/>
          <w:p>
            <w:pPr>
              <w:pStyle w:val="Compact"/>
              <w:jc w:val="left"/>
            </w:pPr>
            <w:r>
              <w:t xml:space="preserve">Ahmedabad</w:t>
            </w:r>
          </w:p>
        </w:tc>
        <w:tc>
          <w:tcPr/>
          <w:p>
            <w:pPr>
              <w:jc w:val="left"/>
            </w:pPr>
            <w:r>
              <w:t xml:space="preserve">R&amp;D and methodology: developed CAPE and FASAL methods, crop yield models, SAR rice mapping, hyperspectral crop/soil studies, agromet products.</w:t>
            </w:r>
          </w:p>
          <w:p>
            <w:pPr>
              <w:jc w:val="left"/>
            </w:pPr>
            <w:r>
              <w:t xml:space="preserve">Hosts</w:t>
            </w:r>
            <w:r>
              <w:t xml:space="preserve"> </w:t>
            </w:r>
            <w:r>
              <w:rPr>
                <w:bCs/>
                <w:b/>
              </w:rPr>
              <w:t xml:space="preserve">MOSDAC</w:t>
            </w:r>
            <w:r>
              <w:t xml:space="preserve"> </w:t>
            </w:r>
            <w:r>
              <w:t xml:space="preserve">(INSAT/Megha-Tropiques/AWS data) and</w:t>
            </w:r>
            <w:r>
              <w:t xml:space="preserve"> </w:t>
            </w:r>
            <w:r>
              <w:rPr>
                <w:bCs/>
                <w:b/>
              </w:rPr>
              <w:t xml:space="preserve">VEDAS</w:t>
            </w:r>
            <w:r>
              <w:t xml:space="preserve"> </w:t>
            </w:r>
            <w:r>
              <w:t xml:space="preserve">(online EO analytics: NDVI, drought, crop condition).</w:t>
            </w:r>
          </w:p>
        </w:tc>
      </w:tr>
      <w:tr>
        <w:tc>
          <w:tcPr/>
          <w:p>
            <w:pPr>
              <w:pStyle w:val="Compact"/>
              <w:jc w:val="left"/>
            </w:pPr>
            <w:r>
              <w:rPr>
                <w:bCs/>
                <w:b/>
              </w:rPr>
              <w:t xml:space="preserve">NRSC (National Remote Sensing Centre)</w:t>
            </w:r>
          </w:p>
        </w:tc>
        <w:tc>
          <w:tcPr/>
          <w:p>
            <w:pPr>
              <w:pStyle w:val="Compact"/>
              <w:jc w:val="left"/>
            </w:pPr>
            <w:r>
              <w:t xml:space="preserve">Hyderabad</w:t>
            </w:r>
          </w:p>
        </w:tc>
        <w:tc>
          <w:tcPr/>
          <w:p>
            <w:pPr>
              <w:jc w:val="left"/>
            </w:pPr>
            <w:r>
              <w:t xml:space="preserve">Satellite data reception (Shadnagar), processing and dissemination (</w:t>
            </w:r>
            <w:r>
              <w:rPr>
                <w:bCs/>
                <w:b/>
              </w:rPr>
              <w:t xml:space="preserve">Bhuvan</w:t>
            </w:r>
            <w:r>
              <w:t xml:space="preserve">,</w:t>
            </w:r>
            <w:r>
              <w:t xml:space="preserve"> </w:t>
            </w:r>
            <w:r>
              <w:rPr>
                <w:bCs/>
                <w:b/>
              </w:rPr>
              <w:t xml:space="preserve">Bhoonidhi</w:t>
            </w:r>
            <w:r>
              <w:t xml:space="preserve">).</w:t>
            </w:r>
          </w:p>
          <w:p>
            <w:pPr>
              <w:jc w:val="left"/>
            </w:pPr>
            <w:r>
              <w:t xml:space="preserve">Operational national mapping: NADAMS drought, land use/land cover, wastelands, soils, watersheds, irrigation commands, Geo-MGNREGA, PMKSY-WDC geotagging. Runs the 5</w:t>
            </w:r>
            <w:r>
              <w:t xml:space="preserve"> </w:t>
            </w:r>
            <w:r>
              <w:rPr>
                <w:bCs/>
                <w:b/>
              </w:rPr>
              <w:t xml:space="preserve">Regional Remote Sensing Centres (RRSCs)</w:t>
            </w:r>
            <w:r>
              <w:t xml:space="preserve">.</w:t>
            </w:r>
          </w:p>
        </w:tc>
      </w:tr>
      <w:tr>
        <w:tc>
          <w:tcPr/>
          <w:p>
            <w:pPr>
              <w:pStyle w:val="Compact"/>
              <w:jc w:val="left"/>
            </w:pPr>
            <w:r>
              <w:rPr>
                <w:bCs/>
                <w:b/>
              </w:rPr>
              <w:t xml:space="preserve">IIRS (Indian Institute of Remote Sensing)</w:t>
            </w:r>
          </w:p>
        </w:tc>
        <w:tc>
          <w:tcPr/>
          <w:p>
            <w:pPr>
              <w:pStyle w:val="Compact"/>
              <w:jc w:val="left"/>
            </w:pPr>
            <w:r>
              <w:t xml:space="preserve">Dehradun</w:t>
            </w:r>
          </w:p>
        </w:tc>
        <w:tc>
          <w:tcPr/>
          <w:p>
            <w:pPr>
              <w:jc w:val="left"/>
            </w:pPr>
            <w:r>
              <w:t xml:space="preserve">Training and education (M.Tech, PG diploma, e-learning,</w:t>
            </w:r>
            <w:r>
              <w:t xml:space="preserve"> </w:t>
            </w:r>
            <w:r>
              <w:rPr>
                <w:bCs/>
                <w:b/>
              </w:rPr>
              <w:t xml:space="preserve">CSSTEAP</w:t>
            </w:r>
            <w:r>
              <w:t xml:space="preserve"> </w:t>
            </w:r>
            <w:r>
              <w:t xml:space="preserve">UN-affiliated centre).</w:t>
            </w:r>
          </w:p>
          <w:p>
            <w:pPr>
              <w:jc w:val="left"/>
            </w:pPr>
            <w:r>
              <w:t xml:space="preserve">Research in its Agriculture &amp; Soils and Forestry departments: crop yield modelling, LUE models, soil carbon, soil erosion, digital soil mapping, hyperspectral, flux towers (ISRO-GBP).</w:t>
            </w:r>
          </w:p>
        </w:tc>
      </w:tr>
      <w:tr>
        <w:tc>
          <w:tcPr/>
          <w:p>
            <w:pPr>
              <w:pStyle w:val="Compact"/>
              <w:jc w:val="left"/>
            </w:pPr>
            <w:r>
              <w:rPr>
                <w:bCs/>
                <w:b/>
              </w:rPr>
              <w:t xml:space="preserve">RRSCs (Bengaluru, Jodhpur, Kharagpur, Nagpur, New Delhi)</w:t>
            </w:r>
          </w:p>
        </w:tc>
        <w:tc>
          <w:tcPr/>
          <w:p>
            <w:pPr>
              <w:pStyle w:val="Compact"/>
              <w:jc w:val="left"/>
            </w:pPr>
            <w:r>
              <w:t xml:space="preserve">Regional</w:t>
            </w:r>
          </w:p>
        </w:tc>
        <w:tc>
          <w:tcPr/>
          <w:p>
            <w:pPr>
              <w:pStyle w:val="Compact"/>
              <w:jc w:val="left"/>
            </w:pPr>
            <w:r>
              <w:t xml:space="preserve">Region-specific crop, soil, watershed and drought projects with state governments (part of NRSC).</w:t>
            </w:r>
          </w:p>
        </w:tc>
      </w:tr>
      <w:tr>
        <w:tc>
          <w:tcPr/>
          <w:p>
            <w:pPr>
              <w:pStyle w:val="Compact"/>
              <w:jc w:val="left"/>
            </w:pPr>
            <w:r>
              <w:rPr>
                <w:bCs/>
                <w:b/>
              </w:rPr>
              <w:t xml:space="preserve">NESAC (North Eastern Space Applications Centre)</w:t>
            </w:r>
          </w:p>
        </w:tc>
        <w:tc>
          <w:tcPr/>
          <w:p>
            <w:pPr>
              <w:pStyle w:val="Compact"/>
              <w:jc w:val="left"/>
            </w:pPr>
            <w:r>
              <w:t xml:space="preserve">Umiam, Shillong</w:t>
            </w:r>
          </w:p>
        </w:tc>
        <w:tc>
          <w:tcPr/>
          <w:p>
            <w:pPr>
              <w:pStyle w:val="Compact"/>
              <w:jc w:val="left"/>
            </w:pPr>
            <w:r>
              <w:t xml:space="preserve">North-East: shifting cultivation (jhum) mapping, horticulture and plantation (tea, rubber), sericulture, rice mapping, flood damage to crops.</w:t>
            </w:r>
          </w:p>
        </w:tc>
      </w:tr>
      <w:tr>
        <w:tc>
          <w:tcPr/>
          <w:p>
            <w:pPr>
              <w:pStyle w:val="Compact"/>
              <w:jc w:val="left"/>
            </w:pPr>
            <w:r>
              <w:rPr>
                <w:bCs/>
                <w:b/>
              </w:rPr>
              <w:t xml:space="preserve">MNCFC (Mahalanobis National Crop Forecast Centre)</w:t>
            </w:r>
          </w:p>
        </w:tc>
        <w:tc>
          <w:tcPr/>
          <w:p>
            <w:pPr>
              <w:pStyle w:val="Compact"/>
              <w:jc w:val="left"/>
            </w:pPr>
            <w:r>
              <w:t xml:space="preserve">New Delhi (under Ministry of Agriculture)</w:t>
            </w:r>
          </w:p>
        </w:tc>
        <w:tc>
          <w:tcPr/>
          <w:p>
            <w:pPr>
              <w:pStyle w:val="Compact"/>
              <w:jc w:val="left"/>
            </w:pPr>
            <w:r>
              <w:t xml:space="preserve">Set up in</w:t>
            </w:r>
            <w:r>
              <w:t xml:space="preserve"> </w:t>
            </w:r>
            <w:r>
              <w:rPr>
                <w:bCs/>
                <w:b/>
              </w:rPr>
              <w:t xml:space="preserve">2012</w:t>
            </w:r>
            <w:r>
              <w:t xml:space="preserve"> </w:t>
            </w:r>
            <w:r>
              <w:t xml:space="preserve">to run ISRO-developed methods</w:t>
            </w:r>
            <w:r>
              <w:t xml:space="preserve"> </w:t>
            </w:r>
            <w:r>
              <w:rPr>
                <w:bCs/>
                <w:b/>
              </w:rPr>
              <w:t xml:space="preserve">operationally</w:t>
            </w:r>
            <w:r>
              <w:t xml:space="preserve">: FASAL forecasts, CHAMAN, NADAMS drought assessment, KISAN, PMFBY technology support (YES-TECH).</w:t>
            </w:r>
          </w:p>
        </w:tc>
      </w:tr>
      <w:tr>
        <w:tc>
          <w:tcPr/>
          <w:p>
            <w:pPr>
              <w:pStyle w:val="Compact"/>
              <w:jc w:val="left"/>
            </w:pPr>
            <w:r>
              <w:rPr>
                <w:bCs/>
                <w:b/>
              </w:rPr>
              <w:t xml:space="preserve">DECU (Development &amp; Educational Communication Unit)</w:t>
            </w:r>
          </w:p>
        </w:tc>
        <w:tc>
          <w:tcPr/>
          <w:p>
            <w:pPr>
              <w:pStyle w:val="Compact"/>
              <w:jc w:val="left"/>
            </w:pPr>
            <w:r>
              <w:t xml:space="preserve">Ahmedabad</w:t>
            </w:r>
          </w:p>
        </w:tc>
        <w:tc>
          <w:tcPr/>
          <w:p>
            <w:pPr>
              <w:pStyle w:val="Compact"/>
              <w:jc w:val="left"/>
            </w:pPr>
            <w:r>
              <w:t xml:space="preserve">Satellite communication for farmers: SITE (1975–76), Kheda project, Village Resource Centres (VRCs).</w:t>
            </w:r>
          </w:p>
        </w:tc>
      </w:tr>
      <w:tr>
        <w:tc>
          <w:tcPr/>
          <w:p>
            <w:pPr>
              <w:pStyle w:val="Compact"/>
              <w:jc w:val="left"/>
            </w:pPr>
            <w:r>
              <w:rPr>
                <w:bCs/>
                <w:b/>
              </w:rPr>
              <w:t xml:space="preserve">SPL/VSSC, NARL, PRL</w:t>
            </w:r>
          </w:p>
        </w:tc>
        <w:tc>
          <w:tcPr/>
          <w:p>
            <w:pPr>
              <w:pStyle w:val="Compact"/>
              <w:jc w:val="left"/>
            </w:pPr>
            <w:r>
              <w:t xml:space="preserve">Thiruvananthapuram, Gadanki, Ahmedabad</w:t>
            </w:r>
          </w:p>
        </w:tc>
        <w:tc>
          <w:tcPr/>
          <w:p>
            <w:pPr>
              <w:pStyle w:val="Compact"/>
              <w:jc w:val="left"/>
            </w:pPr>
            <w:r>
              <w:t xml:space="preserve">Atmospheric science (aerosols, boundary layer, monsoon), which supports climate and crop studies indirectly.</w:t>
            </w:r>
          </w:p>
        </w:tc>
      </w:tr>
      <w:tr>
        <w:tc>
          <w:tcPr/>
          <w:p>
            <w:pPr>
              <w:pStyle w:val="Compact"/>
              <w:jc w:val="left"/>
            </w:pPr>
            <w:r>
              <w:rPr>
                <w:bCs/>
                <w:b/>
              </w:rPr>
              <w:t xml:space="preserve">Main partners</w:t>
            </w:r>
          </w:p>
        </w:tc>
        <w:tc>
          <w:tcPr/>
          <w:p>
            <w:pPr>
              <w:pStyle w:val="Compact"/>
              <w:jc w:val="left"/>
            </w:pPr>
            <w:r>
              <w:t xml:space="preserve">–</w:t>
            </w:r>
          </w:p>
        </w:tc>
        <w:tc>
          <w:tcPr/>
          <w:p>
            <w:pPr>
              <w:pStyle w:val="Compact"/>
              <w:jc w:val="left"/>
            </w:pPr>
            <w:r>
              <w:t xml:space="preserve">Ministry of Agriculture &amp; Farmers Welfare (DA&amp;FW), ICAR (IARI, CRIDA, NBSS&amp;LUP, IASRI), IMD, State Agricultural Universities, State Remote Sensing Centres, Institute of Economic Growth (IEG).</w:t>
            </w:r>
          </w:p>
        </w:tc>
      </w:tr>
    </w:tbl>
    <w:p>
      <w:pPr>
        <w:pStyle w:val="BlockText"/>
      </w:pPr>
      <w:r>
        <w:t xml:space="preserve">The question "ISRI" most likely refers to</w:t>
      </w:r>
      <w:r>
        <w:t xml:space="preserve"> </w:t>
      </w:r>
      <w:r>
        <w:rPr>
          <w:bCs/>
          <w:b/>
        </w:rPr>
        <w:t xml:space="preserve">IIRS</w:t>
      </w:r>
      <w:r>
        <w:t xml:space="preserve"> </w:t>
      </w:r>
      <w:r>
        <w:t xml:space="preserve">(Indian Institute of Remote Sensing, Dehradun). If the interviewer means another institute, say so politely and answer for the closest ISRO centre.</w:t>
      </w:r>
    </w:p>
    <w:p>
      <w:pPr>
        <w:pStyle w:val="Heading2"/>
      </w:pPr>
      <w:r>
        <w:t xml:space="preserve">46.2 Space Applications Centre (SAC), ISRO — Organizational Context</w:t>
      </w:r>
    </w:p>
    <w:p>
      <w:pPr>
        <w:pStyle w:val="Heading3"/>
      </w:pPr>
      <w:r>
        <w:t xml:space="preserve">46.2.1 Role within ISRO/DOS</w:t>
      </w:r>
    </w:p>
    <w:p>
      <w:pPr>
        <w:pStyle w:val="FirstParagraph"/>
      </w:pPr>
      <w:r>
        <w:t xml:space="preserve">The Space Applications Centre (SAC) is one of the major centres of the Indian Space Research Organisation (ISRO), functioning under the Department of Space (DOS), Government of India. Established on 25 October 1972 in Ahmedabad, Gujarat, by Dr. Vikram Sarabhai, SAC is ISRO’s principal centre for conceiving, designing, developing, and realizing space-based applications and the associated payloads and ground systems — as distinct from centres like VSSC (launch vehicles) or URSC/ISAC (satellite platforms/bus systems), though there is close collaboration across centres on any given satellite mission. SAC today operates across multiple campuses (two in Ahmedabad and a campus in Delhi) and is currently headed by a Director (Shri Nilesh M. Desai, as of recent years).</w:t>
      </w:r>
    </w:p>
    <w:p>
      <w:pPr>
        <w:pStyle w:val="Heading3"/>
      </w:pPr>
      <w:r>
        <w:t xml:space="preserve">46.2.2 Key Application Areas</w:t>
      </w:r>
    </w:p>
    <w:p>
      <w:pPr>
        <w:pStyle w:val="FirstParagraph"/>
      </w:pPr>
      <w:r>
        <w:t xml:space="preserve">SAC’s charter spans four broad functional domains:</w:t>
      </w:r>
    </w:p>
    <w:p>
      <w:pPr>
        <w:numPr>
          <w:ilvl w:val="0"/>
          <w:numId w:val="1349"/>
        </w:numPr>
      </w:pPr>
      <w:r>
        <w:rPr>
          <w:bCs/>
          <w:b/>
        </w:rPr>
        <w:t xml:space="preserve">Satellite Communications</w:t>
      </w:r>
      <w:r>
        <w:t xml:space="preserve"> </w:t>
      </w:r>
      <w:r>
        <w:t xml:space="preserve">— design and development of communication payloads (for INSAT/GSAT series satellites), supporting telecommunication, television broadcasting, tele-education, telemedicine, and disaster warning systems.</w:t>
      </w:r>
    </w:p>
    <w:p>
      <w:pPr>
        <w:numPr>
          <w:ilvl w:val="0"/>
          <w:numId w:val="1349"/>
        </w:numPr>
      </w:pPr>
      <w:r>
        <w:rPr>
          <w:bCs/>
          <w:b/>
        </w:rPr>
        <w:t xml:space="preserve">Remote Sensing / Earth Observation</w:t>
      </w:r>
      <w:r>
        <w:t xml:space="preserve"> </w:t>
      </w:r>
      <w:r>
        <w:t xml:space="preserve">— design and development of optical and microwave imaging payloads (for the IRS/Resourcesat/Cartosat/RISAT/EOS series), and — critically for this document — the downstream generation of Earth observation applications and derived products, including the agriculture, forestry, and environment domain.</w:t>
      </w:r>
    </w:p>
    <w:p>
      <w:pPr>
        <w:numPr>
          <w:ilvl w:val="0"/>
          <w:numId w:val="1349"/>
        </w:numPr>
      </w:pPr>
      <w:r>
        <w:rPr>
          <w:bCs/>
          <w:b/>
        </w:rPr>
        <w:t xml:space="preserve">Meteorology</w:t>
      </w:r>
      <w:r>
        <w:t xml:space="preserve"> </w:t>
      </w:r>
      <w:r>
        <w:t xml:space="preserve">— payloads and data processing for weather satellites (INSAT/Kalpana meteorological payloads, INSAT-3D/3DR sounders/imagers), feeding into MOSDAC and national weather forecasting.</w:t>
      </w:r>
    </w:p>
    <w:p>
      <w:pPr>
        <w:numPr>
          <w:ilvl w:val="0"/>
          <w:numId w:val="1349"/>
        </w:numPr>
      </w:pPr>
      <w:r>
        <w:rPr>
          <w:bCs/>
          <w:b/>
        </w:rPr>
        <w:t xml:space="preserve">Satellite Navigation</w:t>
      </w:r>
      <w:r>
        <w:t xml:space="preserve"> </w:t>
      </w:r>
      <w:r>
        <w:t xml:space="preserve">— payload and application development supporting India’s NavIC (IRNSS) regional navigation satellite system.</w:t>
      </w:r>
    </w:p>
    <w:p>
      <w:pPr>
        <w:pStyle w:val="FirstParagraph"/>
      </w:pPr>
      <w:r>
        <w:t xml:space="preserve">SAC also runs the Development and Educational Communication Unit (DECU)-descended science communication/outreach activities, hosts CSSTEAP (the UN-affiliated Centre for Space Science and Technology Education in Asia and the Pacific) regional training infrastructure, and — notably for advanced technology candidates — has pursued frontier work such as quantum communication (the QuEST project, which demonstrated free-space quantum key distribution).</w:t>
      </w:r>
    </w:p>
    <w:p>
      <w:pPr>
        <w:pStyle w:val="Heading3"/>
      </w:pPr>
      <w:r>
        <w:t xml:space="preserve">46.2.3 Which Group/Division Handles Agriculture Applications</w:t>
      </w:r>
    </w:p>
    <w:p>
      <w:pPr>
        <w:pStyle w:val="FirstParagraph"/>
      </w:pPr>
      <w:r>
        <w:t xml:space="preserve">Within SAC’s Earth Observation Applications domain, agriculture is handled by a dedicated</w:t>
      </w:r>
      <w:r>
        <w:t xml:space="preserve"> </w:t>
      </w:r>
      <w:r>
        <w:rPr>
          <w:bCs/>
          <w:b/>
        </w:rPr>
        <w:t xml:space="preserve">Agriculture</w:t>
      </w:r>
      <w:r>
        <w:t xml:space="preserve"> </w:t>
      </w:r>
      <w:r>
        <w:t xml:space="preserve">applications group/division (also described in SAC materials as covering</w:t>
      </w:r>
      <w:r>
        <w:t xml:space="preserve"> </w:t>
      </w:r>
      <w:r>
        <w:t xml:space="preserve">“</w:t>
      </w:r>
      <w:r>
        <w:t xml:space="preserve">Agriculture, Forestry and Environment</w:t>
      </w:r>
      <w:r>
        <w:t xml:space="preserve">”</w:t>
      </w:r>
      <w:r>
        <w:t xml:space="preserve"> </w:t>
      </w:r>
      <w:r>
        <w:t xml:space="preserve">application areas), which sits within SAC’s broader Earth science and applications organizational structure — commonly referred to in ISRO recruitment and organizational literature under an area encompassing Earth, Ocean, Atmosphere and allied Applications (often abbreviated informally as EPSA-type nomenclature in ISRO discipline groupings, alongside Agricultural Physics/Agricultural Meteorology as a distinct recruitment discipline for Scientist/Engineer posts at SAC). This group’s core mandate, historically and currently, includes:</w:t>
      </w:r>
    </w:p>
    <w:p>
      <w:pPr>
        <w:pStyle w:val="Compact"/>
        <w:numPr>
          <w:ilvl w:val="0"/>
          <w:numId w:val="1350"/>
        </w:numPr>
      </w:pPr>
      <w:r>
        <w:rPr>
          <w:bCs/>
          <w:b/>
        </w:rPr>
        <w:t xml:space="preserve">Crop acreage and production estimation</w:t>
      </w:r>
      <w:r>
        <w:t xml:space="preserve">, dating back roughly two decades before the formal FASAL programme, conducted at the direction of the Ministry of Agriculture — SAC’s original, foundational agricultural remote sensing mandate.</w:t>
      </w:r>
    </w:p>
    <w:p>
      <w:pPr>
        <w:pStyle w:val="Compact"/>
        <w:numPr>
          <w:ilvl w:val="0"/>
          <w:numId w:val="1350"/>
        </w:numPr>
      </w:pPr>
      <w:r>
        <w:rPr>
          <w:bCs/>
          <w:b/>
        </w:rPr>
        <w:t xml:space="preserve">FASAL</w:t>
      </w:r>
      <w:r>
        <w:t xml:space="preserve"> </w:t>
      </w:r>
      <w:r>
        <w:t xml:space="preserve">(Forecasting Agricultural output using Space, Agro-meteorology and Land-based observations), formally initiated in 2007-08, integrating space-based crop condition/acreage assessment, agro-meteorological modelling, and ground-based observations to forecast production of major crops — kharif rice, rabi rice, wheat, rapeseed-mustard, jute, and potato among the originally covered crops, with subsequent expansion to sugarcane, cotton, soybean, and pulses.</w:t>
      </w:r>
    </w:p>
    <w:p>
      <w:pPr>
        <w:pStyle w:val="Compact"/>
        <w:numPr>
          <w:ilvl w:val="0"/>
          <w:numId w:val="1350"/>
        </w:numPr>
      </w:pPr>
      <w:r>
        <w:t xml:space="preserve">Development of</w:t>
      </w:r>
      <w:r>
        <w:t xml:space="preserve"> </w:t>
      </w:r>
      <w:r>
        <w:rPr>
          <w:bCs/>
          <w:b/>
        </w:rPr>
        <w:t xml:space="preserve">SAR-based methodologies</w:t>
      </w:r>
      <w:r>
        <w:t xml:space="preserve"> </w:t>
      </w:r>
      <w:r>
        <w:t xml:space="preserve">(using RISAT-1, and now EOS-04/EOS-04A C-band SAR) for cloud-independent kharif crop monitoring and, more recently, operational soil moisture products over Indian agricultural croplands.</w:t>
      </w:r>
    </w:p>
    <w:p>
      <w:pPr>
        <w:pStyle w:val="Compact"/>
        <w:numPr>
          <w:ilvl w:val="0"/>
          <w:numId w:val="1350"/>
        </w:numPr>
      </w:pPr>
      <w:r>
        <w:t xml:space="preserve">Support for</w:t>
      </w:r>
      <w:r>
        <w:t xml:space="preserve"> </w:t>
      </w:r>
      <w:r>
        <w:rPr>
          <w:bCs/>
          <w:b/>
        </w:rPr>
        <w:t xml:space="preserve">crop insurance</w:t>
      </w:r>
      <w:r>
        <w:t xml:space="preserve"> </w:t>
      </w:r>
      <w:r>
        <w:t xml:space="preserve">(technology inputs to schemes like Pradhan Mantri Fasal Bima Yojana, PMFBY) and the</w:t>
      </w:r>
      <w:r>
        <w:t xml:space="preserve"> </w:t>
      </w:r>
      <w:r>
        <w:rPr>
          <w:bCs/>
          <w:b/>
        </w:rPr>
        <w:t xml:space="preserve">National Food Security Mission</w:t>
      </w:r>
      <w:r>
        <w:t xml:space="preserve">.</w:t>
      </w:r>
    </w:p>
    <w:p>
      <w:pPr>
        <w:pStyle w:val="Compact"/>
        <w:numPr>
          <w:ilvl w:val="0"/>
          <w:numId w:val="1350"/>
        </w:numPr>
      </w:pPr>
      <w:r>
        <w:t xml:space="preserve">SAC’s agricultural forecasting outputs are, since 2012-13, largely operationalized through the</w:t>
      </w:r>
      <w:r>
        <w:t xml:space="preserve"> </w:t>
      </w:r>
      <w:r>
        <w:rPr>
          <w:bCs/>
          <w:b/>
        </w:rPr>
        <w:t xml:space="preserve">Mahalanobis National Crop Forecast Centre (MNCFC)</w:t>
      </w:r>
      <w:r>
        <w:t xml:space="preserve">, established by the Department of Agriculture and Farmers Welfare in New Delhi, which now runs the day-to-day operational forecasting that SAC originally pioneered and continues to support scientifically and technologically. This SAC–MNCFC relationship (R&amp;D and payload/algorithm science based at SAC/Ahmedabad; operational, multi-agency forecast production centred at MNCFC/New Delhi, in coordination with IMD for agro-meteorology and ICAR/state agriculture departments for ground truth) is an important structural fact for a candidate to understand and be able to articulate clearly.</w:t>
      </w:r>
    </w:p>
    <w:p>
      <w:pPr>
        <w:pStyle w:val="Heading3"/>
      </w:pPr>
      <w:r>
        <w:t xml:space="preserve">46.2.4 A Note for Interview Framing</w:t>
      </w:r>
    </w:p>
    <w:p>
      <w:pPr>
        <w:pStyle w:val="FirstParagraph"/>
      </w:pPr>
      <w:r>
        <w:t xml:space="preserve">When asked</w:t>
      </w:r>
      <w:r>
        <w:t xml:space="preserve"> </w:t>
      </w:r>
      <w:r>
        <w:t xml:space="preserve">“</w:t>
      </w:r>
      <w:r>
        <w:t xml:space="preserve">why do you want to work at SAC</w:t>
      </w:r>
      <w:r>
        <w:t xml:space="preserve">”</w:t>
      </w:r>
      <w:r>
        <w:t xml:space="preserve"> </w:t>
      </w:r>
      <w:r>
        <w:t xml:space="preserve">or</w:t>
      </w:r>
      <w:r>
        <w:t xml:space="preserve"> </w:t>
      </w:r>
      <w:r>
        <w:t xml:space="preserve">“</w:t>
      </w:r>
      <w:r>
        <w:t xml:space="preserve">tell us what SAC does,</w:t>
      </w:r>
      <w:r>
        <w:t xml:space="preserve">”</w:t>
      </w:r>
      <w:r>
        <w:t xml:space="preserve"> </w:t>
      </w:r>
      <w:r>
        <w:t xml:space="preserve">a strong answer situates SAC correctly as the applications and payload-development heart of ISRO — not merely a data-processing centre — with agriculture as one thread within a much broader Earth observation, communication, meteorology, and navigation mandate, and demonstrates awareness of the specific institutional chain (SAC → NRSC/Bhuvan/VEDAS/Bhoonidhi for data/analytics → MNCFC/Ministry of Agriculture for operational forecast delivery → farmers/policymakers as end users) rather than treating</w:t>
      </w:r>
      <w:r>
        <w:t xml:space="preserve"> </w:t>
      </w:r>
      <w:r>
        <w:t xml:space="preserve">“</w:t>
      </w:r>
      <w:r>
        <w:t xml:space="preserve">ISRO agriculture work</w:t>
      </w:r>
      <w:r>
        <w:t xml:space="preserve">”</w:t>
      </w:r>
      <w:r>
        <w:t xml:space="preserve"> </w:t>
      </w:r>
      <w:r>
        <w:t xml:space="preserve">as an undifferentiated blob.</w:t>
      </w:r>
    </w:p>
    <w:p>
      <w:pPr>
        <w:pStyle w:val="Heading2"/>
      </w:pPr>
      <w:r>
        <w:t xml:space="preserve">46.3 Centres Directly Relevant to This Manual’s Subject Matter</w:t>
      </w:r>
    </w:p>
    <w:p>
      <w:pPr>
        <w:pStyle w:val="FirstParagraph"/>
      </w:pPr>
      <w:r>
        <w:rPr>
          <w:bCs/>
          <w:b/>
        </w:rPr>
        <w:t xml:space="preserve">Space Applications Centre (SAC), Ahmedabad</w:t>
      </w:r>
      <w:r>
        <w:t xml:space="preserve"> </w:t>
      </w:r>
      <w:r>
        <w:t xml:space="preserve">— the primary ISRO centre for the</w:t>
      </w:r>
      <w:r>
        <w:t xml:space="preserve"> </w:t>
      </w:r>
      <w:r>
        <w:rPr>
          <w:bCs/>
          <w:b/>
        </w:rPr>
        <w:t xml:space="preserve">development of applications and application-oriented payloads</w:t>
      </w:r>
      <w:r>
        <w:t xml:space="preserve">, spanning communication, navigation, meteorology, and — most relevant to this manual — remote-sensing applications in agriculture, forestry, geology, water resources, ocean and atmospheric sciences. SAC develops geophysical-parameter-retrieval algorithms, leads the FASAL programme’s SAC-side scientific/algorithmic work, operates the Atmospheric Science Laboratory at Shadnagar, and hosts the VEDAS geoportal.</w:t>
      </w:r>
    </w:p>
    <w:p>
      <w:pPr>
        <w:pStyle w:val="BodyText"/>
      </w:pPr>
      <w:r>
        <w:rPr>
          <w:bCs/>
          <w:b/>
        </w:rPr>
        <w:t xml:space="preserve">National Remote Sensing Centre (NRSC), Hyderabad</w:t>
      </w:r>
      <w:r>
        <w:t xml:space="preserve"> </w:t>
      </w:r>
      <w:r>
        <w:t xml:space="preserve">— ISRO’s primary centre for</w:t>
      </w:r>
      <w:r>
        <w:t xml:space="preserve"> </w:t>
      </w:r>
      <w:r>
        <w:rPr>
          <w:bCs/>
          <w:b/>
        </w:rPr>
        <w:t xml:space="preserve">satellite data reception, processing, archival and dissemination</w:t>
      </w:r>
      <w:r>
        <w:t xml:space="preserve">, and for</w:t>
      </w:r>
      <w:r>
        <w:t xml:space="preserve"> </w:t>
      </w:r>
      <w:r>
        <w:rPr>
          <w:bCs/>
          <w:b/>
        </w:rPr>
        <w:t xml:space="preserve">operational application services</w:t>
      </w:r>
      <w:r>
        <w:t xml:space="preserve"> </w:t>
      </w:r>
      <w:r>
        <w:t xml:space="preserve">built on that data, including the Decision Support Centre for disaster management, the BHOONIDHI data-and-analytics portal and SASYA tool, the Bhuvan geoportal, and national land-use/land-cover, soil-resource and wasteland-mapping programmes — broadly, NRSC is where SAC-developed algorithms and application procedures are operationalised into routine, national-scale data products and services.</w:t>
      </w:r>
    </w:p>
    <w:p>
      <w:pPr>
        <w:pStyle w:val="BodyText"/>
      </w:pPr>
      <w:r>
        <w:rPr>
          <w:bCs/>
          <w:b/>
        </w:rPr>
        <w:t xml:space="preserve">Indian Institute of Remote Sensing (IIRS), Dehradun</w:t>
      </w:r>
      <w:r>
        <w:t xml:space="preserve"> </w:t>
      </w:r>
      <w:r>
        <w:t xml:space="preserve">— ISRO’s dedicated</w:t>
      </w:r>
      <w:r>
        <w:t xml:space="preserve"> </w:t>
      </w:r>
      <w:r>
        <w:rPr>
          <w:bCs/>
          <w:b/>
        </w:rPr>
        <w:t xml:space="preserve">training, education and research</w:t>
      </w:r>
      <w:r>
        <w:t xml:space="preserve"> </w:t>
      </w:r>
      <w:r>
        <w:t xml:space="preserve">institute for remote sensing and GIS, conducting the forest-ecology, biodiversity-characterisation, hyperspectral/LiDAR/SAR-synergy, and ecosystem-vulnerability research described in the relevant chapter, and training the next generation of remote-sensing scientists (including, potentially, incoming SAC/NRSC recruits) through its academic and short-course programmes.</w:t>
      </w:r>
    </w:p>
    <w:p>
      <w:pPr>
        <w:pStyle w:val="BodyText"/>
      </w:pPr>
      <w:r>
        <w:rPr>
          <w:bCs/>
          <w:b/>
        </w:rPr>
        <w:t xml:space="preserve">Mahalanobis National Crop Forecast Centre (MNCFC), New Delhi</w:t>
      </w:r>
      <w:r>
        <w:t xml:space="preserve"> </w:t>
      </w:r>
      <w:r>
        <w:t xml:space="preserve">— although not itself an ISRO/DoS centre (it operates under the Department of Agriculture and Farmers’ Welfare), MNCFC is FASAL’s operational counterpart institution, jointly generating national crop forecasts using ISRO/SAC-supplied remote-sensing inputs and algorithms alongside its own agricultural-statistics and modelling expertise — understanding this SAC-MNCFC division of labour (SAC/ISRO: satellite data, algorithms, remote-sensing-derived inputs; MNCFC/DA&amp;FW: operational forecast generation, official statistics integration, policy-facing dissemination) is itself a common interview clarification point.</w:t>
      </w:r>
    </w:p>
    <w:p>
      <w:pPr>
        <w:pStyle w:val="BodyText"/>
      </w:pPr>
      <w:r>
        <w:rPr>
          <w:bCs/>
          <w:b/>
        </w:rPr>
        <w:t xml:space="preserve">Other ISRO centres occasionally relevant to applications-domain questions:</w:t>
      </w:r>
      <w:r>
        <w:t xml:space="preserve"> </w:t>
      </w:r>
      <w:r>
        <w:t xml:space="preserve">the</w:t>
      </w:r>
      <w:r>
        <w:t xml:space="preserve"> </w:t>
      </w:r>
      <w:r>
        <w:rPr>
          <w:bCs/>
          <w:b/>
        </w:rPr>
        <w:t xml:space="preserve">Vikram Sarabhai Space Centre (VSSC)</w:t>
      </w:r>
      <w:r>
        <w:t xml:space="preserve">, Thiruvananthapuram (launch vehicle design/development);</w:t>
      </w:r>
      <w:r>
        <w:t xml:space="preserve"> </w:t>
      </w:r>
      <w:r>
        <w:rPr>
          <w:bCs/>
          <w:b/>
        </w:rPr>
        <w:t xml:space="preserve">U R Rao Satellite Centre (URSC)</w:t>
      </w:r>
      <w:r>
        <w:t xml:space="preserve">, Bengaluru (satellite design, integration and testing, including the ResourceSat/Cartosat/RISAT/INSAT platforms whose payloads SAC develops);</w:t>
      </w:r>
      <w:r>
        <w:t xml:space="preserve"> </w:t>
      </w:r>
      <w:r>
        <w:rPr>
          <w:bCs/>
          <w:b/>
        </w:rPr>
        <w:t xml:space="preserve">Liquid Propulsion Systems Centre (LPSC)</w:t>
      </w:r>
      <w:r>
        <w:t xml:space="preserve"> </w:t>
      </w:r>
      <w:r>
        <w:t xml:space="preserve">(propulsion systems); and</w:t>
      </w:r>
      <w:r>
        <w:t xml:space="preserve"> </w:t>
      </w:r>
      <w:r>
        <w:rPr>
          <w:bCs/>
          <w:b/>
        </w:rPr>
        <w:t xml:space="preserve">Satish Dhawan Space Centre (SDSC)</w:t>
      </w:r>
      <w:r>
        <w:t xml:space="preserve">, Sriharikota (launch operations) — while these centres’ core work (launch vehicles, satellite-bus engineering, propulsion) falls outside this manual’s applications focus, a candidate should be able to correctly place SAC/NRSC/IIRS within this broader ISRO institutional landscape rather than treating them as free-standing organisations.</w:t>
      </w:r>
    </w:p>
    <w:p>
      <w:pPr>
        <w:pStyle w:val="Heading2"/>
      </w:pPr>
      <w:r>
        <w:t xml:space="preserve">46.4 The Institutional Handoff — SAC → NRSC → MNCFC</w:t>
      </w:r>
    </w:p>
    <w:p>
      <w:pPr>
        <w:pStyle w:val="FirstParagraph"/>
      </w:pPr>
      <w:r>
        <w:t xml:space="preserve">This is a classic "connect the dots" institutional question and is worth having a crisp, memorable framing ready. SAC (Ahmedabad) is the R&amp;D/invent layer: it designs and characterises the sensors, develops and validates the retrieval algorithms (crop classification methods, biophysical-parameter retrieval such as the PROSAIL inversion above, SAR-based rice-mapping algorithms, drought-index formulations), and prototypes new techniques — often in partnership with academic/research institutes such as IARI and IIST — before they are mature enough to run operationally at national scale. NRSC (Hyderabad) is the operationalise/produce layer: once SAC has validated a method, NRSC receives, processes, archives and disseminates the actual satellite data at national operational cadence, running the validated algorithms as standing production pipelines (NADAMS drought bulletins, the national LULC programme, the Wastelands Atlas, daily fire alerts) and distributing them via Bhuvan and direct government feeds. MNCFC (New Delhi, under DA&amp;FW) is the translate/decide layer: it does not itself do primary remote sensing — it defines what the agriculture ministry actually needs (which crops, which states, which forecast windows, what accuracy is required for insurance-grade decisions), integrates the NRSC/SAC-origin RS products with non-RS inputs (IMD weather, ground CCE/survey data), and issues the final decision-ready bulletins that go to policymakers, state governments and insurers. A useful shorthand: SAC builds and teaches the instrument, NRSC runs the observatory and publishes the nightly catalogue, and MNCFC is the analyst's desk that decides which entries in that catalogue matter to government and what to do about them. IMD (for weather/agromet) and ICAR/SAUs (for agronomic ground-truth and last-mile extension) run a structurally parallel but interlocking vertical alongside this DOS-to-DA&amp;FW chain.</w:t>
      </w:r>
    </w:p>
    <w:p>
      <w:pPr>
        <w:pStyle w:val="Heading2"/>
      </w:pPr>
      <w:r>
        <w:t xml:space="preserve">46.5 MNCFC — Mahalanobis National Crop Forecast Centre</w:t>
      </w:r>
    </w:p>
    <w:p>
      <w:pPr>
        <w:pStyle w:val="Heading3"/>
      </w:pPr>
      <w:r>
        <w:t xml:space="preserve">46.5.1 Role and Establishment</w:t>
      </w:r>
    </w:p>
    <w:p>
      <w:pPr>
        <w:pStyle w:val="FirstParagraph"/>
      </w:pPr>
      <w:r>
        <w:t xml:space="preserve">MNCFC (originally established as the</w:t>
      </w:r>
      <w:r>
        <w:t xml:space="preserve"> </w:t>
      </w:r>
      <w:r>
        <w:t xml:space="preserve">“</w:t>
      </w:r>
      <w:r>
        <w:t xml:space="preserve">National Crop Forecast Centre,</w:t>
      </w:r>
      <w:r>
        <w:t xml:space="preserve">”</w:t>
      </w:r>
      <w:r>
        <w:t xml:space="preserve"> </w:t>
      </w:r>
      <w:r>
        <w:t xml:space="preserve">subsequently renamed in honour of statistician</w:t>
      </w:r>
      <w:r>
        <w:t xml:space="preserve"> </w:t>
      </w:r>
      <w:r>
        <w:rPr>
          <w:bCs/>
          <w:b/>
        </w:rPr>
        <w:t xml:space="preserve">P.C. Mahalanobis</w:t>
      </w:r>
      <w:r>
        <w:t xml:space="preserve">) is an attached office of the</w:t>
      </w:r>
      <w:r>
        <w:t xml:space="preserve"> </w:t>
      </w:r>
      <w:r>
        <w:rPr>
          <w:bCs/>
          <w:b/>
        </w:rPr>
        <w:t xml:space="preserve">Department of Agriculture &amp; Farmers Welfare (DA&amp;FW), Ministry of Agriculture and Farmers Welfare</w:t>
      </w:r>
      <w:r>
        <w:t xml:space="preserve">, inaugurated on</w:t>
      </w:r>
      <w:r>
        <w:t xml:space="preserve"> </w:t>
      </w:r>
      <w:r>
        <w:rPr>
          <w:bCs/>
          <w:b/>
        </w:rPr>
        <w:t xml:space="preserve">23 April 2012</w:t>
      </w:r>
      <w:r>
        <w:t xml:space="preserve"> </w:t>
      </w:r>
      <w:r>
        <w:t xml:space="preserve">at Pusa, New Delhi. It is the designated</w:t>
      </w:r>
      <w:r>
        <w:t xml:space="preserve"> </w:t>
      </w:r>
      <w:r>
        <w:rPr>
          <w:bCs/>
          <w:b/>
        </w:rPr>
        <w:t xml:space="preserve">operational nodal agency</w:t>
      </w:r>
      <w:r>
        <w:t xml:space="preserve"> </w:t>
      </w:r>
      <w:r>
        <w:t xml:space="preserve">for translating ISRO-developed remote sensing methodologies into sustained, government-run crop forecasting and monitoring services.</w:t>
      </w:r>
    </w:p>
    <w:p>
      <w:pPr>
        <w:pStyle w:val="Heading3"/>
      </w:pPr>
      <w:r>
        <w:t xml:space="preserve">46.5.2 Relationship with SAC/ISRO</w:t>
      </w:r>
    </w:p>
    <w:p>
      <w:pPr>
        <w:pStyle w:val="FirstParagraph"/>
      </w:pPr>
      <w:r>
        <w:t xml:space="preserve">MNCFC was set up specifically to operationalise methodologies that SAC/NRSC had developed and validated (largely under the FASAL R&amp;D umbrella) so that ISRO’s role could shift from running day-to-day forecasting itself to being the</w:t>
      </w:r>
      <w:r>
        <w:t xml:space="preserve"> </w:t>
      </w:r>
      <w:r>
        <w:rPr>
          <w:bCs/>
          <w:b/>
        </w:rPr>
        <w:t xml:space="preserve">technology-development and algorithm-upgrade partner</w:t>
      </w:r>
      <w:r>
        <w:t xml:space="preserve">, while MNCFC runs the standing production system. In practice, ISRO/DOS scientists have been deputed to or closely embedded with MNCFC, and SAC/NRSC continue to provide processed satellite products, updated classification/yield algorithms, and technical backstopping. This agency-to-agency handover model (ISRO develops → MNCFC operationalises) is a template ISRO has used elsewhere too (e.g., NRSC’s disaster management support to NDMA) and is an important structural point for interview purposes:</w:t>
      </w:r>
      <w:r>
        <w:t xml:space="preserve"> </w:t>
      </w:r>
      <w:r>
        <w:rPr>
          <w:bCs/>
          <w:b/>
        </w:rPr>
        <w:t xml:space="preserve">ISRO/SAC is the R&amp;D and satellite-data engine; MNCFC (under the agriculture ministry) is the operational/statistical delivery agency.</w:t>
      </w:r>
    </w:p>
    <w:p>
      <w:pPr>
        <w:pStyle w:val="Heading3"/>
      </w:pPr>
      <w:r>
        <w:t xml:space="preserve">46.5.3 Functions</w:t>
      </w:r>
    </w:p>
    <w:p>
      <w:pPr>
        <w:pStyle w:val="Compact"/>
        <w:numPr>
          <w:ilvl w:val="0"/>
          <w:numId w:val="1351"/>
        </w:numPr>
      </w:pPr>
      <w:r>
        <w:t xml:space="preserve">Operating</w:t>
      </w:r>
      <w:r>
        <w:t xml:space="preserve"> </w:t>
      </w:r>
      <w:r>
        <w:rPr>
          <w:bCs/>
          <w:b/>
        </w:rPr>
        <w:t xml:space="preserve">FASAL</w:t>
      </w:r>
      <w:r>
        <w:t xml:space="preserve"> </w:t>
      </w:r>
      <w:r>
        <w:t xml:space="preserve">(multi-method crop forecasting for ~9–14+ crops at national/state/district levels).</w:t>
      </w:r>
    </w:p>
    <w:p>
      <w:pPr>
        <w:pStyle w:val="Compact"/>
        <w:numPr>
          <w:ilvl w:val="0"/>
          <w:numId w:val="1351"/>
        </w:numPr>
      </w:pPr>
      <w:r>
        <w:t xml:space="preserve">Operating</w:t>
      </w:r>
      <w:r>
        <w:t xml:space="preserve"> </w:t>
      </w:r>
      <w:r>
        <w:rPr>
          <w:bCs/>
          <w:b/>
        </w:rPr>
        <w:t xml:space="preserve">NADAMS</w:t>
      </w:r>
      <w:r>
        <w:t xml:space="preserve"> </w:t>
      </w:r>
      <w:r>
        <w:t xml:space="preserve">(drought assessment).</w:t>
      </w:r>
    </w:p>
    <w:p>
      <w:pPr>
        <w:pStyle w:val="Compact"/>
        <w:numPr>
          <w:ilvl w:val="0"/>
          <w:numId w:val="1351"/>
        </w:numPr>
      </w:pPr>
      <w:r>
        <w:t xml:space="preserve">Operating</w:t>
      </w:r>
      <w:r>
        <w:t xml:space="preserve"> </w:t>
      </w:r>
      <w:r>
        <w:rPr>
          <w:bCs/>
          <w:b/>
        </w:rPr>
        <w:t xml:space="preserve">CHAMAN</w:t>
      </w:r>
      <w:r>
        <w:t xml:space="preserve"> </w:t>
      </w:r>
      <w:r>
        <w:t xml:space="preserve">(horticulture assessment).</w:t>
      </w:r>
    </w:p>
    <w:p>
      <w:pPr>
        <w:pStyle w:val="Compact"/>
        <w:numPr>
          <w:ilvl w:val="0"/>
          <w:numId w:val="1351"/>
        </w:numPr>
      </w:pPr>
      <w:r>
        <w:t xml:space="preserve">Maintaining and integrating agricultural databases from multiple sources (satellite, weather, ground surveys) — feeding into DES and the UPAg Portal.</w:t>
      </w:r>
    </w:p>
    <w:p>
      <w:pPr>
        <w:pStyle w:val="Compact"/>
        <w:numPr>
          <w:ilvl w:val="0"/>
          <w:numId w:val="1351"/>
        </w:numPr>
      </w:pPr>
      <w:r>
        <w:t xml:space="preserve">Coordinating pilot studies for methodology improvement (e.g., CCE optimisation using RS under PMFBY, smart-sampling for crop insurance).</w:t>
      </w:r>
    </w:p>
    <w:p>
      <w:pPr>
        <w:pStyle w:val="Compact"/>
        <w:numPr>
          <w:ilvl w:val="0"/>
          <w:numId w:val="1351"/>
        </w:numPr>
      </w:pPr>
      <w:r>
        <w:t xml:space="preserve">Supporting</w:t>
      </w:r>
      <w:r>
        <w:t xml:space="preserve"> </w:t>
      </w:r>
      <w:r>
        <w:rPr>
          <w:bCs/>
          <w:b/>
        </w:rPr>
        <w:t xml:space="preserve">YES-TECH</w:t>
      </w:r>
      <w:r>
        <w:t xml:space="preserve"> </w:t>
      </w:r>
      <w:r>
        <w:t xml:space="preserve">(Yield Estimation System based on Technology) under PMFBY as the technical coordinating/mentoring body alongside ISRO.</w:t>
      </w:r>
    </w:p>
    <w:p>
      <w:pPr>
        <w:pStyle w:val="Compact"/>
        <w:numPr>
          <w:ilvl w:val="0"/>
          <w:numId w:val="1351"/>
        </w:numPr>
      </w:pPr>
      <w:r>
        <w:t xml:space="preserve">International engagement — MNCFC/DA&amp;FW/ISRO jointly host or participate in international workshops (e.g., the ISPRS–GEOGLAM–ISRS International Workshop on Earth Observations for Agricultural Monitoring, held in India) and represent India in GEOGLAM Crop Monitor reporting.</w:t>
      </w:r>
    </w:p>
    <w:p>
      <w:pPr>
        <w:pStyle w:val="Heading2"/>
      </w:pPr>
      <w:r>
        <w:t xml:space="preserve">46.6 Role of Regional Remote Sensing Centres (RRSCs) in State-Level Agricultural Applications</w:t>
      </w:r>
    </w:p>
    <w:p>
      <w:pPr>
        <w:pStyle w:val="FirstParagraph"/>
      </w:pPr>
      <w:r>
        <w:t xml:space="preserve">NRSC operates a network of</w:t>
      </w:r>
      <w:r>
        <w:t xml:space="preserve"> </w:t>
      </w:r>
      <w:r>
        <w:rPr>
          <w:bCs/>
          <w:b/>
        </w:rPr>
        <w:t xml:space="preserve">five Regional Remote Sensing Centres (RRSCs)</w:t>
      </w:r>
      <w:r>
        <w:t xml:space="preserve"> </w:t>
      </w:r>
      <w:r>
        <w:t xml:space="preserve">—</w:t>
      </w:r>
      <w:r>
        <w:t xml:space="preserve"> </w:t>
      </w:r>
      <w:r>
        <w:rPr>
          <w:bCs/>
          <w:b/>
        </w:rPr>
        <w:t xml:space="preserve">RRSC-North</w:t>
      </w:r>
      <w:r>
        <w:t xml:space="preserve"> </w:t>
      </w:r>
      <w:r>
        <w:t xml:space="preserve">(New Delhi, relocated from an earlier Dehradun location),</w:t>
      </w:r>
      <w:r>
        <w:t xml:space="preserve"> </w:t>
      </w:r>
      <w:r>
        <w:rPr>
          <w:bCs/>
          <w:b/>
        </w:rPr>
        <w:t xml:space="preserve">RRSC-East</w:t>
      </w:r>
      <w:r>
        <w:t xml:space="preserve"> </w:t>
      </w:r>
      <w:r>
        <w:t xml:space="preserve">(Kolkata),</w:t>
      </w:r>
      <w:r>
        <w:t xml:space="preserve"> </w:t>
      </w:r>
      <w:r>
        <w:rPr>
          <w:bCs/>
          <w:b/>
        </w:rPr>
        <w:t xml:space="preserve">RRSC-South</w:t>
      </w:r>
      <w:r>
        <w:t xml:space="preserve"> </w:t>
      </w:r>
      <w:r>
        <w:t xml:space="preserve">(Bengaluru),</w:t>
      </w:r>
      <w:r>
        <w:t xml:space="preserve"> </w:t>
      </w:r>
      <w:r>
        <w:rPr>
          <w:bCs/>
          <w:b/>
        </w:rPr>
        <w:t xml:space="preserve">RRSC-West</w:t>
      </w:r>
      <w:r>
        <w:t xml:space="preserve"> </w:t>
      </w:r>
      <w:r>
        <w:t xml:space="preserve">(Jodhpur), and</w:t>
      </w:r>
      <w:r>
        <w:t xml:space="preserve"> </w:t>
      </w:r>
      <w:r>
        <w:rPr>
          <w:bCs/>
          <w:b/>
        </w:rPr>
        <w:t xml:space="preserve">RRSC-Central</w:t>
      </w:r>
      <w:r>
        <w:t xml:space="preserve"> </w:t>
      </w:r>
      <w:r>
        <w:t xml:space="preserve">(Nagpur) — that serve as the regional bridge between NRSC’s national-level products/methodology and state government users.</w:t>
      </w:r>
    </w:p>
    <w:p>
      <w:pPr>
        <w:pStyle w:val="BodyText"/>
      </w:pPr>
      <w:r>
        <w:t xml:space="preserve">Their functions relevant to agriculture include: - Downscaling and adapting national methodologies (crop classification schemes, drought indices, horticulture mapping protocols) to regional/state-specific cropping patterns, calendars, and agro-climatic conditions. - Providing satellite data products, GIS layers, and technical/software support to</w:t>
      </w:r>
      <w:r>
        <w:t xml:space="preserve"> </w:t>
      </w:r>
      <w:r>
        <w:rPr>
          <w:bCs/>
          <w:b/>
        </w:rPr>
        <w:t xml:space="preserve">State Remote Sensing Application Centres (SRSACs)</w:t>
      </w:r>
      <w:r>
        <w:t xml:space="preserve"> </w:t>
      </w:r>
      <w:r>
        <w:t xml:space="preserve">— many states (Punjab Remote Sensing Centre, Gujarat’s BISAG-N, Andhra Pradesh Space Applications Centre (APSAC), Karnataka State Remote Sensing Applications Centre, etc.) partner directly with RRSCs for state-specific crop area/health monitoring, soil mapping, watershed and groundwater work. - Conducting</w:t>
      </w:r>
      <w:r>
        <w:t xml:space="preserve"> </w:t>
      </w:r>
      <w:r>
        <w:rPr>
          <w:bCs/>
          <w:b/>
        </w:rPr>
        <w:t xml:space="preserve">capacity-building/training</w:t>
      </w:r>
      <w:r>
        <w:t xml:space="preserve"> </w:t>
      </w:r>
      <w:r>
        <w:t xml:space="preserve">programmes in RS/GIS techniques for state agriculture department officials (relevant, for instance, to YES-TECH rollout training, as documented in NRSC’s own RRSC training materials). - Serving as regional validation/ground-truth collection hubs for national programmes (FASAL, NADAMS, CHAMAN), since local agro-climatic and cropping-pattern knowledge is essential for accurate classification and yield-model calibration. - Extending RS applications to allied natural-resource domains that support agriculture — soils, water resources, groundwater prospects, forestry, and land degradation — at regional/state scale.</w:t>
      </w:r>
    </w:p>
    <w:p>
      <w:pPr>
        <w:pStyle w:val="Heading2"/>
      </w:pPr>
      <w:r>
        <w:t xml:space="preserve">46.7 SAC's Algorithm Development Contributions</w:t>
      </w:r>
    </w:p>
    <w:p>
      <w:pPr>
        <w:numPr>
          <w:ilvl w:val="0"/>
          <w:numId w:val="1352"/>
        </w:numPr>
      </w:pPr>
      <w:r>
        <w:t xml:space="preserve">INSAT Multi-Spectral Rainfall Algorithm (IMSRA): SAC-developed operational rainfall retrieval combining IR window/water-vapour brightness temperature with statistical calibration against ground radar/gauge, progressively improved with INSAT-3D's enhanced imager resolution and sounder-derived moisture information.</w:t>
      </w:r>
    </w:p>
    <w:p>
      <w:pPr>
        <w:numPr>
          <w:ilvl w:val="0"/>
          <w:numId w:val="1352"/>
        </w:numPr>
      </w:pPr>
      <w:r>
        <w:t xml:space="preserve">Land Surface Temperature and split-window algorithms: correcting thermal-IR brightness temperature for atmospheric water-vapour absorption and surface emissivity variation to retrieve accurate LST, feeding both NWP data assimilation and crop-stress (CWSI) monitoring.</w:t>
      </w:r>
    </w:p>
    <w:p>
      <w:pPr>
        <w:numPr>
          <w:ilvl w:val="0"/>
          <w:numId w:val="1352"/>
        </w:numPr>
      </w:pPr>
      <w:r>
        <w:t xml:space="preserve">Vegetation index and crop classification algorithms: NDVI/EVI time-series generation, decision-tree/supervised classification for crop-type mapping, and phenology-based crop-stage identification from multi-date imagery.</w:t>
      </w:r>
    </w:p>
    <w:p>
      <w:pPr>
        <w:numPr>
          <w:ilvl w:val="0"/>
          <w:numId w:val="1352"/>
        </w:numPr>
      </w:pPr>
      <w:r>
        <w:t xml:space="preserve">Soil moisture retrieval from SAR/microwave data: exploiting the strong dielectric-constant contrast between wet and dry soil in radar backscatter, used in irrigation advisory and drought support.</w:t>
      </w:r>
    </w:p>
    <w:p>
      <w:pPr>
        <w:numPr>
          <w:ilvl w:val="0"/>
          <w:numId w:val="1352"/>
        </w:numPr>
      </w:pPr>
      <w:r>
        <w:t xml:space="preserve">FASALSoft: the standardised, multi-crop, multi-sensor operational software framework described in the relevant chapter, engineered by SAC to convert research algorithms into a repeatable operational pipeline.</w:t>
      </w:r>
    </w:p>
    <w:p>
      <w:pPr>
        <w:pStyle w:val="Heading2"/>
      </w:pPr>
      <w:r>
        <w:t xml:space="preserve">46.8 NRSC's Complementary Role (ISRO's National Remote Sensing Centre, Hyderabad)</w:t>
      </w:r>
    </w:p>
    <w:p>
      <w:pPr>
        <w:pStyle w:val="FirstParagraph"/>
      </w:pPr>
      <w:r>
        <w:t xml:space="preserve">While SAC focuses on payload and algorithm development, NRSC (also under ISRO/DOS, at Hyderabad) is the operational data-reception, processing and applications centre responsible for running several nationally critical, continuously operating remote-sensing services directly relevant to agriculture:</w:t>
      </w:r>
    </w:p>
    <w:p>
      <w:pPr>
        <w:numPr>
          <w:ilvl w:val="0"/>
          <w:numId w:val="1353"/>
        </w:numPr>
      </w:pPr>
      <w:r>
        <w:t xml:space="preserve">National Agricultural Drought Assessment and Monitoring System (NADAMS): NRSC's operational near-real-time (fortnightly/monthly, in-season) drought monitoring system for the country's rainfed agricultural districts, using satellite NDVI-derived Vegetation Condition Index (VCI) trends against a normalised historical baseline, cross-checked with rainfall departure data, to classify districts into drought severity categories (mild/moderate/severe) and issue advisory bulletins to state and central drought-relief authorities.</w:t>
      </w:r>
    </w:p>
    <w:p>
      <w:pPr>
        <w:numPr>
          <w:ilvl w:val="0"/>
          <w:numId w:val="1353"/>
        </w:numPr>
      </w:pPr>
      <w:r>
        <w:t xml:space="preserve">Disaster Management Support (DMS): satellite-based flood mapping (using SAR for all-weather capability), cyclone track/damage assessment, and post-disaster crop-damage assessment support to the National Disaster Management Authority (NDMA) and state governments.</w:t>
      </w:r>
    </w:p>
    <w:p>
      <w:pPr>
        <w:numPr>
          <w:ilvl w:val="0"/>
          <w:numId w:val="1353"/>
        </w:numPr>
      </w:pPr>
      <w:r>
        <w:t xml:space="preserve">Bhuvan geoportal: ISRO's web-based geospatial platform providing public access to satellite imagery and thematic layers (including agriculture, water resources, and disaster layers) supporting decentralised, GIS-enabled agromet and land-use applications.</w:t>
      </w:r>
    </w:p>
    <w:p>
      <w:pPr>
        <w:pStyle w:val="Heading2"/>
      </w:pPr>
      <w:r>
        <w:t xml:space="preserve">46.9 Other ISRO Agriculture-Related Activities and Platforms</w:t>
      </w:r>
    </w:p>
    <w:p>
      <w:pPr>
        <w:pStyle w:val="Heading3"/>
      </w:pPr>
      <w:r>
        <w:t xml:space="preserve">46.9.1 Soil Resource Mapping, Wasteland Mapping and Watershed Development</w:t>
      </w:r>
    </w:p>
    <w:p>
      <w:pPr>
        <w:pStyle w:val="Compact"/>
        <w:numPr>
          <w:ilvl w:val="0"/>
          <w:numId w:val="1354"/>
        </w:numPr>
      </w:pPr>
      <w:r>
        <w:rPr>
          <w:bCs/>
          <w:b/>
        </w:rPr>
        <w:t xml:space="preserve">National Wasteland/Degraded Land mapping</w:t>
      </w:r>
      <w:r>
        <w:t xml:space="preserve"> </w:t>
      </w:r>
      <w:r>
        <w:t xml:space="preserve">— NRSC, jointly with the Ministry of Rural Development, has produced multiple editions of the</w:t>
      </w:r>
      <w:r>
        <w:t xml:space="preserve"> </w:t>
      </w:r>
      <w:r>
        <w:rPr>
          <w:bCs/>
          <w:b/>
        </w:rPr>
        <w:t xml:space="preserve">Wastelands Atlas of India</w:t>
      </w:r>
      <w:r>
        <w:t xml:space="preserve"> </w:t>
      </w:r>
      <w:r>
        <w:t xml:space="preserve">(e.g., 2010, updated subsequently) using satellite-based land-degradation classification, directly informing land-reclamation and afforestation/agricultural-extension planning under rural development schemes.</w:t>
      </w:r>
    </w:p>
    <w:p>
      <w:pPr>
        <w:pStyle w:val="Compact"/>
        <w:numPr>
          <w:ilvl w:val="0"/>
          <w:numId w:val="1354"/>
        </w:numPr>
      </w:pPr>
      <w:r>
        <w:rPr>
          <w:bCs/>
          <w:b/>
        </w:rPr>
        <w:t xml:space="preserve">Natural Resources Census (NRC)</w:t>
      </w:r>
      <w:r>
        <w:t xml:space="preserve"> </w:t>
      </w:r>
      <w:r>
        <w:t xml:space="preserve">— an NRSC/ISRO programme producing systematic national land use/land cover (LULC) maps (seasonal — Kharif, Rabi, summer — aggregated to annual national maps since 2004, at 1:250,000 and, every 5 years, at 1:50,000 scale using LISS-III), plus land-degradation and geomorphology/lineament mapping, all published via</w:t>
      </w:r>
      <w:r>
        <w:t xml:space="preserve"> </w:t>
      </w:r>
      <w:r>
        <w:rPr>
          <w:bCs/>
          <w:b/>
        </w:rPr>
        <w:t xml:space="preserve">Bhuvan</w:t>
      </w:r>
      <w:r>
        <w:t xml:space="preserve">. High-resolution (1:10,000 scale, CARTOSAT+LISS-IV fused) LULC mapping supports panchayat/grassroots-level agricultural and watershed planning.</w:t>
      </w:r>
    </w:p>
    <w:p>
      <w:pPr>
        <w:pStyle w:val="Compact"/>
        <w:numPr>
          <w:ilvl w:val="0"/>
          <w:numId w:val="1354"/>
        </w:numPr>
      </w:pPr>
      <w:r>
        <w:rPr>
          <w:bCs/>
          <w:b/>
        </w:rPr>
        <w:t xml:space="preserve">Watershed development</w:t>
      </w:r>
      <w:r>
        <w:t xml:space="preserve"> </w:t>
      </w:r>
      <w:r>
        <w:t xml:space="preserve">— ISRO/NRSC supports the</w:t>
      </w:r>
      <w:r>
        <w:t xml:space="preserve"> </w:t>
      </w:r>
      <w:r>
        <w:rPr>
          <w:bCs/>
          <w:b/>
        </w:rPr>
        <w:t xml:space="preserve">Integrated Watershed Management Programme (IWMP)</w:t>
      </w:r>
      <w:r>
        <w:t xml:space="preserve"> </w:t>
      </w:r>
      <w:r>
        <w:t xml:space="preserve">and its successor schemes with satellite-based monitoring and evaluation (a dedicated Bhuvan-IWMP application module tracks watershed treatment progress, vegetation-cover change, and impact — directly relevant to rainfed agriculture productivity, soil-moisture conservation, and groundwater recharge that supports irrigation).</w:t>
      </w:r>
    </w:p>
    <w:p>
      <w:pPr>
        <w:pStyle w:val="Compact"/>
        <w:numPr>
          <w:ilvl w:val="0"/>
          <w:numId w:val="1354"/>
        </w:numPr>
      </w:pPr>
      <w:r>
        <w:rPr>
          <w:bCs/>
          <w:b/>
        </w:rPr>
        <w:t xml:space="preserve">Groundwater prospects mapping</w:t>
      </w:r>
      <w:r>
        <w:t xml:space="preserve"> </w:t>
      </w:r>
      <w:r>
        <w:t xml:space="preserve">— NRSC has historically produced</w:t>
      </w:r>
      <w:r>
        <w:t xml:space="preserve"> </w:t>
      </w:r>
      <w:r>
        <w:rPr>
          <w:bCs/>
          <w:b/>
        </w:rPr>
        <w:t xml:space="preserve">Groundwater Prospects Maps</w:t>
      </w:r>
      <w:r>
        <w:t xml:space="preserve"> </w:t>
      </w:r>
      <w:r>
        <w:t xml:space="preserve">(under programmes tracing back to the Rajiv Gandhi National Drinking Water Mission-linked mapping and subsequent NAQUIM-supporting work) using geomorphology, lineament and lithology interpretation from satellite imagery, supporting irrigation-source planning in agricultural areas.</w:t>
      </w:r>
    </w:p>
    <w:p>
      <w:pPr>
        <w:pStyle w:val="Heading3"/>
      </w:pPr>
      <w:r>
        <w:t xml:space="preserve">46.9.2 Bhuvan Geoportal — Agriculture Applications</w:t>
      </w:r>
    </w:p>
    <w:p>
      <w:pPr>
        <w:pStyle w:val="FirstParagraph"/>
      </w:pPr>
      <w:r>
        <w:rPr>
          <w:bCs/>
          <w:b/>
        </w:rPr>
        <w:t xml:space="preserve">Bhuvan</w:t>
      </w:r>
      <w:r>
        <w:t xml:space="preserve">, ISRO/NRSC’s national geoportal, hosts dedicated thematic application modules relevant to agriculture, including a</w:t>
      </w:r>
      <w:r>
        <w:t xml:space="preserve"> </w:t>
      </w:r>
      <w:r>
        <w:rPr>
          <w:bCs/>
          <w:b/>
        </w:rPr>
        <w:t xml:space="preserve">Ministry of Agriculture application</w:t>
      </w:r>
      <w:r>
        <w:t xml:space="preserve"> </w:t>
      </w:r>
      <w:r>
        <w:t xml:space="preserve">(crop condition/area layers), the</w:t>
      </w:r>
      <w:r>
        <w:t xml:space="preserve"> </w:t>
      </w:r>
      <w:r>
        <w:rPr>
          <w:bCs/>
          <w:b/>
        </w:rPr>
        <w:t xml:space="preserve">CHAMAN horticulture module</w:t>
      </w:r>
      <w:r>
        <w:t xml:space="preserve">, the</w:t>
      </w:r>
      <w:r>
        <w:t xml:space="preserve"> </w:t>
      </w:r>
      <w:r>
        <w:rPr>
          <w:bCs/>
          <w:b/>
        </w:rPr>
        <w:t xml:space="preserve">IWMP/watershed monitoring module</w:t>
      </w:r>
      <w:r>
        <w:t xml:space="preserve">, and general LULC/agricultural-land layers — serving as the public-facing dissemination and visualisation layer for much of ISRO’s agricultural EO output, alongside specialist portals like MNCFC’s own site.</w:t>
      </w:r>
    </w:p>
    <w:p>
      <w:pPr>
        <w:pStyle w:val="Heading3"/>
      </w:pPr>
      <w:r>
        <w:t xml:space="preserve">46.9.3 VEDAS — Visualization of Earth observation Data and Archival System</w:t>
      </w:r>
    </w:p>
    <w:p>
      <w:pPr>
        <w:pStyle w:val="FirstParagraph"/>
      </w:pPr>
      <w:r>
        <w:rPr>
          <w:bCs/>
          <w:b/>
        </w:rPr>
        <w:t xml:space="preserve">VEDAS</w:t>
      </w:r>
      <w:r>
        <w:t xml:space="preserve"> </w:t>
      </w:r>
      <w:r>
        <w:t xml:space="preserve">is SAC’s self-service, cloud-based geospatial analytics platform (vedas.sac.gov.in) that allows registered users (including researchers, state departments, and students) to visualise, analyse and derive value-added products directly from ISRO EO data without needing to download and process raw imagery locally. Within its agriculture-relevant</w:t>
      </w:r>
      <w:r>
        <w:t xml:space="preserve"> </w:t>
      </w:r>
      <w:r>
        <w:t xml:space="preserve">“</w:t>
      </w:r>
      <w:r>
        <w:t xml:space="preserve">research areas,</w:t>
      </w:r>
      <w:r>
        <w:t xml:space="preserve">”</w:t>
      </w:r>
      <w:r>
        <w:t xml:space="preserve"> </w:t>
      </w:r>
      <w:r>
        <w:t xml:space="preserve">VEDAS hosts tools and time-series products for vegetation monitoring, crop-condition assessment, and (per recent SAC/NRSC materials) an operational module referred to as</w:t>
      </w:r>
      <w:r>
        <w:t xml:space="preserve"> </w:t>
      </w:r>
      <w:r>
        <w:rPr>
          <w:bCs/>
          <w:b/>
        </w:rPr>
        <w:t xml:space="preserve">GeoCrEST</w:t>
      </w:r>
      <w:r>
        <w:t xml:space="preserve"> </w:t>
      </w:r>
      <w:r>
        <w:t xml:space="preserve">— an automated geospatial system for crop yield estimation delivered through the VEDAS geoportal, illustrating the platform’s role in operationalising SAC’s agricultural RS research for end-users, including for crop-insurance-related yield modelling.</w:t>
      </w:r>
    </w:p>
    <w:p>
      <w:pPr>
        <w:pStyle w:val="Heading3"/>
      </w:pPr>
      <w:r>
        <w:t xml:space="preserve">46.9.4 Crop Insurance — PMFBY, YES-TECH, and Related RS Applications</w:t>
      </w:r>
    </w:p>
    <w:p>
      <w:pPr>
        <w:pStyle w:val="FirstParagraph"/>
      </w:pPr>
      <w:r>
        <w:t xml:space="preserve">The</w:t>
      </w:r>
      <w:r>
        <w:t xml:space="preserve"> </w:t>
      </w:r>
      <w:r>
        <w:rPr>
          <w:bCs/>
          <w:b/>
        </w:rPr>
        <w:t xml:space="preserve">Pradhan Mantri Fasal Bima Yojana (PMFBY)</w:t>
      </w:r>
      <w:r>
        <w:t xml:space="preserve">, India’s flagship crop insurance scheme, has progressively integrated satellite remote sensing to reduce dependence on manual CCEs (which are costly, slow, and prone to disputes/moral hazard in insurance settlement):</w:t>
      </w:r>
    </w:p>
    <w:p>
      <w:pPr>
        <w:pStyle w:val="Compact"/>
        <w:numPr>
          <w:ilvl w:val="0"/>
          <w:numId w:val="1355"/>
        </w:numPr>
      </w:pPr>
      <w:r>
        <w:rPr>
          <w:bCs/>
          <w:b/>
        </w:rPr>
        <w:t xml:space="preserve">YES-TECH (Yield Estimation System based on TECHnology)</w:t>
      </w:r>
      <w:r>
        <w:t xml:space="preserve">, introduced from</w:t>
      </w:r>
      <w:r>
        <w:t xml:space="preserve"> </w:t>
      </w:r>
      <w:r>
        <w:rPr>
          <w:bCs/>
          <w:b/>
        </w:rPr>
        <w:t xml:space="preserve">Kharif 2023</w:t>
      </w:r>
      <w:r>
        <w:t xml:space="preserve">, mandates a minimum</w:t>
      </w:r>
      <w:r>
        <w:t xml:space="preserve"> </w:t>
      </w:r>
      <w:r>
        <w:rPr>
          <w:bCs/>
          <w:b/>
        </w:rPr>
        <w:t xml:space="preserve">30% weightage to technology-derived yield estimates</w:t>
      </w:r>
      <w:r>
        <w:t xml:space="preserve"> </w:t>
      </w:r>
      <w:r>
        <w:t xml:space="preserve">(remote sensing + weather + other auxiliary data-based yield models) in the final yield used for claim settlement, alongside CCE-based yields, for notified crops — initially paddy and wheat, extended to soybean from Kharif 2024 — across roughly 10 states.</w:t>
      </w:r>
      <w:r>
        <w:t xml:space="preserve"> </w:t>
      </w:r>
      <w:r>
        <w:rPr>
          <w:bCs/>
          <w:b/>
        </w:rPr>
        <w:t xml:space="preserve">ISRO acts as a Mentor Institute for Technology Roll-out (MITR)</w:t>
      </w:r>
      <w:r>
        <w:t xml:space="preserve"> </w:t>
      </w:r>
      <w:r>
        <w:t xml:space="preserve">(alongside ICAR), providing technical guidance and quality oversight to the state-selected</w:t>
      </w:r>
      <w:r>
        <w:t xml:space="preserve"> </w:t>
      </w:r>
      <w:r>
        <w:rPr>
          <w:bCs/>
          <w:b/>
        </w:rPr>
        <w:t xml:space="preserve">Technology Implementation Partners (TIPs)</w:t>
      </w:r>
      <w:r>
        <w:t xml:space="preserve"> </w:t>
      </w:r>
      <w:r>
        <w:t xml:space="preserve">who build the actual yield models.</w:t>
      </w:r>
    </w:p>
    <w:p>
      <w:pPr>
        <w:pStyle w:val="Compact"/>
        <w:numPr>
          <w:ilvl w:val="0"/>
          <w:numId w:val="1355"/>
        </w:numPr>
      </w:pPr>
      <w:r>
        <w:rPr>
          <w:bCs/>
          <w:b/>
        </w:rPr>
        <w:t xml:space="preserve">Smart Sampling / optimisation of CCEs</w:t>
      </w:r>
      <w:r>
        <w:t xml:space="preserve"> </w:t>
      </w:r>
      <w:r>
        <w:t xml:space="preserve">— as noted in the relevant chapter, SAC (Ahmedabad), coordinated by MNCFC, has produced a standard operating procedure using RS-based crop-area homogeneity stratification to reduce and better-target the number of crop-cutting experiments required under PMFBY, cutting cost and improving statistical reliability.</w:t>
      </w:r>
    </w:p>
    <w:p>
      <w:pPr>
        <w:pStyle w:val="Compact"/>
        <w:numPr>
          <w:ilvl w:val="0"/>
          <w:numId w:val="1355"/>
        </w:numPr>
      </w:pPr>
      <w:r>
        <w:rPr>
          <w:bCs/>
          <w:b/>
        </w:rPr>
        <w:t xml:space="preserve">Crop Damage Assessment System</w:t>
      </w:r>
      <w:r>
        <w:t xml:space="preserve"> </w:t>
      </w:r>
      <w:r>
        <w:t xml:space="preserve">— a more recent enhancement (widely reported around 2024–25) using satellite imagery together with drone/UAV imagery and a mobile</w:t>
      </w:r>
      <w:r>
        <w:t xml:space="preserve"> </w:t>
      </w:r>
      <w:r>
        <w:rPr>
          <w:bCs/>
          <w:b/>
        </w:rPr>
        <w:t xml:space="preserve">CCE-Agri App</w:t>
      </w:r>
      <w:r>
        <w:t xml:space="preserve"> </w:t>
      </w:r>
      <w:r>
        <w:t xml:space="preserve">for rapid, geo-tagged, technology-based crop-loss assessment following localised disasters (e.g., hailstorm, flood), improving transparency and speed of claim settlement.</w:t>
      </w:r>
    </w:p>
    <w:p>
      <w:pPr>
        <w:pStyle w:val="Compact"/>
        <w:numPr>
          <w:ilvl w:val="0"/>
          <w:numId w:val="1355"/>
        </w:numPr>
      </w:pPr>
      <w:r>
        <w:t xml:space="preserve">Reported impacts cited by government/industry sources include a</w:t>
      </w:r>
      <w:r>
        <w:t xml:space="preserve"> </w:t>
      </w:r>
      <w:r>
        <w:rPr>
          <w:bCs/>
          <w:b/>
        </w:rPr>
        <w:t xml:space="preserve">reduction in gross premium rates (from ~17% to ~12%)</w:t>
      </w:r>
      <w:r>
        <w:t xml:space="preserve"> </w:t>
      </w:r>
      <w:r>
        <w:t xml:space="preserve">in some YES-TECH-covered areas, and localised</w:t>
      </w:r>
      <w:r>
        <w:t xml:space="preserve"> </w:t>
      </w:r>
      <w:r>
        <w:rPr>
          <w:bCs/>
          <w:b/>
        </w:rPr>
        <w:t xml:space="preserve">productivity gains of 2–5%</w:t>
      </w:r>
      <w:r>
        <w:t xml:space="preserve"> </w:t>
      </w:r>
      <w:r>
        <w:t xml:space="preserve">and</w:t>
      </w:r>
      <w:r>
        <w:t xml:space="preserve"> </w:t>
      </w:r>
      <w:r>
        <w:rPr>
          <w:bCs/>
          <w:b/>
        </w:rPr>
        <w:t xml:space="preserve">input-cost reductions of 5–10%</w:t>
      </w:r>
      <w:r>
        <w:t xml:space="preserve"> </w:t>
      </w:r>
      <w:r>
        <w:t xml:space="preserve">attributed to better-targeted advisories in pilot areas (e.g., Parbhani, Maharashtra, cotton/soybean, 2022–23) — figures that should be cited cautiously as illustrative/reported rather than universally validated, but useful to demonstrate awareness of the scheme’s stated impact.</w:t>
      </w:r>
    </w:p>
    <w:p>
      <w:pPr>
        <w:pStyle w:val="Heading3"/>
      </w:pPr>
      <w:r>
        <w:t xml:space="preserve">46.9.5 SASYA and Advanced SAR-based Crop Monitoring</w:t>
      </w:r>
    </w:p>
    <w:p>
      <w:pPr>
        <w:pStyle w:val="FirstParagraph"/>
      </w:pPr>
      <w:r>
        <w:t xml:space="preserve">SAC has developed and published (in the peer-reviewed literature, e.g.,</w:t>
      </w:r>
      <w:r>
        <w:t xml:space="preserve"> </w:t>
      </w:r>
      <w:r>
        <w:rPr>
          <w:iCs/>
          <w:i/>
        </w:rPr>
        <w:t xml:space="preserve">ScienceDirect</w:t>
      </w:r>
      <w:r>
        <w:t xml:space="preserve">, and via ISRO’s EOS-04/RISAT-class mission applications) an integrated framework named</w:t>
      </w:r>
      <w:r>
        <w:t xml:space="preserve"> </w:t>
      </w:r>
      <w:r>
        <w:rPr>
          <w:bCs/>
          <w:b/>
        </w:rPr>
        <w:t xml:space="preserve">SASYA</w:t>
      </w:r>
      <w:r>
        <w:t xml:space="preserve">, for</w:t>
      </w:r>
      <w:r>
        <w:t xml:space="preserve"> </w:t>
      </w:r>
      <w:r>
        <w:rPr>
          <w:bCs/>
          <w:b/>
        </w:rPr>
        <w:t xml:space="preserve">crop biophysical-parameter retrieval and within-season yield prediction using SAR remote sensing data</w:t>
      </w:r>
      <w:r>
        <w:t xml:space="preserve"> </w:t>
      </w:r>
      <w:r>
        <w:t xml:space="preserve">— combining radar-derived crop growth parameters (e.g., via water-cloud or similar backscatter models) with yield modelling, particularly valuable for cloud-prone Kharif conditions where optical sensors cannot reliably observe the crop. More recently, ISRO/SAC materials describe AI/ML-based crop-mapping tools using</w:t>
      </w:r>
      <w:r>
        <w:t xml:space="preserve"> </w:t>
      </w:r>
      <w:r>
        <w:rPr>
          <w:bCs/>
          <w:b/>
        </w:rPr>
        <w:t xml:space="preserve">EOS-04 (RISAT-1A) time-series C-band SAR data</w:t>
      </w:r>
      <w:r>
        <w:t xml:space="preserve"> </w:t>
      </w:r>
      <w:r>
        <w:t xml:space="preserve">for precise crop-type identification under cloud cover — an evolution of the SASYA-type approach into an operational/automated classification tool.</w:t>
      </w:r>
    </w:p>
    <w:p>
      <w:pPr>
        <w:pStyle w:val="Heading3"/>
      </w:pPr>
      <w:r>
        <w:t xml:space="preserve">46.9.6 SUFALAM</w:t>
      </w:r>
    </w:p>
    <w:p>
      <w:pPr>
        <w:pStyle w:val="FirstParagraph"/>
      </w:pPr>
      <w:r>
        <w:rPr>
          <w:bCs/>
          <w:b/>
        </w:rPr>
        <w:t xml:space="preserve">SUFALAM —</w:t>
      </w:r>
      <w:r>
        <w:rPr>
          <w:bCs/>
          <w:b/>
        </w:rPr>
        <w:t xml:space="preserve"> </w:t>
      </w:r>
      <w:r>
        <w:rPr>
          <w:bCs/>
          <w:b/>
        </w:rPr>
        <w:t xml:space="preserve">“</w:t>
      </w:r>
      <w:r>
        <w:rPr>
          <w:bCs/>
          <w:b/>
        </w:rPr>
        <w:t xml:space="preserve">Space Utilisation for Food-security and Agricultural Assessment and Monitoring</w:t>
      </w:r>
      <w:r>
        <w:rPr>
          <w:bCs/>
          <w:b/>
        </w:rPr>
        <w:t xml:space="preserve">”</w:t>
      </w:r>
      <w:r>
        <w:t xml:space="preserve"> </w:t>
      </w:r>
      <w:r>
        <w:t xml:space="preserve">— is a collaborative programme (SAC with IEG and other partners) focused on econometric crop-yield modelling integrated with satellite remote sensing, extending beyond FASAL’s initial crop list toward improved decision-support and advisory services; a Phase-II of the programme (reported as spanning roughly 2024–2027) has been described as emphasising enhanced decision-support systems and farm-advisory delivery, reflecting the programme’s evolution toward more direct farmer-facing outputs alongside the traditional statistics function.</w:t>
      </w:r>
    </w:p>
    <w:p>
      <w:pPr>
        <w:pStyle w:val="Heading3"/>
      </w:pPr>
      <w:r>
        <w:t xml:space="preserve">46.9.7 GKMS — Gramin Krishi Mausam Seva</w:t>
      </w:r>
    </w:p>
    <w:p>
      <w:pPr>
        <w:pStyle w:val="FirstParagraph"/>
      </w:pPr>
      <w:r>
        <w:t xml:space="preserve">While primarily an IMD-led scheme,</w:t>
      </w:r>
      <w:r>
        <w:t xml:space="preserve"> </w:t>
      </w:r>
      <w:r>
        <w:rPr>
          <w:bCs/>
          <w:b/>
        </w:rPr>
        <w:t xml:space="preserve">GKMS (Gramin Krishi Mausam Seva)</w:t>
      </w:r>
      <w:r>
        <w:t xml:space="preserve"> </w:t>
      </w:r>
      <w:r>
        <w:t xml:space="preserve">— providing district/block-level agromet advisory services (reported extended to around 500 blocks/85 districts in enhanced pilots) — is closely linked to the FASAL agromet stream and exemplifies how ISRO/IMD’s weather- and satellite-based agricultural intelligence is pushed down to farm-advisory level, complementing the top-down national statistics focus of FASAL/CHAMAN/NADAMS with bottom-up, farmer-facing advisory.</w:t>
      </w:r>
    </w:p>
    <w:p>
      <w:pPr>
        <w:pStyle w:val="Heading2"/>
      </w:pPr>
      <w:r>
        <w:t xml:space="preserve">46.10 ISRO’s Own Platforms for Agricultural Applications</w:t>
      </w:r>
    </w:p>
    <w:p>
      <w:pPr>
        <w:pStyle w:val="FirstParagraph"/>
      </w:pPr>
      <w:r>
        <w:t xml:space="preserve">A SAC interview candidate should be able to clearly distinguish the roles of Bhuvan, VEDAS, MOSDAC, and Bhoonidhi — they are complementary, not redundant, platforms.</w:t>
      </w:r>
    </w:p>
    <w:p>
      <w:pPr>
        <w:pStyle w:val="Heading3"/>
      </w:pPr>
      <w:r>
        <w:t xml:space="preserve">46.10.1 Bhuvan — the Indian Geoportal</w:t>
      </w:r>
    </w:p>
    <w:p>
      <w:pPr>
        <w:pStyle w:val="FirstParagraph"/>
      </w:pPr>
      <w:r>
        <w:t xml:space="preserve">Bhuvan (from the Sanskrit for</w:t>
      </w:r>
      <w:r>
        <w:t xml:space="preserve"> </w:t>
      </w:r>
      <w:r>
        <w:t xml:space="preserve">“</w:t>
      </w:r>
      <w:r>
        <w:t xml:space="preserve">Earth</w:t>
      </w:r>
      <w:r>
        <w:t xml:space="preserve">”</w:t>
      </w:r>
      <w:r>
        <w:t xml:space="preserve">) is ISRO’s public geoportal, developed and operated by NRSC, providing free web-based visualization and, for many layers, download access to Indian satellite imagery and thematic products. For agriculture specifically, Bhuvan hosts:</w:t>
      </w:r>
    </w:p>
    <w:p>
      <w:pPr>
        <w:pStyle w:val="Compact"/>
        <w:numPr>
          <w:ilvl w:val="0"/>
          <w:numId w:val="1356"/>
        </w:numPr>
      </w:pPr>
      <w:r>
        <w:t xml:space="preserve">Dedicated</w:t>
      </w:r>
      <w:r>
        <w:t xml:space="preserve"> </w:t>
      </w:r>
      <w:r>
        <w:rPr>
          <w:bCs/>
          <w:b/>
        </w:rPr>
        <w:t xml:space="preserve">agriculture application pages</w:t>
      </w:r>
      <w:r>
        <w:t xml:space="preserve"> </w:t>
      </w:r>
      <w:r>
        <w:t xml:space="preserve">serving the Department of Agriculture and Farmers Welfare, Department of Agricultural Research and Education (DARE), and Department of Animal Husbandry, Dairy and Fisheries, reflecting Bhuvan’s role as a multi-ministry geospatial service delivery platform.</w:t>
      </w:r>
    </w:p>
    <w:p>
      <w:pPr>
        <w:pStyle w:val="Compact"/>
        <w:numPr>
          <w:ilvl w:val="0"/>
          <w:numId w:val="1356"/>
        </w:numPr>
      </w:pPr>
      <w:r>
        <w:rPr>
          <w:bCs/>
          <w:b/>
        </w:rPr>
        <w:t xml:space="preserve">Horticulture crop mapping</w:t>
      </w:r>
      <w:r>
        <w:t xml:space="preserve"> </w:t>
      </w:r>
      <w:r>
        <w:t xml:space="preserve">(mango, banana, citrus, grapes, oil palm, and other plantation crops) across various states, supporting horticulture area estimation and monitoring.</w:t>
      </w:r>
    </w:p>
    <w:p>
      <w:pPr>
        <w:pStyle w:val="Compact"/>
        <w:numPr>
          <w:ilvl w:val="0"/>
          <w:numId w:val="1356"/>
        </w:numPr>
      </w:pPr>
      <w:r>
        <w:rPr>
          <w:bCs/>
          <w:b/>
        </w:rPr>
        <w:t xml:space="preserve">Land Use/Land Cover (LULC)</w:t>
      </w:r>
      <w:r>
        <w:t xml:space="preserve"> </w:t>
      </w:r>
      <w:r>
        <w:t xml:space="preserve">thematic layers at multiple scales (250K and 50K) spanning multiple reference years, foundational for cropland extent tracking and change detection.</w:t>
      </w:r>
    </w:p>
    <w:p>
      <w:pPr>
        <w:pStyle w:val="Compact"/>
        <w:numPr>
          <w:ilvl w:val="0"/>
          <w:numId w:val="1356"/>
        </w:numPr>
      </w:pPr>
      <w:r>
        <w:rPr>
          <w:bCs/>
          <w:b/>
        </w:rPr>
        <w:t xml:space="preserve">Wasteland mapping</w:t>
      </w:r>
      <w:r>
        <w:t xml:space="preserve">, useful for identifying land available for agricultural expansion or restoration.</w:t>
      </w:r>
    </w:p>
    <w:p>
      <w:pPr>
        <w:pStyle w:val="Compact"/>
        <w:numPr>
          <w:ilvl w:val="0"/>
          <w:numId w:val="1356"/>
        </w:numPr>
      </w:pPr>
      <w:r>
        <w:t xml:space="preserve">A</w:t>
      </w:r>
      <w:r>
        <w:t xml:space="preserve"> </w:t>
      </w:r>
      <w:r>
        <w:rPr>
          <w:bCs/>
          <w:b/>
        </w:rPr>
        <w:t xml:space="preserve">pest surveillance system</w:t>
      </w:r>
      <w:r>
        <w:t xml:space="preserve"> </w:t>
      </w:r>
      <w:r>
        <w:t xml:space="preserve">and</w:t>
      </w:r>
      <w:r>
        <w:t xml:space="preserve"> </w:t>
      </w:r>
      <w:r>
        <w:rPr>
          <w:bCs/>
          <w:b/>
        </w:rPr>
        <w:t xml:space="preserve">drought monitoring</w:t>
      </w:r>
      <w:r>
        <w:t xml:space="preserve"> </w:t>
      </w:r>
      <w:r>
        <w:t xml:space="preserve">support tools, linking Bhuvan to disaster management and agricultural risk applications.</w:t>
      </w:r>
    </w:p>
    <w:p>
      <w:pPr>
        <w:pStyle w:val="Compact"/>
        <w:numPr>
          <w:ilvl w:val="0"/>
          <w:numId w:val="1356"/>
        </w:numPr>
      </w:pPr>
      <w:r>
        <w:t xml:space="preserve">Support for</w:t>
      </w:r>
      <w:r>
        <w:t xml:space="preserve"> </w:t>
      </w:r>
      <w:r>
        <w:rPr>
          <w:bCs/>
          <w:b/>
        </w:rPr>
        <w:t xml:space="preserve">ground truth survey</w:t>
      </w:r>
      <w:r>
        <w:t xml:space="preserve"> </w:t>
      </w:r>
      <w:r>
        <w:t xml:space="preserve">collection (including dedicated mobile applications, e.g., the MNCFC mobile app for field data capture), directly feeding the operational crop forecasting pipeline.</w:t>
      </w:r>
    </w:p>
    <w:p>
      <w:pPr>
        <w:pStyle w:val="Compact"/>
        <w:numPr>
          <w:ilvl w:val="0"/>
          <w:numId w:val="1356"/>
        </w:numPr>
      </w:pPr>
      <w:r>
        <w:t xml:space="preserve">General-purpose GIS tools (drawing/editing, layer overlay) allowing users to combine agricultural layers with base satellite imagery, weather data, and irrigation infrastructure information.</w:t>
      </w:r>
    </w:p>
    <w:p>
      <w:pPr>
        <w:pStyle w:val="FirstParagraph"/>
      </w:pPr>
      <w:r>
        <w:t xml:space="preserve">Bhuvan’s role is best understood as the public-facing, multi-thematic visualization and light-analytics front door to India’s EO holdings — the natural first stop for a citizen, student, or state-government official wanting to see agricultural geospatial information without needing specialized GIS software.</w:t>
      </w:r>
    </w:p>
    <w:p>
      <w:pPr>
        <w:pStyle w:val="Heading3"/>
      </w:pPr>
      <w:r>
        <w:t xml:space="preserve">46.10.2 VEDAS — Visualization of Earth Observation Data and Archival System</w:t>
      </w:r>
    </w:p>
    <w:p>
      <w:pPr>
        <w:pStyle w:val="FirstParagraph"/>
      </w:pPr>
      <w:r>
        <w:t xml:space="preserve">VEDAS is SAC’s own platform (distinct from NRSC’s Bhuvan), designed explicitly as a geospatial analytics and application-development environment rather than purely a visualization portal:</w:t>
      </w:r>
    </w:p>
    <w:p>
      <w:pPr>
        <w:pStyle w:val="Compact"/>
        <w:numPr>
          <w:ilvl w:val="0"/>
          <w:numId w:val="1357"/>
        </w:numPr>
      </w:pPr>
      <w:r>
        <w:t xml:space="preserve">It provides access to a</w:t>
      </w:r>
      <w:r>
        <w:t xml:space="preserve"> </w:t>
      </w:r>
      <w:r>
        <w:t xml:space="preserve">“</w:t>
      </w:r>
      <w:r>
        <w:t xml:space="preserve">thematic spatial derived data repository over land and natural resource inventories,</w:t>
      </w:r>
      <w:r>
        <w:t xml:space="preserve">”</w:t>
      </w:r>
      <w:r>
        <w:t xml:space="preserve"> </w:t>
      </w:r>
      <w:r>
        <w:t xml:space="preserve">generated through operational satellite remote sensing processing chains at SAC.</w:t>
      </w:r>
    </w:p>
    <w:p>
      <w:pPr>
        <w:pStyle w:val="Compact"/>
        <w:numPr>
          <w:ilvl w:val="0"/>
          <w:numId w:val="1357"/>
        </w:numPr>
      </w:pPr>
      <w:r>
        <w:t xml:space="preserve">It integrates remote sensing, GIS, geoprocessing, positioning, and database technologies to let users — including students, researchers, and academia — build and run custom spatio-temporal analytics rather than only view static layers, positioning VEDAS closer in spirit to a lightweight national analogue of Google Earth Engine.</w:t>
      </w:r>
    </w:p>
    <w:p>
      <w:pPr>
        <w:pStyle w:val="Compact"/>
        <w:numPr>
          <w:ilvl w:val="0"/>
          <w:numId w:val="1357"/>
        </w:numPr>
      </w:pPr>
      <w:r>
        <w:t xml:space="preserve">Its flagship agriculture-relevant tool is</w:t>
      </w:r>
      <w:r>
        <w:t xml:space="preserve"> </w:t>
      </w:r>
      <w:r>
        <w:rPr>
          <w:bCs/>
          <w:b/>
        </w:rPr>
        <w:t xml:space="preserve">Krishi-DSS</w:t>
      </w:r>
      <w:r>
        <w:t xml:space="preserve"> </w:t>
      </w:r>
      <w:r>
        <w:t xml:space="preserve">(a drought decision support / drought portal), supporting drought assessment and agricultural decision-making by combining vegetation condition, rainfall, and soil moisture information.</w:t>
      </w:r>
    </w:p>
    <w:p>
      <w:pPr>
        <w:pStyle w:val="Compact"/>
        <w:numPr>
          <w:ilvl w:val="0"/>
          <w:numId w:val="1357"/>
        </w:numPr>
      </w:pPr>
      <w:r>
        <w:t xml:space="preserve">More broadly, VEDAS supports vegetation and crop condition monitoring capabilities aimed at both farmers/agricultural planners and the research community, and is explicitly intended to democratize access to SAC-generated derived products to support evidence-based policy.</w:t>
      </w:r>
    </w:p>
    <w:p>
      <w:pPr>
        <w:pStyle w:val="Heading3"/>
      </w:pPr>
      <w:r>
        <w:t xml:space="preserve">46.10.3 MOSDAC — Meteorological and Oceanographic Satellite Data Archival Centre</w:t>
      </w:r>
    </w:p>
    <w:p>
      <w:pPr>
        <w:pStyle w:val="FirstParagraph"/>
      </w:pPr>
      <w:r>
        <w:t xml:space="preserve">MOSDAC is SAC’s data centre for meteorological, oceanographic, and related atmospheric satellite data and derived products, serving as the backbone for agro-meteorological inputs into crop monitoring and forecasting:</w:t>
      </w:r>
    </w:p>
    <w:p>
      <w:pPr>
        <w:pStyle w:val="Compact"/>
        <w:numPr>
          <w:ilvl w:val="0"/>
          <w:numId w:val="1358"/>
        </w:numPr>
      </w:pPr>
      <w:r>
        <w:t xml:space="preserve">It disseminates data across five broad categories: browse products (quick-look imagery), OGC-standard web services, full satellite data products (HDF/netCDF/GeoTIFF), ground-based/in-situ observations, and model forecast/nowcast products generated at SAC.</w:t>
      </w:r>
    </w:p>
    <w:p>
      <w:pPr>
        <w:pStyle w:val="Compact"/>
        <w:numPr>
          <w:ilvl w:val="0"/>
          <w:numId w:val="1358"/>
        </w:numPr>
      </w:pPr>
      <w:r>
        <w:t xml:space="preserve">It serves both general researchers/public users and Near-Real-Time (NRT) operational users requiring low-latency weather, ocean, and satellite forecast/nowcast information — directly relevant to agromet advisories (rainfall forecasts, weather-based crop stress alerts) that feed into FASAL-type crop condition assessment and into the India Meteorological Department’s Agromet Advisory Services chain.</w:t>
      </w:r>
    </w:p>
    <w:p>
      <w:pPr>
        <w:pStyle w:val="Compact"/>
        <w:numPr>
          <w:ilvl w:val="0"/>
          <w:numId w:val="1358"/>
        </w:numPr>
      </w:pPr>
      <w:r>
        <w:t xml:space="preserve">For agriculture, MOSDAC’s rainfall estimates, land surface temperature, soil moisture-relevant products, and short-range nowcasts function as essential ancillary/forcing data for crop growth models and for the weather-based components of FASAL’s multi-model forecasting approach.</w:t>
      </w:r>
    </w:p>
    <w:p>
      <w:pPr>
        <w:pStyle w:val="Heading3"/>
      </w:pPr>
      <w:r>
        <w:t xml:space="preserve">46.10.4 Bhoonidhi — ISRO’s EO Data Hub (Complementary Newer Platform)</w:t>
      </w:r>
    </w:p>
    <w:p>
      <w:pPr>
        <w:pStyle w:val="FirstParagraph"/>
      </w:pPr>
      <w:r>
        <w:t xml:space="preserve">Worth knowing as a recent and increasingly important addition:</w:t>
      </w:r>
      <w:r>
        <w:t xml:space="preserve"> </w:t>
      </w:r>
      <w:r>
        <w:rPr>
          <w:bCs/>
          <w:b/>
        </w:rPr>
        <w:t xml:space="preserve">Bhoonidhi</w:t>
      </w:r>
      <w:r>
        <w:t xml:space="preserve">, operated by NRSC, is ISRO’s dedicated Earth Observation data hub implementing the open-data provisions of the Indian Space Policy 2023, providing streamlined browse, search, and download access to ISRO’s satellite data archive (including access pathways for NISAR mission data relevant to agriculture and soil moisture applications). Where Bhuvan emphasizes visualization and thematic services and VEDAS emphasizes analytics, Bhoonidhi emphasizes efficient, policy-compliant bulk data discovery and access — the raw-data layer underlying both.</w:t>
      </w:r>
    </w:p>
    <w:p>
      <w:pPr>
        <w:pStyle w:val="Heading2"/>
      </w:pPr>
      <w:r>
        <w:t xml:space="preserve">46.11 Krishi-DSS and digital agriculture</w:t>
      </w:r>
    </w:p>
    <w:tbl>
      <w:tblPr>
        <w:tblStyle w:val="Table"/>
        <w:tblW w:type="pct" w:w="4965"/>
        <w:jc w:val="left"/>
        <w:tblLook w:firstRow="0" w:lastRow="0" w:firstColumn="0" w:lastColumn="0" w:noHBand="0" w:noVBand="0" w:val="0000"/>
      </w:tblPr>
      <w:tblGrid>
        <w:gridCol w:w="1143"/>
        <w:gridCol w:w="6720"/>
      </w:tblGrid>
      <w:tr>
        <w:tc>
          <w:tcPr/>
          <w:p>
            <w:pPr>
              <w:pStyle w:val="Compact"/>
              <w:jc w:val="left"/>
            </w:pPr>
            <w:r>
              <w:rPr>
                <w:bCs/>
                <w:b/>
              </w:rPr>
              <w:t xml:space="preserve">Krishi-DSS (2024)</w:t>
            </w:r>
          </w:p>
        </w:tc>
        <w:tc>
          <w:tcPr/>
          <w:p>
            <w:pPr>
              <w:pStyle w:val="Compact"/>
              <w:jc w:val="left"/>
            </w:pPr>
            <w:r>
              <w:t xml:space="preserve">Geospatial</w:t>
            </w:r>
            <w:r>
              <w:t xml:space="preserve"> </w:t>
            </w:r>
            <w:r>
              <w:rPr>
                <w:bCs/>
                <w:b/>
              </w:rPr>
              <w:t xml:space="preserve">Krishi Decision Support System</w:t>
            </w:r>
            <w:r>
              <w:t xml:space="preserve"> </w:t>
            </w:r>
            <w:r>
              <w:t xml:space="preserve">launched by the Ministry of Agriculture in collaboration with ISRO. Integrates satellite crop maps, crop condition, drought, soil, weather, reservoir and groundwater data for policy decisions.</w:t>
            </w:r>
          </w:p>
        </w:tc>
      </w:tr>
      <w:tr>
        <w:tc>
          <w:tcPr/>
          <w:p>
            <w:pPr>
              <w:pStyle w:val="Compact"/>
              <w:jc w:val="left"/>
            </w:pPr>
            <w:r>
              <w:rPr>
                <w:bCs/>
                <w:b/>
              </w:rPr>
              <w:t xml:space="preserve">Digital Agriculture Mission (2024)</w:t>
            </w:r>
          </w:p>
        </w:tc>
        <w:tc>
          <w:tcPr/>
          <w:p>
            <w:pPr>
              <w:pStyle w:val="Compact"/>
              <w:jc w:val="left"/>
            </w:pPr>
            <w:r>
              <w:t xml:space="preserve">AgriStack (farmer registry, geo-referenced village maps),</w:t>
            </w:r>
            <w:r>
              <w:t xml:space="preserve"> </w:t>
            </w:r>
            <w:r>
              <w:rPr>
                <w:bCs/>
                <w:b/>
              </w:rPr>
              <w:t xml:space="preserve">Digital Crop Survey</w:t>
            </w:r>
            <w:r>
              <w:t xml:space="preserve">, and RS-based crop maps for verification.</w:t>
            </w:r>
          </w:p>
        </w:tc>
      </w:tr>
      <w:tr>
        <w:tc>
          <w:tcPr/>
          <w:p>
            <w:pPr>
              <w:pStyle w:val="Compact"/>
              <w:jc w:val="left"/>
            </w:pPr>
            <w:r>
              <w:rPr>
                <w:bCs/>
                <w:b/>
              </w:rPr>
              <w:t xml:space="preserve">Bhuvan / VEDAS / Bhoonidhi</w:t>
            </w:r>
          </w:p>
        </w:tc>
        <w:tc>
          <w:tcPr/>
          <w:p>
            <w:pPr>
              <w:pStyle w:val="Compact"/>
              <w:jc w:val="left"/>
            </w:pPr>
            <w:r>
              <w:t xml:space="preserve">Bhuvan (NRSC): visualisation, geotagging apps, thematic maps. VEDAS (SAC): online NDVI, drought, crop analytics. Bhoonidhi (NRSC): satellite data download.</w:t>
            </w:r>
          </w:p>
        </w:tc>
      </w:tr>
      <w:tr>
        <w:tc>
          <w:tcPr/>
          <w:p>
            <w:pPr>
              <w:pStyle w:val="Compact"/>
              <w:jc w:val="left"/>
            </w:pPr>
            <w:r>
              <w:rPr>
                <w:bCs/>
                <w:b/>
              </w:rPr>
              <w:t xml:space="preserve">Geotagging</w:t>
            </w:r>
          </w:p>
        </w:tc>
        <w:tc>
          <w:tcPr/>
          <w:p>
            <w:pPr>
              <w:pStyle w:val="Compact"/>
              <w:jc w:val="left"/>
            </w:pPr>
            <w:r>
              <w:t xml:space="preserve">Geo-MGNREGA (2016), PMKSY watershed works (Srishti/Drishti apps), RKVY assets, all on Bhuvan.</w:t>
            </w:r>
          </w:p>
        </w:tc>
      </w:tr>
    </w:tbl>
    <w:p>
      <w:pPr>
        <w:pStyle w:val="Heading2"/>
      </w:pPr>
      <w:r>
        <w:t xml:space="preserve">46.12 International Applications of Remote Sensing in Agriculture</w:t>
      </w:r>
    </w:p>
    <w:p>
      <w:pPr>
        <w:pStyle w:val="FirstParagraph"/>
      </w:pPr>
      <w:r>
        <w:t xml:space="preserve">International context is a useful way to demonstrate breadth in an ISRO-SAC interview, and also to show an understanding of where India's approach converges with or differs from global practice.</w:t>
      </w:r>
    </w:p>
    <w:p>
      <w:pPr>
        <w:numPr>
          <w:ilvl w:val="0"/>
          <w:numId w:val="1359"/>
        </w:numPr>
      </w:pPr>
      <w:r>
        <w:t xml:space="preserve">USDA NASS Cropland Data Layer (CDL) — an annual, crop-specific 30 m land-cover map of the entire continental United States, produced by the US Department of Agriculture's National Agricultural Statistics Service using Landsat and Sentinel-2 imagery classified with decision-tree/Random-Forest methods, trained and validated against the Farm Service Agency's Common Land Unit administrative field-boundary/crop-type dataset — a scale and quality of wall-to-wall ground-truth that Indian systems, given far smaller and more numerous holdings, cannot straightforwardly replicate.</w:t>
      </w:r>
    </w:p>
    <w:p>
      <w:pPr>
        <w:numPr>
          <w:ilvl w:val="0"/>
          <w:numId w:val="1359"/>
        </w:numPr>
      </w:pPr>
      <w:r>
        <w:t xml:space="preserve">GEOGLAM Crop Monitor — an international multi-agency initiative (NASA, USDA, ESA, JAXA and partners) operating under the G20's Agricultural Market Information System (AMIS), publishing monthly four-colour (favourable / watch / poor / exceptional) crop-condition assessments for major producing and exporting countries specifically to increase transparency in global food markets and reduce the risk of panic-driven export restrictions based on rumour rather than verified crop condition.</w:t>
      </w:r>
    </w:p>
    <w:p>
      <w:pPr>
        <w:numPr>
          <w:ilvl w:val="0"/>
          <w:numId w:val="1359"/>
        </w:numPr>
      </w:pPr>
      <w:r>
        <w:t xml:space="preserve">China's CropWatch — developed and operated by the Chinese Academy of Sciences' Aerospace Information Research Institute (RADI), operational since 1998, monitors both Chinese and 40+ other countries' cropland using MODIS/Sentinel-derived multi-indicator sets (cropping intensity, vegetation-condition and temperature-condition indices, and others), publishing quarterly global bulletins — broadly the closest single international analogue to India's NADAMS-plus-FASAL combination in institutional ambition, though built more around a fixed multi-indicator dashboard than FASAL's explicit three-method triangulation.</w:t>
      </w:r>
    </w:p>
    <w:p>
      <w:pPr>
        <w:numPr>
          <w:ilvl w:val="0"/>
          <w:numId w:val="1359"/>
        </w:numPr>
      </w:pPr>
      <w:r>
        <w:t xml:space="preserve">FAO GIEWS (Global Information and Early Warning System) — combines RS-derived vegetation-condition anomalies and satellite/gauge-blended rainfall estimates (e.g. CHIRPS) with agromet and market/price data to flag countries facing emerging food-security emergencies, feeding into international humanitarian response planning.</w:t>
      </w:r>
    </w:p>
    <w:p>
      <w:pPr>
        <w:numPr>
          <w:ilvl w:val="0"/>
          <w:numId w:val="1359"/>
        </w:numPr>
      </w:pPr>
      <w:r>
        <w:t xml:space="preserve">EU Copernicus / JRC MARS (Monitoring Agricultural Resources) unit — runs the Crop Growth Monitoring System (CGMS), which integrates the WOFOST crop-simulation model with Sentinel-2 and weather data for EU-wide yield forecasting (directly analogous to the InfoCrop-assimilation approach described above); separately, Sentinel-1 SAR time series are used operationally for Common Agricultural Policy (CAP) subsidy-compliance monitoring — verifying mowing/harvest dates and crop-diversification rules from orbit — an operational SAR application with a strikingly similar physical logic (backscatter-trajectory monitoring) to India's SAR-based kharif rice mapping.</w:t>
      </w:r>
    </w:p>
    <w:p>
      <w:pPr>
        <w:numPr>
          <w:ilvl w:val="0"/>
          <w:numId w:val="1359"/>
        </w:numPr>
      </w:pPr>
      <w:r>
        <w:t xml:space="preserve">NASA Harvest and SERVIR — capacity-building and applied food-security RS programmes extending similar methods (crop-type mapping, drought early warning, crop-condition monitoring) into developing-country contexts, often in direct partnership with national agencies analogous to MNCFC.</w:t>
      </w:r>
    </w:p>
    <w:p>
      <w:pPr>
        <w:pStyle w:val="Heading3"/>
      </w:pPr>
      <w:r>
        <w:t xml:space="preserve">46.12.1 What this comparison shows</w:t>
      </w:r>
    </w:p>
    <w:p>
      <w:pPr>
        <w:pStyle w:val="FirstParagraph"/>
      </w:pPr>
      <w:r>
        <w:t xml:space="preserve">The recurring theme across all of these systems — and the point worth making explicitly if asked to compare — is that no major operational system anywhere relies on a single method or a single sensor type; GEOGLAM/CropWatch triangulate multiple indicators the same way FASAL triangulates statistical/semi-physical/assimilation approaches, EU MARS pairs a crop-simulation model with satellite assimilation exactly as the InfoCrop-Wheat/PROSAIL prototype does, and EU CAP compliance monitoring uses SAR backscatter time series for essentially the same physical reason India uses SAR for rice — cloud-independence and a distinctive, phenology-linked scattering signature. India's specific added difficulty, relative to the US or EU systems, is smallholder fragmentation and mixed-pixel severity at a scale those larger-holding-size systems do not have to solve nearly as aggressively.</w:t>
      </w:r>
    </w:p>
    <w:p>
      <w:pPr>
        <w:pStyle w:val="Heading2"/>
      </w:pPr>
      <w:r>
        <w:t xml:space="preserve">46.13 Indian Space Policy 2023 and Satellite Data Access</w:t>
      </w:r>
    </w:p>
    <w:p>
      <w:pPr>
        <w:pStyle w:val="FirstParagraph"/>
      </w:pPr>
      <w:r>
        <w:t xml:space="preserve">The</w:t>
      </w:r>
      <w:r>
        <w:t xml:space="preserve"> </w:t>
      </w:r>
      <w:r>
        <w:rPr>
          <w:bCs/>
          <w:b/>
        </w:rPr>
        <w:t xml:space="preserve">Indian Space Policy 2023</w:t>
      </w:r>
      <w:r>
        <w:t xml:space="preserve"> </w:t>
      </w:r>
      <w:r>
        <w:t xml:space="preserve">materially changed the accessibility of Indian satellite remote-sensing data:</w:t>
      </w:r>
      <w:r>
        <w:t xml:space="preserve"> </w:t>
      </w:r>
      <w:r>
        <w:rPr>
          <w:bCs/>
          <w:b/>
        </w:rPr>
        <w:t xml:space="preserve">remote-sensing data coarser than 5 m spatial resolution is now provided free and open to all users</w:t>
      </w:r>
      <w:r>
        <w:t xml:space="preserve">, and, more specifically for government use, data from Indian satellite missions is made open and free for all government users, a policy shift that directly underlies the free operational supply of</w:t>
      </w:r>
      <w:r>
        <w:t xml:space="preserve"> </w:t>
      </w:r>
      <w:r>
        <w:rPr>
          <w:bCs/>
          <w:b/>
        </w:rPr>
        <w:t xml:space="preserve">C-band SAR data from EOS-04</w:t>
      </w:r>
      <w:r>
        <w:t xml:space="preserve"> </w:t>
      </w:r>
      <w:r>
        <w:t xml:space="preserve">to MNCFC and the Department of Agriculture and Farmers’ Welfare for operational national crop mapping described in the relevant chapter, and more generally lowers the barrier to routine, large-area, multi-temporal satellite-data use across state agriculture and disaster-management departments that previously faced data-cost constraints.</w:t>
      </w:r>
    </w:p>
    <w:p>
      <w:pPr>
        <w:pStyle w:val="Heading2"/>
      </w:pPr>
      <w:r>
        <w:t xml:space="preserve">46.14 BHOONIDHI and Bhuvan — Data and Application Dissemination Platforms</w:t>
      </w:r>
    </w:p>
    <w:p>
      <w:pPr>
        <w:pStyle w:val="FirstParagraph"/>
      </w:pPr>
      <w:r>
        <w:rPr>
          <w:bCs/>
          <w:b/>
        </w:rPr>
        <w:t xml:space="preserve">BHOONIDHI</w:t>
      </w:r>
      <w:r>
        <w:t xml:space="preserve"> </w:t>
      </w:r>
      <w:r>
        <w:t xml:space="preserve">is NRSC/ISRO’s satellite-data discovery, browsing and ordering geo-portal, into which analytics tools such as</w:t>
      </w:r>
      <w:r>
        <w:t xml:space="preserve"> </w:t>
      </w:r>
      <w:r>
        <w:rPr>
          <w:bCs/>
          <w:b/>
        </w:rPr>
        <w:t xml:space="preserve">SASYA</w:t>
      </w:r>
      <w:r>
        <w:t xml:space="preserve"> </w:t>
      </w:r>
      <w:r>
        <w:t xml:space="preserve">are directly integrated, allowing registered users (including operational agencies such as MNCFC) to both access raw/processed satellite data and run/access derived analytical products from a single platform.</w:t>
      </w:r>
      <w:r>
        <w:t xml:space="preserve"> </w:t>
      </w:r>
      <w:r>
        <w:rPr>
          <w:bCs/>
          <w:b/>
        </w:rPr>
        <w:t xml:space="preserve">Bhuvan</w:t>
      </w:r>
      <w:r>
        <w:t xml:space="preserve"> </w:t>
      </w:r>
      <w:r>
        <w:t xml:space="preserve">is ISRO’s broader geospatial-visualisation and application-dissemination portal, hosting thematic application layers described throughout this manual — the Disaster Management Support Services, and soil-degradation/salinity/waterlogging/erosion maps among them — as the primary public-facing dissemination channel for NRSC’s mapped thematic products.</w:t>
      </w:r>
      <w:r>
        <w:t xml:space="preserve"> </w:t>
      </w:r>
      <w:r>
        <w:rPr>
          <w:bCs/>
          <w:b/>
        </w:rPr>
        <w:t xml:space="preserve">VEDAS</w:t>
      </w:r>
      <w:r>
        <w:t xml:space="preserve"> </w:t>
      </w:r>
      <w:r>
        <w:t xml:space="preserve">(vedas.sac.gov.in) is the complementary SAC-operated geoportal specifically for the terrestrial/agro-meteorological value-added product suite.</w:t>
      </w:r>
    </w:p>
    <w:p>
      <w:pPr>
        <w:pStyle w:val="Heading2"/>
      </w:pPr>
      <w:r>
        <w:t xml:space="preserve">46.15 Agristack Project</w:t>
      </w:r>
    </w:p>
    <w:p>
      <w:pPr>
        <w:pStyle w:val="FirstParagraph"/>
      </w:pPr>
      <w:r>
        <w:t xml:space="preserve">Under the</w:t>
      </w:r>
      <w:r>
        <w:t xml:space="preserve"> </w:t>
      </w:r>
      <w:r>
        <w:rPr>
          <w:bCs/>
          <w:b/>
        </w:rPr>
        <w:t xml:space="preserve">Agristack</w:t>
      </w:r>
      <w:r>
        <w:t xml:space="preserve"> </w:t>
      </w:r>
      <w:r>
        <w:t xml:space="preserve">initiative (a Government of India digital-public-infrastructure programme for agriculture, building farmer, land-parcel and crop-sown-area digital registries), ISRO/DoS provides</w:t>
      </w:r>
      <w:r>
        <w:t xml:space="preserve"> </w:t>
      </w:r>
      <w:r>
        <w:rPr>
          <w:bCs/>
          <w:b/>
        </w:rPr>
        <w:t xml:space="preserve">high-resolution satellite imagery for 13 states</w:t>
      </w:r>
      <w:r>
        <w:t xml:space="preserve">, strengthening the digital agricultural infrastructure base on which farmer-facing digital services (input advisory, credit access, crop-insurance eligibility verification) can be built — extending SAC’s traditional national-forecast/monitoring role into direct support of a farmer-level digital-service delivery infrastructure.</w:t>
      </w:r>
    </w:p>
    <w:p>
      <w:pPr>
        <w:pStyle w:val="Heading2"/>
      </w:pPr>
      <w:r>
        <w:t xml:space="preserve">46.16 Value-Added Agro-Meteorological Products and GKMS</w:t>
      </w:r>
    </w:p>
    <w:p>
      <w:pPr>
        <w:pStyle w:val="FirstParagraph"/>
      </w:pPr>
      <w:r>
        <w:t xml:space="preserve">ISRO/DoS operationally generates and disseminates, through the VEDAS geoportal,</w:t>
      </w:r>
      <w:r>
        <w:t xml:space="preserve"> </w:t>
      </w:r>
      <w:r>
        <w:rPr>
          <w:bCs/>
          <w:b/>
        </w:rPr>
        <w:t xml:space="preserve">seven value-added agro-meteorological products</w:t>
      </w:r>
      <w:r>
        <w:t xml:space="preserve"> </w:t>
      </w:r>
      <w:r>
        <w:t xml:space="preserve">to the</w:t>
      </w:r>
      <w:r>
        <w:t xml:space="preserve"> </w:t>
      </w:r>
      <w:r>
        <w:rPr>
          <w:bCs/>
          <w:b/>
        </w:rPr>
        <w:t xml:space="preserve">Agro-Meteorological Field Units (AMFUs)</w:t>
      </w:r>
      <w:r>
        <w:t xml:space="preserve"> </w:t>
      </w:r>
      <w:r>
        <w:t xml:space="preserve">operating under the India Meteorological Department’s</w:t>
      </w:r>
      <w:r>
        <w:t xml:space="preserve"> </w:t>
      </w:r>
      <w:r>
        <w:rPr>
          <w:bCs/>
          <w:b/>
        </w:rPr>
        <w:t xml:space="preserve">Gramin Krishi Mausam Seva (GKMS)</w:t>
      </w:r>
      <w:r>
        <w:t xml:space="preserve"> </w:t>
      </w:r>
      <w:r>
        <w:t xml:space="preserve">programme — covering, per the current operational footprint,</w:t>
      </w:r>
      <w:r>
        <w:t xml:space="preserve"> </w:t>
      </w:r>
      <w:r>
        <w:rPr>
          <w:bCs/>
          <w:b/>
        </w:rPr>
        <w:t xml:space="preserve">more than 85 districts and 500 blocks</w:t>
      </w:r>
      <w:r>
        <w:t xml:space="preserve"> </w:t>
      </w:r>
      <w:r>
        <w:t xml:space="preserve">— providing crop-and-location-specific, remote-sensing-informed agromet advisory inputs that AMFU agromet scientists incorporate into their district-level weather-based agricultural-advisory bulletins issued to farmers.</w:t>
      </w:r>
    </w:p>
    <w:p>
      <w:pPr>
        <w:pStyle w:val="Heading2"/>
      </w:pPr>
      <w:r>
        <w:t xml:space="preserve">46.17 National Agricultural Land Use Mapping Programme</w:t>
      </w:r>
    </w:p>
    <w:p>
      <w:pPr>
        <w:pStyle w:val="FirstParagraph"/>
      </w:pPr>
      <w:r>
        <w:t xml:space="preserve">As part of the</w:t>
      </w:r>
      <w:r>
        <w:t xml:space="preserve"> </w:t>
      </w:r>
      <w:r>
        <w:rPr>
          <w:bCs/>
          <w:b/>
        </w:rPr>
        <w:t xml:space="preserve">National Agricultural Land Use Mapping programme</w:t>
      </w:r>
      <w:r>
        <w:t xml:space="preserve">, ISRO/DoS generates</w:t>
      </w:r>
      <w:r>
        <w:t xml:space="preserve"> </w:t>
      </w:r>
      <w:r>
        <w:rPr>
          <w:bCs/>
          <w:b/>
        </w:rPr>
        <w:t xml:space="preserve">annual and quinquennial land-cover and land-use datasets at multiple scales (1:250K, 1:50K, 1:10K)</w:t>
      </w:r>
      <w:r>
        <w:t xml:space="preserve"> </w:t>
      </w:r>
      <w:r>
        <w:t xml:space="preserve">specifically framed, in current programme documentation, as supporting</w:t>
      </w:r>
      <w:r>
        <w:t xml:space="preserve"> </w:t>
      </w:r>
      <w:r>
        <w:rPr>
          <w:bCs/>
          <w:b/>
        </w:rPr>
        <w:t xml:space="preserve">land-use planning, food security, and environmental assessment</w:t>
      </w:r>
      <w:r>
        <w:t xml:space="preserve"> </w:t>
      </w:r>
      <w:r>
        <w:t xml:space="preserve">objectives — i.e., the same core LULC mapping activity described in the relevant chapter is institutionally positioned, in its most recent programmatic framing, as directly serving these three named national objectives.</w:t>
      </w:r>
    </w:p>
    <w:p>
      <w:pPr>
        <w:pStyle w:val="Heading2"/>
      </w:pPr>
      <w:r>
        <w:t xml:space="preserve">46.18 Additional FASAL R&amp;D Priority Areas (Contextualising the Programme’s Current Frontier)</w:t>
      </w:r>
    </w:p>
    <w:p>
      <w:pPr>
        <w:pStyle w:val="FirstParagraph"/>
      </w:pPr>
      <w:r>
        <w:t xml:space="preserve">Several programme-document-cited FASAL R&amp;D priorities, not separately developed as full chapters elsewhere in this manual but worth being able to name and briefly explain if asked</w:t>
      </w:r>
      <w:r>
        <w:t xml:space="preserve"> </w:t>
      </w:r>
      <w:r>
        <w:t xml:space="preserve">“</w:t>
      </w:r>
      <w:r>
        <w:t xml:space="preserve">what is SAC currently working on beyond the established operational products</w:t>
      </w:r>
      <w:r>
        <w:t xml:space="preserve">”</w:t>
      </w:r>
      <w:r>
        <w:t xml:space="preserve">:</w:t>
      </w:r>
    </w:p>
    <w:p>
      <w:pPr>
        <w:pStyle w:val="Compact"/>
        <w:numPr>
          <w:ilvl w:val="0"/>
          <w:numId w:val="1360"/>
        </w:numPr>
      </w:pPr>
      <w:r>
        <w:rPr>
          <w:bCs/>
          <w:b/>
        </w:rPr>
        <w:t xml:space="preserve">Extension of forecasting procedures to sugarcane, cotton, soybean and pulses</w:t>
      </w:r>
      <w:r>
        <w:t xml:space="preserve"> </w:t>
      </w:r>
      <w:r>
        <w:t xml:space="preserve">— using AWiFS for sugarcane’s characteristic long-duration, perennial-appearing canopy signature (distinguishing it from annual field crops requires exploiting its extended, less sharply phenological growth curve), and SAR for cotton and soybean, whose kharif-season growth window coincides with peak monsoon cloud cover, making SAR’s cloud-penetration capability essential rather than merely advantageous for these crops as it is, differently, for rice.</w:t>
      </w:r>
    </w:p>
    <w:p>
      <w:pPr>
        <w:pStyle w:val="Compact"/>
        <w:numPr>
          <w:ilvl w:val="0"/>
          <w:numId w:val="1360"/>
        </w:numPr>
      </w:pPr>
      <w:r>
        <w:rPr>
          <w:bCs/>
          <w:b/>
        </w:rPr>
        <w:t xml:space="preserve">INSAT CCD/NDVI product generation</w:t>
      </w:r>
      <w:r>
        <w:t xml:space="preserve"> </w:t>
      </w:r>
      <w:r>
        <w:t xml:space="preserve">— continued generation of NDVI time-series products from INSAT’s imaging payload (historically the Charge-Coupled Device, CCD, camera on earlier INSAT satellites; conceptually continued via the current Imager payload) as a coarse-resolution but very-high-temporal-frequency (near-daily, geostationary) complementary NDVI data stream to the AWiFS/LISS/ResourceSat-based moderate-resolution NDVI time series, valuable specifically for capturing sub-weekly vegetation-condition change (e.g., rapid drought-onset or waterlogging-recovery signals) that a 5-day AWiFS repeat cycle would under-sample.</w:t>
      </w:r>
    </w:p>
    <w:p>
      <w:pPr>
        <w:pStyle w:val="Compact"/>
        <w:numPr>
          <w:ilvl w:val="0"/>
          <w:numId w:val="1360"/>
        </w:numPr>
      </w:pPr>
      <w:r>
        <w:rPr>
          <w:bCs/>
          <w:b/>
        </w:rPr>
        <w:t xml:space="preserve">International Crop Assessment using EO Data</w:t>
      </w:r>
      <w:r>
        <w:t xml:space="preserve"> </w:t>
      </w:r>
      <w:r>
        <w:t xml:space="preserve">— participation in / contribution to global crop-monitoring initiatives (the</w:t>
      </w:r>
      <w:r>
        <w:t xml:space="preserve"> </w:t>
      </w:r>
      <w:r>
        <w:rPr>
          <w:bCs/>
          <w:b/>
        </w:rPr>
        <w:t xml:space="preserve">Global Crop Programme</w:t>
      </w:r>
      <w:r>
        <w:t xml:space="preserve">, connecting SAC’s national FASAL methodology and India-specific crop-forecast outputs to international crop-monitoring-and-early-warning networks such as GEOGLAM, the Group on Earth Observations Global Agricultural Monitoring initiative), extending India’s own operational forecasting experience and methodology to international crop-condition-assessment contexts and vice versa.</w:t>
      </w:r>
    </w:p>
    <w:p>
      <w:pPr>
        <w:pStyle w:val="Compact"/>
        <w:numPr>
          <w:ilvl w:val="0"/>
          <w:numId w:val="1360"/>
        </w:numPr>
      </w:pPr>
      <w:r>
        <w:rPr>
          <w:bCs/>
          <w:b/>
        </w:rPr>
        <w:t xml:space="preserve">New sensor / parameter-retrieval / procedure development</w:t>
      </w:r>
      <w:r>
        <w:t xml:space="preserve"> </w:t>
      </w:r>
      <w:r>
        <w:t xml:space="preserve">— the broad, standing FASAL mandate (explicitly stated in programme documentation) to develop new-sensor application procedures, retrieval algorithms and biomass-estimation and pest/disease-assessment methodologies as new satellite payloads (RISAT-1/EOS-04 historically, NISAR prospectively, Chapter 3) become available — the institutional/programmatic</w:t>
      </w:r>
      <w:r>
        <w:t xml:space="preserve"> </w:t>
      </w:r>
      <w:r>
        <w:t xml:space="preserve">“</w:t>
      </w:r>
      <w:r>
        <w:t xml:space="preserve">pipeline</w:t>
      </w:r>
      <w:r>
        <w:t xml:space="preserve">”</w:t>
      </w:r>
      <w:r>
        <w:t xml:space="preserve"> </w:t>
      </w:r>
      <w:r>
        <w:t xml:space="preserve">through which, for example, the rice-SAR backscatter-signature methodology itself originated as R&amp;D before becoming the operational SASYA/national-rice-mapping product described in the relevant chapter.</w:t>
      </w:r>
    </w:p>
    <w:p>
      <w:pPr>
        <w:pStyle w:val="Heading2"/>
      </w:pPr>
      <w:r>
        <w:t xml:space="preserve">46.19 Pilot Studies on Hyperspectral Remote Sensing for Crop-Condition Assessment</w:t>
      </w:r>
    </w:p>
    <w:p>
      <w:pPr>
        <w:pStyle w:val="FirstParagraph"/>
      </w:pPr>
      <w:r>
        <w:t xml:space="preserve">Hyperspectral (narrow-band) remote sensing — from airborne campaigns and, increasingly, spaceborne hyperspectral missions — is explored in pilot studies for crop-condition assessment specifically where broadband multispectral vegetation indices (NDVI/EVI) lack the sensitivity or specificity required:</w:t>
      </w:r>
      <w:r>
        <w:t xml:space="preserve"> </w:t>
      </w:r>
      <w:r>
        <w:rPr>
          <w:bCs/>
          <w:b/>
        </w:rPr>
        <w:t xml:space="preserve">early, pre-visual stress detection</w:t>
      </w:r>
      <w:r>
        <w:t xml:space="preserve"> </w:t>
      </w:r>
      <w:r>
        <w:t xml:space="preserve">(via the red-edge and specific narrow-band absorption-feature analysis introduced in Chapters 2 and 9),</w:t>
      </w:r>
      <w:r>
        <w:t xml:space="preserve"> </w:t>
      </w:r>
      <w:r>
        <w:rPr>
          <w:bCs/>
          <w:b/>
        </w:rPr>
        <w:t xml:space="preserve">nutrient-status (nitrogen) retrieval</w:t>
      </w:r>
      <w:r>
        <w:t xml:space="preserve"> </w:t>
      </w:r>
      <w:r>
        <w:t xml:space="preserve">(via narrow-band indices targeting protein/nitrogen-related absorption features),</w:t>
      </w:r>
      <w:r>
        <w:t xml:space="preserve"> </w:t>
      </w:r>
      <w:r>
        <w:rPr>
          <w:bCs/>
          <w:b/>
        </w:rPr>
        <w:t xml:space="preserve">species/variety-level discrimination</w:t>
      </w:r>
      <w:r>
        <w:t xml:space="preserve"> </w:t>
      </w:r>
      <w:r>
        <w:t xml:space="preserve">(exploiting subtle, narrow-band spectral differences between closely related crop varieties or between a crop and a co-occurring weed species that broadband sensors cannot resolve), and</w:t>
      </w:r>
      <w:r>
        <w:t xml:space="preserve"> </w:t>
      </w:r>
      <w:r>
        <w:rPr>
          <w:bCs/>
          <w:b/>
        </w:rPr>
        <w:t xml:space="preserve">biochemical-parameter retrieval</w:t>
      </w:r>
      <w:r>
        <w:t xml:space="preserve"> </w:t>
      </w:r>
      <w:r>
        <w:t xml:space="preserve">feeding crop-growth-model data assimilation with canopy-chemistry state variables beyond the structural (LAI/biomass) variables broadband indices primarily inform.</w:t>
      </w:r>
    </w:p>
    <w:p>
      <w:pPr>
        <w:pStyle w:val="Heading2"/>
      </w:pPr>
      <w:r>
        <w:t xml:space="preserve">46.20 Automated Processing of Multi-Temporal and Multi-Sensor Data</w:t>
      </w:r>
    </w:p>
    <w:p>
      <w:pPr>
        <w:pStyle w:val="FirstParagraph"/>
      </w:pPr>
      <w:r>
        <w:t xml:space="preserve">Given the operational scale of the programmes described throughout this manual (national annual/quinquennial LULC, national kharif rice-area mapping completed by end-August, fortnightly NADAMS bulletins), SAC/NRSC has invested substantially in</w:t>
      </w:r>
      <w:r>
        <w:t xml:space="preserve"> </w:t>
      </w:r>
      <w:r>
        <w:rPr>
          <w:bCs/>
          <w:b/>
        </w:rPr>
        <w:t xml:space="preserve">automated processing pipelines</w:t>
      </w:r>
      <w:r>
        <w:t xml:space="preserve"> </w:t>
      </w:r>
      <w:r>
        <w:t xml:space="preserve">capable of handling large volumes of multi-temporal (time-series) and multi-sensor (optical + SAR, moderate- + high-resolution) data with minimal manual intervention — encompassing automated geometric/radiometric pre-processing and inter-sensor co-registration, automated cloud/shadow masking and gap-filling/compositing, automated multi-temporal classification/change-detection algorithms (increasingly machine-learning- and, most recently, deep-learning-based, as reflected in SASYA’s AI framing, Chapter 6, Section 6.5), and automated quality-control/flagging routines — the software-engineering and algorithmic infrastructure that ultimately makes possible the compressed operational timelines (e.g., national rice-area mapping</w:t>
      </w:r>
      <w:r>
        <w:t xml:space="preserve"> </w:t>
      </w:r>
      <w:r>
        <w:t xml:space="preserve">“</w:t>
      </w:r>
      <w:r>
        <w:t xml:space="preserve">by end of August</w:t>
      </w:r>
      <w:r>
        <w:t xml:space="preserve">”</w:t>
      </w:r>
      <w:r>
        <w:t xml:space="preserve">) repeatedly emphasised in current programme documentation.</w:t>
      </w:r>
    </w:p>
    <w:p>
      <w:pPr>
        <w:pStyle w:val="Heading1"/>
      </w:pPr>
      <w:r>
        <w:t xml:space="preserve">Chapter 47. Challenges and Future Directions</w:t>
      </w:r>
    </w:p>
    <w:p>
      <w:pPr>
        <w:pStyle w:val="Heading2"/>
      </w:pPr>
      <w:r>
        <w:t xml:space="preserve">47.1 Key Challenges in Operational Agricultural Remote Sensing</w:t>
      </w:r>
    </w:p>
    <w:p>
      <w:pPr>
        <w:pStyle w:val="FirstParagraph"/>
      </w:pPr>
      <w:r>
        <w:t xml:space="preserve">Despite three decades of institutionalized crop monitoring in India (culminating in programmes such as FASAL), a number of structural and technical challenges continue to limit the accuracy, timeliness, and scalability of satellite-based agricultural information systems. These challenges are worth understanding not as textbook trivia but as the actual daily friction points that scientists at SAC, NRSC, and MNCFC work to resolve.</w:t>
      </w:r>
    </w:p>
    <w:p>
      <w:pPr>
        <w:pStyle w:val="Heading3"/>
      </w:pPr>
      <w:r>
        <w:t xml:space="preserve">47.1.1 Cloud Cover in Optical Data During the Kharif/Monsoon Season</w:t>
      </w:r>
    </w:p>
    <w:p>
      <w:pPr>
        <w:pStyle w:val="FirstParagraph"/>
      </w:pPr>
      <w:r>
        <w:t xml:space="preserve">India’s two principal cropping seasons — kharif (June–October) and rabi (October–March) — are asymmetrically served by optical remote sensing. The kharif season coincides almost exactly with the southwest monsoon, during which persistent cloud cover, especially over the Indo-Gangetic plains, the Western Ghats, and the northeastern states, can render optical sensors (Resourcesat-2/2A LISS-III/IV, Sentinel-2 MSI, MODIS) unusable for weeks at a stretch during critical crop establishment and vegetative growth stages. This is a severe problem because:</w:t>
      </w:r>
    </w:p>
    <w:p>
      <w:pPr>
        <w:pStyle w:val="Compact"/>
        <w:numPr>
          <w:ilvl w:val="0"/>
          <w:numId w:val="1361"/>
        </w:numPr>
      </w:pPr>
      <w:r>
        <w:t xml:space="preserve">Rice, the dominant kharif crop, is transplanted and tillers precisely during the peak monsoon months, meaning the most information-rich phenological window is also the most cloud-obscured.</w:t>
      </w:r>
    </w:p>
    <w:p>
      <w:pPr>
        <w:pStyle w:val="Compact"/>
        <w:numPr>
          <w:ilvl w:val="0"/>
          <w:numId w:val="1361"/>
        </w:numPr>
      </w:pPr>
      <w:r>
        <w:t xml:space="preserve">Compositing techniques (maximum-value NDVI compositing over 10–16 day windows) that work well for rabi crops introduce substantial temporal smearing and can miss short-duration crop stress events (e.g., a dry spell within an otherwise wet monsoon) during kharif.</w:t>
      </w:r>
    </w:p>
    <w:p>
      <w:pPr>
        <w:pStyle w:val="Compact"/>
        <w:numPr>
          <w:ilvl w:val="0"/>
          <w:numId w:val="1361"/>
        </w:numPr>
      </w:pPr>
      <w:r>
        <w:t xml:space="preserve">Gap-filling approaches (temporal interpolation, harmonic/Fourier fitting, cloud-gap filling using SAR-optical fusion) are now standard practice, but they inject uncertainty that propagates into downstream yield models.</w:t>
      </w:r>
    </w:p>
    <w:p>
      <w:pPr>
        <w:pStyle w:val="FirstParagraph"/>
      </w:pPr>
      <w:r>
        <w:t xml:space="preserve">The operational workaround adopted by FASAL and MNCFC is heavy reliance on C-band SAR (RISAT-1/1A, now EOS-04/EOS-04A, and Sentinel-1) for kharif rice acreage and condition monitoring, since radar penetrates cloud cover and is largely insensitive to illumination and atmospheric conditions. This is precisely why India invested early and heavily in indigenous SAR capability for agriculture, well ahead of many other national programmes.</w:t>
      </w:r>
    </w:p>
    <w:p>
      <w:pPr>
        <w:pStyle w:val="Heading3"/>
      </w:pPr>
      <w:r>
        <w:t xml:space="preserve">47.1.2 Mixed Pixel Problem in Fragmented Small Landholdings</w:t>
      </w:r>
    </w:p>
    <w:p>
      <w:pPr>
        <w:pStyle w:val="FirstParagraph"/>
      </w:pPr>
      <w:r>
        <w:t xml:space="preserve">The average operational holding size in India is below 1.1 hectares (Agriculture Census), and in states like Bihar, Kerala, and West Bengal, holdings are frequently a fraction of a hectare, often narrower than the ground sampling distance of common operational sensors. This creates a severe mixed-pixel (spectral mixing) problem:</w:t>
      </w:r>
    </w:p>
    <w:p>
      <w:pPr>
        <w:pStyle w:val="Compact"/>
        <w:numPr>
          <w:ilvl w:val="0"/>
          <w:numId w:val="1362"/>
        </w:numPr>
      </w:pPr>
      <w:r>
        <w:t xml:space="preserve">A single 10 m Sentinel-2 pixel, or worse a 250 m MODIS pixel, can straddle two or three different crops, field bunds, farm roads, and even homestead vegetation, yielding a spectral signature that belongs to no single land-cover class.</w:t>
      </w:r>
    </w:p>
    <w:p>
      <w:pPr>
        <w:pStyle w:val="Compact"/>
        <w:numPr>
          <w:ilvl w:val="0"/>
          <w:numId w:val="1362"/>
        </w:numPr>
      </w:pPr>
      <w:r>
        <w:t xml:space="preserve">Classification accuracy for crop type and condition degrades sharply as field size approaches or falls below sensor resolution, which is why India has pushed to use high-resolution sensors (LISS-IV at 5.8 m, Cartosat, and increasingly Sentinel-2/PlanetScope-class 3–10 m data) for acreage estimation in fragmented landscapes, reserving coarser-resolution time series (MODIS, AVHRR) for regional-scale trend and anomaly detection rather than field-level attribution.</w:t>
      </w:r>
    </w:p>
    <w:p>
      <w:pPr>
        <w:pStyle w:val="Compact"/>
        <w:numPr>
          <w:ilvl w:val="0"/>
          <w:numId w:val="1362"/>
        </w:numPr>
      </w:pPr>
      <w:r>
        <w:t xml:space="preserve">Sub-pixel classification methods (spectral unmixing, fuzzy classification, super-resolution mapping) and object-based image analysis (segmenting fields first using very-high-resolution imagery, then classifying at the object/parcel level) are standard mitigation strategies but add computational and methodological complexity.</w:t>
      </w:r>
    </w:p>
    <w:p>
      <w:pPr>
        <w:pStyle w:val="Compact"/>
        <w:numPr>
          <w:ilvl w:val="0"/>
          <w:numId w:val="1362"/>
        </w:numPr>
      </w:pPr>
      <w:r>
        <w:t xml:space="preserve">The mixed pixel problem also compromises training/validation: a ground truth point collected via GPS at a field center may not correspond cleanly to a single satellite pixel’s</w:t>
      </w:r>
      <w:r>
        <w:t xml:space="preserve"> </w:t>
      </w:r>
      <w:r>
        <w:t xml:space="preserve">“</w:t>
      </w:r>
      <w:r>
        <w:t xml:space="preserve">true</w:t>
      </w:r>
      <w:r>
        <w:t xml:space="preserve">”</w:t>
      </w:r>
      <w:r>
        <w:t xml:space="preserve"> </w:t>
      </w:r>
      <w:r>
        <w:t xml:space="preserve">land cover, biasing accuracy assessment itself.</w:t>
      </w:r>
    </w:p>
    <w:p>
      <w:pPr>
        <w:pStyle w:val="Heading3"/>
      </w:pPr>
      <w:r>
        <w:t xml:space="preserve">47.1.3 Temporal Resolution vs. Spatial Resolution Trade-off (Revisit Trade-offs)</w:t>
      </w:r>
    </w:p>
    <w:p>
      <w:pPr>
        <w:pStyle w:val="FirstParagraph"/>
      </w:pPr>
      <w:r>
        <w:t xml:space="preserve">A fundamental design constraint in EO systems is that higher spatial resolution generally comes at the cost of lower temporal frequency (narrower swath, longer revisit) and vice versa. For crop monitoring, both dense time series (to capture phenology, detect stress events, and support crop calendar-based classification) and fine spatial detail (to resolve small fields) are simultaneously required — a genuine tension:</w:t>
      </w:r>
    </w:p>
    <w:p>
      <w:pPr>
        <w:pStyle w:val="Compact"/>
        <w:numPr>
          <w:ilvl w:val="0"/>
          <w:numId w:val="1363"/>
        </w:numPr>
      </w:pPr>
      <w:r>
        <w:t xml:space="preserve">MODIS/VIIRS offer near-daily revisit but at 250 m–1 km resolution, useless for parcel-level work in India.</w:t>
      </w:r>
    </w:p>
    <w:p>
      <w:pPr>
        <w:pStyle w:val="Compact"/>
        <w:numPr>
          <w:ilvl w:val="0"/>
          <w:numId w:val="1363"/>
        </w:numPr>
      </w:pPr>
      <w:r>
        <w:t xml:space="preserve">Landsat offers 30 m resolution but a 16-day revisit (8-day when combined across two satellites), often insufficient to track fast-changing crop stages, especially combined with cloud loss.</w:t>
      </w:r>
    </w:p>
    <w:p>
      <w:pPr>
        <w:pStyle w:val="Compact"/>
        <w:numPr>
          <w:ilvl w:val="0"/>
          <w:numId w:val="1363"/>
        </w:numPr>
      </w:pPr>
      <w:r>
        <w:t xml:space="preserve">Sentinel-2 (10 m, 5-day revisit with twin satellites) and Resourcesat-2A improved this trade-off substantially, and the emergence of daily-revisit constellations (Planet’s Dove/SuperDove cubesats at 3–5 m) has begun to genuinely resolve it, but at high cost and with radiometric consistency challenges across large constellations of small, cheaper sensors.</w:t>
      </w:r>
    </w:p>
    <w:p>
      <w:pPr>
        <w:pStyle w:val="Compact"/>
        <w:numPr>
          <w:ilvl w:val="0"/>
          <w:numId w:val="1363"/>
        </w:numPr>
      </w:pPr>
      <w:r>
        <w:t xml:space="preserve">The trade-off is commonly addressed by multi-sensor data fusion — using coarse-resolution, high-frequency data to characterize phenological trajectory and fine-resolution, low-frequency data to anchor spatial detail (e.g., STARFM and other spatiotemporal fusion algorithms that blend Landsat and MODIS).</w:t>
      </w:r>
    </w:p>
    <w:p>
      <w:pPr>
        <w:pStyle w:val="Heading3"/>
      </w:pPr>
      <w:r>
        <w:t xml:space="preserve">47.1.4 Ground Truth Collection: Logistics and Cost</w:t>
      </w:r>
    </w:p>
    <w:p>
      <w:pPr>
        <w:pStyle w:val="FirstParagraph"/>
      </w:pPr>
      <w:r>
        <w:t xml:space="preserve">All remote sensing-based crop classification and yield models are only as good as the ground truth (in-situ reference data) used to train and validate them. In the Indian context this is a major operational burden:</w:t>
      </w:r>
    </w:p>
    <w:p>
      <w:pPr>
        <w:pStyle w:val="Compact"/>
        <w:numPr>
          <w:ilvl w:val="0"/>
          <w:numId w:val="1364"/>
        </w:numPr>
      </w:pPr>
      <w:r>
        <w:t xml:space="preserve">Ground truth for FASAL/MNCFC requires coordinated field surveys across multiple agro-climatic zones and states, timed precisely to crop growth stages, requiring trained personnel, GPS instruments, standardized crop-cutting experiment (CCE) protocols, and logistics coordination with state agriculture departments.</w:t>
      </w:r>
    </w:p>
    <w:p>
      <w:pPr>
        <w:pStyle w:val="Compact"/>
        <w:numPr>
          <w:ilvl w:val="0"/>
          <w:numId w:val="1364"/>
        </w:numPr>
      </w:pPr>
      <w:r>
        <w:t xml:space="preserve">Crop Cutting Experiments (CCEs), the gold-standard method for yield estimation under the Ministry of Agriculture’s General Crop Estimation Surveys (GCES), are labour-intensive, statistically sampled at the village/tehsil level, and prone to non-sampling errors, delays, and — historically — manipulation risk, which is part of the motivation for satellite-based cross-validation.</w:t>
      </w:r>
    </w:p>
    <w:p>
      <w:pPr>
        <w:pStyle w:val="Compact"/>
        <w:numPr>
          <w:ilvl w:val="0"/>
          <w:numId w:val="1364"/>
        </w:numPr>
      </w:pPr>
      <w:r>
        <w:t xml:space="preserve">Crowdsourced/citizen-science approaches (mobile apps for farmer-submitted geotagged crop photos, e.g., versions of the Bhuvan/MNCFC mobile app) and use of Digital Crop Survey initiatives are being scaled to reduce cost, but data quality control, standardization, and farmer participation incentives remain open problems.</w:t>
      </w:r>
    </w:p>
    <w:p>
      <w:pPr>
        <w:pStyle w:val="Compact"/>
        <w:numPr>
          <w:ilvl w:val="0"/>
          <w:numId w:val="1364"/>
        </w:numPr>
      </w:pPr>
      <w:r>
        <w:t xml:space="preserve">Ground truth collected in one season/zone often cannot be reused for another due to genotype, sowing date, and management differences, meaning the sampling burden recurs every season — a recurring operational cost that purely satellite-driven systems can never fully eliminate.</w:t>
      </w:r>
    </w:p>
    <w:p>
      <w:pPr>
        <w:pStyle w:val="Heading3"/>
      </w:pPr>
      <w:r>
        <w:t xml:space="preserve">47.1.5 Data Continuity and Calibration Consistency Across Sensor Generations</w:t>
      </w:r>
    </w:p>
    <w:p>
      <w:pPr>
        <w:pStyle w:val="FirstParagraph"/>
      </w:pPr>
      <w:r>
        <w:t xml:space="preserve">Long time-series analyses (drought climatology, multi-decadal NDVI trends, yield model recalibration) require radiometric consistency across sensor generations that were never designed to be perfectly intercomparable:</w:t>
      </w:r>
    </w:p>
    <w:p>
      <w:pPr>
        <w:pStyle w:val="Compact"/>
        <w:numPr>
          <w:ilvl w:val="0"/>
          <w:numId w:val="1365"/>
        </w:numPr>
      </w:pPr>
      <w:r>
        <w:t xml:space="preserve">Sensor-to-sensor differences in spectral band definitions (e.g., Landsat TM vs. ETM+ vs. OLI, or IRS LISS-II vs. LISS-III vs. Resourcesat LISS-III) introduce systematic offsets in derived indices like NDVI unless cross-calibrated.</w:t>
      </w:r>
    </w:p>
    <w:p>
      <w:pPr>
        <w:pStyle w:val="Compact"/>
        <w:numPr>
          <w:ilvl w:val="0"/>
          <w:numId w:val="1365"/>
        </w:numPr>
      </w:pPr>
      <w:r>
        <w:t xml:space="preserve">Orbital drift, sensor degradation, and changes in overpass time across a satellite’s operational life alter the sun-sensor geometry and hence the observed reflectance, requiring ongoing vicarious calibration (e.g., using stable calibration sites) and inter-sensor normalization.</w:t>
      </w:r>
    </w:p>
    <w:p>
      <w:pPr>
        <w:pStyle w:val="Compact"/>
        <w:numPr>
          <w:ilvl w:val="0"/>
          <w:numId w:val="1365"/>
        </w:numPr>
      </w:pPr>
      <w:r>
        <w:t xml:space="preserve">Discontinuities at mission handover (e.g., transition from one Resourcesat to the next, or IRS-1C/1D to Resourcesat) can create artificial</w:t>
      </w:r>
      <w:r>
        <w:t xml:space="preserve"> </w:t>
      </w:r>
      <w:r>
        <w:t xml:space="preserve">“</w:t>
      </w:r>
      <w:r>
        <w:t xml:space="preserve">jumps</w:t>
      </w:r>
      <w:r>
        <w:t xml:space="preserve">”</w:t>
      </w:r>
      <w:r>
        <w:t xml:space="preserve"> </w:t>
      </w:r>
      <w:r>
        <w:t xml:space="preserve">in a time series that a naive analyst might mistake for a real change in vegetation condition.</w:t>
      </w:r>
    </w:p>
    <w:p>
      <w:pPr>
        <w:pStyle w:val="Compact"/>
        <w:numPr>
          <w:ilvl w:val="0"/>
          <w:numId w:val="1365"/>
        </w:numPr>
      </w:pPr>
      <w:r>
        <w:t xml:space="preserve">This is why long-term national programmes maintain dedicated calibration/validation (Cal/Val) teams and standardized atmospheric correction pipelines, and why any candidate discussing multi-year trend analysis should mention harmonization/cross-calibration as a prerequisite.</w:t>
      </w:r>
    </w:p>
    <w:p>
      <w:pPr>
        <w:pStyle w:val="Heading3"/>
      </w:pPr>
      <w:r>
        <w:t xml:space="preserve">47.1.6 Atmospheric Correction Accuracy</w:t>
      </w:r>
    </w:p>
    <w:p>
      <w:pPr>
        <w:pStyle w:val="FirstParagraph"/>
      </w:pPr>
      <w:r>
        <w:t xml:space="preserve">Surface reflectance retrieval from top-of-atmosphere radiance requires removing the effects of aerosols, water vapour, and Rayleigh scattering — a nontrivial inverse problem:</w:t>
      </w:r>
    </w:p>
    <w:p>
      <w:pPr>
        <w:pStyle w:val="Compact"/>
        <w:numPr>
          <w:ilvl w:val="0"/>
          <w:numId w:val="1366"/>
        </w:numPr>
      </w:pPr>
      <w:r>
        <w:t xml:space="preserve">Standard operational atmospheric correction algorithms (6S, MODTRAN-based approaches, Sen2Cor for Sentinel-2, FLAASH) rely on assumptions about aerosol optical depth and atmospheric profile that may not hold well over India’s diverse conditions — heavy aerosol loading from crop residue burning in Punjab/Haryana post-kharif harvest, dust from the Thar Desert, and high humidity in coastal/northeastern regions.</w:t>
      </w:r>
    </w:p>
    <w:p>
      <w:pPr>
        <w:pStyle w:val="Compact"/>
        <w:numPr>
          <w:ilvl w:val="0"/>
          <w:numId w:val="1366"/>
        </w:numPr>
      </w:pPr>
      <w:r>
        <w:t xml:space="preserve">Errors in atmospheric correction propagate directly into vegetation index values and biophysical parameter retrievals (LAI, FAPAR, chlorophyll content), and are especially problematic for change-detection and time-series applications where consistent absolute reflectance matters more than any single scene’s accuracy.</w:t>
      </w:r>
    </w:p>
    <w:p>
      <w:pPr>
        <w:pStyle w:val="Compact"/>
        <w:numPr>
          <w:ilvl w:val="0"/>
          <w:numId w:val="1366"/>
        </w:numPr>
      </w:pPr>
      <w:r>
        <w:t xml:space="preserve">Cloud shadow and haze contamination, if undetected, silently corrupts pixels that pass basic cloud masks, a known source of noise in operational NDVI time series over India during the monsoon transition months.</w:t>
      </w:r>
    </w:p>
    <w:p>
      <w:pPr>
        <w:pStyle w:val="Heading3"/>
      </w:pPr>
      <w:r>
        <w:t xml:space="preserve">47.1.7 Scaling Issues (Spatial and Model Scaling)</w:t>
      </w:r>
    </w:p>
    <w:p>
      <w:pPr>
        <w:pStyle w:val="FirstParagraph"/>
      </w:pPr>
      <w:r>
        <w:t xml:space="preserve">Crop and biophysical models are frequently developed and calibrated at point or field scale (e.g., using a crop simulation model like DSSAT or WOFOST driven by plot-level agronomic data) but must be applied at regional to national scale using satellite pixels that average over heterogeneous conditions:</w:t>
      </w:r>
    </w:p>
    <w:p>
      <w:pPr>
        <w:pStyle w:val="Compact"/>
        <w:numPr>
          <w:ilvl w:val="0"/>
          <w:numId w:val="1367"/>
        </w:numPr>
      </w:pPr>
      <w:r>
        <w:t xml:space="preserve">Non-linear relationships (e.g., between LAI and reflectance, or between soil moisture and yield) do not scale linearly — the average of a non-linear function over an area is not the same as the function of the average input, a classic</w:t>
      </w:r>
      <w:r>
        <w:t xml:space="preserve"> </w:t>
      </w:r>
      <w:r>
        <w:t xml:space="preserve">“</w:t>
      </w:r>
      <w:r>
        <w:t xml:space="preserve">upscaling bias.</w:t>
      </w:r>
      <w:r>
        <w:t xml:space="preserve">”</w:t>
      </w:r>
    </w:p>
    <w:p>
      <w:pPr>
        <w:pStyle w:val="Compact"/>
        <w:numPr>
          <w:ilvl w:val="0"/>
          <w:numId w:val="1367"/>
        </w:numPr>
      </w:pPr>
      <w:r>
        <w:t xml:space="preserve">Model parameters calibrated for one field size, soil type, or management regime may not transfer to other regions without local recalibration, undermining a purely</w:t>
      </w:r>
      <w:r>
        <w:t xml:space="preserve"> </w:t>
      </w:r>
      <w:r>
        <w:t xml:space="preserve">“</w:t>
      </w:r>
      <w:r>
        <w:t xml:space="preserve">one model fits all India</w:t>
      </w:r>
      <w:r>
        <w:t xml:space="preserve">”</w:t>
      </w:r>
      <w:r>
        <w:t xml:space="preserve"> </w:t>
      </w:r>
      <w:r>
        <w:t xml:space="preserve">approach.</w:t>
      </w:r>
    </w:p>
    <w:p>
      <w:pPr>
        <w:pStyle w:val="Compact"/>
        <w:numPr>
          <w:ilvl w:val="0"/>
          <w:numId w:val="1367"/>
        </w:numPr>
      </w:pPr>
      <w:r>
        <w:t xml:space="preserve">Multi-scale validation (comparing satellite-derived estimates against ground truth at multiple aggregation levels — field, block, district, state) is necessary but resource-intensive.</w:t>
      </w:r>
    </w:p>
    <w:p>
      <w:pPr>
        <w:pStyle w:val="Heading3"/>
      </w:pPr>
      <w:r>
        <w:t xml:space="preserve">47.1.8 Need for High-Performance Computing / Cloud Platforms for Big Geospatial Data</w:t>
      </w:r>
    </w:p>
    <w:p>
      <w:pPr>
        <w:pStyle w:val="FirstParagraph"/>
      </w:pPr>
      <w:r>
        <w:t xml:space="preserve">The volume, velocity, and variety of modern EO data (multi-decadal, multi-sensor, multi-resolution imagery, at national to global scale) has outpaced what traditional desktop GIS/remote sensing workflows can handle:</w:t>
      </w:r>
    </w:p>
    <w:p>
      <w:pPr>
        <w:pStyle w:val="Compact"/>
        <w:numPr>
          <w:ilvl w:val="0"/>
          <w:numId w:val="1368"/>
        </w:numPr>
      </w:pPr>
      <w:r>
        <w:t xml:space="preserve">A single Sentinel-2 tile time series over a full growing season for an Indian state can run into terabytes; national-scale, multi-year analyses require petabyte-scale storage and processing.</w:t>
      </w:r>
    </w:p>
    <w:p>
      <w:pPr>
        <w:pStyle w:val="Compact"/>
        <w:numPr>
          <w:ilvl w:val="0"/>
          <w:numId w:val="1368"/>
        </w:numPr>
      </w:pPr>
      <w:r>
        <w:t xml:space="preserve">Cloud-native geospatial analysis platforms (Google Earth Engine being the most prominent global example) solved this by co-locating data and compute, enabling planetary-scale analysis without local data download — a paradigm shift that India has mirrored through platforms like Bhoonidhi (open EO data hub), VEDAS (analytics-ready platform), and internal SAC/NRSC HPC clusters.</w:t>
      </w:r>
    </w:p>
    <w:p>
      <w:pPr>
        <w:pStyle w:val="Compact"/>
        <w:numPr>
          <w:ilvl w:val="0"/>
          <w:numId w:val="1368"/>
        </w:numPr>
      </w:pPr>
      <w:r>
        <w:t xml:space="preserve">Big data challenges specific to agriculture include: managing multi-sensor data fusion pipelines (optical + SAR + thermal + weather + soil), running deep learning model training/inference at scale, and serving near-real-time advisories to millions of farmers (requiring low-latency, high-throughput backend infrastructure) — an engineering problem as much as a scientific one.</w:t>
      </w:r>
    </w:p>
    <w:p>
      <w:pPr>
        <w:pStyle w:val="Compact"/>
        <w:numPr>
          <w:ilvl w:val="0"/>
          <w:numId w:val="1368"/>
        </w:numPr>
      </w:pPr>
      <w:r>
        <w:t xml:space="preserve">Data interoperability and standardization (common projections, common cloud-optimized formats like Cloud-Optimized GeoTIFF, STAC catalogues) is an ongoing challenge for Indian agencies working to make national data holdings analysis-ready at scale.</w:t>
      </w:r>
    </w:p>
    <w:p>
      <w:pPr>
        <w:pStyle w:val="Heading3"/>
      </w:pPr>
      <w:r>
        <w:t xml:space="preserve">47.1.9 AI/ML Model Generalization Across Agro-Climatic Zones and Years</w:t>
      </w:r>
    </w:p>
    <w:p>
      <w:pPr>
        <w:pStyle w:val="FirstParagraph"/>
      </w:pPr>
      <w:r>
        <w:t xml:space="preserve">India spans an extraordinary diversity of agro-climatic zones (per the Planning Commission’s 15-zone classification), cropping systems, soil types, and management practices. This creates a hard generalization problem for machine learning models:</w:t>
      </w:r>
    </w:p>
    <w:p>
      <w:pPr>
        <w:pStyle w:val="Compact"/>
        <w:numPr>
          <w:ilvl w:val="0"/>
          <w:numId w:val="1369"/>
        </w:numPr>
      </w:pPr>
      <w:r>
        <w:t xml:space="preserve">A crop classification or yield model trained on data from Punjab’s irrigated, mechanized wheat-rice system will typically perform poorly if applied unmodified to rainfed, smallholder cropping in Bundelkhand or the eastern plateau, due to differing crop calendars, cultivar mixes, field sizes, and management.</w:t>
      </w:r>
    </w:p>
    <w:p>
      <w:pPr>
        <w:pStyle w:val="Compact"/>
        <w:numPr>
          <w:ilvl w:val="0"/>
          <w:numId w:val="1369"/>
        </w:numPr>
      </w:pPr>
      <w:r>
        <w:t xml:space="preserve">Inter-annual variability (a model trained on a normal monsoon year may fail during a drought or flood year, when crop phenology, stress signatures, and even crop choice — e.g., farmers switching from paddy to short-duration pulses — deviate from historical patterns) is a recognized weakness of purely data-driven (as opposed to process-based/mechanistic) models.</w:t>
      </w:r>
    </w:p>
    <w:p>
      <w:pPr>
        <w:pStyle w:val="Compact"/>
        <w:numPr>
          <w:ilvl w:val="0"/>
          <w:numId w:val="1369"/>
        </w:numPr>
      </w:pPr>
      <w:r>
        <w:t xml:space="preserve">Overfitting to a specific sensor’s spectral/radiometric characteristics, specific ground-truth sampling biases, or specific season’s weather is a recurring failure mode; robust operational models require domain adaptation techniques, transfer learning, multi-year/multi-zone training data, and — increasingly — hybrid approaches that combine data-driven ML with physically-based crop growth or radiative transfer models to constrain predictions to physically plausible ranges.</w:t>
      </w:r>
    </w:p>
    <w:p>
      <w:pPr>
        <w:pStyle w:val="Compact"/>
        <w:numPr>
          <w:ilvl w:val="0"/>
          <w:numId w:val="1369"/>
        </w:numPr>
      </w:pPr>
      <w:r>
        <w:t xml:space="preserve">This generalization challenge is precisely the motivation behind the recent push toward</w:t>
      </w:r>
      <w:r>
        <w:t xml:space="preserve"> </w:t>
      </w:r>
      <w:r>
        <w:t xml:space="preserve">“</w:t>
      </w:r>
      <w:r>
        <w:t xml:space="preserve">foundation models</w:t>
      </w:r>
      <w:r>
        <w:t xml:space="preserve">”</w:t>
      </w:r>
      <w:r>
        <w:t xml:space="preserve"> </w:t>
      </w:r>
      <w:r>
        <w:t xml:space="preserve">for Earth observation, discussed in the next section, which aim to learn transferable representations from very large, diverse pretraining datasets rather than task-specific models trained on narrow regional data.</w:t>
      </w:r>
    </w:p>
    <w:p>
      <w:pPr>
        <w:pStyle w:val="Heading2"/>
      </w:pPr>
      <w:r>
        <w:t xml:space="preserve">47.2 Emerging Trends and Future Directions</w:t>
      </w:r>
    </w:p>
    <w:p>
      <w:pPr>
        <w:pStyle w:val="Heading3"/>
      </w:pPr>
      <w:r>
        <w:t xml:space="preserve">47.2.1 Cubesat / Small-Sat Constellations for High Revisit</w:t>
      </w:r>
    </w:p>
    <w:p>
      <w:pPr>
        <w:pStyle w:val="FirstParagraph"/>
      </w:pPr>
      <w:r>
        <w:t xml:space="preserve">The commercial small-satellite revolution (Planet Labs’ Dove/SuperDove constellation providing global daily imaging at 3–5 m resolution; Satellogic; ICEYE and Capella Space for SAR smallsats) has fundamentally changed the temporal-resolution-vs-spatial-resolution trade-off described above. For agriculture this enables:</w:t>
      </w:r>
    </w:p>
    <w:p>
      <w:pPr>
        <w:pStyle w:val="Compact"/>
        <w:numPr>
          <w:ilvl w:val="0"/>
          <w:numId w:val="1370"/>
        </w:numPr>
      </w:pPr>
      <w:r>
        <w:t xml:space="preserve">Near-daily field-level monitoring, allowing detection of transient stress events (a short dry spell, a pest outbreak, localized flooding) that would be missed by 5–16 day revisit systems.</w:t>
      </w:r>
    </w:p>
    <w:p>
      <w:pPr>
        <w:pStyle w:val="Compact"/>
        <w:numPr>
          <w:ilvl w:val="0"/>
          <w:numId w:val="1370"/>
        </w:numPr>
      </w:pPr>
      <w:r>
        <w:t xml:space="preserve">Precision agriculture applications (in-season variable-rate input recommendations, replanting decisions) that require monitoring cadences matched to crop physiological response times (days, not weeks).</w:t>
      </w:r>
    </w:p>
    <w:p>
      <w:pPr>
        <w:pStyle w:val="Compact"/>
        <w:numPr>
          <w:ilvl w:val="0"/>
          <w:numId w:val="1370"/>
        </w:numPr>
      </w:pPr>
      <w:r>
        <w:t xml:space="preserve">India’s own move in this direction includes growing interest in indigenous smallsat/cubesat constellations and increasing collaboration with private NewSpace players under the liberalized Indian Space Policy 2023, alongside constellations of SAR smallsats (complementing EOS-04 class radar) for all-weather, high-revisit monitoring.</w:t>
      </w:r>
    </w:p>
    <w:p>
      <w:pPr>
        <w:pStyle w:val="Compact"/>
        <w:numPr>
          <w:ilvl w:val="0"/>
          <w:numId w:val="1370"/>
        </w:numPr>
      </w:pPr>
      <w:r>
        <w:t xml:space="preserve">Challenges accompanying this trend include radiometric cross-calibration across large fleets of smaller, less individually characterized sensors, and the sheer data deluge such constellations generate.</w:t>
      </w:r>
    </w:p>
    <w:p>
      <w:pPr>
        <w:pStyle w:val="Heading3"/>
      </w:pPr>
      <w:r>
        <w:t xml:space="preserve">47.2.2 AI/ML and Deep Learning Integration — Foundation Models for Earth Observation</w:t>
      </w:r>
    </w:p>
    <w:p>
      <w:pPr>
        <w:pStyle w:val="FirstParagraph"/>
      </w:pPr>
      <w:r>
        <w:t xml:space="preserve">The single most significant methodological shift underway is the move from bespoke, task-specific ML models toward large pretrained</w:t>
      </w:r>
      <w:r>
        <w:t xml:space="preserve"> </w:t>
      </w:r>
      <w:r>
        <w:t xml:space="preserve">“</w:t>
      </w:r>
      <w:r>
        <w:t xml:space="preserve">geospatial foundation models</w:t>
      </w:r>
      <w:r>
        <w:t xml:space="preserve">”</w:t>
      </w:r>
      <w:r>
        <w:t xml:space="preserve"> </w:t>
      </w:r>
      <w:r>
        <w:t xml:space="preserve">(GFMs) — analogous to large language models but trained on satellite imagery — that can be fine-tuned with comparatively little labelled data for many downstream tasks (crop classification, flood mapping, biomass estimation):</w:t>
      </w:r>
    </w:p>
    <w:p>
      <w:pPr>
        <w:pStyle w:val="Compact"/>
        <w:numPr>
          <w:ilvl w:val="0"/>
          <w:numId w:val="1371"/>
        </w:numPr>
      </w:pPr>
      <w:r>
        <w:t xml:space="preserve">NASA and IBM’s</w:t>
      </w:r>
      <w:r>
        <w:t xml:space="preserve"> </w:t>
      </w:r>
      <w:r>
        <w:rPr>
          <w:bCs/>
          <w:b/>
        </w:rPr>
        <w:t xml:space="preserve">Prithvi-EO</w:t>
      </w:r>
      <w:r>
        <w:t xml:space="preserve"> </w:t>
      </w:r>
      <w:r>
        <w:t xml:space="preserve">family of open-source geospatial foundation models (trained on Harmonized Landsat-Sentinel-2 data) represents a prominent public-sector example, explicitly positioned for applications including agriculture; Prithvi has also been noted as flying onboard a satellite as one of the first AI foundation models operating in orbit.</w:t>
      </w:r>
    </w:p>
    <w:p>
      <w:pPr>
        <w:pStyle w:val="Compact"/>
        <w:numPr>
          <w:ilvl w:val="0"/>
          <w:numId w:val="1371"/>
        </w:numPr>
      </w:pPr>
      <w:r>
        <w:rPr>
          <w:bCs/>
          <w:b/>
        </w:rPr>
        <w:t xml:space="preserve">Clay</w:t>
      </w:r>
      <w:r>
        <w:t xml:space="preserve">, an open-source geospatial foundation model, and Google DeepMind/Google Research’s</w:t>
      </w:r>
      <w:r>
        <w:t xml:space="preserve"> </w:t>
      </w:r>
      <w:r>
        <w:rPr>
          <w:bCs/>
          <w:b/>
        </w:rPr>
        <w:t xml:space="preserve">AlphaEarth Foundations</w:t>
      </w:r>
      <w:r>
        <w:t xml:space="preserve"> </w:t>
      </w:r>
      <w:r>
        <w:t xml:space="preserve">embedding model are further examples; AlphaEarth in particular has been benchmarked specifically on agricultural downstream tasks (crop type mapping, yield-related applications).</w:t>
      </w:r>
    </w:p>
    <w:p>
      <w:pPr>
        <w:pStyle w:val="Compact"/>
        <w:numPr>
          <w:ilvl w:val="0"/>
          <w:numId w:val="1371"/>
        </w:numPr>
      </w:pPr>
      <w:r>
        <w:t xml:space="preserve">The appeal for agricultural applications: a single pretrained model’s learned representations can be fine-tuned across diverse agro-climatic zones and crop types with much smaller labelled datasets than training from scratch, directly addressing the generalization challenge discussed in section 1.9.</w:t>
      </w:r>
    </w:p>
    <w:p>
      <w:pPr>
        <w:pStyle w:val="Compact"/>
        <w:numPr>
          <w:ilvl w:val="0"/>
          <w:numId w:val="1371"/>
        </w:numPr>
      </w:pPr>
      <w:r>
        <w:t xml:space="preserve">Beyond foundation models, deep learning architectures already in wide agricultural use include CNNs for crop classification from image patches, LSTMs/Transformers for time-series-based crop type and phenology classification, U-Net-style architectures for field boundary/parcel delineation, and physics-informed neural networks that blend radiative transfer model constraints with data-driven learning for biophysical parameter (LAI, chlorophyll, soil moisture) retrieval.</w:t>
      </w:r>
    </w:p>
    <w:p>
      <w:pPr>
        <w:pStyle w:val="Heading3"/>
      </w:pPr>
      <w:r>
        <w:t xml:space="preserve">47.2.3 Cloud Computing Platforms for Geospatial Analytics</w:t>
      </w:r>
    </w:p>
    <w:p>
      <w:pPr>
        <w:pStyle w:val="Compact"/>
        <w:numPr>
          <w:ilvl w:val="0"/>
          <w:numId w:val="1372"/>
        </w:numPr>
      </w:pPr>
      <w:r>
        <w:rPr>
          <w:bCs/>
          <w:b/>
        </w:rPr>
        <w:t xml:space="preserve">Google Earth Engine (GEE)</w:t>
      </w:r>
      <w:r>
        <w:t xml:space="preserve"> </w:t>
      </w:r>
      <w:r>
        <w:t xml:space="preserve">remains the dominant global platform, combining a multi-petabyte public data catalogue with planetary-scale parallel processing, and is very widely used by Indian researchers, NGOs, and increasingly by government agencies for rapid prototyping of agricultural monitoring workflows (e.g., district-level crop area/condition dashboards).</w:t>
      </w:r>
    </w:p>
    <w:p>
      <w:pPr>
        <w:pStyle w:val="Compact"/>
        <w:numPr>
          <w:ilvl w:val="0"/>
          <w:numId w:val="1372"/>
        </w:numPr>
      </w:pPr>
      <w:r>
        <w:t xml:space="preserve">India’s indigenous equivalents/complements include</w:t>
      </w:r>
      <w:r>
        <w:t xml:space="preserve"> </w:t>
      </w:r>
      <w:r>
        <w:rPr>
          <w:bCs/>
          <w:b/>
        </w:rPr>
        <w:t xml:space="preserve">VEDAS</w:t>
      </w:r>
      <w:r>
        <w:t xml:space="preserve"> </w:t>
      </w:r>
      <w:r>
        <w:t xml:space="preserve">(SAC’s visualization and analytics platform, offering thematic products and app-based analytics including drought-focused tools) and</w:t>
      </w:r>
      <w:r>
        <w:t xml:space="preserve"> </w:t>
      </w:r>
      <w:r>
        <w:rPr>
          <w:bCs/>
          <w:b/>
        </w:rPr>
        <w:t xml:space="preserve">Bhoonidhi</w:t>
      </w:r>
      <w:r>
        <w:t xml:space="preserve"> </w:t>
      </w:r>
      <w:r>
        <w:t xml:space="preserve">(NRSC’s EO data hub, implementing the Indian Space Policy 2023’s open-data provisions, providing streamlined discovery and download of ISRO’s EO archive, including access pathways relevant to NISAR data). Other national efforts include cloud-based data cube initiatives and increasing use of commercial cloud (AWS, Azure, Google Cloud, and MeghRaj — the Government of India’s cloud initiative) for hosting agricultural analytics pipelines.</w:t>
      </w:r>
    </w:p>
    <w:p>
      <w:pPr>
        <w:pStyle w:val="Compact"/>
        <w:numPr>
          <w:ilvl w:val="0"/>
          <w:numId w:val="1372"/>
        </w:numPr>
      </w:pPr>
      <w:r>
        <w:t xml:space="preserve">The broader trend is toward</w:t>
      </w:r>
      <w:r>
        <w:t xml:space="preserve"> </w:t>
      </w:r>
      <w:r>
        <w:t xml:space="preserve">“</w:t>
      </w:r>
      <w:r>
        <w:t xml:space="preserve">Analysis Ready Data</w:t>
      </w:r>
      <w:r>
        <w:t xml:space="preserve">”</w:t>
      </w:r>
      <w:r>
        <w:t xml:space="preserve"> </w:t>
      </w:r>
      <w:r>
        <w:t xml:space="preserve">(ARD) — atmospherically corrected, geometrically co-registered, cloud-masked, and standardized imagery served via cloud-optimized formats and SpatioTemporal Asset Catalog (STAC)-compliant APIs — reducing the preprocessing burden on end users and enabling reproducible, scalable analytics.</w:t>
      </w:r>
    </w:p>
    <w:p>
      <w:pPr>
        <w:pStyle w:val="Heading3"/>
      </w:pPr>
      <w:r>
        <w:t xml:space="preserve">47.2.4 Data Fusion: Optical–SAR–Thermal–UAV–IoT</w:t>
      </w:r>
    </w:p>
    <w:p>
      <w:pPr>
        <w:pStyle w:val="FirstParagraph"/>
      </w:pPr>
      <w:r>
        <w:t xml:space="preserve">Multi-source data fusion is increasingly the default rather than the exception in operational agricultural monitoring:</w:t>
      </w:r>
    </w:p>
    <w:p>
      <w:pPr>
        <w:pStyle w:val="Compact"/>
        <w:numPr>
          <w:ilvl w:val="0"/>
          <w:numId w:val="1373"/>
        </w:numPr>
      </w:pPr>
      <w:r>
        <w:rPr>
          <w:bCs/>
          <w:b/>
        </w:rPr>
        <w:t xml:space="preserve">Optical-SAR fusion</w:t>
      </w:r>
      <w:r>
        <w:t xml:space="preserve"> </w:t>
      </w:r>
      <w:r>
        <w:t xml:space="preserve">addresses the cloud-cover problem directly (SAR fills gaps in optical time series and vice versa provides finer spectral/textural detail); combined use of Sentinel-1/EOS-04 SAR with Sentinel-2/Resourcesat optical is now standard for kharif rice mapping.</w:t>
      </w:r>
    </w:p>
    <w:p>
      <w:pPr>
        <w:pStyle w:val="Compact"/>
        <w:numPr>
          <w:ilvl w:val="0"/>
          <w:numId w:val="1373"/>
        </w:numPr>
      </w:pPr>
      <w:r>
        <w:rPr>
          <w:bCs/>
          <w:b/>
        </w:rPr>
        <w:t xml:space="preserve">Thermal fusion</w:t>
      </w:r>
      <w:r>
        <w:t xml:space="preserve"> </w:t>
      </w:r>
      <w:r>
        <w:t xml:space="preserve">— land surface temperature from thermal sensors (e.g., Landsat TIRS, MODIS LST) combined with optical vegetation indices enables evapotranspiration-based water stress detection (e.g., Crop Water Stress Index approaches) beyond what greenness alone can reveal.</w:t>
      </w:r>
    </w:p>
    <w:p>
      <w:pPr>
        <w:pStyle w:val="Compact"/>
        <w:numPr>
          <w:ilvl w:val="0"/>
          <w:numId w:val="1373"/>
        </w:numPr>
      </w:pPr>
      <w:r>
        <w:rPr>
          <w:bCs/>
          <w:b/>
        </w:rPr>
        <w:t xml:space="preserve">UAV/drone data</w:t>
      </w:r>
      <w:r>
        <w:t xml:space="preserve"> </w:t>
      </w:r>
      <w:r>
        <w:t xml:space="preserve">provide ultra-high-resolution (centimeter-scale) imagery for precision agriculture at the individual-field level — canopy gap detection, targeted pest/disease scouting, and crucially, for generating training/validation data to calibrate coarser satellite-based models at scale (UAV imagery bridging the gap between ground truth points and satellite pixels).</w:t>
      </w:r>
    </w:p>
    <w:p>
      <w:pPr>
        <w:pStyle w:val="Compact"/>
        <w:numPr>
          <w:ilvl w:val="0"/>
          <w:numId w:val="1373"/>
        </w:numPr>
      </w:pPr>
      <w:r>
        <w:rPr>
          <w:bCs/>
          <w:b/>
        </w:rPr>
        <w:t xml:space="preserve">IoT/sensor networks</w:t>
      </w:r>
      <w:r>
        <w:t xml:space="preserve"> </w:t>
      </w:r>
      <w:r>
        <w:t xml:space="preserve">— in-field soil moisture probes, weather stations, and increasingly low-cost sensor networks — provide continuous ground-truth streams that, fused with satellite time series via data assimilation, improve the accuracy of both soil moisture and yield forecasting models. India’s push toward precision agriculture and</w:t>
      </w:r>
      <w:r>
        <w:t xml:space="preserve"> </w:t>
      </w:r>
      <w:r>
        <w:t xml:space="preserve">“</w:t>
      </w:r>
      <w:r>
        <w:t xml:space="preserve">smart farming</w:t>
      </w:r>
      <w:r>
        <w:t xml:space="preserve">”</w:t>
      </w:r>
      <w:r>
        <w:t xml:space="preserve"> </w:t>
      </w:r>
      <w:r>
        <w:t xml:space="preserve">schemes explicitly promotes such IoT-satellite integration.</w:t>
      </w:r>
    </w:p>
    <w:p>
      <w:pPr>
        <w:pStyle w:val="Compact"/>
        <w:numPr>
          <w:ilvl w:val="0"/>
          <w:numId w:val="1373"/>
        </w:numPr>
      </w:pPr>
      <w:r>
        <w:t xml:space="preserve">The overarching direction is toward multi-modal data assimilation frameworks (e.g., Ensemble Kalman Filter-based assimilation of satellite LAI/soil moisture into crop growth models) rather than treating each data source in isolation.</w:t>
      </w:r>
    </w:p>
    <w:p>
      <w:pPr>
        <w:pStyle w:val="Heading3"/>
      </w:pPr>
      <w:r>
        <w:t xml:space="preserve">47.2.5 Digital Twin of Agriculture</w:t>
      </w:r>
    </w:p>
    <w:p>
      <w:pPr>
        <w:pStyle w:val="FirstParagraph"/>
      </w:pPr>
      <w:r>
        <w:t xml:space="preserve">A</w:t>
      </w:r>
      <w:r>
        <w:t xml:space="preserve"> </w:t>
      </w:r>
      <w:r>
        <w:t xml:space="preserve">“</w:t>
      </w:r>
      <w:r>
        <w:t xml:space="preserve">digital twin</w:t>
      </w:r>
      <w:r>
        <w:t xml:space="preserve">”</w:t>
      </w:r>
      <w:r>
        <w:t xml:space="preserve"> </w:t>
      </w:r>
      <w:r>
        <w:t xml:space="preserve">— a continuously updated, high-fidelity virtual representation of a real agricultural system (a farm, watershed, or region) that ingests real-time satellite, weather, soil, and management data to simulate and forecast crop state — is an emerging conceptual and technological frontier:</w:t>
      </w:r>
    </w:p>
    <w:p>
      <w:pPr>
        <w:pStyle w:val="Compact"/>
        <w:numPr>
          <w:ilvl w:val="0"/>
          <w:numId w:val="1374"/>
        </w:numPr>
      </w:pPr>
      <w:r>
        <w:t xml:space="preserve">Digital twins combine mechanistic crop simulation models (DSSAT, APSIM, WOFOST) with real-time data assimilation from remote sensing and IoT, enabling</w:t>
      </w:r>
      <w:r>
        <w:t xml:space="preserve"> </w:t>
      </w:r>
      <w:r>
        <w:t xml:space="preserve">“</w:t>
      </w:r>
      <w:r>
        <w:t xml:space="preserve">what-if</w:t>
      </w:r>
      <w:r>
        <w:t xml:space="preserve">”</w:t>
      </w:r>
      <w:r>
        <w:t xml:space="preserve"> </w:t>
      </w:r>
      <w:r>
        <w:t xml:space="preserve">scenario testing (e.g., simulating the yield impact of a delayed monsoon onset or an irrigation schedule change) at field to regional scale.</w:t>
      </w:r>
    </w:p>
    <w:p>
      <w:pPr>
        <w:pStyle w:val="Compact"/>
        <w:numPr>
          <w:ilvl w:val="0"/>
          <w:numId w:val="1374"/>
        </w:numPr>
      </w:pPr>
      <w:r>
        <w:t xml:space="preserve">For India, digital twin concepts are being explored for watershed-level water resource and crop planning, and align with the broader national push toward geospatial digital infrastructure (e.g., under the National Geospatial Policy 2022) and precision agriculture missions.</w:t>
      </w:r>
    </w:p>
    <w:p>
      <w:pPr>
        <w:pStyle w:val="Compact"/>
        <w:numPr>
          <w:ilvl w:val="0"/>
          <w:numId w:val="1374"/>
        </w:numPr>
      </w:pPr>
      <w:r>
        <w:t xml:space="preserve">Key enabling technologies are the cloud/HPC platforms and data fusion pipelines discussed above, plus robust model-data assimilation frameworks.</w:t>
      </w:r>
    </w:p>
    <w:p>
      <w:pPr>
        <w:pStyle w:val="Heading3"/>
      </w:pPr>
      <w:r>
        <w:t xml:space="preserve">47.2.6 Explainable AI (XAI) in Crop Forecasting</w:t>
      </w:r>
    </w:p>
    <w:p>
      <w:pPr>
        <w:pStyle w:val="FirstParagraph"/>
      </w:pPr>
      <w:r>
        <w:t xml:space="preserve">As deep learning models increasingly replace or augment traditional statistical/regression-based crop forecasting, the</w:t>
      </w:r>
      <w:r>
        <w:t xml:space="preserve"> </w:t>
      </w:r>
      <w:r>
        <w:t xml:space="preserve">“</w:t>
      </w:r>
      <w:r>
        <w:t xml:space="preserve">black box</w:t>
      </w:r>
      <w:r>
        <w:t xml:space="preserve">”</w:t>
      </w:r>
      <w:r>
        <w:t xml:space="preserve"> </w:t>
      </w:r>
      <w:r>
        <w:t xml:space="preserve">nature of these models becomes a genuine operational liability — a government forecast that materially affects procurement, buffer stock, trade, and insurance decisions cannot be a black box that policymakers and agronomists cannot interrogate:</w:t>
      </w:r>
    </w:p>
    <w:p>
      <w:pPr>
        <w:pStyle w:val="Compact"/>
        <w:numPr>
          <w:ilvl w:val="0"/>
          <w:numId w:val="1375"/>
        </w:numPr>
      </w:pPr>
      <w:r>
        <w:t xml:space="preserve">Explainable AI techniques (SHAP values, LIME, attention-map visualization, feature importance analysis, saliency maps for CNN-based crop classifiers) are increasingly incorporated into operational pipelines to help domain experts understand which spectral bands, phenological stages, or ancillary variables are driving a given prediction, and to build institutional trust.</w:t>
      </w:r>
    </w:p>
    <w:p>
      <w:pPr>
        <w:pStyle w:val="Compact"/>
        <w:numPr>
          <w:ilvl w:val="0"/>
          <w:numId w:val="1375"/>
        </w:numPr>
      </w:pPr>
      <w:r>
        <w:t xml:space="preserve">XAI is also a practical debugging tool — helping identify when a model is exploiting a spurious correlation (e.g., relying on a soil-background signal rather than true crop condition) rather than learning genuine crop-physiological relationships, which matters directly for generalization robustness (section 1.9).</w:t>
      </w:r>
    </w:p>
    <w:p>
      <w:pPr>
        <w:pStyle w:val="Heading3"/>
      </w:pPr>
      <w:r>
        <w:t xml:space="preserve">47.2.7 Geospatial Big Data Analytics Platforms</w:t>
      </w:r>
    </w:p>
    <w:p>
      <w:pPr>
        <w:pStyle w:val="FirstParagraph"/>
      </w:pPr>
      <w:r>
        <w:t xml:space="preserve">Beyond the specific cloud platforms already mentioned, the broader trend is the maturation of end-to-end geospatial big data ecosystems: standardized data cubes (e.g., Open Data Cube-based national/regional data cube initiatives), automated ARD generation pipelines, API-first data delivery, integration with agricultural decision-support systems (DSS) that package satellite-derived intelligence into farmer- and policymaker-facing advisories, and growing use of interoperable, open standards (OGC web services, STAC) to enable cross-agency and cross-country data sharing — relevant to India’s participation in international frameworks like GEOGLAM.</w:t>
      </w:r>
    </w:p>
    <w:p>
      <w:pPr>
        <w:pStyle w:val="Heading1"/>
      </w:pPr>
      <w:r>
        <w:t xml:space="preserve">Chapter 48. Key Research Papers and Case Studies</w:t>
      </w:r>
    </w:p>
    <w:p>
      <w:pPr>
        <w:pStyle w:val="Heading2"/>
      </w:pPr>
      <w:r>
        <w:t xml:space="preserve">48.1 Crop Yield Forecasting and Modelling</w:t>
      </w:r>
    </w:p>
    <w:p>
      <w:pPr>
        <w:pStyle w:val="Heading3"/>
      </w:pPr>
      <w:r>
        <w:t xml:space="preserve">48.1.1 Medhavy, T.T., Sharma, T., Dubey, R.P., Mahey, R.K., &amp; Sharma, P.K. (1995).</w:t>
      </w:r>
      <w:r>
        <w:t xml:space="preserve"> </w:t>
      </w:r>
      <w:r>
        <w:t xml:space="preserve">“</w:t>
      </w:r>
      <w:r>
        <w:t xml:space="preserve">Development of a wheat yield model for Punjab using remotely sensed data and historical yield trends.</w:t>
      </w:r>
      <w:r>
        <w:t xml:space="preserve">”</w:t>
      </w:r>
      <w:r>
        <w:t xml:space="preserve"> </w:t>
      </w:r>
      <w:r>
        <w:rPr>
          <w:iCs/>
          <w:i/>
        </w:rPr>
        <w:t xml:space="preserve">Journal of the Indian Society of Remote Sensing</w:t>
      </w:r>
      <w:r>
        <w:t xml:space="preserve">, 23(1), 23–30.</w:t>
      </w:r>
    </w:p>
    <w:p>
      <w:pPr>
        <w:pStyle w:val="FirstParagraph"/>
      </w:pPr>
      <w:r>
        <w:rPr>
          <w:bCs/>
          <w:b/>
        </w:rPr>
        <w:t xml:space="preserve">Concept/Objective:</w:t>
      </w:r>
      <w:r>
        <w:t xml:space="preserve"> </w:t>
      </w:r>
      <w:r>
        <w:t xml:space="preserve">One of the earliest operational Indian studies to combine satellite-derived vegetation indices with historical district-level yield trends to forecast wheat production in a major grain-producing state.</w:t>
      </w:r>
    </w:p>
    <w:p>
      <w:pPr>
        <w:pStyle w:val="BodyText"/>
      </w:pPr>
      <w:r>
        <w:rPr>
          <w:bCs/>
          <w:b/>
        </w:rPr>
        <w:t xml:space="preserve">Methodology:</w:t>
      </w:r>
      <w:r>
        <w:t xml:space="preserve"> </w:t>
      </w:r>
      <w:r>
        <w:t xml:space="preserve">The authors used district-wise NDVI time series together with ten years of historical wheat-yield records for Punjab. Three modelling stages were pursued: updating spectral (NDVI-based) yield models with current-season data, fitting district-specific linear trend regressions on historical yields, and finally combining both into a multiple regression model that used NDVI and trend-predicted yield as joint predictors, validated against the 1991–92 season.</w:t>
      </w:r>
    </w:p>
    <w:p>
      <w:pPr>
        <w:pStyle w:val="BodyText"/>
      </w:pPr>
      <w:r>
        <w:rPr>
          <w:bCs/>
          <w:b/>
        </w:rPr>
        <w:t xml:space="preserve">Key Result:</w:t>
      </w:r>
      <w:r>
        <w:t xml:space="preserve"> </w:t>
      </w:r>
      <w:r>
        <w:t xml:space="preserve">The combined NDVI-plus-trend multiple regression model produced improved yield forecasts relative to either the spectral-only or trend-only approaches, establishing the</w:t>
      </w:r>
      <w:r>
        <w:t xml:space="preserve"> </w:t>
      </w:r>
      <w:r>
        <w:t xml:space="preserve">“</w:t>
      </w:r>
      <w:r>
        <w:t xml:space="preserve">hybrid</w:t>
      </w:r>
      <w:r>
        <w:t xml:space="preserve">”</w:t>
      </w:r>
      <w:r>
        <w:t xml:space="preserve"> </w:t>
      </w:r>
      <w:r>
        <w:t xml:space="preserve">(agro-statistical plus spectral) forecasting philosophy that would later underpin the FASAL programme.</w:t>
      </w:r>
    </w:p>
    <w:p>
      <w:pPr>
        <w:pStyle w:val="Heading3"/>
      </w:pPr>
      <w:r>
        <w:t xml:space="preserve">48.1.2 Tripathy, R., Chaudhari, K.N., Mukherjee, J., Ray, S.S., Patel, N.K., Panigrahy, S., &amp; Parihar, J.S. (2013).</w:t>
      </w:r>
      <w:r>
        <w:t xml:space="preserve"> </w:t>
      </w:r>
      <w:r>
        <w:t xml:space="preserve">“</w:t>
      </w:r>
      <w:r>
        <w:t xml:space="preserve">Forecasting wheat yield in Punjab state of India by combining crop simulation model WOFOST and remotely sensed inputs.</w:t>
      </w:r>
      <w:r>
        <w:t xml:space="preserve">”</w:t>
      </w:r>
      <w:r>
        <w:t xml:space="preserve"> </w:t>
      </w:r>
      <w:r>
        <w:rPr>
          <w:iCs/>
          <w:i/>
        </w:rPr>
        <w:t xml:space="preserve">Remote Sensing Letters</w:t>
      </w:r>
      <w:r>
        <w:t xml:space="preserve">, 4(1), 19–28.</w:t>
      </w:r>
    </w:p>
    <w:p>
      <w:pPr>
        <w:pStyle w:val="FirstParagraph"/>
      </w:pPr>
      <w:r>
        <w:rPr>
          <w:bCs/>
          <w:b/>
        </w:rPr>
        <w:t xml:space="preserve">Concept/Objective:</w:t>
      </w:r>
      <w:r>
        <w:t xml:space="preserve"> </w:t>
      </w:r>
      <w:r>
        <w:t xml:space="preserve">Addresses the limitation of purely empirical (spectral) yield models by coupling process-based crop growth simulation with satellite observations, enabling forecasts before the harvest and better representation of the biophysical yield-formation process.</w:t>
      </w:r>
    </w:p>
    <w:p>
      <w:pPr>
        <w:pStyle w:val="BodyText"/>
      </w:pPr>
      <w:r>
        <w:rPr>
          <w:bCs/>
          <w:b/>
        </w:rPr>
        <w:t xml:space="preserve">Methodology:</w:t>
      </w:r>
      <w:r>
        <w:t xml:space="preserve"> </w:t>
      </w:r>
      <w:r>
        <w:t xml:space="preserve">The WOFOST (WOrld FOod STudies) crop simulation model, driven by daily weather data and soil parameters, was run for wheat across Punjab districts. Satellite-derived vegetation indices (from optical sensors such as IRS AWiFS/LISS) were used to constrain or update simulated leaf area/canopy development, effectively assimilating remote-sensing information into the model’s growth trajectory.</w:t>
      </w:r>
    </w:p>
    <w:p>
      <w:pPr>
        <w:pStyle w:val="BodyText"/>
      </w:pPr>
      <w:r>
        <w:rPr>
          <w:bCs/>
          <w:b/>
        </w:rPr>
        <w:t xml:space="preserve">Key Result:</w:t>
      </w:r>
      <w:r>
        <w:t xml:space="preserve"> </w:t>
      </w:r>
      <w:r>
        <w:t xml:space="preserve">The assimilation-based approach improved district-level yield forecasts over the model-only or empirical-remote-sensing-only baselines, demonstrating that crop-growth-model assimilation is a viable route to earlier and more robust in-season yield forecasts in the Indian context — a methodology later scaled up in ISRO’s FASAL framework.</w:t>
      </w:r>
    </w:p>
    <w:p>
      <w:pPr>
        <w:pStyle w:val="Heading3"/>
      </w:pPr>
      <w:r>
        <w:t xml:space="preserve">48.1.3 Dubey, S.K., Gavli, A.S., Yadav, S.K., Sehgal, S., &amp; Ray, S.S. (2018).</w:t>
      </w:r>
      <w:r>
        <w:t xml:space="preserve"> </w:t>
      </w:r>
      <w:r>
        <w:t xml:space="preserve">“</w:t>
      </w:r>
      <w:r>
        <w:t xml:space="preserve">Remote Sensing-Based Yield Forecasting for Sugarcane (</w:t>
      </w:r>
      <w:r>
        <w:rPr>
          <w:iCs/>
          <w:i/>
        </w:rPr>
        <w:t xml:space="preserve">Saccharum officinarum</w:t>
      </w:r>
      <w:r>
        <w:t xml:space="preserve"> </w:t>
      </w:r>
      <w:r>
        <w:t xml:space="preserve">L.) Crop in India.</w:t>
      </w:r>
      <w:r>
        <w:t xml:space="preserve">”</w:t>
      </w:r>
      <w:r>
        <w:t xml:space="preserve"> </w:t>
      </w:r>
      <w:r>
        <w:rPr>
          <w:iCs/>
          <w:i/>
        </w:rPr>
        <w:t xml:space="preserve">Journal of the Indian Society of Remote Sensing</w:t>
      </w:r>
      <w:r>
        <w:t xml:space="preserve">, 46(11), 1823–1833.</w:t>
      </w:r>
    </w:p>
    <w:p>
      <w:pPr>
        <w:pStyle w:val="FirstParagraph"/>
      </w:pPr>
      <w:r>
        <w:rPr>
          <w:bCs/>
          <w:b/>
        </w:rPr>
        <w:t xml:space="preserve">Concept/Objective:</w:t>
      </w:r>
      <w:r>
        <w:t xml:space="preserve"> </w:t>
      </w:r>
      <w:r>
        <w:t xml:space="preserve">Extends operational agro-meteorological/remote-sensing forecasting beyond food-grain crops to sugarcane, a long-duration commercial crop with a growing season spanning multiple satellite overpasses.</w:t>
      </w:r>
    </w:p>
    <w:p>
      <w:pPr>
        <w:pStyle w:val="BodyText"/>
      </w:pPr>
      <w:r>
        <w:rPr>
          <w:bCs/>
          <w:b/>
        </w:rPr>
        <w:t xml:space="preserve">Methodology:</w:t>
      </w:r>
      <w:r>
        <w:t xml:space="preserve"> </w:t>
      </w:r>
      <w:r>
        <w:t xml:space="preserve">Thirteen years (2003–2015) of 16-day MODIS (MOD13A2) NDVI composites from June to October (peak growth months) were used to compute the Vegetation Condition Index (VCI). Stepwise regression established empirical relationships between VCI and historical district-level sugarcane yields across 52 major producing districts in five states.</w:t>
      </w:r>
    </w:p>
    <w:p>
      <w:pPr>
        <w:pStyle w:val="BodyText"/>
      </w:pPr>
      <w:r>
        <w:rPr>
          <w:bCs/>
          <w:b/>
        </w:rPr>
        <w:t xml:space="preserve">Key Result:</w:t>
      </w:r>
      <w:r>
        <w:t xml:space="preserve"> </w:t>
      </w:r>
      <w:r>
        <w:t xml:space="preserve">VCI-based models showed statistically significant relationships with historical yield in most districts, though model strength varied by state; the study concluded VCI is a viable, low-cost operational tool for district-level sugarcane yield forecasting.</w:t>
      </w:r>
    </w:p>
    <w:p>
      <w:pPr>
        <w:pStyle w:val="Heading3"/>
      </w:pPr>
      <w:r>
        <w:t xml:space="preserve">48.1.4 Jain, V., Saxena, S., Dubey, S., Choudhary, K., Sehgal, S., Neetu, &amp; Ray, S.S. (2019).</w:t>
      </w:r>
      <w:r>
        <w:t xml:space="preserve"> </w:t>
      </w:r>
      <w:r>
        <w:t xml:space="preserve">“</w:t>
      </w:r>
      <w:r>
        <w:t xml:space="preserve">Rice (Kharif) Production Estimation Using SAR Data of Different Satellites and Yield Models: A Comparative Analysis of the Estimates Generated Under FASAL Project.</w:t>
      </w:r>
      <w:r>
        <w:t xml:space="preserve">”</w:t>
      </w:r>
      <w:r>
        <w:t xml:space="preserve"> </w:t>
      </w:r>
      <w:r>
        <w:rPr>
          <w:iCs/>
          <w:i/>
        </w:rPr>
        <w:t xml:space="preserve">International Archives of the Photogrammetry, Remote Sensing and Spatial Information Sciences</w:t>
      </w:r>
      <w:r>
        <w:t xml:space="preserve">, XLII-3/W6, 99–107.</w:t>
      </w:r>
    </w:p>
    <w:p>
      <w:pPr>
        <w:pStyle w:val="FirstParagraph"/>
      </w:pPr>
      <w:r>
        <w:rPr>
          <w:bCs/>
          <w:b/>
        </w:rPr>
        <w:t xml:space="preserve">Concept/Objective:</w:t>
      </w:r>
      <w:r>
        <w:t xml:space="preserve"> </w:t>
      </w:r>
      <w:r>
        <w:t xml:space="preserve">Evaluates multi-year, multi-sensor SAR-based rice area/production estimation as implemented operationally under the FASAL programme, given that Kharif (monsoon-season) rice is frequently obscured by cloud cover, making SAR indispensable.</w:t>
      </w:r>
    </w:p>
    <w:p>
      <w:pPr>
        <w:pStyle w:val="BodyText"/>
      </w:pPr>
      <w:r>
        <w:rPr>
          <w:bCs/>
          <w:b/>
        </w:rPr>
        <w:t xml:space="preserve">Methodology:</w:t>
      </w:r>
      <w:r>
        <w:t xml:space="preserve"> </w:t>
      </w:r>
      <w:r>
        <w:t xml:space="preserve">Multi-temporal SAR data from Radarsat-2 (2012, HH), RISAT-1 ScanSAR (2013–2016, HH), and Sentinel-1 (2017, VV) across six crop years (2012–13 to 2017–18) were classified using a Hierarchical Decision Rule-based Classification (HDRC) approach applied to stratified 5×5 km sample segments; ground truth was collected via a smartphone-based field application. Yield was estimated by combining agro-meteorological regression models, crop simulation, and the Vegetation Condition Index.</w:t>
      </w:r>
    </w:p>
    <w:p>
      <w:pPr>
        <w:pStyle w:val="BodyText"/>
      </w:pPr>
      <w:r>
        <w:rPr>
          <w:bCs/>
          <w:b/>
        </w:rPr>
        <w:t xml:space="preserve">Key Result:</w:t>
      </w:r>
      <w:r>
        <w:t xml:space="preserve"> </w:t>
      </w:r>
      <w:r>
        <w:t xml:space="preserve">Classification overall accuracies of about 79.5% (Haryana) and 79.4% (Andhra Pradesh) were achieved; RMSE of area estimates ranged 2.3–4.3%, of production 0.84–1.35%, and of yield 0.24–0.27%, with R² for area/production/yield spanning roughly 0.5–0.92 — confirming multi-satellite SAR as an operationally robust input for monsoon rice monitoring under FASAL.</w:t>
      </w:r>
    </w:p>
    <w:p>
      <w:pPr>
        <w:pStyle w:val="Heading3"/>
      </w:pPr>
      <w:r>
        <w:t xml:space="preserve">48.1.5 Tripathy, R., Chaudhari, K.N., Bairagi, G.D., et al. (2022).</w:t>
      </w:r>
      <w:r>
        <w:t xml:space="preserve"> </w:t>
      </w:r>
      <w:r>
        <w:t xml:space="preserve">“</w:t>
      </w:r>
      <w:r>
        <w:t xml:space="preserve">Towards Fine-Scale Yield Prediction of Three Major Crops of India Using Data from Multiple Satellites.</w:t>
      </w:r>
      <w:r>
        <w:t xml:space="preserve">”</w:t>
      </w:r>
      <w:r>
        <w:t xml:space="preserve"> </w:t>
      </w:r>
      <w:r>
        <w:rPr>
          <w:iCs/>
          <w:i/>
        </w:rPr>
        <w:t xml:space="preserve">Journal of the Indian Society of Remote Sensing</w:t>
      </w:r>
      <w:r>
        <w:t xml:space="preserve">, 50, 271–284.</w:t>
      </w:r>
    </w:p>
    <w:p>
      <w:pPr>
        <w:pStyle w:val="FirstParagraph"/>
      </w:pPr>
      <w:r>
        <w:rPr>
          <w:bCs/>
          <w:b/>
        </w:rPr>
        <w:t xml:space="preserve">Concept/Objective:</w:t>
      </w:r>
      <w:r>
        <w:t xml:space="preserve"> </w:t>
      </w:r>
      <w:r>
        <w:t xml:space="preserve">Investigates whether combining geostationary, medium-, and high-resolution satellite data can push operational yield estimation down from district level to sub-district administrative units (gram panchayat/taluka), a long-standing goal for FASAL-type systems.</w:t>
      </w:r>
    </w:p>
    <w:p>
      <w:pPr>
        <w:pStyle w:val="BodyText"/>
      </w:pPr>
      <w:r>
        <w:rPr>
          <w:bCs/>
          <w:b/>
        </w:rPr>
        <w:t xml:space="preserve">Methodology:</w:t>
      </w:r>
      <w:r>
        <w:t xml:space="preserve"> </w:t>
      </w:r>
      <w:r>
        <w:t xml:space="preserve">Sentinel-2 (10–20 m), MODIS (500 m), and INSAT-3D (4 km) data were fused within a semi-physical, crop-specific radiation-use-efficiency (RUE) model for rice (Cuttack, Odisha), cotton (Rajkot, Gujarat), and wheat (Indore, MP and Fatehabad, Haryana), with validation at gram panchayat, taluka, and district levels.</w:t>
      </w:r>
    </w:p>
    <w:p>
      <w:pPr>
        <w:pStyle w:val="BodyText"/>
      </w:pPr>
      <w:r>
        <w:rPr>
          <w:bCs/>
          <w:b/>
        </w:rPr>
        <w:t xml:space="preserve">Key Result:</w:t>
      </w:r>
      <w:r>
        <w:t xml:space="preserve"> </w:t>
      </w:r>
      <w:r>
        <w:t xml:space="preserve">RMSE at the gram panchayat level was about 16.5% for rice and 5.8% for wheat; at taluka level, RMSE ranged 4.4–15% across crops and sites (with cotton at 7.4%), showing that data fusion enables statistically acceptable (95% confidence) fine-scale yield estimation, a step beyond the traditional district-level FASAL output.</w:t>
      </w:r>
    </w:p>
    <w:p>
      <w:pPr>
        <w:pStyle w:val="Heading2"/>
      </w:pPr>
      <w:r>
        <w:t xml:space="preserve">48.2 Biophysical Parameter Retrieval</w:t>
      </w:r>
    </w:p>
    <w:p>
      <w:pPr>
        <w:pStyle w:val="Heading3"/>
      </w:pPr>
      <w:r>
        <w:t xml:space="preserve">48.2.1 Pandya, M.R., Singh, R.P., Chaudhari, K.N., Bairagi, G.D., Sharma, R., Dadhwal, V.K., &amp; Parihar, J.S. (2006).</w:t>
      </w:r>
      <w:r>
        <w:t xml:space="preserve"> </w:t>
      </w:r>
      <w:r>
        <w:t xml:space="preserve">“</w:t>
      </w:r>
      <w:r>
        <w:t xml:space="preserve">Leaf Area Index Retrieval Using IRS LISS-III Sensor Data and Validation of the MODIS LAI Product Over Central India.</w:t>
      </w:r>
      <w:r>
        <w:t xml:space="preserve">”</w:t>
      </w:r>
      <w:r>
        <w:t xml:space="preserve"> </w:t>
      </w:r>
      <w:r>
        <w:rPr>
          <w:iCs/>
          <w:i/>
        </w:rPr>
        <w:t xml:space="preserve">IEEE Transactions on Geoscience and Remote Sensing</w:t>
      </w:r>
      <w:r>
        <w:t xml:space="preserve">, 44(7).</w:t>
      </w:r>
    </w:p>
    <w:p>
      <w:pPr>
        <w:pStyle w:val="FirstParagraph"/>
      </w:pPr>
      <w:r>
        <w:rPr>
          <w:bCs/>
          <w:b/>
        </w:rPr>
        <w:t xml:space="preserve">Concept/Objective:</w:t>
      </w:r>
      <w:r>
        <w:t xml:space="preserve"> </w:t>
      </w:r>
      <w:r>
        <w:t xml:space="preserve">A foundational Indian LAI (Leaf Area Index) validation study assessing whether coarse-resolution MODIS LAI products (widely used for global crop/vegetation monitoring) are reliable over the heterogeneous, small-field Indian agricultural landscape.</w:t>
      </w:r>
    </w:p>
    <w:p>
      <w:pPr>
        <w:pStyle w:val="BodyText"/>
      </w:pPr>
      <w:r>
        <w:rPr>
          <w:bCs/>
          <w:b/>
        </w:rPr>
        <w:t xml:space="preserve">Methodology:</w:t>
      </w:r>
      <w:r>
        <w:t xml:space="preserve"> </w:t>
      </w:r>
      <w:r>
        <w:t xml:space="preserve">Site-specific empirical exponential regressions between NDVI and ground-measured LAI were developed using IRS-1D LISS-III data (23 m, with 70 m SWIR) over two central Indian agricultural sites (Indore and Bhopal) during winter 2001–02. The resulting 23 m LAI maps were spatially degraded to 1 km to compare against MODIS LAI products (MOD15A2, Collection 3 and 4).</w:t>
      </w:r>
    </w:p>
    <w:p>
      <w:pPr>
        <w:pStyle w:val="BodyText"/>
      </w:pPr>
      <w:r>
        <w:rPr>
          <w:bCs/>
          <w:b/>
        </w:rPr>
        <w:t xml:space="preserve">Key Result:</w:t>
      </w:r>
      <w:r>
        <w:t xml:space="preserve"> </w:t>
      </w:r>
      <w:r>
        <w:t xml:space="preserve">Collection 3 MODIS LAI overestimated LISS-III-derived LAI by a factor of 1.6–2.5 (R² 0.64–0.78, RMSE 0.20–1.26); Collection 4 nearly halved this overestimation and reduced RMSE by about 40%, illustrating both the improvement in MODIS algorithm versions and the continuing value of fine-resolution Indian sensor data for validating/calibrating global LAI products over fragmented cropland.</w:t>
      </w:r>
    </w:p>
    <w:p>
      <w:pPr>
        <w:pStyle w:val="Heading3"/>
      </w:pPr>
      <w:r>
        <w:t xml:space="preserve">48.2.2 Mridha, N., Sahoo, R.N., Sehgal, V.K., Krishna, G., Pradhan, S., Gupta, V.K., &amp; Kumar, D.N. (2014).</w:t>
      </w:r>
      <w:r>
        <w:t xml:space="preserve"> </w:t>
      </w:r>
      <w:r>
        <w:t xml:space="preserve">“</w:t>
      </w:r>
      <w:r>
        <w:t xml:space="preserve">Genetic Algorithm based Inversion Modelling of PROSAIL for Retrieval of Wheat Biophysical Parameters from Bi-directional Reflectance Data.</w:t>
      </w:r>
      <w:r>
        <w:t xml:space="preserve">”</w:t>
      </w:r>
      <w:r>
        <w:t xml:space="preserve"> </w:t>
      </w:r>
      <w:r>
        <w:rPr>
          <w:iCs/>
          <w:i/>
        </w:rPr>
        <w:t xml:space="preserve">Journal of Agricultural Physics</w:t>
      </w:r>
      <w:r>
        <w:t xml:space="preserve">, 14(1), 87–95.</w:t>
      </w:r>
    </w:p>
    <w:p>
      <w:pPr>
        <w:pStyle w:val="FirstParagraph"/>
      </w:pPr>
      <w:r>
        <w:rPr>
          <w:bCs/>
          <w:b/>
        </w:rPr>
        <w:t xml:space="preserve">Concept/Objective:</w:t>
      </w:r>
      <w:r>
        <w:t xml:space="preserve"> </w:t>
      </w:r>
      <w:r>
        <w:t xml:space="preserve">Explores physically based (rather than purely empirical) retrieval of multiple wheat canopy biophysical parameters — LAI, leaf chlorophyll content (Cab), canopy chlorophyll content (CCC), and leaf water content (Cw) — by inverting a radiative transfer model, addressing the ill-posed nature of RTM inversion via genetic-algorithm optimisation.</w:t>
      </w:r>
    </w:p>
    <w:p>
      <w:pPr>
        <w:pStyle w:val="BodyText"/>
      </w:pPr>
      <w:r>
        <w:rPr>
          <w:bCs/>
          <w:b/>
        </w:rPr>
        <w:t xml:space="preserve">Methodology:</w:t>
      </w:r>
      <w:r>
        <w:t xml:space="preserve"> </w:t>
      </w:r>
      <w:r>
        <w:t xml:space="preserve">Bi-directional canopy reflectance of wheat was measured with an ASD FieldSpec-3 spectroradiometer at IARI, New Delhi (2010–11 season) across multiple view geometries and three growth stages. A genetic algorithm coupled to the PROSAIL leaf-canopy radiative transfer model was used to invert reflectance simulated/resampled to MODIS, Landsat TM, and IRS LISS-III band configurations as well as full-spectrum data.</w:t>
      </w:r>
    </w:p>
    <w:p>
      <w:pPr>
        <w:pStyle w:val="BodyText"/>
      </w:pPr>
      <w:r>
        <w:rPr>
          <w:bCs/>
          <w:b/>
        </w:rPr>
        <w:t xml:space="preserve">Key Result:</w:t>
      </w:r>
      <w:r>
        <w:t xml:space="preserve"> </w:t>
      </w:r>
      <w:r>
        <w:t xml:space="preserve">Retrieval accuracy ranked LAI &gt; CCC &gt; Cab &gt; Cw, with LAI achieving R² up to 0.926 (with LISS-III bands) and Cab up to R² = 0.91 (full spectrum); leaf water content was the most poorly retrieved parameter (R² ≈ 0.58), underscoring the sensor-dependence of RTM-inversion accuracy for different biophysical traits.</w:t>
      </w:r>
    </w:p>
    <w:p>
      <w:pPr>
        <w:pStyle w:val="Heading3"/>
      </w:pPr>
      <w:r>
        <w:t xml:space="preserve">48.2.3 Naik, B.B., Naveen, H.R., Sreenivas, G., Choudary, K.K., Devkumar, D., &amp; Adinarayana, J. (2020).</w:t>
      </w:r>
      <w:r>
        <w:t xml:space="preserve"> </w:t>
      </w:r>
      <w:r>
        <w:t xml:space="preserve">“</w:t>
      </w:r>
      <w:r>
        <w:t xml:space="preserve">Identification of Water and Nitrogen Stress Indicative Spectral Bands Using Hyperspectral Remote Sensing in Maize During Post-Monsoon Season.</w:t>
      </w:r>
      <w:r>
        <w:t xml:space="preserve">”</w:t>
      </w:r>
      <w:r>
        <w:t xml:space="preserve"> </w:t>
      </w:r>
      <w:r>
        <w:rPr>
          <w:iCs/>
          <w:i/>
        </w:rPr>
        <w:t xml:space="preserve">Journal of the Indian Society of Remote Sensing</w:t>
      </w:r>
      <w:r>
        <w:t xml:space="preserve">, 48(12), 1787–1795.</w:t>
      </w:r>
    </w:p>
    <w:p>
      <w:pPr>
        <w:pStyle w:val="FirstParagraph"/>
      </w:pPr>
      <w:r>
        <w:rPr>
          <w:bCs/>
          <w:b/>
        </w:rPr>
        <w:t xml:space="preserve">Concept/Objective:</w:t>
      </w:r>
      <w:r>
        <w:t xml:space="preserve"> </w:t>
      </w:r>
      <w:r>
        <w:t xml:space="preserve">Investigates ground-based hyperspectral discrimination of water stress and nitrogen stress in maize — key inputs for precision-agriculture stress diagnosis and for guiding variable-rate irrigation/fertilisation.</w:t>
      </w:r>
    </w:p>
    <w:p>
      <w:pPr>
        <w:pStyle w:val="BodyText"/>
      </w:pPr>
      <w:r>
        <w:rPr>
          <w:bCs/>
          <w:b/>
        </w:rPr>
        <w:t xml:space="preserve">Methodology:</w:t>
      </w:r>
      <w:r>
        <w:t xml:space="preserve"> </w:t>
      </w:r>
      <w:r>
        <w:t xml:space="preserve">A split-plot field experiment (2018–19, Hyderabad) varied irrigation (IW/CPE ratios 0.6, 0.8, 1.2) and nitrogen application (100/200/300 kg ha⁻¹). Canopy hyperspectral reflectance was measured with a PS-100 spectroradiometer at tasseling and dough stages; stepwise multiple linear regression with backward elimination identified the most predictive wavebands for leaf nitrogen, relative water content, and LAI.</w:t>
      </w:r>
    </w:p>
    <w:p>
      <w:pPr>
        <w:pStyle w:val="BodyText"/>
      </w:pPr>
      <w:r>
        <w:rPr>
          <w:bCs/>
          <w:b/>
        </w:rPr>
        <w:t xml:space="preserve">Key Result:</w:t>
      </w:r>
      <w:r>
        <w:t xml:space="preserve"> </w:t>
      </w:r>
      <w:r>
        <w:t xml:space="preserve">Leaf nitrogen was best predicted by bands near 540, 780, and 860 nm (R² = 0.78); leaf water content by 700, 740, and 860 nm (R² = 0.77); LAI by 580, 600, 660, and 800 nm (R² = 0.98). At tasseling, these derived traits explained 80% (water), 66% (nitrogen) and 61% (LAI) of grain yield variation, confirming early-stage hyperspectral stress diagnosis as a strong yield predictor.</w:t>
      </w:r>
    </w:p>
    <w:p>
      <w:pPr>
        <w:pStyle w:val="Heading3"/>
      </w:pPr>
      <w:r>
        <w:t xml:space="preserve">48.2.4 Rawat, K.S., Sehgal, V.K., Pradhan, S., &amp; Ray, S.S. (2018).</w:t>
      </w:r>
      <w:r>
        <w:t xml:space="preserve"> </w:t>
      </w:r>
      <w:r>
        <w:t xml:space="preserve">“</w:t>
      </w:r>
      <w:r>
        <w:t xml:space="preserve">Semi-empirical model for retrieval of soil moisture using RISAT-1 C-Band SAR data over a sub-tropical semi-arid area of Rewari district, Haryana (India).</w:t>
      </w:r>
      <w:r>
        <w:t xml:space="preserve">”</w:t>
      </w:r>
      <w:r>
        <w:t xml:space="preserve"> </w:t>
      </w:r>
      <w:r>
        <w:rPr>
          <w:iCs/>
          <w:i/>
        </w:rPr>
        <w:t xml:space="preserve">Journal of Earth System Science</w:t>
      </w:r>
      <w:r>
        <w:t xml:space="preserve">, 127, Article 18.</w:t>
      </w:r>
    </w:p>
    <w:p>
      <w:pPr>
        <w:pStyle w:val="FirstParagraph"/>
      </w:pPr>
      <w:r>
        <w:rPr>
          <w:bCs/>
          <w:b/>
        </w:rPr>
        <w:t xml:space="preserve">Concept/Objective:</w:t>
      </w:r>
      <w:r>
        <w:t xml:space="preserve"> </w:t>
      </w:r>
      <w:r>
        <w:t xml:space="preserve">Addresses the retrieval of near-surface soil moisture — a critical input for irrigation scheduling, drought monitoring, and crop-model initialisation — using India’s own RISAT-1 C-band SAR mission, overcoming the limitations of single-parameter backscatter models.</w:t>
      </w:r>
    </w:p>
    <w:p>
      <w:pPr>
        <w:pStyle w:val="BodyText"/>
      </w:pPr>
      <w:r>
        <w:rPr>
          <w:bCs/>
          <w:b/>
        </w:rPr>
        <w:t xml:space="preserve">Methodology:</w:t>
      </w:r>
      <w:r>
        <w:t xml:space="preserve"> </w:t>
      </w:r>
      <w:r>
        <w:t xml:space="preserve">RISAT-1 FRS-1 (5.35 GHz, C-band) imagery over wheat fields at the tillering stage in Rewari district, Haryana, was used to build a semi-empirical model combining circular-polarisation backscatter (σ°_RH), polarisation difference (σ°_RV − σ°_RH), and surface RMS height, rather than relying on a single backscatter parameter as in classical models (e.g., the Topp model).</w:t>
      </w:r>
    </w:p>
    <w:p>
      <w:pPr>
        <w:pStyle w:val="BodyText"/>
      </w:pPr>
      <w:r>
        <w:rPr>
          <w:bCs/>
          <w:b/>
        </w:rPr>
        <w:t xml:space="preserve">Key Result:</w:t>
      </w:r>
      <w:r>
        <w:t xml:space="preserve"> </w:t>
      </w:r>
      <w:r>
        <w:t xml:space="preserve">The semi-empirical multi-parameter model achieved R² = 0.87 (adjusted R² = 0.85), RMSE = 0.06, MAE = 0.04, and Nash–Sutcliffe efficiency = 0.91, substantially outperforming single-parameter approaches and supporting operational soil-moisture retrieval from indigenous RISAT-1 data.</w:t>
      </w:r>
    </w:p>
    <w:p>
      <w:pPr>
        <w:pStyle w:val="Heading2"/>
      </w:pPr>
      <w:r>
        <w:t xml:space="preserve">48.3 Crop Classification and Mapping (Optical and SAR)</w:t>
      </w:r>
    </w:p>
    <w:p>
      <w:pPr>
        <w:pStyle w:val="Heading3"/>
      </w:pPr>
      <w:r>
        <w:t xml:space="preserve">48.3.1 Saini, R., &amp; Ghosh, S.K. (2018).</w:t>
      </w:r>
      <w:r>
        <w:t xml:space="preserve"> </w:t>
      </w:r>
      <w:r>
        <w:t xml:space="preserve">“</w:t>
      </w:r>
      <w:r>
        <w:t xml:space="preserve">Crop Classification on Single Date Sentinel-2 Imagery Using Random Forest and Support Vector Machine.</w:t>
      </w:r>
      <w:r>
        <w:t xml:space="preserve">”</w:t>
      </w:r>
      <w:r>
        <w:t xml:space="preserve"> </w:t>
      </w:r>
      <w:r>
        <w:rPr>
          <w:iCs/>
          <w:i/>
        </w:rPr>
        <w:t xml:space="preserve">International Archives of the Photogrammetry, Remote Sensing and Spatial Information Sciences</w:t>
      </w:r>
      <w:r>
        <w:t xml:space="preserve">, XLII-5, 683–688.</w:t>
      </w:r>
    </w:p>
    <w:p>
      <w:pPr>
        <w:pStyle w:val="FirstParagraph"/>
      </w:pPr>
      <w:r>
        <w:rPr>
          <w:bCs/>
          <w:b/>
        </w:rPr>
        <w:t xml:space="preserve">Concept/Objective:</w:t>
      </w:r>
      <w:r>
        <w:t xml:space="preserve"> </w:t>
      </w:r>
      <w:r>
        <w:t xml:space="preserve">Assesses the utility of single-date, freely available Sentinel-2 imagery — as opposed to costly multi-temporal stacks — for operational crop-type classification using standard machine-learning classifiers, relevant to cost-effective national cropland mapping.</w:t>
      </w:r>
    </w:p>
    <w:p>
      <w:pPr>
        <w:pStyle w:val="BodyText"/>
      </w:pPr>
      <w:r>
        <w:rPr>
          <w:bCs/>
          <w:b/>
        </w:rPr>
        <w:t xml:space="preserve">Methodology:</w:t>
      </w:r>
      <w:r>
        <w:t xml:space="preserve"> </w:t>
      </w:r>
      <w:r>
        <w:t xml:space="preserve">Sentinel-2 NIR, Red, Green, and Blue bands were stacked over Roorkee, Haridwar district, Uttarakhand, and classified using Random Forest (RF) and Support Vector Machine (SVM), each with tuned hyperparameters.</w:t>
      </w:r>
    </w:p>
    <w:p>
      <w:pPr>
        <w:pStyle w:val="BodyText"/>
      </w:pPr>
      <w:r>
        <w:rPr>
          <w:bCs/>
          <w:b/>
        </w:rPr>
        <w:t xml:space="preserve">Key Result:</w:t>
      </w:r>
      <w:r>
        <w:t xml:space="preserve"> </w:t>
      </w:r>
      <w:r>
        <w:t xml:space="preserve">RF achieved an overall accuracy of 84.22% versus 81.85% for SVM (a 2.37-percentage-point advantage); the</w:t>
      </w:r>
      <w:r>
        <w:t xml:space="preserve"> </w:t>
      </w:r>
      <w:r>
        <w:t xml:space="preserve">“</w:t>
      </w:r>
      <w:r>
        <w:t xml:space="preserve">fodder</w:t>
      </w:r>
      <w:r>
        <w:t xml:space="preserve">”</w:t>
      </w:r>
      <w:r>
        <w:t xml:space="preserve"> </w:t>
      </w:r>
      <w:r>
        <w:t xml:space="preserve">class showed the lowest accuracy due to spectral confusion with wheat, while high-density forest was classified most accurately — reinforcing RF as a robust, lightweight classifier for Indian cropland mapping even from single-date optical imagery.</w:t>
      </w:r>
    </w:p>
    <w:p>
      <w:pPr>
        <w:pStyle w:val="Heading3"/>
      </w:pPr>
      <w:r>
        <w:t xml:space="preserve">48.3.2 Singha, M., Dong, J., Zhang, G., &amp; Xiao, X. (2019).</w:t>
      </w:r>
      <w:r>
        <w:t xml:space="preserve"> </w:t>
      </w:r>
      <w:r>
        <w:t xml:space="preserve">“</w:t>
      </w:r>
      <w:r>
        <w:t xml:space="preserve">High resolution paddy rice maps in cloud-prone Bangladesh and Northeast India using Sentinel-1 data.</w:t>
      </w:r>
      <w:r>
        <w:t xml:space="preserve">”</w:t>
      </w:r>
      <w:r>
        <w:t xml:space="preserve"> </w:t>
      </w:r>
      <w:r>
        <w:rPr>
          <w:iCs/>
          <w:i/>
        </w:rPr>
        <w:t xml:space="preserve">Scientific Data</w:t>
      </w:r>
      <w:r>
        <w:t xml:space="preserve">, 6, Article 26.</w:t>
      </w:r>
    </w:p>
    <w:p>
      <w:pPr>
        <w:pStyle w:val="FirstParagraph"/>
      </w:pPr>
      <w:r>
        <w:rPr>
          <w:bCs/>
          <w:b/>
        </w:rPr>
        <w:t xml:space="preserve">Concept/Objective:</w:t>
      </w:r>
      <w:r>
        <w:t xml:space="preserve"> </w:t>
      </w:r>
      <w:r>
        <w:t xml:space="preserve">Produces a high-resolution, multi-season paddy rice map for the persistently cloud-covered Bangladesh–Northeast India region, a zone where optical sensors routinely fail to capture the transplanting/growing window, using freely available Sentinel-1 SAR.</w:t>
      </w:r>
    </w:p>
    <w:p>
      <w:pPr>
        <w:pStyle w:val="BodyText"/>
      </w:pPr>
      <w:r>
        <w:rPr>
          <w:bCs/>
          <w:b/>
        </w:rPr>
        <w:t xml:space="preserve">Methodology:</w:t>
      </w:r>
      <w:r>
        <w:t xml:space="preserve"> </w:t>
      </w:r>
      <w:r>
        <w:t xml:space="preserve">Time-series Sentinel-1 C-band (VH-polarisation) backscatter at 10 m resolution was processed in Google Earth Engine and classified with a Random Forest algorithm, trained on more than 2,000 ground survey points (2015) supplemented by Sentinel-2 optical imagery, high-resolution Google Earth imagery, and field photographs, separately for the Boro, Aus, and Aman rice seasons.</w:t>
      </w:r>
    </w:p>
    <w:p>
      <w:pPr>
        <w:pStyle w:val="BodyText"/>
      </w:pPr>
      <w:r>
        <w:rPr>
          <w:bCs/>
          <w:b/>
        </w:rPr>
        <w:t xml:space="preserve">Key Result:</w:t>
      </w:r>
      <w:r>
        <w:t xml:space="preserve"> </w:t>
      </w:r>
      <w:r>
        <w:t xml:space="preserve">Overall accuracy exceeded 94% for all three seasons (user’s/producer’s accuracy: Boro 82.4%/95.0%, Aus 99.4%/90.6%, Aman 92.8%/86.0%), and the resulting maps showed strong spatial agreement with IRRI/MODIS rice products while resolving much finer field-level detail typical of South Asian smallholder farming.</w:t>
      </w:r>
    </w:p>
    <w:p>
      <w:pPr>
        <w:pStyle w:val="Heading3"/>
      </w:pPr>
      <w:r>
        <w:t xml:space="preserve">48.3.3 Das, P., Kothari, M., Singh, P.K., &amp; Singh, M. (2026).</w:t>
      </w:r>
      <w:r>
        <w:t xml:space="preserve"> </w:t>
      </w:r>
      <w:r>
        <w:t xml:space="preserve">“</w:t>
      </w:r>
      <w:r>
        <w:t xml:space="preserve">Advancing Paddy Rice Mapping in Cloud-Prone Regions Using SAR and Machine Learning: A Case Study in Gangetic West Bengal, India.</w:t>
      </w:r>
      <w:r>
        <w:t xml:space="preserve">”</w:t>
      </w:r>
      <w:r>
        <w:t xml:space="preserve"> </w:t>
      </w:r>
      <w:r>
        <w:rPr>
          <w:iCs/>
          <w:i/>
        </w:rPr>
        <w:t xml:space="preserve">Journal of Scientific Research and Reports</w:t>
      </w:r>
      <w:r>
        <w:t xml:space="preserve">, 32(8), 1026–1039.</w:t>
      </w:r>
    </w:p>
    <w:p>
      <w:pPr>
        <w:pStyle w:val="FirstParagraph"/>
      </w:pPr>
      <w:r>
        <w:rPr>
          <w:bCs/>
          <w:b/>
        </w:rPr>
        <w:t xml:space="preserve">Concept/Objective:</w:t>
      </w:r>
      <w:r>
        <w:t xml:space="preserve"> </w:t>
      </w:r>
      <w:r>
        <w:t xml:space="preserve">A recent case study extending cloud-robust SAR/machine-learning paddy mapping to the Gangetic West Bengal delta, characterised by multiple overlapping rice cropping seasons (Aus, Aman, Boro) and persistent monsoon cloud cover.</w:t>
      </w:r>
    </w:p>
    <w:p>
      <w:pPr>
        <w:pStyle w:val="BodyText"/>
      </w:pPr>
      <w:r>
        <w:rPr>
          <w:bCs/>
          <w:b/>
        </w:rPr>
        <w:t xml:space="preserve">Methodology:</w:t>
      </w:r>
      <w:r>
        <w:t xml:space="preserve"> </w:t>
      </w:r>
      <w:r>
        <w:t xml:space="preserve">Multi-temporal Sentinel-1 SAR imagery was processed in Google Earth Engine and classified season-wise using a Random Forest classifier, trained on reference data from Sentinel-2 optical imagery, high-resolution Google Earth imagery, field photographs, and more than 5,000 field samples collected in 2023.</w:t>
      </w:r>
    </w:p>
    <w:p>
      <w:pPr>
        <w:pStyle w:val="BodyText"/>
      </w:pPr>
      <w:r>
        <w:rPr>
          <w:bCs/>
          <w:b/>
        </w:rPr>
        <w:t xml:space="preserve">Key Result:</w:t>
      </w:r>
      <w:r>
        <w:t xml:space="preserve"> </w:t>
      </w:r>
      <w:r>
        <w:t xml:space="preserve">Overall classification accuracies of 94.6% (Boro), 95.3% (Aus), and 96.2% (Aman) were obtained; Aman rice occupied the largest cultivated area, and the study mapped single-, double-, and triple-cropped rice zones, with the highest multi-season cropping intensity in the central and southern parts of the study region.</w:t>
      </w:r>
    </w:p>
    <w:p>
      <w:pPr>
        <w:pStyle w:val="Heading2"/>
      </w:pPr>
      <w:r>
        <w:t xml:space="preserve">48.4 Drought and Vegetation Stress Monitoring</w:t>
      </w:r>
    </w:p>
    <w:p>
      <w:pPr>
        <w:pStyle w:val="Heading3"/>
      </w:pPr>
      <w:r>
        <w:t xml:space="preserve">48.4.1 Kamble, M.V., Ghosh, K., Rajeevan, M., &amp; Samui, R.P. (2010).</w:t>
      </w:r>
      <w:r>
        <w:t xml:space="preserve"> </w:t>
      </w:r>
      <w:r>
        <w:t xml:space="preserve">“</w:t>
      </w:r>
      <w:r>
        <w:t xml:space="preserve">Drought monitoring over India through Normalized Difference Vegetation Index (NDVI).</w:t>
      </w:r>
      <w:r>
        <w:t xml:space="preserve">”</w:t>
      </w:r>
      <w:r>
        <w:t xml:space="preserve"> </w:t>
      </w:r>
      <w:r>
        <w:rPr>
          <w:iCs/>
          <w:i/>
        </w:rPr>
        <w:t xml:space="preserve">MAUSAM</w:t>
      </w:r>
      <w:r>
        <w:t xml:space="preserve">, 61(4), 537–546.</w:t>
      </w:r>
    </w:p>
    <w:p>
      <w:pPr>
        <w:pStyle w:val="FirstParagraph"/>
      </w:pPr>
      <w:r>
        <w:rPr>
          <w:bCs/>
          <w:b/>
        </w:rPr>
        <w:t xml:space="preserve">Concept/Objective:</w:t>
      </w:r>
      <w:r>
        <w:t xml:space="preserve"> </w:t>
      </w:r>
      <w:r>
        <w:t xml:space="preserve">Examines the long-term relationship between satellite-derived vegetation greenness and rainfall to assess NDVI’s utility as an agricultural drought indicator across India’s major dry-farming tracts.</w:t>
      </w:r>
    </w:p>
    <w:p>
      <w:pPr>
        <w:pStyle w:val="BodyText"/>
      </w:pPr>
      <w:r>
        <w:rPr>
          <w:bCs/>
          <w:b/>
        </w:rPr>
        <w:t xml:space="preserve">Methodology:</w:t>
      </w:r>
      <w:r>
        <w:t xml:space="preserve"> </w:t>
      </w:r>
      <w:r>
        <w:t xml:space="preserve">NDVI and rainfall data for 1982–2003 were analysed for three regions — Northwest India, Central India, and Peninsular India — comparing vegetation anomalies against cumulative rainfall departure.</w:t>
      </w:r>
    </w:p>
    <w:p>
      <w:pPr>
        <w:pStyle w:val="BodyText"/>
      </w:pPr>
      <w:r>
        <w:rPr>
          <w:bCs/>
          <w:b/>
        </w:rPr>
        <w:t xml:space="preserve">Key Result:</w:t>
      </w:r>
      <w:r>
        <w:t xml:space="preserve"> </w:t>
      </w:r>
      <w:r>
        <w:t xml:space="preserve">Northwest and Central India showed statistically significant correlations between vegetation anomaly and rainfall (r = 0.69 and 0.57 respectively, p &lt; 0.01), while Peninsular India showed negligible correlation (r = 0.04); overall, vegetation condition in dry-farming tracts was found to have improved over the two-decade study period, validating NDVI as a regionally dependent but broadly useful drought-monitoring tool.</w:t>
      </w:r>
    </w:p>
    <w:p>
      <w:pPr>
        <w:pStyle w:val="Heading3"/>
      </w:pPr>
      <w:r>
        <w:t xml:space="preserve">48.4.2 Bhuiyan, C., Singh, R.P., &amp; Kogan, F.N. (2006).</w:t>
      </w:r>
      <w:r>
        <w:t xml:space="preserve"> </w:t>
      </w:r>
      <w:r>
        <w:t xml:space="preserve">“</w:t>
      </w:r>
      <w:r>
        <w:t xml:space="preserve">Monitoring drought dynamics in the Aravalli region (India) using different indices based on ground and remote sensing data.</w:t>
      </w:r>
      <w:r>
        <w:t xml:space="preserve">”</w:t>
      </w:r>
      <w:r>
        <w:t xml:space="preserve"> </w:t>
      </w:r>
      <w:r>
        <w:rPr>
          <w:iCs/>
          <w:i/>
        </w:rPr>
        <w:t xml:space="preserve">International Journal of Applied Earth Observation and Geoinformation</w:t>
      </w:r>
      <w:r>
        <w:t xml:space="preserve">, 8(4), 289–302.</w:t>
      </w:r>
    </w:p>
    <w:p>
      <w:pPr>
        <w:pStyle w:val="FirstParagraph"/>
      </w:pPr>
      <w:r>
        <w:rPr>
          <w:bCs/>
          <w:b/>
        </w:rPr>
        <w:t xml:space="preserve">Concept/Objective:</w:t>
      </w:r>
      <w:r>
        <w:t xml:space="preserve"> </w:t>
      </w:r>
      <w:r>
        <w:t xml:space="preserve">Provides an integrated, multi-index characterisation of meteorological, hydrological, and vegetation-based drought over the semi-arid Aravalli region, addressing the fact that different drought</w:t>
      </w:r>
      <w:r>
        <w:t xml:space="preserve"> </w:t>
      </w:r>
      <w:r>
        <w:t xml:space="preserve">“</w:t>
      </w:r>
      <w:r>
        <w:t xml:space="preserve">spheres</w:t>
      </w:r>
      <w:r>
        <w:t xml:space="preserve">”</w:t>
      </w:r>
      <w:r>
        <w:t xml:space="preserve"> </w:t>
      </w:r>
      <w:r>
        <w:t xml:space="preserve">(rainfall deficit, groundwater depletion, vegetation stress) do not necessarily coincide in space or time.</w:t>
      </w:r>
    </w:p>
    <w:p>
      <w:pPr>
        <w:pStyle w:val="BodyText"/>
      </w:pPr>
      <w:r>
        <w:rPr>
          <w:bCs/>
          <w:b/>
        </w:rPr>
        <w:t xml:space="preserve">Methodology:</w:t>
      </w:r>
      <w:r>
        <w:t xml:space="preserve"> </w:t>
      </w:r>
      <w:r>
        <w:t xml:space="preserve">NOAA AVHRR-derived NDVI/Global Vegetation Index and thermal data (1984–2003) were combined with ground data from 35 rain-gauge stations and 541 observation wells to compute the Standardized Precipitation Index (SPI), Standardized Water-level Index (SWI), Vegetation Condition Index (VCI), Temperature Condition Index (TCI), and the composite Vegetation Health Index (VHI = 0.5·VCI + 0.5·TCI), spatially interpolated in a GIS.</w:t>
      </w:r>
    </w:p>
    <w:p>
      <w:pPr>
        <w:pStyle w:val="BodyText"/>
      </w:pPr>
      <w:r>
        <w:rPr>
          <w:bCs/>
          <w:b/>
        </w:rPr>
        <w:t xml:space="preserve">Key Result:</w:t>
      </w:r>
      <w:r>
        <w:t xml:space="preserve"> </w:t>
      </w:r>
      <w:r>
        <w:t xml:space="preserve">The three drought spheres were found to be weakly correlated and spatially non-coincident; vegetation showed slower drought onset but faster recovery than groundwater, and severe, spatially distinct drought episodes were identified in 1987, 2000, and 2002 (the latter causing roughly 85% crop damage in Rajsamand district) — demonstrating the necessity of multi-index (rather than single-index) drought assessment frameworks, a principle later embedded in ISRO’s NADAMS operational system.</w:t>
      </w:r>
    </w:p>
    <w:p>
      <w:pPr>
        <w:pStyle w:val="Heading2"/>
      </w:pPr>
      <w:r>
        <w:t xml:space="preserve">48.5 ISRO/FASAL-Specific Methodology Papers</w:t>
      </w:r>
    </w:p>
    <w:p>
      <w:pPr>
        <w:pStyle w:val="Heading3"/>
      </w:pPr>
      <w:r>
        <w:t xml:space="preserve">48.5.1 Parihar, J.S., &amp; Oza, M.P. (2006).</w:t>
      </w:r>
      <w:r>
        <w:t xml:space="preserve"> </w:t>
      </w:r>
      <w:r>
        <w:t xml:space="preserve">“</w:t>
      </w:r>
      <w:r>
        <w:t xml:space="preserve">FASAL: an integrated approach for crop assessment and production forecasting.</w:t>
      </w:r>
      <w:r>
        <w:t xml:space="preserve">”</w:t>
      </w:r>
      <w:r>
        <w:t xml:space="preserve"> </w:t>
      </w:r>
      <w:r>
        <w:rPr>
          <w:iCs/>
          <w:i/>
        </w:rPr>
        <w:t xml:space="preserve">Proceedings of SPIE — Agriculture and Hydrology Applications of Remote Sensing</w:t>
      </w:r>
      <w:r>
        <w:t xml:space="preserve">, Vol. 6411, 641101.</w:t>
      </w:r>
    </w:p>
    <w:p>
      <w:pPr>
        <w:pStyle w:val="FirstParagraph"/>
      </w:pPr>
      <w:r>
        <w:rPr>
          <w:bCs/>
          <w:b/>
        </w:rPr>
        <w:t xml:space="preserve">Concept/Objective:</w:t>
      </w:r>
      <w:r>
        <w:t xml:space="preserve"> </w:t>
      </w:r>
      <w:r>
        <w:t xml:space="preserve">The foundational methodology paper describing FASAL (Forecasting Agricultural output using Space, Agro-meteorology and Land-based observations), India’s multi-model operational crop forecasting programme designed to replace/complement traditional crop-cutting-experiment-based statistics with earlier, more frequent, and spatially explicit estimates.</w:t>
      </w:r>
    </w:p>
    <w:p>
      <w:pPr>
        <w:pStyle w:val="BodyText"/>
      </w:pPr>
      <w:r>
        <w:rPr>
          <w:bCs/>
          <w:b/>
        </w:rPr>
        <w:t xml:space="preserve">Methodology:</w:t>
      </w:r>
      <w:r>
        <w:t xml:space="preserve"> </w:t>
      </w:r>
      <w:r>
        <w:t xml:space="preserve">FASAL integrates three forecasting streams — econometric models (using historical trends, rainfall, and farm-price data for pre-sowing forecasts), agro-meteorological models (using in-season weather variables at critical growth stages), and remote sensing (optical and microwave imagery for crop area enumeration and condition assessment) — to generate three to four in-season forecasts per crop, per season, covering rice, wheat, cotton, sugarcane, rapeseed-mustard, sorghum, potato, and jute.</w:t>
      </w:r>
    </w:p>
    <w:p>
      <w:pPr>
        <w:pStyle w:val="BodyText"/>
      </w:pPr>
      <w:r>
        <w:rPr>
          <w:bCs/>
          <w:b/>
        </w:rPr>
        <w:t xml:space="preserve">Key Result:</w:t>
      </w:r>
      <w:r>
        <w:t xml:space="preserve"> </w:t>
      </w:r>
      <w:r>
        <w:t xml:space="preserve">SAR-based rice discrimination achieved better than 90% accuracy in pilot implementations; the system was scaled to 13 states covering over 93% of national rice area, with state-level production deviations as low as about 3% in early pilots (e.g., Odisha) and roughly ten districts achieving under 10% deviation — establishing FASAL as a nationally operational, multi-source forecasting architecture.</w:t>
      </w:r>
    </w:p>
    <w:p>
      <w:pPr>
        <w:pStyle w:val="Heading3"/>
      </w:pPr>
      <w:r>
        <w:t xml:space="preserve">48.5.2 Subbiah, A.R., Oza, M.P., et al. </w:t>
      </w:r>
      <w:r>
        <w:t xml:space="preserve">“</w:t>
      </w:r>
      <w:r>
        <w:t xml:space="preserve">FASALSoft — An ISRO software framework for crop production forecast using remote sensing data analysis.</w:t>
      </w:r>
      <w:r>
        <w:t xml:space="preserve">”</w:t>
      </w:r>
    </w:p>
    <w:p>
      <w:pPr>
        <w:pStyle w:val="FirstParagraph"/>
      </w:pPr>
      <w:r>
        <w:rPr>
          <w:bCs/>
          <w:b/>
        </w:rPr>
        <w:t xml:space="preserve">Concept/Objective:</w:t>
      </w:r>
      <w:r>
        <w:t xml:space="preserve"> </w:t>
      </w:r>
      <w:r>
        <w:t xml:space="preserve">Describes the software/IT architecture (</w:t>
      </w:r>
      <w:r>
        <w:t xml:space="preserve">“</w:t>
      </w:r>
      <w:r>
        <w:t xml:space="preserve">FASALSoft</w:t>
      </w:r>
      <w:r>
        <w:t xml:space="preserve">”</w:t>
      </w:r>
      <w:r>
        <w:t xml:space="preserve">) built by ISRO/SAC to operationalise the FASAL methodology — i.e., to standardise and automate ingestion of multi-satellite data, image classification, area/yield model execution, and report generation across the many crop–state combinations FASAL covers.</w:t>
      </w:r>
    </w:p>
    <w:p>
      <w:pPr>
        <w:pStyle w:val="BodyText"/>
      </w:pPr>
      <w:r>
        <w:rPr>
          <w:bCs/>
          <w:b/>
        </w:rPr>
        <w:t xml:space="preserve">Methodology:</w:t>
      </w:r>
      <w:r>
        <w:t xml:space="preserve"> </w:t>
      </w:r>
      <w:r>
        <w:t xml:space="preserve">The framework integrates modules for satellite data pre-processing, crop discrimination/classification, area estimation, and yield-model computation (agro-meteorological and remote-sensing-based) within a unified toolset, enabling standardised, repeatable, semi-automated generation of in-season forecast bulletins across the country’s major crops.</w:t>
      </w:r>
    </w:p>
    <w:p>
      <w:pPr>
        <w:pStyle w:val="BodyText"/>
      </w:pPr>
      <w:r>
        <w:rPr>
          <w:bCs/>
          <w:b/>
        </w:rPr>
        <w:t xml:space="preserve">Key Result:</w:t>
      </w:r>
      <w:r>
        <w:t xml:space="preserve"> </w:t>
      </w:r>
      <w:r>
        <w:t xml:space="preserve">The paper documents the software’s operational tools and components (data handling, classification, and yield-model modules) that enable FASAL’s routine, multi-crop, multi-state production forecasting cycle, illustrating the systems-engineering dimension underlying India’s operational agricultural remote sensing programme.</w:t>
      </w:r>
    </w:p>
    <w:p>
      <w:pPr>
        <w:pStyle w:val="Heading3"/>
      </w:pPr>
      <w:r>
        <w:t xml:space="preserve">48.5.3 Kumar, S., Saxena, S., Dubey, S.K., Chaudhary, K., Sehgal, S., Neetu, &amp; Ray, S.S. (2019).</w:t>
      </w:r>
      <w:r>
        <w:t xml:space="preserve"> </w:t>
      </w:r>
      <w:r>
        <w:t xml:space="preserve">“</w:t>
      </w:r>
      <w:r>
        <w:t xml:space="preserve">Analysis of wheat crop forecasts, in India, generated using remote sensing data, under FASAL project.</w:t>
      </w:r>
      <w:r>
        <w:t xml:space="preserve">”</w:t>
      </w:r>
      <w:r>
        <w:t xml:space="preserve"> </w:t>
      </w:r>
      <w:r>
        <w:rPr>
          <w:iCs/>
          <w:i/>
        </w:rPr>
        <w:t xml:space="preserve">International Archives of the Photogrammetry, Remote Sensing and Spatial Information Sciences</w:t>
      </w:r>
      <w:r>
        <w:t xml:space="preserve">, XLII-3/W6, 223–228.</w:t>
      </w:r>
    </w:p>
    <w:p>
      <w:pPr>
        <w:pStyle w:val="FirstParagraph"/>
      </w:pPr>
      <w:r>
        <w:rPr>
          <w:bCs/>
          <w:b/>
        </w:rPr>
        <w:t xml:space="preserve">Concept/Objective:</w:t>
      </w:r>
      <w:r>
        <w:t xml:space="preserve"> </w:t>
      </w:r>
      <w:r>
        <w:t xml:space="preserve">Provides a multi-year retrospective evaluation of FASAL wheat forecasts (2013–2017) against official Department of Economics and Statistics figures, quantifying how improving satellite resolution and ground-truth protocols have affected forecast quality over time.</w:t>
      </w:r>
    </w:p>
    <w:p>
      <w:pPr>
        <w:pStyle w:val="BodyText"/>
      </w:pPr>
      <w:r>
        <w:rPr>
          <w:bCs/>
          <w:b/>
        </w:rPr>
        <w:t xml:space="preserve">Methodology:</w:t>
      </w:r>
      <w:r>
        <w:t xml:space="preserve"> </w:t>
      </w:r>
      <w:r>
        <w:t xml:space="preserve">Wheat area and production forecasts generated using ResourceSat-2 LISS-III (23.5 m), Landsat-8, and Sentinel-2 MSI (10 m) imagery — via NDVI, Vegetation Condition Index, and weather-based crop discrimination/yield models — were compared against DES estimates at national, state, and district levels across five crop years.</w:t>
      </w:r>
    </w:p>
    <w:p>
      <w:pPr>
        <w:pStyle w:val="BodyText"/>
      </w:pPr>
      <w:r>
        <w:rPr>
          <w:bCs/>
          <w:b/>
        </w:rPr>
        <w:t xml:space="preserve">Key Result:</w:t>
      </w:r>
      <w:r>
        <w:t xml:space="preserve"> </w:t>
      </w:r>
      <w:r>
        <w:t xml:space="preserve">The analysis found that</w:t>
      </w:r>
      <w:r>
        <w:t xml:space="preserve"> </w:t>
      </w:r>
      <w:r>
        <w:t xml:space="preserve">“</w:t>
      </w:r>
      <w:r>
        <w:t xml:space="preserve">both accuracy as well as precision of the estimates has improved over the years from 2013 to 2017,</w:t>
      </w:r>
      <w:r>
        <w:t xml:space="preserve">”</w:t>
      </w:r>
      <w:r>
        <w:t xml:space="preserve"> </w:t>
      </w:r>
      <w:r>
        <w:t xml:space="preserve">attributable in large part to the transition to finer spatial/spectral resolution sensors (particularly Sentinel-2), as reflected in reduced relative deviation and RMSE and improved correlation coefficients across administrative levels — providing direct evidence of the value of sensor evolution to India’s operational forecasting accuracy.</w:t>
      </w:r>
    </w:p>
    <w:p>
      <w:pPr>
        <w:pStyle w:val="PartTitle"/>
      </w:pPr>
      <w:r>
        <w:t xml:space="preserve">Part VI</w:t>
      </w:r>
      <w:r>
        <w:br/>
      </w:r>
      <w:r>
        <w:t xml:space="preserve">Agriculture Analytics and ICT</w:t>
      </w:r>
    </w:p>
    <w:p>
      <w:pPr>
        <w:pStyle w:val="PartSub"/>
      </w:pPr>
      <w:r>
        <w:t xml:space="preserve">Mathematics, statistics, experimental design, machine learning, IoT and farmer communication</w:t>
      </w:r>
    </w:p>
    <w:p>
      <w:pPr>
        <w:pStyle w:val="Heading1"/>
      </w:pPr>
      <w:r>
        <w:t xml:space="preserve">Chapter 49. Mathematics for Agricultural Analytics: Vectors, Calculus, Matrices and Determinants</w:t>
      </w:r>
    </w:p>
    <w:p>
      <w:pPr>
        <w:pStyle w:val="Heading2"/>
      </w:pPr>
      <w:r>
        <w:t xml:space="preserve">49.1 Why Mathematics Matters in Agricultural Analytics</w:t>
      </w:r>
    </w:p>
    <w:p>
      <w:pPr>
        <w:pStyle w:val="FirstParagraph"/>
      </w:pPr>
      <w:r>
        <w:t xml:space="preserve">Every remote-sensing and agromet computation is mathematics in disguise: a band ratio is vector algebra, a radiometric correction is a linear transform, image classification is distance in feature space, crop growth is a differential equation, and PCA is an eigenvalue problem. Interviewers often ask you to</w:t>
      </w:r>
      <w:r>
        <w:t xml:space="preserve"> </w:t>
      </w:r>
      <w:r>
        <w:rPr>
          <w:iCs/>
          <w:i/>
        </w:rPr>
        <w:t xml:space="preserve">connect</w:t>
      </w:r>
      <w:r>
        <w:t xml:space="preserve"> </w:t>
      </w:r>
      <w:r>
        <w:t xml:space="preserve">a mathematical idea to an application — keep that link in mind throughout.</w:t>
      </w:r>
    </w:p>
    <w:p>
      <w:pPr>
        <w:pStyle w:val="Heading2"/>
      </w:pPr>
      <w:r>
        <w:t xml:space="preserve">49.2 Vectors</w:t>
      </w:r>
    </w:p>
    <w:p>
      <w:pPr>
        <w:pStyle w:val="Heading3"/>
      </w:pPr>
      <w:r>
        <w:t xml:space="preserve">49.2.1 Basics</w:t>
      </w:r>
    </w:p>
    <w:p>
      <w:pPr>
        <w:pStyle w:val="Compact"/>
        <w:numPr>
          <w:ilvl w:val="0"/>
          <w:numId w:val="1376"/>
        </w:numPr>
      </w:pPr>
      <w:r>
        <w:t xml:space="preserve">A</w:t>
      </w:r>
      <w:r>
        <w:t xml:space="preserve"> </w:t>
      </w:r>
      <w:r>
        <w:rPr>
          <w:bCs/>
          <w:b/>
        </w:rPr>
        <w:t xml:space="preserve">scalar</w:t>
      </w:r>
      <w:r>
        <w:t xml:space="preserve"> </w:t>
      </w:r>
      <w:r>
        <w:t xml:space="preserve">has magnitude only (temperature, rainfall); a</w:t>
      </w:r>
      <w:r>
        <w:t xml:space="preserve"> </w:t>
      </w:r>
      <w:r>
        <w:rPr>
          <w:bCs/>
          <w:b/>
        </w:rPr>
        <w:t xml:space="preserve">vector</w:t>
      </w:r>
      <w:r>
        <w:t xml:space="preserve"> </w:t>
      </w:r>
      <w:r>
        <w:t xml:space="preserve">has magnitude and direction (wind, heat flux, radiation flux, gradient of a field).</w:t>
      </w:r>
    </w:p>
    <w:p>
      <w:pPr>
        <w:pStyle w:val="Compact"/>
        <w:numPr>
          <w:ilvl w:val="0"/>
          <w:numId w:val="1376"/>
        </w:numPr>
      </w:pPr>
      <w:r>
        <w:t xml:space="preserve">In component form</w:t>
      </w:r>
      <w:r>
        <w:t xml:space="preserve"> </w:t>
      </w:r>
      <m:oMath>
        <m:acc>
          <m:accPr>
            <m:chr m:val="⃗"/>
          </m:accPr>
          <m:e>
            <m:r>
              <m:t>A</m:t>
            </m:r>
          </m:e>
        </m:acc>
        <m:r>
          <m:rPr>
            <m:sty m:val="p"/>
          </m:rPr>
          <m:t>=</m:t>
        </m:r>
        <m:sSub>
          <m:e>
            <m:r>
              <m:t>A</m:t>
            </m:r>
          </m:e>
          <m:sub>
            <m:r>
              <m:t>x</m:t>
            </m:r>
          </m:sub>
        </m:sSub>
        <m:acc>
          <m:accPr>
            <m:chr m:val="̂"/>
          </m:accPr>
          <m:e>
            <m:r>
              <m:t>i</m:t>
            </m:r>
          </m:e>
        </m:acc>
        <m:r>
          <m:rPr>
            <m:sty m:val="p"/>
          </m:rPr>
          <m:t>+</m:t>
        </m:r>
        <m:sSub>
          <m:e>
            <m:r>
              <m:t>A</m:t>
            </m:r>
          </m:e>
          <m:sub>
            <m:r>
              <m:t>y</m:t>
            </m:r>
          </m:sub>
        </m:sSub>
        <m:acc>
          <m:accPr>
            <m:chr m:val="̂"/>
          </m:accPr>
          <m:e>
            <m:r>
              <m:t>j</m:t>
            </m:r>
          </m:e>
        </m:acc>
        <m:r>
          <m:rPr>
            <m:sty m:val="p"/>
          </m:rPr>
          <m:t>+</m:t>
        </m:r>
        <m:sSub>
          <m:e>
            <m:r>
              <m:t>A</m:t>
            </m:r>
          </m:e>
          <m:sub>
            <m:r>
              <m:t>z</m:t>
            </m:r>
          </m:sub>
        </m:sSub>
        <m:acc>
          <m:accPr>
            <m:chr m:val="̂"/>
          </m:accPr>
          <m:e>
            <m:r>
              <m:t>k</m:t>
            </m:r>
          </m:e>
        </m:acc>
      </m:oMath>
      <w:r>
        <w:t xml:space="preserve">, magnitude</w:t>
      </w:r>
      <w:r>
        <w:t xml:space="preserve"> </w:t>
      </w:r>
      <m:oMath>
        <m:d>
          <m:dPr>
            <m:begChr m:val="|"/>
            <m:endChr m:val="|"/>
            <m:sepChr m:val=""/>
            <m:grow/>
          </m:dPr>
          <m:e>
            <m:acc>
              <m:accPr>
                <m:chr m:val="⃗"/>
              </m:accPr>
              <m:e>
                <m:r>
                  <m:t>A</m:t>
                </m:r>
              </m:e>
            </m:acc>
          </m:e>
        </m:d>
        <m:r>
          <m:rPr>
            <m:sty m:val="p"/>
          </m:rPr>
          <m:t>=</m:t>
        </m:r>
        <m:rad>
          <m:radPr>
            <m:degHide m:val="on"/>
          </m:radPr>
          <m:deg/>
          <m:e>
            <m:sSubSup>
              <m:e>
                <m:r>
                  <m:t>A</m:t>
                </m:r>
              </m:e>
              <m:sub>
                <m:r>
                  <m:t>x</m:t>
                </m:r>
              </m:sub>
              <m:sup>
                <m:r>
                  <m:t>2</m:t>
                </m:r>
              </m:sup>
            </m:sSubSup>
            <m:r>
              <m:rPr>
                <m:sty m:val="p"/>
              </m:rPr>
              <m:t>+</m:t>
            </m:r>
            <m:sSubSup>
              <m:e>
                <m:r>
                  <m:t>A</m:t>
                </m:r>
              </m:e>
              <m:sub>
                <m:r>
                  <m:t>y</m:t>
                </m:r>
              </m:sub>
              <m:sup>
                <m:r>
                  <m:t>2</m:t>
                </m:r>
              </m:sup>
            </m:sSubSup>
            <m:r>
              <m:rPr>
                <m:sty m:val="p"/>
              </m:rPr>
              <m:t>+</m:t>
            </m:r>
            <m:sSubSup>
              <m:e>
                <m:r>
                  <m:t>A</m:t>
                </m:r>
              </m:e>
              <m:sub>
                <m:r>
                  <m:t>z</m:t>
                </m:r>
              </m:sub>
              <m:sup>
                <m:r>
                  <m:t>2</m:t>
                </m:r>
              </m:sup>
            </m:sSubSup>
          </m:e>
        </m:rad>
      </m:oMath>
      <w:r>
        <w:t xml:space="preserve">, unit vector</w:t>
      </w:r>
      <w:r>
        <w:t xml:space="preserve"> </w:t>
      </w:r>
      <m:oMath>
        <m:acc>
          <m:accPr>
            <m:chr m:val="̂"/>
          </m:accPr>
          <m:e>
            <m:r>
              <m:t>A</m:t>
            </m:r>
          </m:e>
        </m:acc>
        <m:r>
          <m:rPr>
            <m:sty m:val="p"/>
          </m:rPr>
          <m:t>=</m:t>
        </m:r>
        <m:acc>
          <m:accPr>
            <m:chr m:val="⃗"/>
          </m:accPr>
          <m:e>
            <m:r>
              <m:t>A</m:t>
            </m:r>
          </m:e>
        </m:acc>
        <m:r>
          <m:rPr>
            <m:sty m:val="p"/>
          </m:rPr>
          <m:t>/</m:t>
        </m:r>
        <m:d>
          <m:dPr>
            <m:begChr m:val="|"/>
            <m:endChr m:val="|"/>
            <m:sepChr m:val=""/>
            <m:grow/>
          </m:dPr>
          <m:e>
            <m:acc>
              <m:accPr>
                <m:chr m:val="⃗"/>
              </m:accPr>
              <m:e>
                <m:r>
                  <m:t>A</m:t>
                </m:r>
              </m:e>
            </m:acc>
          </m:e>
        </m:d>
      </m:oMath>
      <w:r>
        <w:t xml:space="preserve">.</w:t>
      </w:r>
    </w:p>
    <w:p>
      <w:pPr>
        <w:pStyle w:val="Compact"/>
        <w:numPr>
          <w:ilvl w:val="0"/>
          <w:numId w:val="1376"/>
        </w:numPr>
      </w:pPr>
      <w:r>
        <w:rPr>
          <w:bCs/>
          <w:b/>
        </w:rPr>
        <w:t xml:space="preserve">Addition</w:t>
      </w:r>
      <w:r>
        <w:t xml:space="preserve"> </w:t>
      </w:r>
      <w:r>
        <w:t xml:space="preserve">is component-wise (parallelogram law); resultant wind from u and v components: speed</w:t>
      </w:r>
      <w:r>
        <w:t xml:space="preserve"> </w:t>
      </w:r>
      <m:oMath>
        <m:r>
          <m:rPr>
            <m:sty m:val="p"/>
          </m:rPr>
          <m:t>=</m:t>
        </m:r>
        <m:rad>
          <m:radPr>
            <m:degHide m:val="on"/>
          </m:radPr>
          <m:deg/>
          <m:e>
            <m:sSup>
              <m:e>
                <m:r>
                  <m:t>u</m:t>
                </m:r>
              </m:e>
              <m:sup>
                <m:r>
                  <m:t>2</m:t>
                </m:r>
              </m:sup>
            </m:sSup>
            <m:r>
              <m:rPr>
                <m:sty m:val="p"/>
              </m:rPr>
              <m:t>+</m:t>
            </m:r>
            <m:sSup>
              <m:e>
                <m:r>
                  <m:t>v</m:t>
                </m:r>
              </m:e>
              <m:sup>
                <m:r>
                  <m:t>2</m:t>
                </m:r>
              </m:sup>
            </m:sSup>
          </m:e>
        </m:rad>
      </m:oMath>
      <w:r>
        <w:t xml:space="preserve">, direction (meteorological,</w:t>
      </w:r>
      <w:r>
        <w:t xml:space="preserve"> </w:t>
      </w:r>
      <w:r>
        <w:rPr>
          <w:iCs/>
          <w:i/>
        </w:rPr>
        <w:t xml:space="preserve">from</w:t>
      </w:r>
      <w:r>
        <w:t xml:space="preserve"> </w:t>
      </w:r>
      <w:r>
        <w:t xml:space="preserve">which it blows)</w:t>
      </w:r>
      <w:r>
        <w:t xml:space="preserve"> </w:t>
      </w:r>
      <m:oMath>
        <m:r>
          <m:rPr>
            <m:sty m:val="p"/>
          </m:rPr>
          <m:t>=</m:t>
        </m:r>
        <m:r>
          <m:rPr>
            <m:sty m:val="p"/>
          </m:rPr>
          <m:t>atan2</m:t>
        </m:r>
        <m:d>
          <m:dPr>
            <m:begChr m:val="("/>
            <m:endChr m:val=")"/>
            <m:sepChr m:val=""/>
            <m:grow/>
          </m:dPr>
          <m:e>
            <m:r>
              <m:rPr>
                <m:sty m:val="p"/>
              </m:rPr>
              <m:t>−</m:t>
            </m:r>
            <m:r>
              <m:t>u</m:t>
            </m:r>
            <m:r>
              <m:rPr>
                <m:sty m:val="p"/>
              </m:rPr>
              <m:t>,</m:t>
            </m:r>
            <m:r>
              <m:rPr>
                <m:sty m:val="p"/>
              </m:rPr>
              <m:t>−</m:t>
            </m:r>
            <m:r>
              <m:t>v</m:t>
            </m:r>
          </m:e>
        </m:d>
      </m:oMath>
      <w:r>
        <w:t xml:space="preserve">.</w:t>
      </w:r>
    </w:p>
    <w:p>
      <w:pPr>
        <w:pStyle w:val="Heading3"/>
      </w:pPr>
      <w:r>
        <w:t xml:space="preserve">49.2.2 Dot (scalar) product</w:t>
      </w:r>
    </w:p>
    <w:p>
      <w:pPr>
        <w:pStyle w:val="FirstParagraph"/>
      </w:pPr>
      <m:oMathPara>
        <m:oMathParaPr>
          <m:jc m:val="center"/>
        </m:oMathParaPr>
        <m:oMath>
          <m:acc>
            <m:accPr>
              <m:chr m:val="⃗"/>
            </m:accPr>
            <m:e>
              <m:r>
                <m:t>A</m:t>
              </m:r>
            </m:e>
          </m:acc>
          <m:r>
            <m:rPr>
              <m:sty m:val="p"/>
            </m:rPr>
            <m:t>⋅</m:t>
          </m:r>
          <m:acc>
            <m:accPr>
              <m:chr m:val="⃗"/>
            </m:accPr>
            <m:e>
              <m:r>
                <m:t>B</m:t>
              </m:r>
            </m:e>
          </m:acc>
          <m:r>
            <m:rPr>
              <m:sty m:val="p"/>
            </m:rPr>
            <m:t>=</m:t>
          </m:r>
          <m:d>
            <m:dPr>
              <m:begChr m:val="|"/>
              <m:endChr m:val="|"/>
              <m:sepChr m:val=""/>
              <m:grow/>
            </m:dPr>
            <m:e>
              <m:acc>
                <m:accPr>
                  <m:chr m:val="⃗"/>
                </m:accPr>
                <m:e>
                  <m:r>
                    <m:t>A</m:t>
                  </m:r>
                </m:e>
              </m:acc>
            </m:e>
          </m:d>
          <m:d>
            <m:dPr>
              <m:begChr m:val="|"/>
              <m:endChr m:val="|"/>
              <m:sepChr m:val=""/>
              <m:grow/>
            </m:dPr>
            <m:e>
              <m:acc>
                <m:accPr>
                  <m:chr m:val="⃗"/>
                </m:accPr>
                <m:e>
                  <m:r>
                    <m:t>B</m:t>
                  </m:r>
                </m:e>
              </m:acc>
            </m:e>
          </m:d>
          <m:r>
            <m:rPr>
              <m:sty m:val="p"/>
            </m:rPr>
            <m:t>cos</m:t>
          </m:r>
          <m:r>
            <m:t>θ</m:t>
          </m:r>
          <m:r>
            <m:rPr>
              <m:sty m:val="p"/>
            </m:rPr>
            <m:t>=</m:t>
          </m:r>
          <m:sSub>
            <m:e>
              <m:r>
                <m:t>A</m:t>
              </m:r>
            </m:e>
            <m:sub>
              <m:r>
                <m:t>x</m:t>
              </m:r>
            </m:sub>
          </m:sSub>
          <m:sSub>
            <m:e>
              <m:r>
                <m:t>B</m:t>
              </m:r>
            </m:e>
            <m:sub>
              <m:r>
                <m:t>x</m:t>
              </m:r>
            </m:sub>
          </m:sSub>
          <m:r>
            <m:rPr>
              <m:sty m:val="p"/>
            </m:rPr>
            <m:t>+</m:t>
          </m:r>
          <m:sSub>
            <m:e>
              <m:r>
                <m:t>A</m:t>
              </m:r>
            </m:e>
            <m:sub>
              <m:r>
                <m:t>y</m:t>
              </m:r>
            </m:sub>
          </m:sSub>
          <m:sSub>
            <m:e>
              <m:r>
                <m:t>B</m:t>
              </m:r>
            </m:e>
            <m:sub>
              <m:r>
                <m:t>y</m:t>
              </m:r>
            </m:sub>
          </m:sSub>
          <m:r>
            <m:rPr>
              <m:sty m:val="p"/>
            </m:rPr>
            <m:t>+</m:t>
          </m:r>
          <m:sSub>
            <m:e>
              <m:r>
                <m:t>A</m:t>
              </m:r>
            </m:e>
            <m:sub>
              <m:r>
                <m:t>z</m:t>
              </m:r>
            </m:sub>
          </m:sSub>
          <m:sSub>
            <m:e>
              <m:r>
                <m:t>B</m:t>
              </m:r>
            </m:e>
            <m:sub>
              <m:r>
                <m:t>z</m:t>
              </m:r>
            </m:sub>
          </m:sSub>
        </m:oMath>
      </m:oMathPara>
    </w:p>
    <w:p>
      <w:pPr>
        <w:pStyle w:val="Compact"/>
        <w:numPr>
          <w:ilvl w:val="0"/>
          <w:numId w:val="1377"/>
        </w:numPr>
      </w:pPr>
      <w:r>
        <w:t xml:space="preserve">Projection of one vector on another;</w:t>
      </w:r>
      <w:r>
        <w:t xml:space="preserve"> </w:t>
      </w:r>
      <w:r>
        <w:rPr>
          <w:bCs/>
          <w:b/>
        </w:rPr>
        <w:t xml:space="preserve">work</w:t>
      </w:r>
      <w:r>
        <w:t xml:space="preserve"> </w:t>
      </w:r>
      <w:r>
        <w:t xml:space="preserve">= F·d; radiation received on a slope:</w:t>
      </w:r>
      <w:r>
        <w:t xml:space="preserve"> </w:t>
      </w:r>
      <m:oMath>
        <m:r>
          <m:t>S</m:t>
        </m:r>
        <m:r>
          <m:rPr>
            <m:sty m:val="p"/>
          </m:rPr>
          <m:t>=</m:t>
        </m:r>
        <m:sSub>
          <m:e>
            <m:r>
              <m:t>S</m:t>
            </m:r>
          </m:e>
          <m:sub>
            <m:r>
              <m:t>0</m:t>
            </m:r>
          </m:sub>
        </m:sSub>
        <m:r>
          <m:rPr>
            <m:sty m:val="p"/>
          </m:rPr>
          <m:t>cos</m:t>
        </m:r>
        <m:r>
          <m:t>i</m:t>
        </m:r>
      </m:oMath>
      <w:r>
        <w:t xml:space="preserve">, where</w:t>
      </w:r>
      <w:r>
        <w:t xml:space="preserve"> </w:t>
      </w:r>
      <m:oMath>
        <m:r>
          <m:rPr>
            <m:sty m:val="p"/>
          </m:rPr>
          <m:t>cos</m:t>
        </m:r>
        <m:r>
          <m:t>i</m:t>
        </m:r>
        <m:r>
          <m:rPr>
            <m:sty m:val="p"/>
          </m:rPr>
          <m:t>=</m:t>
        </m:r>
        <m:acc>
          <m:accPr>
            <m:chr m:val="̂"/>
          </m:accPr>
          <m:e>
            <m:r>
              <m:t>n</m:t>
            </m:r>
          </m:e>
        </m:acc>
        <m:r>
          <m:rPr>
            <m:sty m:val="p"/>
          </m:rPr>
          <m:t>⋅</m:t>
        </m:r>
        <m:acc>
          <m:accPr>
            <m:chr m:val="̂"/>
          </m:accPr>
          <m:e>
            <m:r>
              <m:t>s</m:t>
            </m:r>
          </m:e>
        </m:acc>
      </m:oMath>
      <w:r>
        <w:t xml:space="preserve"> </w:t>
      </w:r>
      <w:r>
        <w:t xml:space="preserve">(surface normal · solar direction) — the basis of</w:t>
      </w:r>
      <w:r>
        <w:t xml:space="preserve"> </w:t>
      </w:r>
      <w:r>
        <w:rPr>
          <w:bCs/>
          <w:b/>
        </w:rPr>
        <w:t xml:space="preserve">topographic (cosine) illumination correction</w:t>
      </w:r>
      <w:r>
        <w:t xml:space="preserve">.</w:t>
      </w:r>
    </w:p>
    <w:p>
      <w:pPr>
        <w:pStyle w:val="Compact"/>
        <w:numPr>
          <w:ilvl w:val="0"/>
          <w:numId w:val="1377"/>
        </w:numPr>
      </w:pPr>
      <w:r>
        <w:t xml:space="preserve">Zero dot product ⇒ perpendicular (orthogonal) vectors.</w:t>
      </w:r>
    </w:p>
    <w:p>
      <w:pPr>
        <w:pStyle w:val="Heading3"/>
      </w:pPr>
      <w:r>
        <w:t xml:space="preserve">49.2.3 Cross (vector) product</w:t>
      </w:r>
    </w:p>
    <w:p>
      <w:pPr>
        <w:pStyle w:val="FirstParagraph"/>
      </w:pPr>
      <m:oMathPara>
        <m:oMathParaPr>
          <m:jc m:val="center"/>
        </m:oMathParaPr>
        <m:oMath>
          <m:acc>
            <m:accPr>
              <m:chr m:val="⃗"/>
            </m:accPr>
            <m:e>
              <m:r>
                <m:t>A</m:t>
              </m:r>
            </m:e>
          </m:acc>
          <m:r>
            <m:rPr>
              <m:sty m:val="p"/>
            </m:rPr>
            <m:t>×</m:t>
          </m:r>
          <m:acc>
            <m:accPr>
              <m:chr m:val="⃗"/>
            </m:accPr>
            <m:e>
              <m:r>
                <m:t>B</m:t>
              </m:r>
            </m:e>
          </m:acc>
          <m:r>
            <m:rPr>
              <m:sty m:val="p"/>
            </m:rPr>
            <m:t>=</m:t>
          </m:r>
          <m:d>
            <m:dPr>
              <m:begChr m:val="|"/>
              <m:endChr m:val="|"/>
              <m:sepChr m:val=""/>
              <m:grow/>
            </m:dPr>
            <m:e>
              <m:acc>
                <m:accPr>
                  <m:chr m:val="⃗"/>
                </m:accPr>
                <m:e>
                  <m:r>
                    <m:t>A</m:t>
                  </m:r>
                </m:e>
              </m:acc>
            </m:e>
          </m:d>
          <m:d>
            <m:dPr>
              <m:begChr m:val="|"/>
              <m:endChr m:val="|"/>
              <m:sepChr m:val=""/>
              <m:grow/>
            </m:dPr>
            <m:e>
              <m:acc>
                <m:accPr>
                  <m:chr m:val="⃗"/>
                </m:accPr>
                <m:e>
                  <m:r>
                    <m:t>B</m:t>
                  </m:r>
                </m:e>
              </m:acc>
            </m:e>
          </m:d>
          <m:r>
            <m:rPr>
              <m:sty m:val="p"/>
            </m:rPr>
            <m:t>sin</m:t>
          </m:r>
          <m:r>
            <m:t>θ</m:t>
          </m:r>
          <m:r>
            <m:t> </m:t>
          </m:r>
          <m:acc>
            <m:accPr>
              <m:chr m:val="̂"/>
            </m:accPr>
            <m:e>
              <m:r>
                <m:t>n</m:t>
              </m:r>
            </m:e>
          </m:acc>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acc>
                      <m:accPr>
                        <m:chr m:val="̂"/>
                      </m:accPr>
                      <m:e>
                        <m:r>
                          <m:t>i</m:t>
                        </m:r>
                      </m:e>
                    </m:acc>
                  </m:e>
                  <m:e>
                    <m:acc>
                      <m:accPr>
                        <m:chr m:val="̂"/>
                      </m:accPr>
                      <m:e>
                        <m:r>
                          <m:t>j</m:t>
                        </m:r>
                      </m:e>
                    </m:acc>
                  </m:e>
                  <m:e>
                    <m:acc>
                      <m:accPr>
                        <m:chr m:val="̂"/>
                      </m:accPr>
                      <m:e>
                        <m:r>
                          <m:t>k</m:t>
                        </m:r>
                      </m:e>
                    </m:acc>
                  </m:e>
                </m:mr>
                <m:mr>
                  <m:e>
                    <m:sSub>
                      <m:e>
                        <m:r>
                          <m:t>A</m:t>
                        </m:r>
                      </m:e>
                      <m:sub>
                        <m:r>
                          <m:t>x</m:t>
                        </m:r>
                      </m:sub>
                    </m:sSub>
                  </m:e>
                  <m:e>
                    <m:sSub>
                      <m:e>
                        <m:r>
                          <m:t>A</m:t>
                        </m:r>
                      </m:e>
                      <m:sub>
                        <m:r>
                          <m:t>y</m:t>
                        </m:r>
                      </m:sub>
                    </m:sSub>
                  </m:e>
                  <m:e>
                    <m:sSub>
                      <m:e>
                        <m:r>
                          <m:t>A</m:t>
                        </m:r>
                      </m:e>
                      <m:sub>
                        <m:r>
                          <m:t>z</m:t>
                        </m:r>
                      </m:sub>
                    </m:sSub>
                  </m:e>
                </m:mr>
                <m:mr>
                  <m:e>
                    <m:sSub>
                      <m:e>
                        <m:r>
                          <m:t>B</m:t>
                        </m:r>
                      </m:e>
                      <m:sub>
                        <m:r>
                          <m:t>x</m:t>
                        </m:r>
                      </m:sub>
                    </m:sSub>
                  </m:e>
                  <m:e>
                    <m:sSub>
                      <m:e>
                        <m:r>
                          <m:t>B</m:t>
                        </m:r>
                      </m:e>
                      <m:sub>
                        <m:r>
                          <m:t>y</m:t>
                        </m:r>
                      </m:sub>
                    </m:sSub>
                  </m:e>
                  <m:e>
                    <m:sSub>
                      <m:e>
                        <m:r>
                          <m:t>B</m:t>
                        </m:r>
                      </m:e>
                      <m:sub>
                        <m:r>
                          <m:t>z</m:t>
                        </m:r>
                      </m:sub>
                    </m:sSub>
                  </m:e>
                </m:mr>
              </m:m>
            </m:e>
          </m:d>
        </m:oMath>
      </m:oMathPara>
    </w:p>
    <w:p>
      <w:pPr>
        <w:pStyle w:val="Compact"/>
        <w:numPr>
          <w:ilvl w:val="0"/>
          <w:numId w:val="1378"/>
        </w:numPr>
      </w:pPr>
      <w:r>
        <w:t xml:space="preserve">Result is perpendicular to both; magnitude = area of the parallelogram. Applications:</w:t>
      </w:r>
      <w:r>
        <w:t xml:space="preserve"> </w:t>
      </w:r>
      <w:r>
        <w:rPr>
          <w:bCs/>
          <w:b/>
        </w:rPr>
        <w:t xml:space="preserve">Coriolis force</w:t>
      </w:r>
      <w:r>
        <w:t xml:space="preserve"> </w:t>
      </w:r>
      <m:oMath>
        <m:r>
          <m:rPr>
            <m:sty m:val="p"/>
          </m:rPr>
          <m:t>−</m:t>
        </m:r>
        <m:r>
          <m:t>2</m:t>
        </m:r>
        <m:acc>
          <m:accPr>
            <m:chr m:val="⃗"/>
          </m:accPr>
          <m:e>
            <m:r>
              <m:t>Ω</m:t>
            </m:r>
          </m:e>
        </m:acc>
        <m:r>
          <m:rPr>
            <m:sty m:val="p"/>
          </m:rPr>
          <m:t>×</m:t>
        </m:r>
        <m:acc>
          <m:accPr>
            <m:chr m:val="⃗"/>
          </m:accPr>
          <m:e>
            <m:r>
              <m:t>V</m:t>
            </m:r>
          </m:e>
        </m:acc>
      </m:oMath>
      <w:r>
        <w:t xml:space="preserve">, torque, surface normal of a DEM triangle (cross product of two edge vectors → slope and aspect).</w:t>
      </w:r>
    </w:p>
    <w:p>
      <w:pPr>
        <w:pStyle w:val="Heading3"/>
      </w:pPr>
      <w:r>
        <w:t xml:space="preserve">49.2.4 Pixels as vectors in feature space</w:t>
      </w:r>
    </w:p>
    <w:p>
      <w:pPr>
        <w:pStyle w:val="FirstParagraph"/>
      </w:pPr>
      <w:r>
        <w:t xml:space="preserve">A pixel with n bands is a point/vector</w:t>
      </w:r>
      <w:r>
        <w:t xml:space="preserve"> </w:t>
      </w:r>
      <m:oMath>
        <m:r>
          <m:rPr>
            <m:sty m:val="b"/>
          </m:rPr>
          <m:t>x</m:t>
        </m:r>
        <m:r>
          <m:rPr>
            <m:sty m:val="p"/>
          </m:rPr>
          <m:t>=</m:t>
        </m:r>
        <m:sSup>
          <m:e>
            <m:d>
              <m:dPr>
                <m:begChr m:val="("/>
                <m:endChr m:val=")"/>
                <m:sepChr m:val=""/>
                <m:grow/>
              </m:dPr>
              <m:e>
                <m:sSub>
                  <m:e>
                    <m:r>
                      <m:t>x</m:t>
                    </m:r>
                  </m:e>
                  <m:sub>
                    <m:r>
                      <m:t>1</m:t>
                    </m:r>
                  </m:sub>
                </m:sSub>
                <m:r>
                  <m:rPr>
                    <m:sty m:val="p"/>
                  </m:rPr>
                  <m:t>,</m:t>
                </m:r>
                <m:r>
                  <m:rPr>
                    <m:sty m:val="p"/>
                  </m:rPr>
                  <m:t>…</m:t>
                </m:r>
                <m:r>
                  <m:rPr>
                    <m:sty m:val="p"/>
                  </m:rPr>
                  <m:t>,</m:t>
                </m:r>
                <m:sSub>
                  <m:e>
                    <m:r>
                      <m:t>x</m:t>
                    </m:r>
                  </m:e>
                  <m:sub>
                    <m:r>
                      <m:t>n</m:t>
                    </m:r>
                  </m:sub>
                </m:sSub>
              </m:e>
            </m:d>
          </m:e>
          <m:sup>
            <m:r>
              <m:t>T</m:t>
            </m:r>
          </m:sup>
        </m:sSup>
      </m:oMath>
      <w:r>
        <w:t xml:space="preserve"> </w:t>
      </w:r>
      <w:r>
        <w:t xml:space="preserve">in n-dimensional</w:t>
      </w:r>
      <w:r>
        <w:t xml:space="preserve"> </w:t>
      </w:r>
      <w:r>
        <w:rPr>
          <w:bCs/>
          <w:b/>
        </w:rPr>
        <w:t xml:space="preserve">feature space</w:t>
      </w:r>
      <w:r>
        <w:t xml:space="preserve">:</w:t>
      </w:r>
    </w:p>
    <w:p>
      <w:pPr>
        <w:pStyle w:val="Compact"/>
        <w:numPr>
          <w:ilvl w:val="0"/>
          <w:numId w:val="1379"/>
        </w:numPr>
      </w:pPr>
      <w:r>
        <w:rPr>
          <w:bCs/>
          <w:b/>
        </w:rPr>
        <w:t xml:space="preserve">Euclidean distance</w:t>
      </w:r>
      <w:r>
        <w:t xml:space="preserve"> </w:t>
      </w:r>
      <m:oMath>
        <m:r>
          <m:t>d</m:t>
        </m:r>
        <m:r>
          <m:rPr>
            <m:sty m:val="p"/>
          </m:rPr>
          <m:t>=</m:t>
        </m:r>
        <m:rad>
          <m:radPr>
            <m:degHide m:val="on"/>
          </m:radPr>
          <m:deg/>
          <m:e>
            <m:r>
              <m:rPr>
                <m:sty m:val="p"/>
              </m:rPr>
              <m:t>∑</m:t>
            </m:r>
            <m:sSup>
              <m:e>
                <m:d>
                  <m:dPr>
                    <m:begChr m:val="("/>
                    <m:endChr m:val=")"/>
                    <m:sepChr m:val=""/>
                    <m:grow/>
                  </m:dPr>
                  <m:e>
                    <m:sSub>
                      <m:e>
                        <m:r>
                          <m:t>x</m:t>
                        </m:r>
                      </m:e>
                      <m:sub>
                        <m:r>
                          <m:t>i</m:t>
                        </m:r>
                      </m:sub>
                    </m:sSub>
                    <m:r>
                      <m:rPr>
                        <m:sty m:val="p"/>
                      </m:rPr>
                      <m:t>−</m:t>
                    </m:r>
                    <m:sSub>
                      <m:e>
                        <m:r>
                          <m:t>μ</m:t>
                        </m:r>
                      </m:e>
                      <m:sub>
                        <m:r>
                          <m:t>i</m:t>
                        </m:r>
                      </m:sub>
                    </m:sSub>
                  </m:e>
                </m:d>
              </m:e>
              <m:sup>
                <m:r>
                  <m:t>2</m:t>
                </m:r>
              </m:sup>
            </m:sSup>
          </m:e>
        </m:rad>
      </m:oMath>
      <w:r>
        <w:t xml:space="preserve"> </w:t>
      </w:r>
      <w:r>
        <w:t xml:space="preserve">→ minimum-distance classifier, k-means.</w:t>
      </w:r>
    </w:p>
    <w:p>
      <w:pPr>
        <w:pStyle w:val="Compact"/>
        <w:numPr>
          <w:ilvl w:val="0"/>
          <w:numId w:val="1379"/>
        </w:numPr>
      </w:pPr>
      <w:r>
        <w:rPr>
          <w:bCs/>
          <w:b/>
        </w:rPr>
        <w:t xml:space="preserve">Spectral angle</w:t>
      </w:r>
      <w:r>
        <w:t xml:space="preserve"> </w:t>
      </w:r>
      <m:oMath>
        <m:r>
          <m:t>α</m:t>
        </m:r>
        <m:r>
          <m:rPr>
            <m:sty m:val="p"/>
          </m:rPr>
          <m:t>=</m:t>
        </m:r>
        <m:sSup>
          <m:e>
            <m:r>
              <m:rPr>
                <m:sty m:val="p"/>
              </m:rPr>
              <m:t>cos</m:t>
            </m:r>
          </m:e>
          <m:sup>
            <m:r>
              <m:rPr>
                <m:sty m:val="p"/>
              </m:rPr>
              <m:t>−</m:t>
            </m:r>
            <m:r>
              <m:t>1</m:t>
            </m:r>
          </m:sup>
        </m:sSup>
        <m:f>
          <m:fPr>
            <m:type m:val="bar"/>
          </m:fPr>
          <m:num>
            <m:r>
              <m:rPr>
                <m:sty m:val="b"/>
              </m:rPr>
              <m:t>x</m:t>
            </m:r>
            <m:r>
              <m:rPr>
                <m:sty m:val="p"/>
              </m:rPr>
              <m:t>⋅</m:t>
            </m:r>
            <m:r>
              <m:rPr>
                <m:sty m:val="b"/>
              </m:rPr>
              <m:t>r</m:t>
            </m:r>
          </m:num>
          <m:den>
            <m:d>
              <m:dPr>
                <m:begChr m:val="|"/>
                <m:endChr m:val="|"/>
                <m:sepChr m:val=""/>
                <m:grow/>
              </m:dPr>
              <m:e>
                <m:r>
                  <m:rPr>
                    <m:sty m:val="b"/>
                  </m:rPr>
                  <m:t>x</m:t>
                </m:r>
              </m:e>
            </m:d>
            <m:d>
              <m:dPr>
                <m:begChr m:val="|"/>
                <m:endChr m:val="|"/>
                <m:sepChr m:val=""/>
                <m:grow/>
              </m:dPr>
              <m:e>
                <m:r>
                  <m:rPr>
                    <m:sty m:val="b"/>
                  </m:rPr>
                  <m:t>r</m:t>
                </m:r>
              </m:e>
            </m:d>
          </m:den>
        </m:f>
      </m:oMath>
      <w:r>
        <w:t xml:space="preserve"> </w:t>
      </w:r>
      <w:r>
        <w:t xml:space="preserve">→</w:t>
      </w:r>
      <w:r>
        <w:t xml:space="preserve"> </w:t>
      </w:r>
      <w:r>
        <w:rPr>
          <w:bCs/>
          <w:b/>
        </w:rPr>
        <w:t xml:space="preserve">Spectral Angle Mapper (SAM)</w:t>
      </w:r>
      <w:r>
        <w:t xml:space="preserve">, insensitive to illumination (brightness scales vector length, not direction).</w:t>
      </w:r>
    </w:p>
    <w:p>
      <w:pPr>
        <w:pStyle w:val="Compact"/>
        <w:numPr>
          <w:ilvl w:val="0"/>
          <w:numId w:val="1379"/>
        </w:numPr>
      </w:pPr>
      <w:r>
        <w:rPr>
          <w:bCs/>
          <w:b/>
        </w:rPr>
        <w:t xml:space="preserve">Mahalanobis distance</w:t>
      </w:r>
      <w:r>
        <w:t xml:space="preserve"> </w:t>
      </w:r>
      <m:oMath>
        <m:sSup>
          <m:e>
            <m:r>
              <m:t>d</m:t>
            </m:r>
          </m:e>
          <m:sup>
            <m:r>
              <m:t>2</m:t>
            </m:r>
          </m:sup>
        </m:sSup>
        <m:r>
          <m:rPr>
            <m:sty m:val="p"/>
          </m:rPr>
          <m:t>=</m:t>
        </m:r>
        <m:sSup>
          <m:e>
            <m:d>
              <m:dPr>
                <m:begChr m:val="("/>
                <m:endChr m:val=")"/>
                <m:sepChr m:val=""/>
                <m:grow/>
              </m:dPr>
              <m:e>
                <m:r>
                  <m:rPr>
                    <m:sty m:val="b"/>
                  </m:rPr>
                  <m:t>x</m:t>
                </m:r>
                <m:r>
                  <m:rPr>
                    <m:sty m:val="p"/>
                  </m:rPr>
                  <m:t>−</m:t>
                </m:r>
                <m:r>
                  <m:rPr>
                    <m:sty m:val="b"/>
                  </m:rPr>
                  <m:t>μ</m:t>
                </m:r>
              </m:e>
            </m:d>
          </m:e>
          <m:sup>
            <m:r>
              <m:t>T</m:t>
            </m:r>
          </m:sup>
        </m:sSup>
        <m:sSup>
          <m:e>
            <m:r>
              <m:t>Σ</m:t>
            </m:r>
          </m:e>
          <m:sup>
            <m:r>
              <m:rPr>
                <m:sty m:val="p"/>
              </m:rPr>
              <m:t>−</m:t>
            </m:r>
            <m:r>
              <m:t>1</m:t>
            </m:r>
          </m:sup>
        </m:sSup>
        <m:d>
          <m:dPr>
            <m:begChr m:val="("/>
            <m:endChr m:val=")"/>
            <m:sepChr m:val=""/>
            <m:grow/>
          </m:dPr>
          <m:e>
            <m:r>
              <m:rPr>
                <m:sty m:val="b"/>
              </m:rPr>
              <m:t>x</m:t>
            </m:r>
            <m:r>
              <m:rPr>
                <m:sty m:val="p"/>
              </m:rPr>
              <m:t>−</m:t>
            </m:r>
            <m:r>
              <m:rPr>
                <m:sty m:val="b"/>
              </m:rPr>
              <m:t>μ</m:t>
            </m:r>
          </m:e>
        </m:d>
      </m:oMath>
      <w:r>
        <w:t xml:space="preserve"> </w:t>
      </w:r>
      <w:r>
        <w:t xml:space="preserve">→ accounts for band covariance (used in maximum likelihood).</w:t>
      </w:r>
    </w:p>
    <w:p>
      <w:pPr>
        <w:pStyle w:val="Heading3"/>
      </w:pPr>
      <w:r>
        <w:t xml:space="preserve">49.2.5 Vector calculus operators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Operator</w:t>
            </w:r>
          </w:p>
        </w:tc>
        <w:tc>
          <w:tcPr/>
          <w:p>
            <w:pPr>
              <w:pStyle w:val="Compact"/>
              <w:jc w:val="left"/>
            </w:pPr>
            <w:r>
              <w:t xml:space="preserve">Definition</w:t>
            </w:r>
          </w:p>
        </w:tc>
        <w:tc>
          <w:tcPr/>
          <w:p>
            <w:pPr>
              <w:pStyle w:val="Compact"/>
              <w:jc w:val="left"/>
            </w:pPr>
            <w:r>
              <w:t xml:space="preserve">Meaning / application</w:t>
            </w:r>
          </w:p>
        </w:tc>
      </w:tr>
      <w:tr>
        <w:tc>
          <w:tcPr/>
          <w:p>
            <w:pPr>
              <w:pStyle w:val="Compact"/>
              <w:jc w:val="left"/>
            </w:pPr>
            <w:r>
              <w:rPr>
                <w:bCs/>
                <w:b/>
              </w:rPr>
              <w:t xml:space="preserve">Gradient</w:t>
            </w:r>
            <w:r>
              <w:t xml:space="preserve"> </w:t>
            </w:r>
            <m:oMath>
              <m:r>
                <m:rPr>
                  <m:sty m:val="p"/>
                </m:rPr>
                <m:t>∇</m:t>
              </m:r>
              <m:r>
                <m:t>ϕ</m:t>
              </m:r>
            </m:oMath>
          </w:p>
        </w:tc>
        <w:tc>
          <w:tcPr/>
          <w:p>
            <w:pPr>
              <w:pStyle w:val="Compact"/>
              <w:jc w:val="left"/>
            </w:pPr>
            <m:oMath>
              <m:d>
                <m:dPr>
                  <m:begChr m:val="("/>
                  <m:endChr m:val=")"/>
                  <m:sepChr m:val=""/>
                  <m:grow/>
                </m:dPr>
                <m:e>
                  <m:f>
                    <m:fPr>
                      <m:type m:val="bar"/>
                    </m:fPr>
                    <m:num>
                      <m:r>
                        <m:rPr>
                          <m:sty m:val="p"/>
                        </m:rPr>
                        <m:t>∂</m:t>
                      </m:r>
                      <m:r>
                        <m:t>ϕ</m:t>
                      </m:r>
                    </m:num>
                    <m:den>
                      <m:r>
                        <m:rPr>
                          <m:sty m:val="p"/>
                        </m:rPr>
                        <m:t>∂</m:t>
                      </m:r>
                      <m:r>
                        <m:t>x</m:t>
                      </m:r>
                    </m:den>
                  </m:f>
                  <m:r>
                    <m:rPr>
                      <m:sty m:val="p"/>
                    </m:rPr>
                    <m:t>,</m:t>
                  </m:r>
                  <m:f>
                    <m:fPr>
                      <m:type m:val="bar"/>
                    </m:fPr>
                    <m:num>
                      <m:r>
                        <m:rPr>
                          <m:sty m:val="p"/>
                        </m:rPr>
                        <m:t>∂</m:t>
                      </m:r>
                      <m:r>
                        <m:t>ϕ</m:t>
                      </m:r>
                    </m:num>
                    <m:den>
                      <m:r>
                        <m:rPr>
                          <m:sty m:val="p"/>
                        </m:rPr>
                        <m:t>∂</m:t>
                      </m:r>
                      <m:r>
                        <m:t>y</m:t>
                      </m:r>
                    </m:den>
                  </m:f>
                  <m:r>
                    <m:rPr>
                      <m:sty m:val="p"/>
                    </m:rPr>
                    <m:t>,</m:t>
                  </m:r>
                  <m:f>
                    <m:fPr>
                      <m:type m:val="bar"/>
                    </m:fPr>
                    <m:num>
                      <m:r>
                        <m:rPr>
                          <m:sty m:val="p"/>
                        </m:rPr>
                        <m:t>∂</m:t>
                      </m:r>
                      <m:r>
                        <m:t>ϕ</m:t>
                      </m:r>
                    </m:num>
                    <m:den>
                      <m:r>
                        <m:rPr>
                          <m:sty m:val="p"/>
                        </m:rPr>
                        <m:t>∂</m:t>
                      </m:r>
                      <m:r>
                        <m:t>z</m:t>
                      </m:r>
                    </m:den>
                  </m:f>
                </m:e>
              </m:d>
            </m:oMath>
          </w:p>
        </w:tc>
        <w:tc>
          <w:tcPr/>
          <w:p>
            <w:pPr>
              <w:pStyle w:val="Compact"/>
              <w:jc w:val="left"/>
            </w:pPr>
            <w:r>
              <w:t xml:space="preserve">Direction of steepest increase; pressure-gradient force; DEM slope; flux ∝ −gradient (Fick, Fourier, Darcy)</w:t>
            </w:r>
          </w:p>
        </w:tc>
      </w:tr>
      <w:tr>
        <w:tc>
          <w:tcPr/>
          <w:p>
            <w:pPr>
              <w:pStyle w:val="Compact"/>
              <w:jc w:val="left"/>
            </w:pPr>
            <w:r>
              <w:rPr>
                <w:bCs/>
                <w:b/>
              </w:rPr>
              <w:t xml:space="preserve">Divergence</w:t>
            </w:r>
            <w:r>
              <w:t xml:space="preserve"> </w:t>
            </w:r>
            <m:oMath>
              <m:r>
                <m:rPr>
                  <m:sty m:val="p"/>
                </m:rPr>
                <m:t>∇</m:t>
              </m:r>
              <m:r>
                <m:rPr>
                  <m:sty m:val="p"/>
                </m:rPr>
                <m:t>⋅</m:t>
              </m:r>
              <m:acc>
                <m:accPr>
                  <m:chr m:val="⃗"/>
                </m:accPr>
                <m:e>
                  <m:r>
                    <m:t>V</m:t>
                  </m:r>
                </m:e>
              </m:acc>
            </m:oMath>
          </w:p>
        </w:tc>
        <w:tc>
          <w:tcPr/>
          <w:p>
            <w:pPr>
              <w:pStyle w:val="Compact"/>
              <w:jc w:val="left"/>
            </w:pPr>
            <m:oMath>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r>
                <m:rPr>
                  <m:sty m:val="p"/>
                </m:rPr>
                <m:t>+</m:t>
              </m:r>
              <m:f>
                <m:fPr>
                  <m:type m:val="bar"/>
                </m:fPr>
                <m:num>
                  <m:r>
                    <m:rPr>
                      <m:sty m:val="p"/>
                    </m:rPr>
                    <m:t>∂</m:t>
                  </m:r>
                  <m:r>
                    <m:t>w</m:t>
                  </m:r>
                </m:num>
                <m:den>
                  <m:r>
                    <m:rPr>
                      <m:sty m:val="p"/>
                    </m:rPr>
                    <m:t>∂</m:t>
                  </m:r>
                  <m:r>
                    <m:t>z</m:t>
                  </m:r>
                </m:den>
              </m:f>
            </m:oMath>
          </w:p>
        </w:tc>
        <w:tc>
          <w:tcPr/>
          <w:p>
            <w:pPr>
              <w:pStyle w:val="Compact"/>
              <w:jc w:val="left"/>
            </w:pPr>
            <w:r>
              <w:t xml:space="preserve">Net outflow; continuity equation; convergence (−div) → rising air and rain</w:t>
            </w:r>
          </w:p>
        </w:tc>
      </w:tr>
      <w:tr>
        <w:tc>
          <w:tcPr/>
          <w:p>
            <w:pPr>
              <w:pStyle w:val="Compact"/>
              <w:jc w:val="left"/>
            </w:pPr>
            <w:r>
              <w:rPr>
                <w:bCs/>
                <w:b/>
              </w:rPr>
              <w:t xml:space="preserve">Curl</w:t>
            </w:r>
            <w:r>
              <w:t xml:space="preserve"> </w:t>
            </w:r>
            <m:oMath>
              <m:r>
                <m:rPr>
                  <m:sty m:val="p"/>
                </m:rPr>
                <m:t>∇</m:t>
              </m:r>
              <m:r>
                <m:rPr>
                  <m:sty m:val="p"/>
                </m:rPr>
                <m:t>×</m:t>
              </m:r>
              <m:acc>
                <m:accPr>
                  <m:chr m:val="⃗"/>
                </m:accPr>
                <m:e>
                  <m:r>
                    <m:t>V</m:t>
                  </m:r>
                </m:e>
              </m:acc>
            </m:oMath>
          </w:p>
        </w:tc>
        <w:tc>
          <w:tcPr/>
          <w:p>
            <w:pPr>
              <w:pStyle w:val="Compact"/>
              <w:jc w:val="left"/>
            </w:pPr>
            <w:r>
              <w:t xml:space="preserve">vector of rotation</w:t>
            </w:r>
          </w:p>
        </w:tc>
        <w:tc>
          <w:tcPr/>
          <w:p>
            <w:pPr>
              <w:pStyle w:val="Compact"/>
              <w:jc w:val="left"/>
            </w:pPr>
            <w:r>
              <w:t xml:space="preserve">Vorticity — cyclones/anticyclones</w:t>
            </w:r>
          </w:p>
        </w:tc>
      </w:tr>
      <w:tr>
        <w:tc>
          <w:tcPr/>
          <w:p>
            <w:pPr>
              <w:pStyle w:val="Compact"/>
              <w:jc w:val="left"/>
            </w:pPr>
            <w:r>
              <w:rPr>
                <w:bCs/>
                <w:b/>
              </w:rPr>
              <w:t xml:space="preserve">Laplacian</w:t>
            </w:r>
            <w:r>
              <w:t xml:space="preserve"> </w:t>
            </w:r>
            <m:oMath>
              <m:sSup>
                <m:e>
                  <m:r>
                    <m:rPr>
                      <m:sty m:val="p"/>
                    </m:rPr>
                    <m:t>∇</m:t>
                  </m:r>
                </m:e>
                <m:sup>
                  <m:r>
                    <m:t>2</m:t>
                  </m:r>
                </m:sup>
              </m:sSup>
              <m:r>
                <m:t>ϕ</m:t>
              </m:r>
            </m:oMath>
          </w:p>
        </w:tc>
        <w:tc>
          <w:tcPr/>
          <w:p>
            <w:pPr>
              <w:pStyle w:val="Compact"/>
              <w:jc w:val="left"/>
            </w:pPr>
            <m:oMath>
              <m:r>
                <m:rPr>
                  <m:sty m:val="p"/>
                </m:rPr>
                <m:t>∑</m:t>
              </m:r>
              <m:sSup>
                <m:e>
                  <m:r>
                    <m:rPr>
                      <m:sty m:val="p"/>
                    </m:rPr>
                    <m:t>∂</m:t>
                  </m:r>
                </m:e>
                <m:sup>
                  <m:r>
                    <m:t>2</m:t>
                  </m:r>
                </m:sup>
              </m:sSup>
              <m:r>
                <m:t>ϕ</m:t>
              </m:r>
              <m:r>
                <m:rPr>
                  <m:sty m:val="p"/>
                </m:rPr>
                <m:t>/</m:t>
              </m:r>
              <m:r>
                <m:rPr>
                  <m:sty m:val="p"/>
                </m:rPr>
                <m:t>∂</m:t>
              </m:r>
              <m:sSubSup>
                <m:e>
                  <m:r>
                    <m:t>x</m:t>
                  </m:r>
                </m:e>
                <m:sub>
                  <m:r>
                    <m:t>i</m:t>
                  </m:r>
                </m:sub>
                <m:sup>
                  <m:r>
                    <m:t>2</m:t>
                  </m:r>
                </m:sup>
              </m:sSubSup>
            </m:oMath>
          </w:p>
        </w:tc>
        <w:tc>
          <w:tcPr/>
          <w:p>
            <w:pPr>
              <w:pStyle w:val="Compact"/>
              <w:jc w:val="left"/>
            </w:pPr>
            <w:r>
              <w:t xml:space="preserve">Diffusion/heat conduction; edge-detection filters in DIP</w:t>
            </w:r>
          </w:p>
        </w:tc>
      </w:tr>
    </w:tbl>
    <w:p>
      <w:pPr>
        <w:pStyle w:val="Heading2"/>
      </w:pPr>
      <w:r>
        <w:t xml:space="preserve">49.3 Calculus</w:t>
      </w:r>
    </w:p>
    <w:p>
      <w:pPr>
        <w:pStyle w:val="Heading3"/>
      </w:pPr>
      <w:r>
        <w:t xml:space="preserve">49.3.1 Differentiation</w:t>
      </w:r>
    </w:p>
    <w:p>
      <w:pPr>
        <w:pStyle w:val="Compact"/>
        <w:numPr>
          <w:ilvl w:val="0"/>
          <w:numId w:val="1380"/>
        </w:numPr>
      </w:pPr>
      <w:r>
        <w:t xml:space="preserve">Derivative = instantaneous rate of change:</w:t>
      </w:r>
      <w:r>
        <w:t xml:space="preserve"> </w:t>
      </w:r>
      <m:oMath>
        <m:f>
          <m:fPr>
            <m:type m:val="bar"/>
          </m:fPr>
          <m:num>
            <m:r>
              <m:t>d</m:t>
            </m:r>
            <m:r>
              <m:t>y</m:t>
            </m:r>
          </m:num>
          <m:den>
            <m:r>
              <m:t>d</m:t>
            </m:r>
            <m:r>
              <m:t>x</m:t>
            </m:r>
          </m:den>
        </m:f>
        <m:r>
          <m:rPr>
            <m:sty m:val="p"/>
          </m:rPr>
          <m:t>=</m:t>
        </m:r>
        <m:sSub>
          <m:e>
            <m:r>
              <m:rPr>
                <m:sty m:val="p"/>
              </m:rPr>
              <m:t>lim</m:t>
            </m:r>
          </m:e>
          <m:sub>
            <m:r>
              <m:t>Δ</m:t>
            </m:r>
            <m:r>
              <m:t>x</m:t>
            </m:r>
            <m:r>
              <m:rPr>
                <m:sty m:val="p"/>
              </m:rPr>
              <m:t>→</m:t>
            </m:r>
            <m:r>
              <m:t>0</m:t>
            </m:r>
          </m:sub>
        </m:sSub>
        <m:f>
          <m:fPr>
            <m:type m:val="bar"/>
          </m:fPr>
          <m:num>
            <m:r>
              <m:t>Δ</m:t>
            </m:r>
            <m:r>
              <m:t>y</m:t>
            </m:r>
          </m:num>
          <m:den>
            <m:r>
              <m:t>Δ</m:t>
            </m:r>
            <m:r>
              <m:t>x</m:t>
            </m:r>
          </m:den>
        </m:f>
      </m:oMath>
      <w:r>
        <w:t xml:space="preserve">.</w:t>
      </w:r>
    </w:p>
    <w:p>
      <w:pPr>
        <w:pStyle w:val="Compact"/>
        <w:numPr>
          <w:ilvl w:val="0"/>
          <w:numId w:val="1380"/>
        </w:numPr>
      </w:pPr>
      <w:r>
        <w:t xml:space="preserve">Rules:</w:t>
      </w:r>
      <w:r>
        <w:t xml:space="preserve"> </w:t>
      </w:r>
      <m:oMath>
        <m:f>
          <m:fPr>
            <m:type m:val="bar"/>
          </m:fPr>
          <m:num>
            <m:r>
              <m:t>d</m:t>
            </m:r>
          </m:num>
          <m:den>
            <m:r>
              <m:t>d</m:t>
            </m:r>
            <m:r>
              <m:t>x</m:t>
            </m:r>
          </m:den>
        </m:f>
        <m:sSup>
          <m:e>
            <m:r>
              <m:t>x</m:t>
            </m:r>
          </m:e>
          <m:sup>
            <m:r>
              <m:t>n</m:t>
            </m:r>
          </m:sup>
        </m:sSup>
        <m:r>
          <m:rPr>
            <m:sty m:val="p"/>
          </m:rPr>
          <m:t>=</m:t>
        </m:r>
        <m:r>
          <m:t>n</m:t>
        </m:r>
        <m:sSup>
          <m:e>
            <m:r>
              <m:t>x</m:t>
            </m:r>
          </m:e>
          <m:sup>
            <m:r>
              <m:t>n</m:t>
            </m:r>
            <m:r>
              <m:rPr>
                <m:sty m:val="p"/>
              </m:rPr>
              <m:t>−</m:t>
            </m:r>
            <m:r>
              <m:t>1</m:t>
            </m:r>
          </m:sup>
        </m:sSup>
      </m:oMath>
      <w:r>
        <w:t xml:space="preserve">;</w:t>
      </w:r>
      <w:r>
        <w:t xml:space="preserve"> </w:t>
      </w:r>
      <m:oMath>
        <m:f>
          <m:fPr>
            <m:type m:val="bar"/>
          </m:fPr>
          <m:num>
            <m:r>
              <m:t>d</m:t>
            </m:r>
          </m:num>
          <m:den>
            <m:r>
              <m:t>d</m:t>
            </m:r>
            <m:r>
              <m:t>x</m:t>
            </m:r>
          </m:den>
        </m:f>
        <m:sSup>
          <m:e>
            <m:r>
              <m:t>e</m:t>
            </m:r>
          </m:e>
          <m:sup>
            <m:r>
              <m:t>a</m:t>
            </m:r>
            <m:r>
              <m:t>x</m:t>
            </m:r>
          </m:sup>
        </m:sSup>
        <m:r>
          <m:rPr>
            <m:sty m:val="p"/>
          </m:rPr>
          <m:t>=</m:t>
        </m:r>
        <m:r>
          <m:t>a</m:t>
        </m:r>
        <m:sSup>
          <m:e>
            <m:r>
              <m:t>e</m:t>
            </m:r>
          </m:e>
          <m:sup>
            <m:r>
              <m:t>a</m:t>
            </m:r>
            <m:r>
              <m:t>x</m:t>
            </m:r>
          </m:sup>
        </m:sSup>
      </m:oMath>
      <w:r>
        <w:t xml:space="preserve">;</w:t>
      </w:r>
      <w:r>
        <w:t xml:space="preserve"> </w:t>
      </w:r>
      <m:oMath>
        <m:f>
          <m:fPr>
            <m:type m:val="bar"/>
          </m:fPr>
          <m:num>
            <m:r>
              <m:t>d</m:t>
            </m:r>
          </m:num>
          <m:den>
            <m:r>
              <m:t>d</m:t>
            </m:r>
            <m:r>
              <m:t>x</m:t>
            </m:r>
          </m:den>
        </m:f>
        <m:r>
          <m:rPr>
            <m:sty m:val="p"/>
          </m:rPr>
          <m:t>ln</m:t>
        </m:r>
        <m:r>
          <m:t>x</m:t>
        </m:r>
        <m:r>
          <m:rPr>
            <m:sty m:val="p"/>
          </m:rPr>
          <m:t>=</m:t>
        </m:r>
        <m:r>
          <m:t>1</m:t>
        </m:r>
        <m:r>
          <m:rPr>
            <m:sty m:val="p"/>
          </m:rPr>
          <m:t>/</m:t>
        </m:r>
        <m:r>
          <m:t>x</m:t>
        </m:r>
      </m:oMath>
      <w:r>
        <w:t xml:space="preserve">; product</w:t>
      </w:r>
      <w:r>
        <w:t xml:space="preserve"> </w:t>
      </w:r>
      <m:oMath>
        <m:d>
          <m:dPr>
            <m:begChr m:val="("/>
            <m:endChr m:val=")"/>
            <m:sepChr m:val=""/>
            <m:grow/>
          </m:dPr>
          <m:e>
            <m:r>
              <m:t>u</m:t>
            </m:r>
            <m:r>
              <m:t>v</m:t>
            </m:r>
          </m:e>
        </m:d>
        <m:r>
          <m:rPr>
            <m:sty m:val="p"/>
          </m:rPr>
          <m:t>′</m:t>
        </m:r>
        <m:r>
          <m:rPr>
            <m:sty m:val="p"/>
          </m:rPr>
          <m:t>=</m:t>
        </m:r>
        <m:r>
          <m:t>u</m:t>
        </m:r>
        <m:r>
          <m:rPr>
            <m:sty m:val="p"/>
          </m:rPr>
          <m:t>′</m:t>
        </m:r>
        <m:r>
          <m:t>v</m:t>
        </m:r>
        <m:r>
          <m:rPr>
            <m:sty m:val="p"/>
          </m:rPr>
          <m:t>+</m:t>
        </m:r>
        <m:r>
          <m:t>u</m:t>
        </m:r>
        <m:r>
          <m:t>v</m:t>
        </m:r>
        <m:r>
          <m:rPr>
            <m:sty m:val="p"/>
          </m:rPr>
          <m:t>′</m:t>
        </m:r>
      </m:oMath>
      <w:r>
        <w:t xml:space="preserve">; quotient</w:t>
      </w:r>
      <w:r>
        <w:t xml:space="preserve"> </w:t>
      </w:r>
      <m:oMath>
        <m:d>
          <m:dPr>
            <m:begChr m:val="("/>
            <m:endChr m:val=")"/>
            <m:sepChr m:val=""/>
            <m:grow/>
          </m:dPr>
          <m:e>
            <m:r>
              <m:t>u</m:t>
            </m:r>
            <m:r>
              <m:rPr>
                <m:sty m:val="p"/>
              </m:rPr>
              <m:t>/</m:t>
            </m:r>
            <m:r>
              <m:t>v</m:t>
            </m:r>
          </m:e>
        </m:d>
        <m:r>
          <m:rPr>
            <m:sty m:val="p"/>
          </m:rPr>
          <m:t>′</m:t>
        </m:r>
        <m:r>
          <m:rPr>
            <m:sty m:val="p"/>
          </m:rPr>
          <m:t>=</m:t>
        </m:r>
        <m:d>
          <m:dPr>
            <m:begChr m:val="("/>
            <m:endChr m:val=")"/>
            <m:sepChr m:val=""/>
            <m:grow/>
          </m:dPr>
          <m:e>
            <m:r>
              <m:t>u</m:t>
            </m:r>
            <m:r>
              <m:rPr>
                <m:sty m:val="p"/>
              </m:rPr>
              <m:t>′</m:t>
            </m:r>
            <m:r>
              <m:t>v</m:t>
            </m:r>
            <m:r>
              <m:rPr>
                <m:sty m:val="p"/>
              </m:rPr>
              <m:t>−</m:t>
            </m:r>
            <m:r>
              <m:t>u</m:t>
            </m:r>
            <m:r>
              <m:t>v</m:t>
            </m:r>
            <m:r>
              <m:rPr>
                <m:sty m:val="p"/>
              </m:rPr>
              <m:t>′</m:t>
            </m:r>
          </m:e>
        </m:d>
        <m:r>
          <m:rPr>
            <m:sty m:val="p"/>
          </m:rPr>
          <m:t>/</m:t>
        </m:r>
        <m:sSup>
          <m:e>
            <m:r>
              <m:t>v</m:t>
            </m:r>
          </m:e>
          <m:sup>
            <m:r>
              <m:t>2</m:t>
            </m:r>
          </m:sup>
        </m:sSup>
      </m:oMath>
      <w:r>
        <w:t xml:space="preserve">; chain</w:t>
      </w:r>
      <w:r>
        <w:t xml:space="preserve"> </w:t>
      </w:r>
      <m:oMath>
        <m:f>
          <m:fPr>
            <m:type m:val="bar"/>
          </m:fPr>
          <m:num>
            <m:r>
              <m:t>d</m:t>
            </m:r>
            <m:r>
              <m:t>y</m:t>
            </m:r>
          </m:num>
          <m:den>
            <m:r>
              <m:t>d</m:t>
            </m:r>
            <m:r>
              <m:t>x</m:t>
            </m:r>
          </m:den>
        </m:f>
        <m:r>
          <m:rPr>
            <m:sty m:val="p"/>
          </m:rPr>
          <m:t>=</m:t>
        </m:r>
        <m:f>
          <m:fPr>
            <m:type m:val="bar"/>
          </m:fPr>
          <m:num>
            <m:r>
              <m:t>d</m:t>
            </m:r>
            <m:r>
              <m:t>y</m:t>
            </m:r>
          </m:num>
          <m:den>
            <m:r>
              <m:t>d</m:t>
            </m:r>
            <m:r>
              <m:t>u</m:t>
            </m:r>
          </m:den>
        </m:f>
        <m:f>
          <m:fPr>
            <m:type m:val="bar"/>
          </m:fPr>
          <m:num>
            <m:r>
              <m:t>d</m:t>
            </m:r>
            <m:r>
              <m:t>u</m:t>
            </m:r>
          </m:num>
          <m:den>
            <m:r>
              <m:t>d</m:t>
            </m:r>
            <m:r>
              <m:t>x</m:t>
            </m:r>
          </m:den>
        </m:f>
      </m:oMath>
      <w:r>
        <w:t xml:space="preserve">.</w:t>
      </w:r>
    </w:p>
    <w:p>
      <w:pPr>
        <w:pStyle w:val="Compact"/>
        <w:numPr>
          <w:ilvl w:val="0"/>
          <w:numId w:val="1380"/>
        </w:numPr>
      </w:pPr>
      <w:r>
        <w:rPr>
          <w:bCs/>
          <w:b/>
        </w:rPr>
        <w:t xml:space="preserve">Partial derivative</w:t>
      </w:r>
      <w:r>
        <w:t xml:space="preserve"> </w:t>
      </w:r>
      <w:r>
        <w:t xml:space="preserve">— change with one variable while others are fixed (</w:t>
      </w:r>
      <m:oMath>
        <m:r>
          <m:rPr>
            <m:sty m:val="p"/>
          </m:rPr>
          <m:t>∂</m:t>
        </m:r>
        <m:r>
          <m:t>T</m:t>
        </m:r>
        <m:r>
          <m:rPr>
            <m:sty m:val="p"/>
          </m:rPr>
          <m:t>/</m:t>
        </m:r>
        <m:r>
          <m:rPr>
            <m:sty m:val="p"/>
          </m:rPr>
          <m:t>∂</m:t>
        </m:r>
        <m:r>
          <m:t>z</m:t>
        </m:r>
      </m:oMath>
      <w:r>
        <w:t xml:space="preserve"> </w:t>
      </w:r>
      <w:r>
        <w:t xml:space="preserve">= lapse rate).</w:t>
      </w:r>
    </w:p>
    <w:p>
      <w:pPr>
        <w:pStyle w:val="Compact"/>
        <w:numPr>
          <w:ilvl w:val="0"/>
          <w:numId w:val="1380"/>
        </w:numPr>
      </w:pPr>
      <w:r>
        <w:rPr>
          <w:bCs/>
          <w:b/>
        </w:rPr>
        <w:t xml:space="preserve">Maxima/minima:</w:t>
      </w:r>
      <w:r>
        <w:t xml:space="preserve"> </w:t>
      </w:r>
      <m:oMath>
        <m:r>
          <m:t>f</m:t>
        </m:r>
        <m:r>
          <m:rPr>
            <m:sty m:val="p"/>
          </m:rPr>
          <m:t>′</m:t>
        </m:r>
        <m:d>
          <m:dPr>
            <m:begChr m:val="("/>
            <m:endChr m:val=")"/>
            <m:sepChr m:val=""/>
            <m:grow/>
          </m:dPr>
          <m:e>
            <m:r>
              <m:t>x</m:t>
            </m:r>
          </m:e>
        </m:d>
        <m:r>
          <m:rPr>
            <m:sty m:val="p"/>
          </m:rPr>
          <m:t>=</m:t>
        </m:r>
        <m:r>
          <m:t>0</m:t>
        </m:r>
      </m:oMath>
      <w:r>
        <w:t xml:space="preserve">;</w:t>
      </w:r>
      <w:r>
        <w:t xml:space="preserve"> </w:t>
      </w:r>
      <m:oMath>
        <m:r>
          <m:t>f</m:t>
        </m:r>
        <m:r>
          <m:rPr>
            <m:sty m:val="p"/>
          </m:rPr>
          <m:t>″</m:t>
        </m:r>
        <m:r>
          <m:rPr>
            <m:sty m:val="p"/>
          </m:rPr>
          <m:t>&lt;</m:t>
        </m:r>
        <m:r>
          <m:t>0</m:t>
        </m:r>
      </m:oMath>
      <w:r>
        <w:t xml:space="preserve"> </w:t>
      </w:r>
      <w:r>
        <w:t xml:space="preserve">maximum,</w:t>
      </w:r>
      <w:r>
        <w:t xml:space="preserve"> </w:t>
      </w:r>
      <m:oMath>
        <m:r>
          <m:t>f</m:t>
        </m:r>
        <m:r>
          <m:rPr>
            <m:sty m:val="p"/>
          </m:rPr>
          <m:t>″</m:t>
        </m:r>
        <m:r>
          <m:rPr>
            <m:sty m:val="p"/>
          </m:rPr>
          <m:t>&gt;</m:t>
        </m:r>
        <m:r>
          <m:t>0</m:t>
        </m:r>
      </m:oMath>
      <w:r>
        <w:t xml:space="preserve"> </w:t>
      </w:r>
      <w:r>
        <w:t xml:space="preserve">minimum — e.g., optimum N dose from a quadratic response</w:t>
      </w:r>
      <w:r>
        <w:t xml:space="preserve"> </w:t>
      </w:r>
      <m:oMath>
        <m:r>
          <m:t>Y</m:t>
        </m:r>
        <m:r>
          <m:rPr>
            <m:sty m:val="p"/>
          </m:rPr>
          <m:t>=</m:t>
        </m:r>
        <m:r>
          <m:t>a</m:t>
        </m:r>
        <m:r>
          <m:rPr>
            <m:sty m:val="p"/>
          </m:rPr>
          <m:t>+</m:t>
        </m:r>
        <m:r>
          <m:t>b</m:t>
        </m:r>
        <m:r>
          <m:t>N</m:t>
        </m:r>
        <m:r>
          <m:rPr>
            <m:sty m:val="p"/>
          </m:rPr>
          <m:t>−</m:t>
        </m:r>
        <m:r>
          <m:t>c</m:t>
        </m:r>
        <m:sSup>
          <m:e>
            <m:r>
              <m:t>N</m:t>
            </m:r>
          </m:e>
          <m:sup>
            <m:r>
              <m:t>2</m:t>
            </m:r>
          </m:sup>
        </m:sSup>
      </m:oMath>
      <w:r>
        <w:t xml:space="preserve">:</w:t>
      </w:r>
      <w:r>
        <w:t xml:space="preserve"> </w:t>
      </w:r>
      <m:oMath>
        <m:r>
          <m:t>d</m:t>
        </m:r>
        <m:r>
          <m:t>Y</m:t>
        </m:r>
        <m:r>
          <m:rPr>
            <m:sty m:val="p"/>
          </m:rPr>
          <m:t>/</m:t>
        </m:r>
        <m:r>
          <m:t>d</m:t>
        </m:r>
        <m:r>
          <m:t>N</m:t>
        </m:r>
        <m:r>
          <m:rPr>
            <m:sty m:val="p"/>
          </m:rPr>
          <m:t>=</m:t>
        </m:r>
        <m:r>
          <m:t>b</m:t>
        </m:r>
        <m:r>
          <m:rPr>
            <m:sty m:val="p"/>
          </m:rPr>
          <m:t>−</m:t>
        </m:r>
        <m:r>
          <m:t>2</m:t>
        </m:r>
        <m:r>
          <m:t>c</m:t>
        </m:r>
        <m:r>
          <m:t>N</m:t>
        </m:r>
        <m:r>
          <m:rPr>
            <m:sty m:val="p"/>
          </m:rPr>
          <m:t>=</m:t>
        </m:r>
        <m:r>
          <m:t>0</m:t>
        </m:r>
        <m:r>
          <m:rPr>
            <m:sty m:val="p"/>
          </m:rPr>
          <m:t>⇒</m:t>
        </m:r>
        <m:sSub>
          <m:e>
            <m:r>
              <m:t>N</m:t>
            </m:r>
          </m:e>
          <m:sub>
            <m:r>
              <m:t>o</m:t>
            </m:r>
            <m:r>
              <m:t>p</m:t>
            </m:r>
            <m:r>
              <m:t>t</m:t>
            </m:r>
          </m:sub>
        </m:sSub>
        <m:r>
          <m:rPr>
            <m:sty m:val="p"/>
          </m:rPr>
          <m:t>=</m:t>
        </m:r>
        <m:r>
          <m:t>b</m:t>
        </m:r>
        <m:r>
          <m:rPr>
            <m:sty m:val="p"/>
          </m:rPr>
          <m:t>/</m:t>
        </m:r>
        <m:r>
          <m:t>2</m:t>
        </m:r>
        <m:r>
          <m:t>c</m:t>
        </m:r>
      </m:oMath>
      <w:r>
        <w:t xml:space="preserve">;</w:t>
      </w:r>
      <w:r>
        <w:t xml:space="preserve"> </w:t>
      </w:r>
      <w:r>
        <w:rPr>
          <w:bCs/>
          <w:b/>
        </w:rPr>
        <w:t xml:space="preserve">economic optimum</w:t>
      </w:r>
      <w:r>
        <w:t xml:space="preserve"> </w:t>
      </w:r>
      <w:r>
        <w:t xml:space="preserve">where</w:t>
      </w:r>
      <w:r>
        <w:t xml:space="preserve"> </w:t>
      </w:r>
      <m:oMath>
        <m:r>
          <m:t>d</m:t>
        </m:r>
        <m:r>
          <m:t>Y</m:t>
        </m:r>
        <m:r>
          <m:rPr>
            <m:sty m:val="p"/>
          </m:rPr>
          <m:t>/</m:t>
        </m:r>
        <m:r>
          <m:t>d</m:t>
        </m:r>
        <m:r>
          <m:t>N</m:t>
        </m:r>
      </m:oMath>
      <w:r>
        <w:t xml:space="preserve"> </w:t>
      </w:r>
      <w:r>
        <w:t xml:space="preserve">equals the price ratio</w:t>
      </w:r>
      <w:r>
        <w:t xml:space="preserve"> </w:t>
      </w:r>
      <m:oMath>
        <m:sSub>
          <m:e>
            <m:r>
              <m:t>P</m:t>
            </m:r>
          </m:e>
          <m:sub>
            <m:r>
              <m:t>N</m:t>
            </m:r>
          </m:sub>
        </m:sSub>
        <m:r>
          <m:rPr>
            <m:sty m:val="p"/>
          </m:rPr>
          <m:t>/</m:t>
        </m:r>
        <m:sSub>
          <m:e>
            <m:r>
              <m:t>P</m:t>
            </m:r>
          </m:e>
          <m:sub>
            <m:r>
              <m:t>Y</m:t>
            </m:r>
          </m:sub>
        </m:sSub>
      </m:oMath>
      <w:r>
        <w:t xml:space="preserve">, i.e.,</w:t>
      </w:r>
      <w:r>
        <w:t xml:space="preserve"> </w:t>
      </w:r>
      <m:oMath>
        <m:sSub>
          <m:e>
            <m:r>
              <m:t>N</m:t>
            </m:r>
          </m:e>
          <m:sub>
            <m:r>
              <m:t>e</m:t>
            </m:r>
            <m:r>
              <m:t>c</m:t>
            </m:r>
            <m:r>
              <m:t>o</m:t>
            </m:r>
          </m:sub>
        </m:sSub>
        <m:r>
          <m:rPr>
            <m:sty m:val="p"/>
          </m:rPr>
          <m:t>=</m:t>
        </m:r>
        <m:d>
          <m:dPr>
            <m:begChr m:val="("/>
            <m:endChr m:val=")"/>
            <m:sepChr m:val=""/>
            <m:grow/>
          </m:dPr>
          <m:e>
            <m:r>
              <m:t>b</m:t>
            </m:r>
            <m:r>
              <m:rPr>
                <m:sty m:val="p"/>
              </m:rPr>
              <m:t>−</m:t>
            </m:r>
            <m:sSub>
              <m:e>
                <m:r>
                  <m:t>P</m:t>
                </m:r>
              </m:e>
              <m:sub>
                <m:r>
                  <m:t>N</m:t>
                </m:r>
              </m:sub>
            </m:sSub>
            <m:r>
              <m:rPr>
                <m:sty m:val="p"/>
              </m:rPr>
              <m:t>/</m:t>
            </m:r>
            <m:sSub>
              <m:e>
                <m:r>
                  <m:t>P</m:t>
                </m:r>
              </m:e>
              <m:sub>
                <m:r>
                  <m:t>Y</m:t>
                </m:r>
              </m:sub>
            </m:sSub>
          </m:e>
        </m:d>
        <m:r>
          <m:rPr>
            <m:sty m:val="p"/>
          </m:rPr>
          <m:t>/</m:t>
        </m:r>
        <m:r>
          <m:t>2</m:t>
        </m:r>
        <m:r>
          <m:t>c</m:t>
        </m:r>
      </m:oMath>
      <w:r>
        <w:t xml:space="preserve">.</w:t>
      </w:r>
    </w:p>
    <w:p>
      <w:pPr>
        <w:pStyle w:val="Compact"/>
        <w:numPr>
          <w:ilvl w:val="0"/>
          <w:numId w:val="1380"/>
        </w:numPr>
      </w:pPr>
      <w:r>
        <w:t xml:space="preserve">Applications: crop growth rate</w:t>
      </w:r>
      <w:r>
        <w:t xml:space="preserve"> </w:t>
      </w:r>
      <m:oMath>
        <m:r>
          <m:t>C</m:t>
        </m:r>
        <m:r>
          <m:t>G</m:t>
        </m:r>
        <m:r>
          <m:t>R</m:t>
        </m:r>
        <m:r>
          <m:rPr>
            <m:sty m:val="p"/>
          </m:rPr>
          <m:t>=</m:t>
        </m:r>
        <m:r>
          <m:t>d</m:t>
        </m:r>
        <m:r>
          <m:t>W</m:t>
        </m:r>
        <m:r>
          <m:rPr>
            <m:sty m:val="p"/>
          </m:rPr>
          <m:t>/</m:t>
        </m:r>
        <m:r>
          <m:t>d</m:t>
        </m:r>
        <m:r>
          <m:t>t</m:t>
        </m:r>
      </m:oMath>
      <w:r>
        <w:t xml:space="preserve">, relative growth rate</w:t>
      </w:r>
      <w:r>
        <w:t xml:space="preserve"> </w:t>
      </w:r>
      <m:oMath>
        <m:r>
          <m:t>R</m:t>
        </m:r>
        <m:r>
          <m:t>G</m:t>
        </m:r>
        <m:r>
          <m:t>R</m:t>
        </m:r>
        <m:r>
          <m:rPr>
            <m:sty m:val="p"/>
          </m:rPr>
          <m:t>=</m:t>
        </m:r>
        <m:f>
          <m:fPr>
            <m:type m:val="bar"/>
          </m:fPr>
          <m:num>
            <m:r>
              <m:t>1</m:t>
            </m:r>
          </m:num>
          <m:den>
            <m:r>
              <m:t>W</m:t>
            </m:r>
          </m:den>
        </m:f>
        <m:f>
          <m:fPr>
            <m:type m:val="bar"/>
          </m:fPr>
          <m:num>
            <m:r>
              <m:t>d</m:t>
            </m:r>
            <m:r>
              <m:t>W</m:t>
            </m:r>
          </m:num>
          <m:den>
            <m:r>
              <m:t>d</m:t>
            </m:r>
            <m:r>
              <m:t>t</m:t>
            </m:r>
          </m:den>
        </m:f>
        <m:r>
          <m:rPr>
            <m:sty m:val="p"/>
          </m:rPr>
          <m:t>=</m:t>
        </m:r>
        <m:f>
          <m:fPr>
            <m:type m:val="bar"/>
          </m:fPr>
          <m:num>
            <m:r>
              <m:t>d</m:t>
            </m:r>
            <m:r>
              <m:rPr>
                <m:sty m:val="p"/>
              </m:rPr>
              <m:t>ln</m:t>
            </m:r>
            <m:r>
              <m:t>W</m:t>
            </m:r>
          </m:num>
          <m:den>
            <m:r>
              <m:t>d</m:t>
            </m:r>
            <m:r>
              <m:t>t</m:t>
            </m:r>
          </m:den>
        </m:f>
      </m:oMath>
      <w:r>
        <w:t xml:space="preserve">, slope of saturation vapour pressure curve</w:t>
      </w:r>
      <w:r>
        <w:t xml:space="preserve"> </w:t>
      </w:r>
      <m:oMath>
        <m:r>
          <m:t>Δ</m:t>
        </m:r>
        <m:r>
          <m:rPr>
            <m:sty m:val="p"/>
          </m:rPr>
          <m:t>=</m:t>
        </m:r>
        <m:r>
          <m:t>d</m:t>
        </m:r>
        <m:sSub>
          <m:e>
            <m:r>
              <m:t>e</m:t>
            </m:r>
          </m:e>
          <m:sub>
            <m:r>
              <m:t>s</m:t>
            </m:r>
          </m:sub>
        </m:sSub>
        <m:r>
          <m:rPr>
            <m:sty m:val="p"/>
          </m:rPr>
          <m:t>/</m:t>
        </m:r>
        <m:r>
          <m:t>d</m:t>
        </m:r>
        <m:r>
          <m:t>T</m:t>
        </m:r>
      </m:oMath>
      <w:r>
        <w:t xml:space="preserve"> </w:t>
      </w:r>
      <w:r>
        <w:t xml:space="preserve">in Penman–Monteith, red-edge position from the first derivative of reflectance, derivative spectroscopy (removes background).</w:t>
      </w:r>
    </w:p>
    <w:p>
      <w:pPr>
        <w:pStyle w:val="Heading3"/>
      </w:pPr>
      <w:r>
        <w:t xml:space="preserve">49.3.2 Integration</w:t>
      </w:r>
    </w:p>
    <w:p>
      <w:pPr>
        <w:pStyle w:val="Compact"/>
        <w:numPr>
          <w:ilvl w:val="0"/>
          <w:numId w:val="1381"/>
        </w:numPr>
      </w:pPr>
      <w:r>
        <w:t xml:space="preserve">Anti-derivative and area under the curve:</w:t>
      </w:r>
      <w:r>
        <w:t xml:space="preserve"> </w:t>
      </w:r>
      <m:oMath>
        <m:r>
          <m:rPr>
            <m:sty m:val="p"/>
          </m:rPr>
          <m:t>∫</m:t>
        </m:r>
        <m:sSup>
          <m:e>
            <m:r>
              <m:t>x</m:t>
            </m:r>
          </m:e>
          <m:sup>
            <m:r>
              <m:t>n</m:t>
            </m:r>
          </m:sup>
        </m:sSup>
        <m:r>
          <m:t>d</m:t>
        </m:r>
        <m:r>
          <m:t>x</m:t>
        </m:r>
        <m:r>
          <m:rPr>
            <m:sty m:val="p"/>
          </m:rPr>
          <m:t>=</m:t>
        </m:r>
        <m:f>
          <m:fPr>
            <m:type m:val="bar"/>
          </m:fPr>
          <m:num>
            <m:sSup>
              <m:e>
                <m:r>
                  <m:t>x</m:t>
                </m:r>
              </m:e>
              <m:sup>
                <m:r>
                  <m:t>n</m:t>
                </m:r>
                <m:r>
                  <m:rPr>
                    <m:sty m:val="p"/>
                  </m:rPr>
                  <m:t>+</m:t>
                </m:r>
                <m:r>
                  <m:t>1</m:t>
                </m:r>
              </m:sup>
            </m:sSup>
          </m:num>
          <m:den>
            <m:r>
              <m:t>n</m:t>
            </m:r>
            <m:r>
              <m:rPr>
                <m:sty m:val="p"/>
              </m:rPr>
              <m:t>+</m:t>
            </m:r>
            <m:r>
              <m:t>1</m:t>
            </m:r>
          </m:den>
        </m:f>
        <m:r>
          <m:rPr>
            <m:sty m:val="p"/>
          </m:rPr>
          <m:t>+</m:t>
        </m:r>
        <m:r>
          <m:t>C</m:t>
        </m:r>
      </m:oMath>
      <w:r>
        <w:t xml:space="preserve">,</w:t>
      </w:r>
      <w:r>
        <w:t xml:space="preserve"> </w:t>
      </w:r>
      <m:oMath>
        <m:r>
          <m:rPr>
            <m:sty m:val="p"/>
          </m:rPr>
          <m:t>∫</m:t>
        </m:r>
        <m:sSup>
          <m:e>
            <m:r>
              <m:t>e</m:t>
            </m:r>
          </m:e>
          <m:sup>
            <m:r>
              <m:t>a</m:t>
            </m:r>
            <m:r>
              <m:t>x</m:t>
            </m:r>
          </m:sup>
        </m:sSup>
        <m:r>
          <m:t>d</m:t>
        </m:r>
        <m:r>
          <m:t>x</m:t>
        </m:r>
        <m:r>
          <m:rPr>
            <m:sty m:val="p"/>
          </m:rPr>
          <m:t>=</m:t>
        </m:r>
        <m:sSup>
          <m:e>
            <m:r>
              <m:t>e</m:t>
            </m:r>
          </m:e>
          <m:sup>
            <m:r>
              <m:t>a</m:t>
            </m:r>
            <m:r>
              <m:t>x</m:t>
            </m:r>
          </m:sup>
        </m:sSup>
        <m:r>
          <m:rPr>
            <m:sty m:val="p"/>
          </m:rPr>
          <m:t>/</m:t>
        </m:r>
        <m:r>
          <m:t>a</m:t>
        </m:r>
      </m:oMath>
      <w:r>
        <w:t xml:space="preserve">,</w:t>
      </w:r>
      <w:r>
        <w:t xml:space="preserve"> </w:t>
      </w:r>
      <m:oMath>
        <m:r>
          <m:rPr>
            <m:sty m:val="p"/>
          </m:rPr>
          <m:t>∫</m:t>
        </m:r>
        <m:r>
          <m:t>d</m:t>
        </m:r>
        <m:r>
          <m:t>x</m:t>
        </m:r>
        <m:r>
          <m:rPr>
            <m:sty m:val="p"/>
          </m:rPr>
          <m:t>/</m:t>
        </m:r>
        <m:r>
          <m:t>x</m:t>
        </m:r>
        <m:r>
          <m:rPr>
            <m:sty m:val="p"/>
          </m:rPr>
          <m:t>=</m:t>
        </m:r>
        <m:r>
          <m:rPr>
            <m:sty m:val="p"/>
          </m:rPr>
          <m:t>ln</m:t>
        </m:r>
        <m:r>
          <m:t>x</m:t>
        </m:r>
      </m:oMath>
      <w:r>
        <w:t xml:space="preserve">.</w:t>
      </w:r>
    </w:p>
    <w:p>
      <w:pPr>
        <w:pStyle w:val="Compact"/>
        <w:numPr>
          <w:ilvl w:val="0"/>
          <w:numId w:val="1381"/>
        </w:numPr>
      </w:pPr>
      <w:r>
        <w:rPr>
          <w:bCs/>
          <w:b/>
        </w:rPr>
        <w:t xml:space="preserve">Definite integral</w:t>
      </w:r>
      <w:r>
        <w:t xml:space="preserve"> </w:t>
      </w:r>
      <m:oMath>
        <m:nary>
          <m:naryPr>
            <m:chr m:val="∫"/>
            <m:limLoc m:val="subSup"/>
            <m:subHide m:val="off"/>
            <m:supHide m:val="off"/>
          </m:naryPr>
          <m:sub>
            <m:r>
              <m:t>a</m:t>
            </m:r>
          </m:sub>
          <m:sup>
            <m:r>
              <m:t>b</m:t>
            </m:r>
          </m:sup>
          <m:e>
            <m:r>
              <m:t>f</m:t>
            </m:r>
          </m:e>
        </m:nary>
        <m:d>
          <m:dPr>
            <m:begChr m:val="("/>
            <m:endChr m:val=")"/>
            <m:sepChr m:val=""/>
            <m:grow/>
          </m:dPr>
          <m:e>
            <m:r>
              <m:t>x</m:t>
            </m:r>
          </m:e>
        </m:d>
        <m:r>
          <m:t> </m:t>
        </m:r>
        <m:r>
          <m:t>d</m:t>
        </m:r>
        <m:r>
          <m:t>x</m:t>
        </m:r>
      </m:oMath>
      <w:r>
        <w:t xml:space="preserve"> </w:t>
      </w:r>
      <w:r>
        <w:t xml:space="preserve">— accumulation: total daily radiation</w:t>
      </w:r>
      <w:r>
        <w:t xml:space="preserve"> </w:t>
      </w:r>
      <m:oMath>
        <m:r>
          <m:rPr>
            <m:sty m:val="p"/>
          </m:rPr>
          <m:t>=</m:t>
        </m:r>
        <m:r>
          <m:rPr>
            <m:sty m:val="p"/>
          </m:rPr>
          <m:t>∫</m:t>
        </m:r>
        <m:r>
          <m:t>S</m:t>
        </m:r>
        <m:d>
          <m:dPr>
            <m:begChr m:val="("/>
            <m:endChr m:val=")"/>
            <m:sepChr m:val=""/>
            <m:grow/>
          </m:dPr>
          <m:e>
            <m:r>
              <m:t>t</m:t>
            </m:r>
          </m:e>
        </m:d>
        <m:r>
          <m:t> </m:t>
        </m:r>
        <m:r>
          <m:t>d</m:t>
        </m:r>
        <m:r>
          <m:t>t</m:t>
        </m:r>
      </m:oMath>
      <w:r>
        <w:t xml:space="preserve">; growing degree-days</w:t>
      </w:r>
      <w:r>
        <w:t xml:space="preserve"> </w:t>
      </w:r>
      <m:oMath>
        <m:r>
          <m:rPr>
            <m:sty m:val="p"/>
          </m:rPr>
          <m:t>≈</m:t>
        </m:r>
        <m:r>
          <m:rPr>
            <m:sty m:val="p"/>
          </m:rPr>
          <m:t>∫</m:t>
        </m:r>
        <m:d>
          <m:dPr>
            <m:begChr m:val="("/>
            <m:endChr m:val=")"/>
            <m:sepChr m:val=""/>
            <m:grow/>
          </m:dPr>
          <m:e>
            <m:r>
              <m:t>T</m:t>
            </m:r>
            <m:r>
              <m:rPr>
                <m:sty m:val="p"/>
              </m:rPr>
              <m:t>−</m:t>
            </m:r>
            <m:sSub>
              <m:e>
                <m:r>
                  <m:t>T</m:t>
                </m:r>
              </m:e>
              <m:sub>
                <m:r>
                  <m:t>b</m:t>
                </m:r>
              </m:sub>
            </m:sSub>
          </m:e>
        </m:d>
        <m:r>
          <m:t> </m:t>
        </m:r>
        <m:r>
          <m:t>d</m:t>
        </m:r>
        <m:r>
          <m:t>t</m:t>
        </m:r>
      </m:oMath>
      <w:r>
        <w:t xml:space="preserve">; seasonal NDVI integral (proxy of productivity); radiance integrated over the sensor spectral response; Planck integrated over wavelengths gives Stefan–Boltzmann.</w:t>
      </w:r>
    </w:p>
    <w:p>
      <w:pPr>
        <w:pStyle w:val="Compact"/>
        <w:numPr>
          <w:ilvl w:val="0"/>
          <w:numId w:val="1381"/>
        </w:numPr>
      </w:pPr>
      <w:r>
        <w:rPr>
          <w:bCs/>
          <w:b/>
        </w:rPr>
        <w:t xml:space="preserve">Numerical integration:</w:t>
      </w:r>
      <w:r>
        <w:t xml:space="preserve"> </w:t>
      </w:r>
      <w:r>
        <w:t xml:space="preserve">trapezoidal</w:t>
      </w:r>
      <w:r>
        <w:t xml:space="preserve"> </w:t>
      </w:r>
      <m:oMath>
        <m:nary>
          <m:naryPr>
            <m:chr m:val="∫"/>
            <m:limLoc m:val="subSup"/>
            <m:subHide m:val="off"/>
            <m:supHide m:val="off"/>
          </m:naryPr>
          <m:sub>
            <m:r>
              <m:t>a</m:t>
            </m:r>
          </m:sub>
          <m:sup>
            <m:r>
              <m:t>b</m:t>
            </m:r>
          </m:sup>
          <m:e>
            <m:r>
              <m:t>f</m:t>
            </m:r>
          </m:e>
        </m:nary>
        <m:r>
          <m:rPr>
            <m:sty m:val="p"/>
          </m:rPr>
          <m:t>≈</m:t>
        </m:r>
        <m:f>
          <m:fPr>
            <m:type m:val="bar"/>
          </m:fPr>
          <m:num>
            <m:r>
              <m:t>h</m:t>
            </m:r>
          </m:num>
          <m:den>
            <m:r>
              <m:t>2</m:t>
            </m:r>
          </m:den>
        </m:f>
        <m:d>
          <m:dPr>
            <m:begChr m:val="["/>
            <m:endChr m:val="]"/>
            <m:sepChr m:val=""/>
            <m:grow/>
          </m:dPr>
          <m:e>
            <m:sSub>
              <m:e>
                <m:r>
                  <m:t>f</m:t>
                </m:r>
              </m:e>
              <m:sub>
                <m:r>
                  <m:t>0</m:t>
                </m:r>
              </m:sub>
            </m:sSub>
            <m:r>
              <m:rPr>
                <m:sty m:val="p"/>
              </m:rPr>
              <m:t>+</m:t>
            </m:r>
            <m:r>
              <m:t>2</m:t>
            </m:r>
            <m:sSub>
              <m:e>
                <m:r>
                  <m:t>f</m:t>
                </m:r>
              </m:e>
              <m:sub>
                <m:r>
                  <m:t>1</m:t>
                </m:r>
              </m:sub>
            </m:sSub>
            <m:r>
              <m:rPr>
                <m:sty m:val="p"/>
              </m:rPr>
              <m:t>+</m:t>
            </m:r>
            <m:r>
              <m:rPr>
                <m:sty m:val="p"/>
              </m:rPr>
              <m:t>…</m:t>
            </m:r>
            <m:r>
              <m:rPr>
                <m:sty m:val="p"/>
              </m:rPr>
              <m:t>+</m:t>
            </m:r>
            <m:r>
              <m:t>2</m:t>
            </m:r>
            <m:sSub>
              <m:e>
                <m:r>
                  <m:t>f</m:t>
                </m:r>
              </m:e>
              <m:sub>
                <m:r>
                  <m:t>n</m:t>
                </m:r>
                <m:r>
                  <m:rPr>
                    <m:sty m:val="p"/>
                  </m:rPr>
                  <m:t>−</m:t>
                </m:r>
                <m:r>
                  <m:t>1</m:t>
                </m:r>
              </m:sub>
            </m:sSub>
            <m:r>
              <m:rPr>
                <m:sty m:val="p"/>
              </m:rPr>
              <m:t>+</m:t>
            </m:r>
            <m:sSub>
              <m:e>
                <m:r>
                  <m:t>f</m:t>
                </m:r>
              </m:e>
              <m:sub>
                <m:r>
                  <m:t>n</m:t>
                </m:r>
              </m:sub>
            </m:sSub>
          </m:e>
        </m:d>
      </m:oMath>
      <w:r>
        <w:t xml:space="preserve">; Simpson’s 1/3 rule</w:t>
      </w:r>
      <w:r>
        <w:t xml:space="preserve"> </w:t>
      </w:r>
      <m:oMath>
        <m:f>
          <m:fPr>
            <m:type m:val="bar"/>
          </m:fPr>
          <m:num>
            <m:r>
              <m:t>h</m:t>
            </m:r>
          </m:num>
          <m:den>
            <m:r>
              <m:t>3</m:t>
            </m:r>
          </m:den>
        </m:f>
        <m:d>
          <m:dPr>
            <m:begChr m:val="["/>
            <m:endChr m:val="]"/>
            <m:sepChr m:val=""/>
            <m:grow/>
          </m:dPr>
          <m:e>
            <m:sSub>
              <m:e>
                <m:r>
                  <m:t>f</m:t>
                </m:r>
              </m:e>
              <m:sub>
                <m:r>
                  <m:t>0</m:t>
                </m:r>
              </m:sub>
            </m:sSub>
            <m:r>
              <m:rPr>
                <m:sty m:val="p"/>
              </m:rPr>
              <m:t>+</m:t>
            </m:r>
            <m:r>
              <m:t>4</m:t>
            </m:r>
            <m:sSub>
              <m:e>
                <m:r>
                  <m:t>f</m:t>
                </m:r>
              </m:e>
              <m:sub>
                <m:r>
                  <m:t>1</m:t>
                </m:r>
              </m:sub>
            </m:sSub>
            <m:r>
              <m:rPr>
                <m:sty m:val="p"/>
              </m:rPr>
              <m:t>+</m:t>
            </m:r>
            <m:r>
              <m:t>2</m:t>
            </m:r>
            <m:sSub>
              <m:e>
                <m:r>
                  <m:t>f</m:t>
                </m:r>
              </m:e>
              <m:sub>
                <m:r>
                  <m:t>2</m:t>
                </m:r>
              </m:sub>
            </m:sSub>
            <m:r>
              <m:rPr>
                <m:sty m:val="p"/>
              </m:rPr>
              <m:t>+</m:t>
            </m:r>
            <m:r>
              <m:rPr>
                <m:sty m:val="p"/>
              </m:rPr>
              <m:t>…</m:t>
            </m:r>
            <m:r>
              <m:rPr>
                <m:sty m:val="p"/>
              </m:rPr>
              <m:t>+</m:t>
            </m:r>
            <m:sSub>
              <m:e>
                <m:r>
                  <m:t>f</m:t>
                </m:r>
              </m:e>
              <m:sub>
                <m:r>
                  <m:t>n</m:t>
                </m:r>
              </m:sub>
            </m:sSub>
          </m:e>
        </m:d>
      </m:oMath>
      <w:r>
        <w:t xml:space="preserve"> </w:t>
      </w:r>
      <w:r>
        <w:t xml:space="preserve">(n even).</w:t>
      </w:r>
    </w:p>
    <w:p>
      <w:pPr>
        <w:pStyle w:val="Heading3"/>
      </w:pPr>
      <w:r>
        <w:t xml:space="preserve">49.3.3 Differential equations in agriculture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Equation</w:t>
            </w:r>
          </w:p>
        </w:tc>
        <w:tc>
          <w:tcPr/>
          <w:p>
            <w:pPr>
              <w:pStyle w:val="Compact"/>
              <w:jc w:val="left"/>
            </w:pPr>
            <w:r>
              <w:t xml:space="preserve">Solution / use</w:t>
            </w:r>
          </w:p>
        </w:tc>
      </w:tr>
      <w:tr>
        <w:tc>
          <w:tcPr/>
          <w:p>
            <w:pPr>
              <w:pStyle w:val="Compact"/>
              <w:jc w:val="left"/>
            </w:pPr>
            <w:r>
              <w:t xml:space="preserve">Exponential growth</w:t>
            </w:r>
          </w:p>
        </w:tc>
        <w:tc>
          <w:tcPr/>
          <w:p>
            <w:pPr>
              <w:pStyle w:val="Compact"/>
              <w:jc w:val="left"/>
            </w:pPr>
            <m:oMath>
              <m:r>
                <m:t>d</m:t>
              </m:r>
              <m:r>
                <m:t>W</m:t>
              </m:r>
              <m:r>
                <m:rPr>
                  <m:sty m:val="p"/>
                </m:rPr>
                <m:t>/</m:t>
              </m:r>
              <m:r>
                <m:t>d</m:t>
              </m:r>
              <m:r>
                <m:t>t</m:t>
              </m:r>
              <m:r>
                <m:rPr>
                  <m:sty m:val="p"/>
                </m:rPr>
                <m:t>=</m:t>
              </m:r>
              <m:r>
                <m:t>r</m:t>
              </m:r>
              <m:r>
                <m:t>W</m:t>
              </m:r>
            </m:oMath>
          </w:p>
        </w:tc>
        <w:tc>
          <w:tcPr/>
          <w:p>
            <w:pPr>
              <w:pStyle w:val="Compact"/>
              <w:jc w:val="left"/>
            </w:pPr>
            <m:oMath>
              <m:r>
                <m:t>W</m:t>
              </m:r>
              <m:r>
                <m:rPr>
                  <m:sty m:val="p"/>
                </m:rPr>
                <m:t>=</m:t>
              </m:r>
              <m:sSub>
                <m:e>
                  <m:r>
                    <m:t>W</m:t>
                  </m:r>
                </m:e>
                <m:sub>
                  <m:r>
                    <m:t>0</m:t>
                  </m:r>
                </m:sub>
              </m:sSub>
              <m:sSup>
                <m:e>
                  <m:r>
                    <m:t>e</m:t>
                  </m:r>
                </m:e>
                <m:sup>
                  <m:r>
                    <m:t>r</m:t>
                  </m:r>
                  <m:r>
                    <m:t>t</m:t>
                  </m:r>
                </m:sup>
              </m:sSup>
            </m:oMath>
            <w:r>
              <w:t xml:space="preserve"> </w:t>
            </w:r>
            <w:r>
              <w:t xml:space="preserve">— early growth</w:t>
            </w:r>
          </w:p>
        </w:tc>
      </w:tr>
      <w:tr>
        <w:tc>
          <w:tcPr/>
          <w:p>
            <w:pPr>
              <w:pStyle w:val="Compact"/>
              <w:jc w:val="left"/>
            </w:pPr>
            <w:r>
              <w:t xml:space="preserve">Logistic growth</w:t>
            </w:r>
          </w:p>
        </w:tc>
        <w:tc>
          <w:tcPr/>
          <w:p>
            <w:pPr>
              <w:pStyle w:val="Compact"/>
              <w:jc w:val="left"/>
            </w:pPr>
            <m:oMath>
              <m:r>
                <m:t>d</m:t>
              </m:r>
              <m:r>
                <m:t>W</m:t>
              </m:r>
              <m:r>
                <m:rPr>
                  <m:sty m:val="p"/>
                </m:rPr>
                <m:t>/</m:t>
              </m:r>
              <m:r>
                <m:t>d</m:t>
              </m:r>
              <m:r>
                <m:t>t</m:t>
              </m:r>
              <m:r>
                <m:rPr>
                  <m:sty m:val="p"/>
                </m:rPr>
                <m:t>=</m:t>
              </m:r>
              <m:r>
                <m:t>r</m:t>
              </m:r>
              <m:r>
                <m:t>W</m:t>
              </m:r>
              <m:d>
                <m:dPr>
                  <m:begChr m:val="("/>
                  <m:endChr m:val=")"/>
                  <m:sepChr m:val=""/>
                  <m:grow/>
                </m:dPr>
                <m:e>
                  <m:r>
                    <m:t>1</m:t>
                  </m:r>
                  <m:r>
                    <m:rPr>
                      <m:sty m:val="p"/>
                    </m:rPr>
                    <m:t>−</m:t>
                  </m:r>
                  <m:r>
                    <m:t>W</m:t>
                  </m:r>
                  <m:r>
                    <m:rPr>
                      <m:sty m:val="p"/>
                    </m:rPr>
                    <m:t>/</m:t>
                  </m:r>
                  <m:r>
                    <m:t>K</m:t>
                  </m:r>
                </m:e>
              </m:d>
            </m:oMath>
          </w:p>
        </w:tc>
        <w:tc>
          <w:tcPr/>
          <w:p>
            <w:pPr>
              <w:pStyle w:val="Compact"/>
              <w:jc w:val="left"/>
            </w:pPr>
            <m:oMath>
              <m:r>
                <m:t>W</m:t>
              </m:r>
              <m:r>
                <m:rPr>
                  <m:sty m:val="p"/>
                </m:rPr>
                <m:t>=</m:t>
              </m:r>
              <m:f>
                <m:fPr>
                  <m:type m:val="bar"/>
                </m:fPr>
                <m:num>
                  <m:r>
                    <m:t>K</m:t>
                  </m:r>
                </m:num>
                <m:den>
                  <m:r>
                    <m:t>1</m:t>
                  </m:r>
                  <m:r>
                    <m:rPr>
                      <m:sty m:val="p"/>
                    </m:rPr>
                    <m:t>+</m:t>
                  </m:r>
                  <m:d>
                    <m:dPr>
                      <m:begChr m:val="("/>
                      <m:endChr m:val=")"/>
                      <m:sepChr m:val=""/>
                      <m:grow/>
                    </m:dPr>
                    <m:e>
                      <m:f>
                        <m:fPr>
                          <m:type m:val="bar"/>
                        </m:fPr>
                        <m:num>
                          <m:r>
                            <m:t>K</m:t>
                          </m:r>
                          <m:r>
                            <m:rPr>
                              <m:sty m:val="p"/>
                            </m:rPr>
                            <m:t>−</m:t>
                          </m:r>
                          <m:sSub>
                            <m:e>
                              <m:r>
                                <m:t>W</m:t>
                              </m:r>
                            </m:e>
                            <m:sub>
                              <m:r>
                                <m:t>0</m:t>
                              </m:r>
                            </m:sub>
                          </m:sSub>
                        </m:num>
                        <m:den>
                          <m:sSub>
                            <m:e>
                              <m:r>
                                <m:t>W</m:t>
                              </m:r>
                            </m:e>
                            <m:sub>
                              <m:r>
                                <m:t>0</m:t>
                              </m:r>
                            </m:sub>
                          </m:sSub>
                        </m:den>
                      </m:f>
                    </m:e>
                  </m:d>
                  <m:sSup>
                    <m:e>
                      <m:r>
                        <m:t>e</m:t>
                      </m:r>
                    </m:e>
                    <m:sup>
                      <m:r>
                        <m:rPr>
                          <m:sty m:val="p"/>
                        </m:rPr>
                        <m:t>−</m:t>
                      </m:r>
                      <m:r>
                        <m:t>r</m:t>
                      </m:r>
                      <m:r>
                        <m:t>t</m:t>
                      </m:r>
                    </m:sup>
                  </m:sSup>
                </m:den>
              </m:f>
            </m:oMath>
            <w:r>
              <w:t xml:space="preserve"> </w:t>
            </w:r>
            <w:r>
              <w:t xml:space="preserve">— biomass/LAI with ceiling K</w:t>
            </w:r>
          </w:p>
        </w:tc>
      </w:tr>
      <w:tr>
        <w:tc>
          <w:tcPr/>
          <w:p>
            <w:pPr>
              <w:pStyle w:val="Compact"/>
              <w:jc w:val="left"/>
            </w:pPr>
            <w:r>
              <w:t xml:space="preserve">Monomolecular (Mitscherlich)</w:t>
            </w:r>
          </w:p>
        </w:tc>
        <w:tc>
          <w:tcPr/>
          <w:p>
            <w:pPr>
              <w:pStyle w:val="Compact"/>
              <w:jc w:val="left"/>
            </w:pPr>
            <m:oMath>
              <m:r>
                <m:t>d</m:t>
              </m:r>
              <m:r>
                <m:t>Y</m:t>
              </m:r>
              <m:r>
                <m:rPr>
                  <m:sty m:val="p"/>
                </m:rPr>
                <m:t>/</m:t>
              </m:r>
              <m:r>
                <m:t>d</m:t>
              </m:r>
              <m:r>
                <m:t>x</m:t>
              </m:r>
              <m:r>
                <m:rPr>
                  <m:sty m:val="p"/>
                </m:rPr>
                <m:t>=</m:t>
              </m:r>
              <m:r>
                <m:t>c</m:t>
              </m:r>
              <m:d>
                <m:dPr>
                  <m:begChr m:val="("/>
                  <m:endChr m:val=")"/>
                  <m:sepChr m:val=""/>
                  <m:grow/>
                </m:dPr>
                <m:e>
                  <m:r>
                    <m:t>A</m:t>
                  </m:r>
                  <m:r>
                    <m:rPr>
                      <m:sty m:val="p"/>
                    </m:rPr>
                    <m:t>−</m:t>
                  </m:r>
                  <m:r>
                    <m:t>Y</m:t>
                  </m:r>
                </m:e>
              </m:d>
            </m:oMath>
          </w:p>
        </w:tc>
        <w:tc>
          <w:tcPr/>
          <w:p>
            <w:pPr>
              <w:pStyle w:val="Compact"/>
              <w:jc w:val="left"/>
            </w:pPr>
            <m:oMath>
              <m:r>
                <m:t>Y</m:t>
              </m:r>
              <m:r>
                <m:rPr>
                  <m:sty m:val="p"/>
                </m:rPr>
                <m:t>=</m:t>
              </m:r>
              <m:r>
                <m:t>A</m:t>
              </m:r>
              <m:d>
                <m:dPr>
                  <m:begChr m:val="("/>
                  <m:endChr m:val=")"/>
                  <m:sepChr m:val=""/>
                  <m:grow/>
                </m:dPr>
                <m:e>
                  <m:r>
                    <m:t>1</m:t>
                  </m:r>
                  <m:r>
                    <m:rPr>
                      <m:sty m:val="p"/>
                    </m:rPr>
                    <m:t>−</m:t>
                  </m:r>
                  <m:sSup>
                    <m:e>
                      <m:r>
                        <m:t>e</m:t>
                      </m:r>
                    </m:e>
                    <m:sup>
                      <m:r>
                        <m:rPr>
                          <m:sty m:val="p"/>
                        </m:rPr>
                        <m:t>−</m:t>
                      </m:r>
                      <m:r>
                        <m:t>c</m:t>
                      </m:r>
                      <m:r>
                        <m:t>x</m:t>
                      </m:r>
                    </m:sup>
                  </m:sSup>
                </m:e>
              </m:d>
            </m:oMath>
            <w:r>
              <w:t xml:space="preserve"> </w:t>
            </w:r>
            <w:r>
              <w:t xml:space="preserve">— law of diminishing returns to fertiliser</w:t>
            </w:r>
          </w:p>
        </w:tc>
      </w:tr>
      <w:tr>
        <w:tc>
          <w:tcPr/>
          <w:p>
            <w:pPr>
              <w:pStyle w:val="Compact"/>
              <w:jc w:val="left"/>
            </w:pPr>
            <w:r>
              <w:t xml:space="preserve">Gompertz</w:t>
            </w:r>
          </w:p>
        </w:tc>
        <w:tc>
          <w:tcPr/>
          <w:p>
            <w:pPr>
              <w:pStyle w:val="Compact"/>
              <w:jc w:val="left"/>
            </w:pPr>
            <m:oMath>
              <m:r>
                <m:t>d</m:t>
              </m:r>
              <m:r>
                <m:t>W</m:t>
              </m:r>
              <m:r>
                <m:rPr>
                  <m:sty m:val="p"/>
                </m:rPr>
                <m:t>/</m:t>
              </m:r>
              <m:r>
                <m:t>d</m:t>
              </m:r>
              <m:r>
                <m:t>t</m:t>
              </m:r>
              <m:r>
                <m:rPr>
                  <m:sty m:val="p"/>
                </m:rPr>
                <m:t>=</m:t>
              </m:r>
              <m:r>
                <m:t>r</m:t>
              </m:r>
              <m:r>
                <m:t>W</m:t>
              </m:r>
              <m:r>
                <m:rPr>
                  <m:sty m:val="p"/>
                </m:rPr>
                <m:t>ln</m:t>
              </m:r>
              <m:d>
                <m:dPr>
                  <m:begChr m:val="("/>
                  <m:endChr m:val=")"/>
                  <m:sepChr m:val=""/>
                  <m:grow/>
                </m:dPr>
                <m:e>
                  <m:r>
                    <m:t>K</m:t>
                  </m:r>
                  <m:r>
                    <m:rPr>
                      <m:sty m:val="p"/>
                    </m:rPr>
                    <m:t>/</m:t>
                  </m:r>
                  <m:r>
                    <m:t>W</m:t>
                  </m:r>
                </m:e>
              </m:d>
            </m:oMath>
          </w:p>
        </w:tc>
        <w:tc>
          <w:tcPr/>
          <w:p>
            <w:pPr>
              <w:pStyle w:val="Compact"/>
              <w:jc w:val="left"/>
            </w:pPr>
            <w:r>
              <w:t xml:space="preserve">Asymmetric sigmoid growth</w:t>
            </w:r>
          </w:p>
        </w:tc>
      </w:tr>
      <w:tr>
        <w:tc>
          <w:tcPr/>
          <w:p>
            <w:pPr>
              <w:pStyle w:val="Compact"/>
              <w:jc w:val="left"/>
            </w:pPr>
            <w:r>
              <w:t xml:space="preserve">First-order decay</w:t>
            </w:r>
          </w:p>
        </w:tc>
        <w:tc>
          <w:tcPr/>
          <w:p>
            <w:pPr>
              <w:pStyle w:val="Compact"/>
              <w:jc w:val="left"/>
            </w:pPr>
            <m:oMath>
              <m:r>
                <m:t>d</m:t>
              </m:r>
              <m:r>
                <m:t>C</m:t>
              </m:r>
              <m:r>
                <m:rPr>
                  <m:sty m:val="p"/>
                </m:rPr>
                <m:t>/</m:t>
              </m:r>
              <m:r>
                <m:t>d</m:t>
              </m:r>
              <m:r>
                <m:t>t</m:t>
              </m:r>
              <m:r>
                <m:rPr>
                  <m:sty m:val="p"/>
                </m:rPr>
                <m:t>=</m:t>
              </m:r>
              <m:r>
                <m:rPr>
                  <m:sty m:val="p"/>
                </m:rPr>
                <m:t>−</m:t>
              </m:r>
              <m:r>
                <m:t>k</m:t>
              </m:r>
              <m:r>
                <m:t>C</m:t>
              </m:r>
            </m:oMath>
          </w:p>
        </w:tc>
        <w:tc>
          <w:tcPr/>
          <w:p>
            <w:pPr>
              <w:pStyle w:val="Compact"/>
              <w:jc w:val="left"/>
            </w:pPr>
            <m:oMath>
              <m:r>
                <m:t>C</m:t>
              </m:r>
              <m:r>
                <m:rPr>
                  <m:sty m:val="p"/>
                </m:rPr>
                <m:t>=</m:t>
              </m:r>
              <m:sSub>
                <m:e>
                  <m:r>
                    <m:t>C</m:t>
                  </m:r>
                </m:e>
                <m:sub>
                  <m:r>
                    <m:t>0</m:t>
                  </m:r>
                </m:sub>
              </m:sSub>
              <m:sSup>
                <m:e>
                  <m:r>
                    <m:t>e</m:t>
                  </m:r>
                </m:e>
                <m:sup>
                  <m:r>
                    <m:rPr>
                      <m:sty m:val="p"/>
                    </m:rPr>
                    <m:t>−</m:t>
                  </m:r>
                  <m:r>
                    <m:t>k</m:t>
                  </m:r>
                  <m:r>
                    <m:t>t</m:t>
                  </m:r>
                </m:sup>
              </m:sSup>
            </m:oMath>
            <w:r>
              <w:t xml:space="preserve">, half-life</w:t>
            </w:r>
            <w:r>
              <w:t xml:space="preserve"> </w:t>
            </w:r>
            <m:oMath>
              <m:sSub>
                <m:e>
                  <m:r>
                    <m:t>t</m:t>
                  </m:r>
                </m:e>
                <m:sub>
                  <m:r>
                    <m:t>1</m:t>
                  </m:r>
                  <m:r>
                    <m:rPr>
                      <m:sty m:val="p"/>
                    </m:rPr>
                    <m:t>/</m:t>
                  </m:r>
                  <m:r>
                    <m:t>2</m:t>
                  </m:r>
                </m:sub>
              </m:sSub>
              <m:r>
                <m:rPr>
                  <m:sty m:val="p"/>
                </m:rPr>
                <m:t>=</m:t>
              </m:r>
              <m:r>
                <m:t>0.693</m:t>
              </m:r>
              <m:r>
                <m:rPr>
                  <m:sty m:val="p"/>
                </m:rPr>
                <m:t>/</m:t>
              </m:r>
              <m:r>
                <m:t>k</m:t>
              </m:r>
            </m:oMath>
            <w:r>
              <w:t xml:space="preserve"> </w:t>
            </w:r>
            <w:r>
              <w:t xml:space="preserve">— SOC decomposition, pesticide degradation, radioactive decay</w:t>
            </w:r>
          </w:p>
        </w:tc>
      </w:tr>
      <w:tr>
        <w:tc>
          <w:tcPr/>
          <w:p>
            <w:pPr>
              <w:pStyle w:val="Compact"/>
              <w:jc w:val="left"/>
            </w:pPr>
            <w:r>
              <w:t xml:space="preserve">Newton’s cooling</w:t>
            </w:r>
          </w:p>
        </w:tc>
        <w:tc>
          <w:tcPr/>
          <w:p>
            <w:pPr>
              <w:pStyle w:val="Compact"/>
              <w:jc w:val="left"/>
            </w:pPr>
            <m:oMath>
              <m:r>
                <m:t>d</m:t>
              </m:r>
              <m:r>
                <m:t>T</m:t>
              </m:r>
              <m:r>
                <m:rPr>
                  <m:sty m:val="p"/>
                </m:rPr>
                <m:t>/</m:t>
              </m:r>
              <m:r>
                <m:t>d</m:t>
              </m:r>
              <m:r>
                <m:t>t</m:t>
              </m:r>
              <m:r>
                <m:rPr>
                  <m:sty m:val="p"/>
                </m:rPr>
                <m:t>=</m:t>
              </m:r>
              <m:r>
                <m:rPr>
                  <m:sty m:val="p"/>
                </m:rPr>
                <m:t>−</m:t>
              </m:r>
              <m:r>
                <m:t>k</m:t>
              </m:r>
              <m:d>
                <m:dPr>
                  <m:begChr m:val="("/>
                  <m:endChr m:val=")"/>
                  <m:sepChr m:val=""/>
                  <m:grow/>
                </m:dPr>
                <m:e>
                  <m:r>
                    <m:t>T</m:t>
                  </m:r>
                  <m:r>
                    <m:rPr>
                      <m:sty m:val="p"/>
                    </m:rPr>
                    <m:t>−</m:t>
                  </m:r>
                  <m:sSub>
                    <m:e>
                      <m:r>
                        <m:t>T</m:t>
                      </m:r>
                    </m:e>
                    <m:sub>
                      <m:r>
                        <m:t>a</m:t>
                      </m:r>
                    </m:sub>
                  </m:sSub>
                </m:e>
              </m:d>
            </m:oMath>
          </w:p>
        </w:tc>
        <w:tc>
          <w:tcPr/>
          <w:p>
            <w:pPr>
              <w:pStyle w:val="Compact"/>
              <w:jc w:val="left"/>
            </w:pPr>
            <w:r>
              <w:t xml:space="preserve">Leaf/soil cooling</w:t>
            </w:r>
          </w:p>
        </w:tc>
      </w:tr>
      <w:tr>
        <w:tc>
          <w:tcPr/>
          <w:p>
            <w:pPr>
              <w:pStyle w:val="Compact"/>
              <w:jc w:val="left"/>
            </w:pPr>
            <w:r>
              <w:t xml:space="preserve">Beer–Lambert</w:t>
            </w:r>
          </w:p>
        </w:tc>
        <w:tc>
          <w:tcPr/>
          <w:p>
            <w:pPr>
              <w:pStyle w:val="Compact"/>
              <w:jc w:val="left"/>
            </w:pPr>
            <m:oMath>
              <m:r>
                <m:t>d</m:t>
              </m:r>
              <m:r>
                <m:t>I</m:t>
              </m:r>
              <m:r>
                <m:rPr>
                  <m:sty m:val="p"/>
                </m:rPr>
                <m:t>/</m:t>
              </m:r>
              <m:r>
                <m:t>d</m:t>
              </m:r>
              <m:r>
                <m:t>z</m:t>
              </m:r>
              <m:r>
                <m:rPr>
                  <m:sty m:val="p"/>
                </m:rPr>
                <m:t>=</m:t>
              </m:r>
              <m:r>
                <m:rPr>
                  <m:sty m:val="p"/>
                </m:rPr>
                <m:t>−</m:t>
              </m:r>
              <m:r>
                <m:t>k</m:t>
              </m:r>
              <m:r>
                <m:t>I</m:t>
              </m:r>
            </m:oMath>
          </w:p>
        </w:tc>
        <w:tc>
          <w:tcPr/>
          <w:p>
            <w:pPr>
              <w:pStyle w:val="Compact"/>
              <w:jc w:val="left"/>
            </w:pPr>
            <m:oMath>
              <m:r>
                <m:t>I</m:t>
              </m:r>
              <m:r>
                <m:rPr>
                  <m:sty m:val="p"/>
                </m:rPr>
                <m:t>=</m:t>
              </m:r>
              <m:sSub>
                <m:e>
                  <m:r>
                    <m:t>I</m:t>
                  </m:r>
                </m:e>
                <m:sub>
                  <m:r>
                    <m:t>0</m:t>
                  </m:r>
                </m:sub>
              </m:sSub>
              <m:sSup>
                <m:e>
                  <m:r>
                    <m:t>e</m:t>
                  </m:r>
                </m:e>
                <m:sup>
                  <m:r>
                    <m:rPr>
                      <m:sty m:val="p"/>
                    </m:rPr>
                    <m:t>−</m:t>
                  </m:r>
                  <m:r>
                    <m:t>k</m:t>
                  </m:r>
                  <m:r>
                    <m:t> </m:t>
                  </m:r>
                  <m:r>
                    <m:t>L</m:t>
                  </m:r>
                  <m:r>
                    <m:t>A</m:t>
                  </m:r>
                  <m:r>
                    <m:t>I</m:t>
                  </m:r>
                </m:sup>
              </m:sSup>
            </m:oMath>
            <w:r>
              <w:t xml:space="preserve"> </w:t>
            </w:r>
            <w:r>
              <w:t xml:space="preserve">— canopy light extinction; atmospheric attenuation</w:t>
            </w:r>
          </w:p>
        </w:tc>
      </w:tr>
      <w:tr>
        <w:tc>
          <w:tcPr/>
          <w:p>
            <w:pPr>
              <w:pStyle w:val="Compact"/>
              <w:jc w:val="left"/>
            </w:pPr>
            <w:r>
              <w:t xml:space="preserve">Heat diffusion</w:t>
            </w:r>
          </w:p>
        </w:tc>
        <w:tc>
          <w:tcPr/>
          <w:p>
            <w:pPr>
              <w:pStyle w:val="Compact"/>
              <w:jc w:val="left"/>
            </w:pPr>
            <m:oMath>
              <m:f>
                <m:fPr>
                  <m:type m:val="bar"/>
                </m:fPr>
                <m:num>
                  <m:r>
                    <m:rPr>
                      <m:sty m:val="p"/>
                    </m:rPr>
                    <m:t>∂</m:t>
                  </m:r>
                  <m:r>
                    <m:t>T</m:t>
                  </m:r>
                </m:num>
                <m:den>
                  <m:r>
                    <m:rPr>
                      <m:sty m:val="p"/>
                    </m:rPr>
                    <m:t>∂</m:t>
                  </m:r>
                  <m:r>
                    <m:t>t</m:t>
                  </m:r>
                </m:den>
              </m:f>
              <m:r>
                <m:rPr>
                  <m:sty m:val="p"/>
                </m:rPr>
                <m:t>=</m:t>
              </m:r>
              <m:r>
                <m:t>κ</m:t>
              </m:r>
              <m:f>
                <m:fPr>
                  <m:type m:val="bar"/>
                </m:fPr>
                <m:num>
                  <m:sSup>
                    <m:e>
                      <m:r>
                        <m:rPr>
                          <m:sty m:val="p"/>
                        </m:rPr>
                        <m:t>∂</m:t>
                      </m:r>
                    </m:e>
                    <m:sup>
                      <m:r>
                        <m:t>2</m:t>
                      </m:r>
                    </m:sup>
                  </m:sSup>
                  <m:r>
                    <m:t>T</m:t>
                  </m:r>
                </m:num>
                <m:den>
                  <m:r>
                    <m:rPr>
                      <m:sty m:val="p"/>
                    </m:rPr>
                    <m:t>∂</m:t>
                  </m:r>
                  <m:sSup>
                    <m:e>
                      <m:r>
                        <m:t>z</m:t>
                      </m:r>
                    </m:e>
                    <m:sup>
                      <m:r>
                        <m:t>2</m:t>
                      </m:r>
                    </m:sup>
                  </m:sSup>
                </m:den>
              </m:f>
            </m:oMath>
          </w:p>
        </w:tc>
        <w:tc>
          <w:tcPr/>
          <w:p>
            <w:pPr>
              <w:pStyle w:val="Compact"/>
              <w:jc w:val="left"/>
            </w:pPr>
            <w:r>
              <w:t xml:space="preserve">Soil temperature wave: amplitude</w:t>
            </w:r>
            <w:r>
              <w:t xml:space="preserve"> </w:t>
            </w:r>
            <m:oMath>
              <m:r>
                <m:t>A</m:t>
              </m:r>
              <m:d>
                <m:dPr>
                  <m:begChr m:val="("/>
                  <m:endChr m:val=")"/>
                  <m:sepChr m:val=""/>
                  <m:grow/>
                </m:dPr>
                <m:e>
                  <m:r>
                    <m:t>z</m:t>
                  </m:r>
                </m:e>
              </m:d>
              <m:r>
                <m:rPr>
                  <m:sty m:val="p"/>
                </m:rPr>
                <m:t>=</m:t>
              </m:r>
              <m:sSub>
                <m:e>
                  <m:r>
                    <m:t>A</m:t>
                  </m:r>
                </m:e>
                <m:sub>
                  <m:r>
                    <m:t>0</m:t>
                  </m:r>
                </m:sub>
              </m:sSub>
              <m:sSup>
                <m:e>
                  <m:r>
                    <m:t>e</m:t>
                  </m:r>
                </m:e>
                <m:sup>
                  <m:r>
                    <m:rPr>
                      <m:sty m:val="p"/>
                    </m:rPr>
                    <m:t>−</m:t>
                  </m:r>
                  <m:r>
                    <m:t>z</m:t>
                  </m:r>
                  <m:r>
                    <m:rPr>
                      <m:sty m:val="p"/>
                    </m:rPr>
                    <m:t>/</m:t>
                  </m:r>
                  <m:r>
                    <m:t>D</m:t>
                  </m:r>
                </m:sup>
              </m:sSup>
            </m:oMath>
            <w:r>
              <w:t xml:space="preserve">,</w:t>
            </w:r>
            <w:r>
              <w:t xml:space="preserve"> </w:t>
            </w:r>
            <m:oMath>
              <m:r>
                <m:t>D</m:t>
              </m:r>
              <m:r>
                <m:rPr>
                  <m:sty m:val="p"/>
                </m:rPr>
                <m:t>=</m:t>
              </m:r>
              <m:rad>
                <m:radPr>
                  <m:degHide m:val="on"/>
                </m:radPr>
                <m:deg/>
                <m:e>
                  <m:r>
                    <m:t>2</m:t>
                  </m:r>
                  <m:r>
                    <m:t>κ</m:t>
                  </m:r>
                  <m:r>
                    <m:rPr>
                      <m:sty m:val="p"/>
                    </m:rPr>
                    <m:t>/</m:t>
                  </m:r>
                  <m:r>
                    <m:t>ω</m:t>
                  </m:r>
                </m:e>
              </m:rad>
            </m:oMath>
          </w:p>
        </w:tc>
      </w:tr>
    </w:tbl>
    <w:p>
      <w:pPr>
        <w:pStyle w:val="BodyText"/>
      </w:pPr>
      <w:r>
        <w:t xml:space="preserve">Crop simulation models solve such equations numerically by</w:t>
      </w:r>
      <w:r>
        <w:t xml:space="preserve"> </w:t>
      </w:r>
      <w:r>
        <w:rPr>
          <w:bCs/>
          <w:b/>
        </w:rPr>
        <w:t xml:space="preserve">Euler integration</w:t>
      </w:r>
      <w:r>
        <w:t xml:space="preserve">:</w:t>
      </w:r>
      <w:r>
        <w:t xml:space="preserve"> </w:t>
      </w:r>
      <m:oMath>
        <m:r>
          <m:t>S</m:t>
        </m:r>
        <m:r>
          <m:t>t</m:t>
        </m:r>
        <m:r>
          <m:t>a</m:t>
        </m:r>
        <m:r>
          <m:t>t</m:t>
        </m:r>
        <m:sSub>
          <m:e>
            <m:r>
              <m:t>e</m:t>
            </m:r>
          </m:e>
          <m:sub>
            <m:r>
              <m:t>t</m:t>
            </m:r>
            <m:r>
              <m:rPr>
                <m:sty m:val="p"/>
              </m:rPr>
              <m:t>+</m:t>
            </m:r>
            <m:r>
              <m:t>Δ</m:t>
            </m:r>
            <m:r>
              <m:t>t</m:t>
            </m:r>
          </m:sub>
        </m:sSub>
        <m:r>
          <m:rPr>
            <m:sty m:val="p"/>
          </m:rPr>
          <m:t>=</m:t>
        </m:r>
        <m:r>
          <m:t>S</m:t>
        </m:r>
        <m:r>
          <m:t>t</m:t>
        </m:r>
        <m:r>
          <m:t>a</m:t>
        </m:r>
        <m:r>
          <m:t>t</m:t>
        </m:r>
        <m:sSub>
          <m:e>
            <m:r>
              <m:t>e</m:t>
            </m:r>
          </m:e>
          <m:sub>
            <m:r>
              <m:t>t</m:t>
            </m:r>
          </m:sub>
        </m:sSub>
        <m:r>
          <m:rPr>
            <m:sty m:val="p"/>
          </m:rPr>
          <m:t>+</m:t>
        </m:r>
        <m:r>
          <m:t>R</m:t>
        </m:r>
        <m:r>
          <m:t>a</m:t>
        </m:r>
        <m:r>
          <m:t>t</m:t>
        </m:r>
        <m:r>
          <m:t>e</m:t>
        </m:r>
        <m:r>
          <m:rPr>
            <m:sty m:val="p"/>
          </m:rPr>
          <m:t>×</m:t>
        </m:r>
        <m:r>
          <m:t>Δ</m:t>
        </m:r>
        <m:r>
          <m:t>t</m:t>
        </m:r>
      </m:oMath>
      <w:r>
        <w:t xml:space="preserve"> </w:t>
      </w:r>
      <w:r>
        <w:t xml:space="preserve">(Δt = 1 day).</w:t>
      </w:r>
    </w:p>
    <w:p>
      <w:pPr>
        <w:pStyle w:val="Heading3"/>
      </w:pPr>
      <w:r>
        <w:t xml:space="preserve">49.3.4 Series and approximations</w:t>
      </w:r>
    </w:p>
    <w:p>
      <w:pPr>
        <w:pStyle w:val="FirstParagraph"/>
      </w:pPr>
      <w:r>
        <w:t xml:space="preserve">Taylor series</w:t>
      </w:r>
      <w:r>
        <w:t xml:space="preserve"> </w:t>
      </w:r>
      <m:oMath>
        <m:r>
          <m:t>f</m:t>
        </m:r>
        <m:d>
          <m:dPr>
            <m:begChr m:val="("/>
            <m:endChr m:val=")"/>
            <m:sepChr m:val=""/>
            <m:grow/>
          </m:dPr>
          <m:e>
            <m:r>
              <m:t>x</m:t>
            </m:r>
            <m:r>
              <m:rPr>
                <m:sty m:val="p"/>
              </m:rPr>
              <m:t>+</m:t>
            </m:r>
            <m:r>
              <m:t>h</m:t>
            </m:r>
          </m:e>
        </m:d>
        <m:r>
          <m:rPr>
            <m:sty m:val="p"/>
          </m:rPr>
          <m:t>=</m:t>
        </m:r>
        <m:r>
          <m:t>f</m:t>
        </m:r>
        <m:d>
          <m:dPr>
            <m:begChr m:val="("/>
            <m:endChr m:val=")"/>
            <m:sepChr m:val=""/>
            <m:grow/>
          </m:dPr>
          <m:e>
            <m:r>
              <m:t>x</m:t>
            </m:r>
          </m:e>
        </m:d>
        <m:r>
          <m:rPr>
            <m:sty m:val="p"/>
          </m:rPr>
          <m:t>+</m:t>
        </m:r>
        <m:r>
          <m:t>h</m:t>
        </m:r>
        <m:r>
          <m:t>f</m:t>
        </m:r>
        <m:r>
          <m:rPr>
            <m:sty m:val="p"/>
          </m:rPr>
          <m:t>′</m:t>
        </m:r>
        <m:d>
          <m:dPr>
            <m:begChr m:val="("/>
            <m:endChr m:val=")"/>
            <m:sepChr m:val=""/>
            <m:grow/>
          </m:dPr>
          <m:e>
            <m:r>
              <m:t>x</m:t>
            </m:r>
          </m:e>
        </m:d>
        <m:r>
          <m:rPr>
            <m:sty m:val="p"/>
          </m:rPr>
          <m:t>+</m:t>
        </m:r>
        <m:f>
          <m:fPr>
            <m:type m:val="bar"/>
          </m:fPr>
          <m:num>
            <m:sSup>
              <m:e>
                <m:r>
                  <m:t>h</m:t>
                </m:r>
              </m:e>
              <m:sup>
                <m:r>
                  <m:t>2</m:t>
                </m:r>
              </m:sup>
            </m:sSup>
          </m:num>
          <m:den>
            <m:r>
              <m:t>2</m:t>
            </m:r>
            <m:r>
              <m:rPr>
                <m:sty m:val="p"/>
              </m:rPr>
              <m:t>!</m:t>
            </m:r>
          </m:den>
        </m:f>
        <m:r>
          <m:t>f</m:t>
        </m:r>
        <m:r>
          <m:rPr>
            <m:sty m:val="p"/>
          </m:rPr>
          <m:t>″</m:t>
        </m:r>
        <m:d>
          <m:dPr>
            <m:begChr m:val="("/>
            <m:endChr m:val=")"/>
            <m:sepChr m:val=""/>
            <m:grow/>
          </m:dPr>
          <m:e>
            <m:r>
              <m:t>x</m:t>
            </m:r>
          </m:e>
        </m:d>
        <m:r>
          <m:rPr>
            <m:sty m:val="p"/>
          </m:rPr>
          <m:t>+</m:t>
        </m:r>
        <m:r>
          <m:rPr>
            <m:sty m:val="p"/>
          </m:rPr>
          <m:t>…</m:t>
        </m:r>
      </m:oMath>
      <w:r>
        <w:t xml:space="preserve"> </w:t>
      </w:r>
      <w:r>
        <w:t xml:space="preserve">underlies linearisation (e.g., the Penman combination equation linearises</w:t>
      </w:r>
      <w:r>
        <w:t xml:space="preserve"> </w:t>
      </w:r>
      <m:oMath>
        <m:sSub>
          <m:e>
            <m:r>
              <m:t>e</m:t>
            </m:r>
          </m:e>
          <m:sub>
            <m:r>
              <m:t>s</m:t>
            </m:r>
          </m:sub>
        </m:sSub>
        <m:d>
          <m:dPr>
            <m:begChr m:val="("/>
            <m:endChr m:val=")"/>
            <m:sepChr m:val=""/>
            <m:grow/>
          </m:dPr>
          <m:e>
            <m:sSub>
              <m:e>
                <m:r>
                  <m:t>T</m:t>
                </m:r>
              </m:e>
              <m:sub>
                <m:r>
                  <m:t>s</m:t>
                </m:r>
              </m:sub>
            </m:sSub>
          </m:e>
        </m:d>
      </m:oMath>
      <w:r>
        <w:t xml:space="preserve"> </w:t>
      </w:r>
      <w:r>
        <w:t xml:space="preserve">about air temperature), finite-difference schemes in NWP, and error propagation.</w:t>
      </w:r>
    </w:p>
    <w:p>
      <w:pPr>
        <w:pStyle w:val="Heading2"/>
      </w:pPr>
      <w:r>
        <w:t xml:space="preserve">49.4 Matrices and Determinants</w:t>
      </w:r>
    </w:p>
    <w:p>
      <w:pPr>
        <w:pStyle w:val="Heading3"/>
      </w:pPr>
      <w:r>
        <w:t xml:space="preserve">49.4.1 Definitions and operations</w:t>
      </w:r>
    </w:p>
    <w:p>
      <w:pPr>
        <w:pStyle w:val="Compact"/>
        <w:numPr>
          <w:ilvl w:val="0"/>
          <w:numId w:val="1382"/>
        </w:numPr>
      </w:pPr>
      <w:r>
        <w:t xml:space="preserve">An m × n matrix is a rectangular array; a multispectral image band set or an error matrix are matrices.</w:t>
      </w:r>
    </w:p>
    <w:p>
      <w:pPr>
        <w:pStyle w:val="Compact"/>
        <w:numPr>
          <w:ilvl w:val="0"/>
          <w:numId w:val="1382"/>
        </w:numPr>
      </w:pPr>
      <w:r>
        <w:t xml:space="preserve">Types: square, diagonal, identity (I), symmetric (</w:t>
      </w:r>
      <m:oMath>
        <m:r>
          <m:t>A</m:t>
        </m:r>
        <m:r>
          <m:rPr>
            <m:sty m:val="p"/>
          </m:rPr>
          <m:t>=</m:t>
        </m:r>
        <m:sSup>
          <m:e>
            <m:r>
              <m:t>A</m:t>
            </m:r>
          </m:e>
          <m:sup>
            <m:r>
              <m:t>T</m:t>
            </m:r>
          </m:sup>
        </m:sSup>
      </m:oMath>
      <w:r>
        <w:t xml:space="preserve">; covariance/correlation matrices), orthogonal (</w:t>
      </w:r>
      <m:oMath>
        <m:sSup>
          <m:e>
            <m:r>
              <m:t>A</m:t>
            </m:r>
          </m:e>
          <m:sup>
            <m:r>
              <m:t>T</m:t>
            </m:r>
          </m:sup>
        </m:sSup>
        <m:r>
          <m:t>A</m:t>
        </m:r>
        <m:r>
          <m:rPr>
            <m:sty m:val="p"/>
          </m:rPr>
          <m:t>=</m:t>
        </m:r>
        <m:r>
          <m:t>I</m:t>
        </m:r>
      </m:oMath>
      <w:r>
        <w:t xml:space="preserve">; rotation/PCA eigenvector matrix), singular (|A| = 0).</w:t>
      </w:r>
    </w:p>
    <w:p>
      <w:pPr>
        <w:pStyle w:val="Compact"/>
        <w:numPr>
          <w:ilvl w:val="0"/>
          <w:numId w:val="1382"/>
        </w:numPr>
      </w:pPr>
      <w:r>
        <w:rPr>
          <w:bCs/>
          <w:b/>
        </w:rPr>
        <w:t xml:space="preserve">Addition</w:t>
      </w:r>
      <w:r>
        <w:t xml:space="preserve"> </w:t>
      </w:r>
      <w:r>
        <w:t xml:space="preserve">(same order),</w:t>
      </w:r>
      <w:r>
        <w:t xml:space="preserve"> </w:t>
      </w:r>
      <w:r>
        <w:rPr>
          <w:bCs/>
          <w:b/>
        </w:rPr>
        <w:t xml:space="preserve">scalar multiplication</w:t>
      </w:r>
      <w:r>
        <w:t xml:space="preserve">,</w:t>
      </w:r>
      <w:r>
        <w:t xml:space="preserve"> </w:t>
      </w:r>
      <w:r>
        <w:rPr>
          <w:bCs/>
          <w:b/>
        </w:rPr>
        <w:t xml:space="preserve">matrix product</w:t>
      </w:r>
      <w:r>
        <w:t xml:space="preserve"> </w:t>
      </w:r>
      <m:oMath>
        <m:sSub>
          <m:e>
            <m:d>
              <m:dPr>
                <m:begChr m:val="("/>
                <m:endChr m:val=")"/>
                <m:sepChr m:val=""/>
                <m:grow/>
              </m:dPr>
              <m:e>
                <m:r>
                  <m:t>A</m:t>
                </m:r>
                <m:r>
                  <m:t>B</m:t>
                </m:r>
              </m:e>
            </m:d>
          </m:e>
          <m:sub>
            <m:r>
              <m:t>i</m:t>
            </m:r>
            <m:r>
              <m:t>j</m:t>
            </m:r>
          </m:sub>
        </m:sSub>
        <m:r>
          <m:rPr>
            <m:sty m:val="p"/>
          </m:rPr>
          <m:t>=</m:t>
        </m:r>
        <m:nary>
          <m:naryPr>
            <m:chr m:val="∑"/>
            <m:limLoc m:val="undOvr"/>
            <m:subHide m:val="off"/>
            <m:supHide m:val="on"/>
          </m:naryPr>
          <m:sub>
            <m:r>
              <m:t>k</m:t>
            </m:r>
          </m:sub>
          <m:sup>
            <m:r>
              <m:t>​</m:t>
            </m:r>
          </m:sup>
          <m:e>
            <m:sSub>
              <m:e>
                <m:r>
                  <m:t>a</m:t>
                </m:r>
              </m:e>
              <m:sub>
                <m:r>
                  <m:t>i</m:t>
                </m:r>
                <m:r>
                  <m:t>k</m:t>
                </m:r>
              </m:sub>
            </m:sSub>
          </m:e>
        </m:nary>
        <m:sSub>
          <m:e>
            <m:r>
              <m:t>b</m:t>
            </m:r>
          </m:e>
          <m:sub>
            <m:r>
              <m:t>k</m:t>
            </m:r>
            <m:r>
              <m:t>j</m:t>
            </m:r>
          </m:sub>
        </m:sSub>
      </m:oMath>
      <w:r>
        <w:t xml:space="preserve"> </w:t>
      </w:r>
      <w:r>
        <w:t xml:space="preserve">(columns of A = rows of B; generally AB ≠ BA),</w:t>
      </w:r>
      <w:r>
        <w:t xml:space="preserve"> </w:t>
      </w:r>
      <w:r>
        <w:rPr>
          <w:bCs/>
          <w:b/>
        </w:rPr>
        <w:t xml:space="preserve">transpose</w:t>
      </w:r>
      <w:r>
        <w:t xml:space="preserve"> </w:t>
      </w:r>
      <m:oMath>
        <m:sSup>
          <m:e>
            <m:d>
              <m:dPr>
                <m:begChr m:val="("/>
                <m:endChr m:val=")"/>
                <m:sepChr m:val=""/>
                <m:grow/>
              </m:dPr>
              <m:e>
                <m:r>
                  <m:t>A</m:t>
                </m:r>
                <m:r>
                  <m:t>B</m:t>
                </m:r>
              </m:e>
            </m:d>
          </m:e>
          <m:sup>
            <m:r>
              <m:t>T</m:t>
            </m:r>
          </m:sup>
        </m:sSup>
        <m:r>
          <m:rPr>
            <m:sty m:val="p"/>
          </m:rPr>
          <m:t>=</m:t>
        </m:r>
        <m:sSup>
          <m:e>
            <m:r>
              <m:t>B</m:t>
            </m:r>
          </m:e>
          <m:sup>
            <m:r>
              <m:t>T</m:t>
            </m:r>
          </m:sup>
        </m:sSup>
        <m:sSup>
          <m:e>
            <m:r>
              <m:t>A</m:t>
            </m:r>
          </m:e>
          <m:sup>
            <m:r>
              <m:t>T</m:t>
            </m:r>
          </m:sup>
        </m:sSup>
      </m:oMath>
      <w:r>
        <w:t xml:space="preserve">.</w:t>
      </w:r>
    </w:p>
    <w:p>
      <w:pPr>
        <w:pStyle w:val="Heading3"/>
      </w:pPr>
      <w:r>
        <w:t xml:space="preserve">49.4.2 Determinants</w:t>
      </w:r>
    </w:p>
    <w:p>
      <w:pPr>
        <w:pStyle w:val="Compact"/>
        <w:numPr>
          <w:ilvl w:val="0"/>
          <w:numId w:val="1383"/>
        </w:numPr>
      </w:pPr>
      <w:r>
        <w:t xml:space="preserve">2 × 2:</w:t>
      </w:r>
      <w:r>
        <w:t xml:space="preserve"> </w:t>
      </w:r>
      <m:oMath>
        <m:d>
          <m:dPr>
            <m:begChr m:val="∣"/>
            <m:endChr m:val="∣"/>
            <m:sepChr m:val=""/>
            <m:grow/>
          </m:dPr>
          <m:e>
            <m:m>
              <m:mPr>
                <m:baseJc m:val="center"/>
                <m:plcHide m:val="on"/>
                <m:mcs>
                  <m:mc>
                    <m:mcPr>
                      <m:mcJc m:val="center"/>
                      <m:count m:val="1"/>
                    </m:mcPr>
                  </m:mc>
                  <m:mc>
                    <m:mcPr>
                      <m:mcJc m:val="center"/>
                      <m:count m:val="1"/>
                    </m:mcPr>
                  </m:mc>
                </m:mcs>
              </m:mPr>
              <m:mr>
                <m:e>
                  <m:r>
                    <m:t>a</m:t>
                  </m:r>
                </m:e>
                <m:e>
                  <m:r>
                    <m:t>b</m:t>
                  </m:r>
                </m:e>
              </m:mr>
              <m:mr>
                <m:e>
                  <m:r>
                    <m:t>c</m:t>
                  </m:r>
                </m:e>
                <m:e>
                  <m:r>
                    <m:t>d</m:t>
                  </m:r>
                </m:e>
              </m:mr>
            </m:m>
          </m:e>
        </m:d>
        <m:r>
          <m:rPr>
            <m:sty m:val="p"/>
          </m:rPr>
          <m:t>=</m:t>
        </m:r>
        <m:r>
          <m:t>a</m:t>
        </m:r>
        <m:r>
          <m:t>d</m:t>
        </m:r>
        <m:r>
          <m:rPr>
            <m:sty m:val="p"/>
          </m:rPr>
          <m:t>−</m:t>
        </m:r>
        <m:r>
          <m:t>b</m:t>
        </m:r>
        <m:r>
          <m:t>c</m:t>
        </m:r>
      </m:oMath>
      <w:r>
        <w:t xml:space="preserve">.</w:t>
      </w:r>
    </w:p>
    <w:p>
      <w:pPr>
        <w:pStyle w:val="Compact"/>
        <w:numPr>
          <w:ilvl w:val="0"/>
          <w:numId w:val="1383"/>
        </w:numPr>
      </w:pPr>
      <w:r>
        <w:t xml:space="preserve">3 × 3 by cofactor expansion:</w:t>
      </w:r>
      <w:r>
        <w:t xml:space="preserve"> </w:t>
      </w:r>
      <m:oMath>
        <m:d>
          <m:dPr>
            <m:begChr m:val="|"/>
            <m:endChr m:val="|"/>
            <m:sepChr m:val=""/>
            <m:grow/>
          </m:dPr>
          <m:e>
            <m:r>
              <m:t>A</m:t>
            </m:r>
          </m:e>
        </m:d>
        <m:r>
          <m:rPr>
            <m:sty m:val="p"/>
          </m:rPr>
          <m:t>=</m:t>
        </m:r>
        <m:sSub>
          <m:e>
            <m:r>
              <m:t>a</m:t>
            </m:r>
          </m:e>
          <m:sub>
            <m:r>
              <m:t>11</m:t>
            </m:r>
          </m:sub>
        </m:sSub>
        <m:d>
          <m:dPr>
            <m:begChr m:val="("/>
            <m:endChr m:val=")"/>
            <m:sepChr m:val=""/>
            <m:grow/>
          </m:dPr>
          <m:e>
            <m:sSub>
              <m:e>
                <m:r>
                  <m:t>a</m:t>
                </m:r>
              </m:e>
              <m:sub>
                <m:r>
                  <m:t>22</m:t>
                </m:r>
              </m:sub>
            </m:sSub>
            <m:sSub>
              <m:e>
                <m:r>
                  <m:t>a</m:t>
                </m:r>
              </m:e>
              <m:sub>
                <m:r>
                  <m:t>33</m:t>
                </m:r>
              </m:sub>
            </m:sSub>
            <m:r>
              <m:rPr>
                <m:sty m:val="p"/>
              </m:rPr>
              <m:t>−</m:t>
            </m:r>
            <m:sSub>
              <m:e>
                <m:r>
                  <m:t>a</m:t>
                </m:r>
              </m:e>
              <m:sub>
                <m:r>
                  <m:t>23</m:t>
                </m:r>
              </m:sub>
            </m:sSub>
            <m:sSub>
              <m:e>
                <m:r>
                  <m:t>a</m:t>
                </m:r>
              </m:e>
              <m:sub>
                <m:r>
                  <m:t>32</m:t>
                </m:r>
              </m:sub>
            </m:sSub>
          </m:e>
        </m:d>
        <m:r>
          <m:rPr>
            <m:sty m:val="p"/>
          </m:rPr>
          <m:t>−</m:t>
        </m:r>
        <m:sSub>
          <m:e>
            <m:r>
              <m:t>a</m:t>
            </m:r>
          </m:e>
          <m:sub>
            <m:r>
              <m:t>12</m:t>
            </m:r>
          </m:sub>
        </m:sSub>
        <m:d>
          <m:dPr>
            <m:begChr m:val="("/>
            <m:endChr m:val=")"/>
            <m:sepChr m:val=""/>
            <m:grow/>
          </m:dPr>
          <m:e>
            <m:sSub>
              <m:e>
                <m:r>
                  <m:t>a</m:t>
                </m:r>
              </m:e>
              <m:sub>
                <m:r>
                  <m:t>21</m:t>
                </m:r>
              </m:sub>
            </m:sSub>
            <m:sSub>
              <m:e>
                <m:r>
                  <m:t>a</m:t>
                </m:r>
              </m:e>
              <m:sub>
                <m:r>
                  <m:t>33</m:t>
                </m:r>
              </m:sub>
            </m:sSub>
            <m:r>
              <m:rPr>
                <m:sty m:val="p"/>
              </m:rPr>
              <m:t>−</m:t>
            </m:r>
            <m:sSub>
              <m:e>
                <m:r>
                  <m:t>a</m:t>
                </m:r>
              </m:e>
              <m:sub>
                <m:r>
                  <m:t>23</m:t>
                </m:r>
              </m:sub>
            </m:sSub>
            <m:sSub>
              <m:e>
                <m:r>
                  <m:t>a</m:t>
                </m:r>
              </m:e>
              <m:sub>
                <m:r>
                  <m:t>31</m:t>
                </m:r>
              </m:sub>
            </m:sSub>
          </m:e>
        </m:d>
        <m:r>
          <m:rPr>
            <m:sty m:val="p"/>
          </m:rPr>
          <m:t>+</m:t>
        </m:r>
        <m:sSub>
          <m:e>
            <m:r>
              <m:t>a</m:t>
            </m:r>
          </m:e>
          <m:sub>
            <m:r>
              <m:t>13</m:t>
            </m:r>
          </m:sub>
        </m:sSub>
        <m:d>
          <m:dPr>
            <m:begChr m:val="("/>
            <m:endChr m:val=")"/>
            <m:sepChr m:val=""/>
            <m:grow/>
          </m:dPr>
          <m:e>
            <m:sSub>
              <m:e>
                <m:r>
                  <m:t>a</m:t>
                </m:r>
              </m:e>
              <m:sub>
                <m:r>
                  <m:t>21</m:t>
                </m:r>
              </m:sub>
            </m:sSub>
            <m:sSub>
              <m:e>
                <m:r>
                  <m:t>a</m:t>
                </m:r>
              </m:e>
              <m:sub>
                <m:r>
                  <m:t>32</m:t>
                </m:r>
              </m:sub>
            </m:sSub>
            <m:r>
              <m:rPr>
                <m:sty m:val="p"/>
              </m:rPr>
              <m:t>−</m:t>
            </m:r>
            <m:sSub>
              <m:e>
                <m:r>
                  <m:t>a</m:t>
                </m:r>
              </m:e>
              <m:sub>
                <m:r>
                  <m:t>22</m:t>
                </m:r>
              </m:sub>
            </m:sSub>
            <m:sSub>
              <m:e>
                <m:r>
                  <m:t>a</m:t>
                </m:r>
              </m:e>
              <m:sub>
                <m:r>
                  <m:t>31</m:t>
                </m:r>
              </m:sub>
            </m:sSub>
          </m:e>
        </m:d>
      </m:oMath>
      <w:r>
        <w:t xml:space="preserve">.</w:t>
      </w:r>
    </w:p>
    <w:p>
      <w:pPr>
        <w:pStyle w:val="Compact"/>
        <w:numPr>
          <w:ilvl w:val="0"/>
          <w:numId w:val="1383"/>
        </w:numPr>
      </w:pPr>
      <w:r>
        <w:t xml:space="preserve">Properties: row interchange changes sign; two identical rows ⇒ |A| = 0;</w:t>
      </w:r>
      <w:r>
        <w:t xml:space="preserve"> </w:t>
      </w:r>
      <m:oMath>
        <m:d>
          <m:dPr>
            <m:begChr m:val="|"/>
            <m:endChr m:val="|"/>
            <m:sepChr m:val=""/>
            <m:grow/>
          </m:dPr>
          <m:e>
            <m:r>
              <m:t>A</m:t>
            </m:r>
            <m:r>
              <m:t>B</m:t>
            </m:r>
          </m:e>
        </m:d>
        <m:r>
          <m:rPr>
            <m:sty m:val="p"/>
          </m:rPr>
          <m:t>=</m:t>
        </m:r>
        <m:d>
          <m:dPr>
            <m:begChr m:val="|"/>
            <m:endChr m:val="|"/>
            <m:sepChr m:val=""/>
            <m:grow/>
          </m:dPr>
          <m:e>
            <m:r>
              <m:t>A</m:t>
            </m:r>
          </m:e>
        </m:d>
        <m:d>
          <m:dPr>
            <m:begChr m:val="|"/>
            <m:endChr m:val="|"/>
            <m:sepChr m:val=""/>
            <m:grow/>
          </m:dPr>
          <m:e>
            <m:r>
              <m:t>B</m:t>
            </m:r>
          </m:e>
        </m:d>
      </m:oMath>
      <w:r>
        <w:t xml:space="preserve">;</w:t>
      </w:r>
      <w:r>
        <w:t xml:space="preserve"> </w:t>
      </w:r>
      <m:oMath>
        <m:d>
          <m:dPr>
            <m:begChr m:val="|"/>
            <m:endChr m:val="|"/>
            <m:sepChr m:val=""/>
            <m:grow/>
          </m:dPr>
          <m:e>
            <m:sSup>
              <m:e>
                <m:r>
                  <m:t>A</m:t>
                </m:r>
              </m:e>
              <m:sup>
                <m:r>
                  <m:t>T</m:t>
                </m:r>
              </m:sup>
            </m:sSup>
          </m:e>
        </m:d>
        <m:r>
          <m:rPr>
            <m:sty m:val="p"/>
          </m:rPr>
          <m:t>=</m:t>
        </m:r>
        <m:d>
          <m:dPr>
            <m:begChr m:val="|"/>
            <m:endChr m:val="|"/>
            <m:sepChr m:val=""/>
            <m:grow/>
          </m:dPr>
          <m:e>
            <m:r>
              <m:t>A</m:t>
            </m:r>
          </m:e>
        </m:d>
      </m:oMath>
      <w:r>
        <w:t xml:space="preserve">; multiplying a row by k multiplies |A| by k.</w:t>
      </w:r>
    </w:p>
    <w:p>
      <w:pPr>
        <w:pStyle w:val="Compact"/>
        <w:numPr>
          <w:ilvl w:val="0"/>
          <w:numId w:val="1383"/>
        </w:numPr>
      </w:pPr>
      <w:r>
        <w:t xml:space="preserve">Geometric meaning: scale factor of area/volume under the transform (|J| of a geometric transformation; the area of a triangle with vertices</w:t>
      </w:r>
      <w:r>
        <w:t xml:space="preserve"> </w:t>
      </w:r>
      <m:oMath>
        <m:d>
          <m:dPr>
            <m:begChr m:val="("/>
            <m:endChr m:val=")"/>
            <m:sepChr m:val=""/>
            <m:grow/>
          </m:dPr>
          <m:e>
            <m:sSub>
              <m:e>
                <m:r>
                  <m:t>x</m:t>
                </m:r>
              </m:e>
              <m:sub>
                <m:r>
                  <m:t>i</m:t>
                </m:r>
              </m:sub>
            </m:sSub>
            <m:r>
              <m:rPr>
                <m:sty m:val="p"/>
              </m:rPr>
              <m:t>,</m:t>
            </m:r>
            <m:sSub>
              <m:e>
                <m:r>
                  <m:t>y</m:t>
                </m:r>
              </m:e>
              <m:sub>
                <m:r>
                  <m:t>i</m:t>
                </m:r>
              </m:sub>
            </m:sSub>
          </m:e>
        </m:d>
      </m:oMath>
      <w:r>
        <w:t xml:space="preserve"> </w:t>
      </w:r>
      <w:r>
        <w:t xml:space="preserve">is</w:t>
      </w:r>
      <w:r>
        <w:t xml:space="preserve"> </w:t>
      </w:r>
      <m:oMath>
        <m:f>
          <m:fPr>
            <m:type m:val="lin"/>
          </m:fPr>
          <m:num>
            <m:r>
              <m:t>1</m:t>
            </m:r>
          </m:num>
          <m:den>
            <m:r>
              <m:t>2</m:t>
            </m:r>
          </m:den>
        </m:f>
        <m:d>
          <m:dPr>
            <m:begChr m:val="|"/>
            <m:endChr m:val="|"/>
            <m:sepChr m:val=""/>
            <m:grow/>
          </m:dPr>
          <m:e>
            <m:r>
              <m:rPr>
                <m:sty m:val="p"/>
              </m:rPr>
              <m:t>det</m:t>
            </m:r>
          </m:e>
        </m:d>
      </m:oMath>
      <w:r>
        <w:t xml:space="preserve"> </w:t>
      </w:r>
      <w:r>
        <w:t xml:space="preserve">of</w:t>
      </w:r>
      <w:r>
        <w:t xml:space="preserve"> </w:t>
      </w: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x</m:t>
                      </m:r>
                    </m:e>
                    <m:sub>
                      <m:r>
                        <m:t>1</m:t>
                      </m:r>
                    </m:sub>
                  </m:sSub>
                </m:e>
                <m:e>
                  <m:sSub>
                    <m:e>
                      <m:r>
                        <m:t>y</m:t>
                      </m:r>
                    </m:e>
                    <m:sub>
                      <m:r>
                        <m:t>1</m:t>
                      </m:r>
                    </m:sub>
                  </m:sSub>
                </m:e>
                <m:e>
                  <m:r>
                    <m:t>1</m:t>
                  </m:r>
                </m:e>
              </m:mr>
              <m:mr>
                <m:e>
                  <m:sSub>
                    <m:e>
                      <m:r>
                        <m:t>x</m:t>
                      </m:r>
                    </m:e>
                    <m:sub>
                      <m:r>
                        <m:t>2</m:t>
                      </m:r>
                    </m:sub>
                  </m:sSub>
                </m:e>
                <m:e>
                  <m:sSub>
                    <m:e>
                      <m:r>
                        <m:t>y</m:t>
                      </m:r>
                    </m:e>
                    <m:sub>
                      <m:r>
                        <m:t>2</m:t>
                      </m:r>
                    </m:sub>
                  </m:sSub>
                </m:e>
                <m:e>
                  <m:r>
                    <m:t>1</m:t>
                  </m:r>
                </m:e>
              </m:mr>
              <m:mr>
                <m:e>
                  <m:sSub>
                    <m:e>
                      <m:r>
                        <m:t>x</m:t>
                      </m:r>
                    </m:e>
                    <m:sub>
                      <m:r>
                        <m:t>3</m:t>
                      </m:r>
                    </m:sub>
                  </m:sSub>
                </m:e>
                <m:e>
                  <m:sSub>
                    <m:e>
                      <m:r>
                        <m:t>y</m:t>
                      </m:r>
                    </m:e>
                    <m:sub>
                      <m:r>
                        <m:t>3</m:t>
                      </m:r>
                    </m:sub>
                  </m:sSub>
                </m:e>
                <m:e>
                  <m:r>
                    <m:t>1</m:t>
                  </m:r>
                </m:e>
              </m:mr>
            </m:m>
          </m:e>
        </m:d>
      </m:oMath>
      <w:r>
        <w:t xml:space="preserve"> </w:t>
      </w:r>
      <w:r>
        <w:t xml:space="preserve">— used in GIS polygon area).</w:t>
      </w:r>
    </w:p>
    <w:p>
      <w:pPr>
        <w:pStyle w:val="Heading3"/>
      </w:pPr>
      <w:r>
        <w:t xml:space="preserve">49.4.3 Inverse and linear systems</w:t>
      </w:r>
    </w:p>
    <w:p>
      <w:pPr>
        <w:pStyle w:val="Compact"/>
        <w:numPr>
          <w:ilvl w:val="0"/>
          <w:numId w:val="1384"/>
        </w:numPr>
      </w:pPr>
      <m:oMath>
        <m:sSup>
          <m:e>
            <m:r>
              <m:t>A</m:t>
            </m:r>
          </m:e>
          <m:sup>
            <m:r>
              <m:rPr>
                <m:sty m:val="p"/>
              </m:rPr>
              <m:t>−</m:t>
            </m:r>
            <m:r>
              <m:t>1</m:t>
            </m:r>
          </m:sup>
        </m:sSup>
        <m:r>
          <m:rPr>
            <m:sty m:val="p"/>
          </m:rPr>
          <m:t>=</m:t>
        </m:r>
        <m:f>
          <m:fPr>
            <m:type m:val="bar"/>
          </m:fPr>
          <m:num>
            <m:r>
              <m:rPr>
                <m:sty m:val="p"/>
              </m:rPr>
              <m:t>adj</m:t>
            </m:r>
            <m:r>
              <m:t>A</m:t>
            </m:r>
          </m:num>
          <m:den>
            <m:d>
              <m:dPr>
                <m:begChr m:val="|"/>
                <m:endChr m:val="|"/>
                <m:sepChr m:val=""/>
                <m:grow/>
              </m:dPr>
              <m:e>
                <m:r>
                  <m:t>A</m:t>
                </m:r>
              </m:e>
            </m:d>
          </m:den>
        </m:f>
      </m:oMath>
      <w:r>
        <w:t xml:space="preserve"> </w:t>
      </w:r>
      <w:r>
        <w:t xml:space="preserve">(exists only if |A| ≠ 0); for 2 × 2,</w:t>
      </w:r>
      <w:r>
        <w:t xml:space="preserve"> </w:t>
      </w:r>
      <m:oMath>
        <m:sSup>
          <m:e>
            <m:r>
              <m:t>A</m:t>
            </m:r>
          </m:e>
          <m:sup>
            <m:r>
              <m:rPr>
                <m:sty m:val="p"/>
              </m:rPr>
              <m:t>−</m:t>
            </m:r>
            <m:r>
              <m:t>1</m:t>
            </m:r>
          </m:sup>
        </m:sSup>
        <m:r>
          <m:rPr>
            <m:sty m:val="p"/>
          </m:rPr>
          <m:t>=</m:t>
        </m:r>
        <m:f>
          <m:fPr>
            <m:type m:val="bar"/>
          </m:fPr>
          <m:num>
            <m:r>
              <m:t>1</m:t>
            </m:r>
          </m:num>
          <m:den>
            <m:r>
              <m:t>a</m:t>
            </m:r>
            <m:r>
              <m:t>d</m:t>
            </m:r>
            <m:r>
              <m:rPr>
                <m:sty m:val="p"/>
              </m:rPr>
              <m:t>−</m:t>
            </m:r>
            <m:r>
              <m:t>b</m:t>
            </m:r>
            <m:r>
              <m:t>c</m:t>
            </m:r>
          </m:den>
        </m:f>
        <m:d>
          <m:dPr>
            <m:begChr m:val="["/>
            <m:endChr m:val="]"/>
            <m:sepChr m:val=""/>
            <m:grow/>
          </m:dPr>
          <m:e>
            <m:m>
              <m:mPr>
                <m:baseJc m:val="center"/>
                <m:plcHide m:val="on"/>
                <m:mcs>
                  <m:mc>
                    <m:mcPr>
                      <m:mcJc m:val="center"/>
                      <m:count m:val="1"/>
                    </m:mcPr>
                  </m:mc>
                  <m:mc>
                    <m:mcPr>
                      <m:mcJc m:val="center"/>
                      <m:count m:val="1"/>
                    </m:mcPr>
                  </m:mc>
                </m:mcs>
              </m:mPr>
              <m:mr>
                <m:e>
                  <m:r>
                    <m:t>d</m:t>
                  </m:r>
                </m:e>
                <m:e>
                  <m:r>
                    <m:rPr>
                      <m:sty m:val="p"/>
                    </m:rPr>
                    <m:t>−</m:t>
                  </m:r>
                  <m:r>
                    <m:t>b</m:t>
                  </m:r>
                </m:e>
              </m:mr>
              <m:mr>
                <m:e>
                  <m:r>
                    <m:rPr>
                      <m:sty m:val="p"/>
                    </m:rPr>
                    <m:t>−</m:t>
                  </m:r>
                  <m:r>
                    <m:t>c</m:t>
                  </m:r>
                </m:e>
                <m:e>
                  <m:r>
                    <m:t>a</m:t>
                  </m:r>
                </m:e>
              </m:mr>
            </m:m>
          </m:e>
        </m:d>
      </m:oMath>
      <w:r>
        <w:t xml:space="preserve">.</w:t>
      </w:r>
    </w:p>
    <w:p>
      <w:pPr>
        <w:pStyle w:val="Compact"/>
        <w:numPr>
          <w:ilvl w:val="0"/>
          <w:numId w:val="1384"/>
        </w:numPr>
      </w:pPr>
      <w:r>
        <w:t xml:space="preserve">System</w:t>
      </w:r>
      <w:r>
        <w:t xml:space="preserve"> </w:t>
      </w:r>
      <m:oMath>
        <m:r>
          <m:t>A</m:t>
        </m:r>
        <m:r>
          <m:rPr>
            <m:sty m:val="b"/>
          </m:rPr>
          <m:t>x</m:t>
        </m:r>
        <m:r>
          <m:rPr>
            <m:sty m:val="p"/>
          </m:rPr>
          <m:t>=</m:t>
        </m:r>
        <m:r>
          <m:rPr>
            <m:sty m:val="b"/>
          </m:rPr>
          <m:t>b</m:t>
        </m:r>
      </m:oMath>
      <w:r>
        <w:t xml:space="preserve"> </w:t>
      </w:r>
      <w:r>
        <w:t xml:space="preserve">⇒</w:t>
      </w:r>
      <w:r>
        <w:t xml:space="preserve"> </w:t>
      </w:r>
      <m:oMath>
        <m:r>
          <m:rPr>
            <m:sty m:val="b"/>
          </m:rPr>
          <m:t>x</m:t>
        </m:r>
        <m:r>
          <m:rPr>
            <m:sty m:val="p"/>
          </m:rPr>
          <m:t>=</m:t>
        </m:r>
        <m:sSup>
          <m:e>
            <m:r>
              <m:t>A</m:t>
            </m:r>
          </m:e>
          <m:sup>
            <m:r>
              <m:rPr>
                <m:sty m:val="p"/>
              </m:rPr>
              <m:t>−</m:t>
            </m:r>
            <m:r>
              <m:t>1</m:t>
            </m:r>
          </m:sup>
        </m:sSup>
        <m:r>
          <m:rPr>
            <m:sty m:val="b"/>
          </m:rPr>
          <m:t>b</m:t>
        </m:r>
      </m:oMath>
      <w:r>
        <w:t xml:space="preserve">;</w:t>
      </w:r>
      <w:r>
        <w:t xml:space="preserve"> </w:t>
      </w:r>
      <w:r>
        <w:rPr>
          <w:bCs/>
          <w:b/>
        </w:rPr>
        <w:t xml:space="preserve">Cramer’s rule</w:t>
      </w:r>
      <w:r>
        <w:t xml:space="preserve"> </w:t>
      </w:r>
      <m:oMath>
        <m:sSub>
          <m:e>
            <m:r>
              <m:t>x</m:t>
            </m:r>
          </m:e>
          <m:sub>
            <m:r>
              <m:t>i</m:t>
            </m:r>
          </m:sub>
        </m:sSub>
        <m:r>
          <m:rPr>
            <m:sty m:val="p"/>
          </m:rPr>
          <m:t>=</m:t>
        </m:r>
        <m:d>
          <m:dPr>
            <m:begChr m:val="|"/>
            <m:endChr m:val="|"/>
            <m:sepChr m:val=""/>
            <m:grow/>
          </m:dPr>
          <m:e>
            <m:sSub>
              <m:e>
                <m:r>
                  <m:t>A</m:t>
                </m:r>
              </m:e>
              <m:sub>
                <m:r>
                  <m:t>i</m:t>
                </m:r>
              </m:sub>
            </m:sSub>
          </m:e>
        </m:d>
        <m:r>
          <m:rPr>
            <m:sty m:val="p"/>
          </m:rPr>
          <m:t>/</m:t>
        </m:r>
        <m:d>
          <m:dPr>
            <m:begChr m:val="|"/>
            <m:endChr m:val="|"/>
            <m:sepChr m:val=""/>
            <m:grow/>
          </m:dPr>
          <m:e>
            <m:r>
              <m:t>A</m:t>
            </m:r>
          </m:e>
        </m:d>
      </m:oMath>
      <w:r>
        <w:t xml:space="preserve">; Gaussian elimination for large systems.</w:t>
      </w:r>
    </w:p>
    <w:p>
      <w:pPr>
        <w:pStyle w:val="Compact"/>
        <w:numPr>
          <w:ilvl w:val="0"/>
          <w:numId w:val="1384"/>
        </w:numPr>
      </w:pPr>
      <w:r>
        <w:rPr>
          <w:bCs/>
          <w:b/>
        </w:rPr>
        <w:t xml:space="preserve">Least squares (regression, GCP-based geometric correction):</w:t>
      </w:r>
      <w:r>
        <w:t xml:space="preserve"> </w:t>
      </w:r>
      <m:oMath>
        <m:acc>
          <m:accPr>
            <m:chr m:val="̂"/>
          </m:accPr>
          <m:e>
            <m:r>
              <m:rPr>
                <m:sty m:val="b"/>
              </m:rPr>
              <m:t>β</m:t>
            </m:r>
          </m:e>
        </m:acc>
        <m:r>
          <m:rPr>
            <m:sty m:val="p"/>
          </m:rPr>
          <m:t>=</m:t>
        </m:r>
        <m:sSup>
          <m:e>
            <m:d>
              <m:dPr>
                <m:begChr m:val="("/>
                <m:endChr m:val=")"/>
                <m:sepChr m:val=""/>
                <m:grow/>
              </m:dPr>
              <m:e>
                <m:sSup>
                  <m:e>
                    <m:r>
                      <m:t>X</m:t>
                    </m:r>
                  </m:e>
                  <m:sup>
                    <m:r>
                      <m:t>T</m:t>
                    </m:r>
                  </m:sup>
                </m:sSup>
                <m:r>
                  <m:t>X</m:t>
                </m:r>
              </m:e>
            </m:d>
          </m:e>
          <m:sup>
            <m:r>
              <m:rPr>
                <m:sty m:val="p"/>
              </m:rPr>
              <m:t>−</m:t>
            </m:r>
            <m:r>
              <m:t>1</m:t>
            </m:r>
          </m:sup>
        </m:sSup>
        <m:sSup>
          <m:e>
            <m:r>
              <m:t>X</m:t>
            </m:r>
          </m:e>
          <m:sup>
            <m:r>
              <m:t>T</m:t>
            </m:r>
          </m:sup>
        </m:sSup>
        <m:r>
          <m:rPr>
            <m:sty m:val="b"/>
          </m:rPr>
          <m:t>y</m:t>
        </m:r>
      </m:oMath>
      <w:r>
        <w:t xml:space="preserve">.</w:t>
      </w:r>
    </w:p>
    <w:p>
      <w:pPr>
        <w:pStyle w:val="Compact"/>
        <w:numPr>
          <w:ilvl w:val="0"/>
          <w:numId w:val="1384"/>
        </w:numPr>
      </w:pPr>
      <w:r>
        <w:rPr>
          <w:bCs/>
          <w:b/>
        </w:rPr>
        <w:t xml:space="preserve">Linear spectral unmixing:</w:t>
      </w:r>
      <w:r>
        <w:t xml:space="preserve"> </w:t>
      </w:r>
      <w:r>
        <w:t xml:space="preserve">pixel reflectance</w:t>
      </w:r>
      <w:r>
        <w:t xml:space="preserve"> </w:t>
      </w:r>
      <m:oMath>
        <m:r>
          <m:rPr>
            <m:sty m:val="b"/>
          </m:rPr>
          <m:t>r</m:t>
        </m:r>
        <m:r>
          <m:rPr>
            <m:sty m:val="p"/>
          </m:rPr>
          <m:t>=</m:t>
        </m:r>
        <m:r>
          <m:t>E</m:t>
        </m:r>
        <m:r>
          <m:rPr>
            <m:sty m:val="b"/>
          </m:rPr>
          <m:t>f</m:t>
        </m:r>
        <m:r>
          <m:rPr>
            <m:sty m:val="p"/>
          </m:rPr>
          <m:t>+</m:t>
        </m:r>
        <m:r>
          <m:rPr>
            <m:sty m:val="b"/>
          </m:rPr>
          <m:t>ε</m:t>
        </m:r>
      </m:oMath>
      <w:r>
        <w:t xml:space="preserve"> </w:t>
      </w:r>
      <w:r>
        <w:t xml:space="preserve">(E endmember matrix, f fractions, with Σf = 1, f ≥ 0) solved by constrained least squares.</w:t>
      </w:r>
    </w:p>
    <w:p>
      <w:pPr>
        <w:pStyle w:val="Heading3"/>
      </w:pPr>
      <w:r>
        <w:t xml:space="preserve">49.4.4 Eigenvalues and eigenvectors</w:t>
      </w:r>
    </w:p>
    <w:p>
      <w:pPr>
        <w:pStyle w:val="FirstParagraph"/>
      </w:pPr>
      <m:oMath>
        <m:r>
          <m:t>A</m:t>
        </m:r>
        <m:r>
          <m:rPr>
            <m:sty m:val="b"/>
          </m:rPr>
          <m:t>v</m:t>
        </m:r>
        <m:r>
          <m:rPr>
            <m:sty m:val="p"/>
          </m:rPr>
          <m:t>=</m:t>
        </m:r>
        <m:r>
          <m:t>λ</m:t>
        </m:r>
        <m:r>
          <m:rPr>
            <m:sty m:val="b"/>
          </m:rPr>
          <m:t>v</m:t>
        </m:r>
      </m:oMath>
      <w:r>
        <w:t xml:space="preserve">; eigenvalues from the</w:t>
      </w:r>
      <w:r>
        <w:t xml:space="preserve"> </w:t>
      </w:r>
      <w:r>
        <w:rPr>
          <w:bCs/>
          <w:b/>
        </w:rPr>
        <w:t xml:space="preserve">characteristic equation</w:t>
      </w:r>
      <w:r>
        <w:t xml:space="preserve"> </w:t>
      </w:r>
      <m:oMath>
        <m:d>
          <m:dPr>
            <m:begChr m:val="|"/>
            <m:endChr m:val="|"/>
            <m:sepChr m:val=""/>
            <m:grow/>
          </m:dPr>
          <m:e>
            <m:r>
              <m:t>A</m:t>
            </m:r>
            <m:r>
              <m:rPr>
                <m:sty m:val="p"/>
              </m:rPr>
              <m:t>−</m:t>
            </m:r>
            <m:r>
              <m:t>λ</m:t>
            </m:r>
            <m:r>
              <m:t>I</m:t>
            </m:r>
          </m:e>
        </m:d>
        <m:r>
          <m:rPr>
            <m:sty m:val="p"/>
          </m:rPr>
          <m:t>=</m:t>
        </m:r>
        <m:r>
          <m:t>0</m:t>
        </m:r>
      </m:oMath>
      <w:r>
        <w:t xml:space="preserve">. For a 2 × 2 matrix,</w:t>
      </w:r>
      <w:r>
        <w:t xml:space="preserve"> </w:t>
      </w:r>
      <m:oMath>
        <m:sSup>
          <m:e>
            <m:r>
              <m:t>λ</m:t>
            </m:r>
          </m:e>
          <m:sup>
            <m:r>
              <m:t>2</m:t>
            </m:r>
          </m:sup>
        </m:sSup>
        <m:r>
          <m:rPr>
            <m:sty m:val="p"/>
          </m:rPr>
          <m:t>−</m:t>
        </m:r>
        <m:d>
          <m:dPr>
            <m:begChr m:val="("/>
            <m:endChr m:val=")"/>
            <m:sepChr m:val=""/>
            <m:grow/>
          </m:dPr>
          <m:e>
            <m:r>
              <m:rPr>
                <m:sty m:val="p"/>
              </m:rPr>
              <m:t>tr</m:t>
            </m:r>
            <m:r>
              <m:t>A</m:t>
            </m:r>
          </m:e>
        </m:d>
        <m:r>
          <m:t>λ</m:t>
        </m:r>
        <m:r>
          <m:rPr>
            <m:sty m:val="p"/>
          </m:rPr>
          <m:t>+</m:t>
        </m:r>
        <m:d>
          <m:dPr>
            <m:begChr m:val="|"/>
            <m:endChr m:val="|"/>
            <m:sepChr m:val=""/>
            <m:grow/>
          </m:dPr>
          <m:e>
            <m:r>
              <m:t>A</m:t>
            </m:r>
          </m:e>
        </m:d>
        <m:r>
          <m:rPr>
            <m:sty m:val="p"/>
          </m:rPr>
          <m:t>=</m:t>
        </m:r>
        <m:r>
          <m:t>0</m:t>
        </m:r>
      </m:oMath>
      <w:r>
        <w:t xml:space="preserve">; sum of eigenvalues = trace, product = determinant.</w:t>
      </w:r>
    </w:p>
    <w:p>
      <w:pPr>
        <w:pStyle w:val="BodyText"/>
      </w:pPr>
      <w:r>
        <w:rPr>
          <w:bCs/>
          <w:b/>
        </w:rPr>
        <w:t xml:space="preserve">Principal Component Analysis (PCA):</w:t>
      </w:r>
      <w:r>
        <w:t xml:space="preserve"> </w:t>
      </w:r>
      <w:r>
        <w:t xml:space="preserve">eigen-decomposition of the band covariance (or correlation) matrix</w:t>
      </w:r>
      <w:r>
        <w:t xml:space="preserve"> </w:t>
      </w:r>
      <m:oMath>
        <m:r>
          <m:t>Σ</m:t>
        </m:r>
        <m:r>
          <m:rPr>
            <m:sty m:val="p"/>
          </m:rPr>
          <m:t>=</m:t>
        </m:r>
        <m:r>
          <m:t>V</m:t>
        </m:r>
        <m:r>
          <m:t>Λ</m:t>
        </m:r>
        <m:sSup>
          <m:e>
            <m:r>
              <m:t>V</m:t>
            </m:r>
          </m:e>
          <m:sup>
            <m:r>
              <m:t>T</m:t>
            </m:r>
          </m:sup>
        </m:sSup>
      </m:oMath>
      <w:r>
        <w:t xml:space="preserve">; PC scores</w:t>
      </w:r>
      <w:r>
        <w:t xml:space="preserve"> </w:t>
      </w:r>
      <m:oMath>
        <m:r>
          <m:rPr>
            <m:sty m:val="b"/>
          </m:rPr>
          <m:t>y</m:t>
        </m:r>
        <m:r>
          <m:rPr>
            <m:sty m:val="p"/>
          </m:rPr>
          <m:t>=</m:t>
        </m:r>
        <m:sSup>
          <m:e>
            <m:r>
              <m:t>V</m:t>
            </m:r>
          </m:e>
          <m:sup>
            <m:r>
              <m:t>T</m:t>
            </m:r>
          </m:sup>
        </m:sSup>
        <m:d>
          <m:dPr>
            <m:begChr m:val="("/>
            <m:endChr m:val=")"/>
            <m:sepChr m:val=""/>
            <m:grow/>
          </m:dPr>
          <m:e>
            <m:r>
              <m:rPr>
                <m:sty m:val="b"/>
              </m:rPr>
              <m:t>x</m:t>
            </m:r>
            <m:r>
              <m:rPr>
                <m:sty m:val="p"/>
              </m:rPr>
              <m:t>−</m:t>
            </m:r>
            <m:r>
              <m:rPr>
                <m:sty m:val="b"/>
              </m:rPr>
              <m:t>μ</m:t>
            </m:r>
          </m:e>
        </m:d>
      </m:oMath>
      <w:r>
        <w:t xml:space="preserve">; each eigenvalue = variance of that PC, so % variance explained =</w:t>
      </w:r>
      <w:r>
        <w:t xml:space="preserve"> </w:t>
      </w:r>
      <m:oMath>
        <m:sSub>
          <m:e>
            <m:r>
              <m:t>λ</m:t>
            </m:r>
          </m:e>
          <m:sub>
            <m:r>
              <m:t>i</m:t>
            </m:r>
          </m:sub>
        </m:sSub>
        <m:r>
          <m:rPr>
            <m:sty m:val="p"/>
          </m:rPr>
          <m:t>/</m:t>
        </m:r>
        <m:r>
          <m:rPr>
            <m:sty m:val="p"/>
          </m:rPr>
          <m:t>∑</m:t>
        </m:r>
        <m:r>
          <m:t>λ</m:t>
        </m:r>
      </m:oMath>
      <w:r>
        <w:t xml:space="preserve">. PC1 usually carries overall brightness (&gt; 90% variance in correlated bands), later PCs carry change/noise information. Related:</w:t>
      </w:r>
      <w:r>
        <w:t xml:space="preserve"> </w:t>
      </w:r>
      <w:r>
        <w:rPr>
          <w:bCs/>
          <w:b/>
        </w:rPr>
        <w:t xml:space="preserve">Tasselled-Cap</w:t>
      </w:r>
      <w:r>
        <w:t xml:space="preserve"> </w:t>
      </w:r>
      <w:r>
        <w:t xml:space="preserve">(fixed orthogonal transformation to brightness, greenness, wetness),</w:t>
      </w:r>
      <w:r>
        <w:t xml:space="preserve"> </w:t>
      </w:r>
      <w:r>
        <w:rPr>
          <w:bCs/>
          <w:b/>
        </w:rPr>
        <w:t xml:space="preserve">MNF</w:t>
      </w:r>
      <w:r>
        <w:t xml:space="preserve"> </w:t>
      </w:r>
      <w:r>
        <w:t xml:space="preserve">(noise-whitened PCA for hyperspectral),</w:t>
      </w:r>
      <w:r>
        <w:t xml:space="preserve"> </w:t>
      </w:r>
      <w:r>
        <w:rPr>
          <w:bCs/>
          <w:b/>
        </w:rPr>
        <w:t xml:space="preserve">Singular Value Decomposition</w:t>
      </w:r>
      <w:r>
        <w:t xml:space="preserve"> </w:t>
      </w:r>
      <m:oMath>
        <m:r>
          <m:t>A</m:t>
        </m:r>
        <m:r>
          <m:rPr>
            <m:sty m:val="p"/>
          </m:rPr>
          <m:t>=</m:t>
        </m:r>
        <m:r>
          <m:t>U</m:t>
        </m:r>
        <m:r>
          <m:t>Σ</m:t>
        </m:r>
        <m:sSup>
          <m:e>
            <m:r>
              <m:t>V</m:t>
            </m:r>
          </m:e>
          <m:sup>
            <m:r>
              <m:t>T</m:t>
            </m:r>
          </m:sup>
        </m:sSup>
      </m:oMath>
      <w:r>
        <w:t xml:space="preserve">.</w:t>
      </w:r>
    </w:p>
    <w:p>
      <w:pPr>
        <w:pStyle w:val="Heading3"/>
      </w:pPr>
      <w:r>
        <w:t xml:space="preserve">49.4.5 Transformation matrices in geometry and GIS</w:t>
      </w:r>
    </w:p>
    <w:p>
      <w:pPr>
        <w:pStyle w:val="Compact"/>
        <w:numPr>
          <w:ilvl w:val="0"/>
          <w:numId w:val="1385"/>
        </w:numPr>
      </w:pPr>
      <w:r>
        <w:t xml:space="preserve">2-D</w:t>
      </w:r>
      <w:r>
        <w:t xml:space="preserve"> </w:t>
      </w:r>
      <w:r>
        <w:rPr>
          <w:bCs/>
          <w:b/>
        </w:rPr>
        <w:t xml:space="preserve">affine</w:t>
      </w:r>
      <w:r>
        <w:t xml:space="preserve"> </w:t>
      </w:r>
      <w:r>
        <w:t xml:space="preserve">transformation (first-order polynomial) used in georeferencing:</w:t>
      </w:r>
    </w:p>
    <w:p>
      <w:pPr>
        <w:pStyle w:val="FirstParagraph"/>
      </w:pPr>
      <m:oMathPara>
        <m:oMathParaPr>
          <m:jc m:val="center"/>
        </m:oMathParaPr>
        <m:oMath>
          <m:d>
            <m:dPr>
              <m:begChr m:val="["/>
              <m:endChr m:val="]"/>
              <m:sepChr m:val=""/>
              <m:grow/>
            </m:dPr>
            <m:e>
              <m:m>
                <m:mPr>
                  <m:baseJc m:val="center"/>
                  <m:plcHide m:val="on"/>
                  <m:mcs>
                    <m:mc>
                      <m:mcPr>
                        <m:mcJc m:val="center"/>
                        <m:count m:val="1"/>
                      </m:mcPr>
                    </m:mc>
                  </m:mcs>
                </m:mPr>
                <m:mr>
                  <m:e>
                    <m:r>
                      <m:t>x</m:t>
                    </m:r>
                    <m:r>
                      <m:rPr>
                        <m:sty m:val="p"/>
                      </m:rPr>
                      <m:t>′</m:t>
                    </m:r>
                  </m:e>
                </m:mr>
                <m:mr>
                  <m:e>
                    <m:r>
                      <m:t>y</m:t>
                    </m:r>
                    <m:r>
                      <m:rPr>
                        <m:sty m:val="p"/>
                      </m:rPr>
                      <m:t>′</m:t>
                    </m:r>
                  </m:e>
                </m:mr>
                <m:mr>
                  <m:e>
                    <m:r>
                      <m:t>1</m:t>
                    </m:r>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a</m:t>
                        </m:r>
                      </m:e>
                      <m:sub>
                        <m:r>
                          <m:t>1</m:t>
                        </m:r>
                      </m:sub>
                    </m:sSub>
                  </m:e>
                  <m:e>
                    <m:sSub>
                      <m:e>
                        <m:r>
                          <m:t>a</m:t>
                        </m:r>
                      </m:e>
                      <m:sub>
                        <m:r>
                          <m:t>2</m:t>
                        </m:r>
                      </m:sub>
                    </m:sSub>
                  </m:e>
                  <m:e>
                    <m:sSub>
                      <m:e>
                        <m:r>
                          <m:t>a</m:t>
                        </m:r>
                      </m:e>
                      <m:sub>
                        <m:r>
                          <m:t>0</m:t>
                        </m:r>
                      </m:sub>
                    </m:sSub>
                  </m:e>
                </m:mr>
                <m:mr>
                  <m:e>
                    <m:sSub>
                      <m:e>
                        <m:r>
                          <m:t>b</m:t>
                        </m:r>
                      </m:e>
                      <m:sub>
                        <m:r>
                          <m:t>1</m:t>
                        </m:r>
                      </m:sub>
                    </m:sSub>
                  </m:e>
                  <m:e>
                    <m:sSub>
                      <m:e>
                        <m:r>
                          <m:t>b</m:t>
                        </m:r>
                      </m:e>
                      <m:sub>
                        <m:r>
                          <m:t>2</m:t>
                        </m:r>
                      </m:sub>
                    </m:sSub>
                  </m:e>
                  <m:e>
                    <m:sSub>
                      <m:e>
                        <m:r>
                          <m:t>b</m:t>
                        </m:r>
                      </m:e>
                      <m:sub>
                        <m:r>
                          <m:t>0</m:t>
                        </m:r>
                      </m:sub>
                    </m:sSub>
                  </m:e>
                </m:mr>
                <m:mr>
                  <m:e>
                    <m:r>
                      <m:t>0</m:t>
                    </m:r>
                  </m:e>
                  <m:e>
                    <m:r>
                      <m:t>0</m:t>
                    </m:r>
                  </m:e>
                  <m:e>
                    <m:r>
                      <m:t>1</m:t>
                    </m:r>
                  </m:e>
                </m:mr>
              </m:m>
            </m:e>
          </m:d>
          <m:d>
            <m:dPr>
              <m:begChr m:val="["/>
              <m:endChr m:val="]"/>
              <m:sepChr m:val=""/>
              <m:grow/>
            </m:dPr>
            <m:e>
              <m:m>
                <m:mPr>
                  <m:baseJc m:val="center"/>
                  <m:plcHide m:val="on"/>
                  <m:mcs>
                    <m:mc>
                      <m:mcPr>
                        <m:mcJc m:val="center"/>
                        <m:count m:val="1"/>
                      </m:mcPr>
                    </m:mc>
                  </m:mcs>
                </m:mPr>
                <m:mr>
                  <m:e>
                    <m:r>
                      <m:t>x</m:t>
                    </m:r>
                  </m:e>
                </m:mr>
                <m:mr>
                  <m:e>
                    <m:r>
                      <m:t>y</m:t>
                    </m:r>
                  </m:e>
                </m:mr>
                <m:mr>
                  <m:e>
                    <m:r>
                      <m:t>1</m:t>
                    </m:r>
                  </m:e>
                </m:mr>
              </m:m>
            </m:e>
          </m:d>
        </m:oMath>
      </m:oMathPara>
    </w:p>
    <w:p>
      <w:pPr>
        <w:pStyle w:val="FirstParagraph"/>
      </w:pPr>
      <w:r>
        <w:t xml:space="preserve">— six parameters (translation, rotation, scale in x/y, skew), minimum 3 GCPs (second-order polynomial: 12 parameters, ≥ 6 GCPs; nth order needs</w:t>
      </w:r>
      <w:r>
        <w:t xml:space="preserve"> </w:t>
      </w:r>
      <m:oMath>
        <m:d>
          <m:dPr>
            <m:begChr m:val="("/>
            <m:endChr m:val=")"/>
            <m:sepChr m:val=""/>
            <m:grow/>
          </m:dPr>
          <m:e>
            <m:r>
              <m:t>n</m:t>
            </m:r>
            <m:r>
              <m:rPr>
                <m:sty m:val="p"/>
              </m:rPr>
              <m:t>+</m:t>
            </m:r>
            <m:r>
              <m:t>1</m:t>
            </m:r>
          </m:e>
        </m:d>
        <m:d>
          <m:dPr>
            <m:begChr m:val="("/>
            <m:endChr m:val=")"/>
            <m:sepChr m:val=""/>
            <m:grow/>
          </m:dPr>
          <m:e>
            <m:r>
              <m:t>n</m:t>
            </m:r>
            <m:r>
              <m:rPr>
                <m:sty m:val="p"/>
              </m:rPr>
              <m:t>+</m:t>
            </m:r>
            <m:r>
              <m:t>2</m:t>
            </m:r>
          </m:e>
        </m:d>
        <m:r>
          <m:rPr>
            <m:sty m:val="p"/>
          </m:rPr>
          <m:t>/</m:t>
        </m:r>
        <m:r>
          <m:t>2</m:t>
        </m:r>
      </m:oMath>
      <w:r>
        <w:t xml:space="preserve"> </w:t>
      </w:r>
      <w:r>
        <w:t xml:space="preserve">GCPs). Accuracy reported as RMSE</w:t>
      </w:r>
      <w:r>
        <w:t xml:space="preserve"> </w:t>
      </w:r>
      <m:oMath>
        <m:r>
          <m:rPr>
            <m:sty m:val="p"/>
          </m:rPr>
          <m:t>=</m:t>
        </m:r>
        <m:rad>
          <m:radPr>
            <m:degHide m:val="on"/>
          </m:radPr>
          <m:deg/>
          <m:e>
            <m:f>
              <m:fPr>
                <m:type m:val="bar"/>
              </m:fPr>
              <m:num>
                <m:r>
                  <m:rPr>
                    <m:sty m:val="p"/>
                  </m:rPr>
                  <m:t>∑</m:t>
                </m:r>
                <m:d>
                  <m:dPr>
                    <m:begChr m:val="["/>
                    <m:endChr m:val="]"/>
                    <m:sepChr m:val=""/>
                    <m:grow/>
                  </m:dPr>
                  <m:e>
                    <m:sSup>
                      <m:e>
                        <m:d>
                          <m:dPr>
                            <m:begChr m:val="("/>
                            <m:endChr m:val=")"/>
                            <m:sepChr m:val=""/>
                            <m:grow/>
                          </m:dPr>
                          <m:e>
                            <m:r>
                              <m:t>x</m:t>
                            </m:r>
                            <m:r>
                              <m:rPr>
                                <m:sty m:val="p"/>
                              </m:rPr>
                              <m:t>′</m:t>
                            </m:r>
                            <m:r>
                              <m:rPr>
                                <m:sty m:val="p"/>
                              </m:rPr>
                              <m:t>−</m:t>
                            </m:r>
                            <m:sSub>
                              <m:e>
                                <m:r>
                                  <m:t>x</m:t>
                                </m:r>
                              </m:e>
                              <m:sub>
                                <m:r>
                                  <m:t>r</m:t>
                                </m:r>
                                <m:r>
                                  <m:t>e</m:t>
                                </m:r>
                                <m:r>
                                  <m:t>f</m:t>
                                </m:r>
                              </m:sub>
                            </m:sSub>
                          </m:e>
                        </m:d>
                      </m:e>
                      <m:sup>
                        <m:r>
                          <m:t>2</m:t>
                        </m:r>
                      </m:sup>
                    </m:sSup>
                    <m:r>
                      <m:rPr>
                        <m:sty m:val="p"/>
                      </m:rPr>
                      <m:t>+</m:t>
                    </m:r>
                    <m:sSup>
                      <m:e>
                        <m:d>
                          <m:dPr>
                            <m:begChr m:val="("/>
                            <m:endChr m:val=")"/>
                            <m:sepChr m:val=""/>
                            <m:grow/>
                          </m:dPr>
                          <m:e>
                            <m:r>
                              <m:t>y</m:t>
                            </m:r>
                            <m:r>
                              <m:rPr>
                                <m:sty m:val="p"/>
                              </m:rPr>
                              <m:t>′</m:t>
                            </m:r>
                            <m:r>
                              <m:rPr>
                                <m:sty m:val="p"/>
                              </m:rPr>
                              <m:t>−</m:t>
                            </m:r>
                            <m:sSub>
                              <m:e>
                                <m:r>
                                  <m:t>y</m:t>
                                </m:r>
                              </m:e>
                              <m:sub>
                                <m:r>
                                  <m:t>r</m:t>
                                </m:r>
                                <m:r>
                                  <m:t>e</m:t>
                                </m:r>
                                <m:r>
                                  <m:t>f</m:t>
                                </m:r>
                              </m:sub>
                            </m:sSub>
                          </m:e>
                        </m:d>
                      </m:e>
                      <m:sup>
                        <m:r>
                          <m:t>2</m:t>
                        </m:r>
                      </m:sup>
                    </m:sSup>
                  </m:e>
                </m:d>
              </m:num>
              <m:den>
                <m:r>
                  <m:t>n</m:t>
                </m:r>
              </m:den>
            </m:f>
          </m:e>
        </m:rad>
      </m:oMath>
      <w:r>
        <w:t xml:space="preserve"> </w:t>
      </w:r>
      <w:r>
        <w:t xml:space="preserve">(target &lt; 0.5 pixel).</w:t>
      </w:r>
      <w:r>
        <w:t xml:space="preserve"> </w:t>
      </w:r>
      <w:r>
        <w:t xml:space="preserve">- Rotation by θ:</w:t>
      </w:r>
      <w:r>
        <w:t xml:space="preserve"> </w:t>
      </w:r>
      <m:oMath>
        <m:d>
          <m:dPr>
            <m:begChr m:val="["/>
            <m:endChr m:val="]"/>
            <m:sepChr m:val=""/>
            <m:grow/>
          </m:dPr>
          <m:e>
            <m:m>
              <m:mPr>
                <m:baseJc m:val="center"/>
                <m:plcHide m:val="on"/>
                <m:mcs>
                  <m:mc>
                    <m:mcPr>
                      <m:mcJc m:val="center"/>
                      <m:count m:val="1"/>
                    </m:mcPr>
                  </m:mc>
                  <m:mc>
                    <m:mcPr>
                      <m:mcJc m:val="center"/>
                      <m:count m:val="1"/>
                    </m:mcPr>
                  </m:mc>
                </m:mcs>
              </m:mPr>
              <m:mr>
                <m:e>
                  <m:r>
                    <m:rPr>
                      <m:sty m:val="p"/>
                    </m:rPr>
                    <m:t>cos</m:t>
                  </m:r>
                  <m:r>
                    <m:t>θ</m:t>
                  </m:r>
                </m:e>
                <m:e>
                  <m:r>
                    <m:rPr>
                      <m:sty m:val="p"/>
                    </m:rPr>
                    <m:t>−</m:t>
                  </m:r>
                  <m:r>
                    <m:rPr>
                      <m:sty m:val="p"/>
                    </m:rPr>
                    <m:t>sin</m:t>
                  </m:r>
                  <m:r>
                    <m:t>θ</m:t>
                  </m:r>
                </m:e>
              </m:mr>
              <m:mr>
                <m:e>
                  <m:r>
                    <m:rPr>
                      <m:sty m:val="p"/>
                    </m:rPr>
                    <m:t>sin</m:t>
                  </m:r>
                  <m:r>
                    <m:t>θ</m:t>
                  </m:r>
                </m:e>
                <m:e>
                  <m:r>
                    <m:rPr>
                      <m:sty m:val="p"/>
                    </m:rPr>
                    <m:t>cos</m:t>
                  </m:r>
                  <m:r>
                    <m:t>θ</m:t>
                  </m:r>
                </m:e>
              </m:mr>
            </m:m>
          </m:e>
        </m:d>
      </m:oMath>
      <w:r>
        <w:t xml:space="preserve"> </w:t>
      </w:r>
      <w:r>
        <w:t xml:space="preserve">(orthogonal, determinant 1).</w:t>
      </w:r>
      <w:r>
        <w:t xml:space="preserve"> </w:t>
      </w:r>
      <w:r>
        <w:t xml:space="preserve">-</w:t>
      </w:r>
      <w:r>
        <w:t xml:space="preserve"> </w:t>
      </w:r>
      <w:r>
        <w:rPr>
          <w:bCs/>
          <w:b/>
        </w:rPr>
        <w:t xml:space="preserve">Convolution kernels</w:t>
      </w:r>
      <w:r>
        <w:t xml:space="preserve"> </w:t>
      </w:r>
      <w:r>
        <w:t xml:space="preserve">(3 × 3 matrices) for filtering: mean, Laplacian edge enhancement, Sobel gradient.</w:t>
      </w:r>
      <w:r>
        <w:t xml:space="preserve"> </w:t>
      </w:r>
      <w:r>
        <w:t xml:space="preserve">-</w:t>
      </w:r>
      <w:r>
        <w:t xml:space="preserve"> </w:t>
      </w:r>
      <w:r>
        <w:rPr>
          <w:bCs/>
          <w:b/>
        </w:rPr>
        <w:t xml:space="preserve">Error (confusion) matrix</w:t>
      </w:r>
      <w:r>
        <w:t xml:space="preserve"> </w:t>
      </w:r>
      <w:r>
        <w:t xml:space="preserve">for accuracy assessment, and</w:t>
      </w:r>
      <w:r>
        <w:t xml:space="preserve"> </w:t>
      </w:r>
      <w:r>
        <w:rPr>
          <w:bCs/>
          <w:b/>
        </w:rPr>
        <w:t xml:space="preserve">Markov transition matrices</w:t>
      </w:r>
      <w:r>
        <w:t xml:space="preserve"> </w:t>
      </w:r>
      <w:r>
        <w:t xml:space="preserve">for land-use change projection</w:t>
      </w:r>
      <w:r>
        <w:t xml:space="preserve"> </w:t>
      </w:r>
      <m:oMath>
        <m:sSub>
          <m:e>
            <m:r>
              <m:rPr>
                <m:sty m:val="b"/>
              </m:rPr>
              <m:t>p</m:t>
            </m:r>
          </m:e>
          <m:sub>
            <m:r>
              <m:t>t</m:t>
            </m:r>
            <m:r>
              <m:rPr>
                <m:sty m:val="p"/>
              </m:rPr>
              <m:t>+</m:t>
            </m:r>
            <m:r>
              <m:t>1</m:t>
            </m:r>
          </m:sub>
        </m:sSub>
        <m:r>
          <m:rPr>
            <m:sty m:val="p"/>
          </m:rPr>
          <m:t>=</m:t>
        </m:r>
        <m:sSub>
          <m:e>
            <m:r>
              <m:rPr>
                <m:sty m:val="b"/>
              </m:rPr>
              <m:t>p</m:t>
            </m:r>
          </m:e>
          <m:sub>
            <m:r>
              <m:t>t</m:t>
            </m:r>
          </m:sub>
        </m:sSub>
        <m:r>
          <m:t>P</m:t>
        </m:r>
      </m:oMath>
      <w:r>
        <w:t xml:space="preserve">.</w:t>
      </w:r>
    </w:p>
    <w:p>
      <w:pPr>
        <w:pStyle w:val="CaptionedFigure"/>
      </w:pPr>
      <w:r>
        <w:drawing>
          <wp:inline>
            <wp:extent cx="5334000" cy="2386964"/>
            <wp:effectExtent b="0" l="0" r="0" t="0"/>
            <wp:docPr descr="How mathematics maps onto RS–agromet workflows" title="" id="150" name="Picture"/>
            <a:graphic>
              <a:graphicData uri="http://schemas.openxmlformats.org/drawingml/2006/picture">
                <pic:pic>
                  <pic:nvPicPr>
                    <pic:cNvPr descr="/tmp/claude-0/-home-user-sonu/ab07c29a-21cd-5a4a-9d2d-68ad72d07153/scratchpad/build/../flows/flow_031.png" id="151" name="Picture"/>
                    <pic:cNvPicPr>
                      <a:picLocks noChangeArrowheads="1" noChangeAspect="1"/>
                    </pic:cNvPicPr>
                  </pic:nvPicPr>
                  <pic:blipFill>
                    <a:blip r:embed="rId149"/>
                    <a:stretch>
                      <a:fillRect/>
                    </a:stretch>
                  </pic:blipFill>
                  <pic:spPr bwMode="auto">
                    <a:xfrm>
                      <a:off x="0" y="0"/>
                      <a:ext cx="5334000" cy="2386964"/>
                    </a:xfrm>
                    <a:prstGeom prst="rect">
                      <a:avLst/>
                    </a:prstGeom>
                    <a:noFill/>
                    <a:ln w="9525">
                      <a:noFill/>
                      <a:headEnd/>
                      <a:tailEnd/>
                    </a:ln>
                  </pic:spPr>
                </pic:pic>
              </a:graphicData>
            </a:graphic>
          </wp:inline>
        </w:drawing>
      </w:r>
    </w:p>
    <w:p>
      <w:pPr>
        <w:pStyle w:val="ImageCaption"/>
      </w:pPr>
      <w:r>
        <w:t xml:space="preserve">How mathematics maps onto RS–agromet workflows</w:t>
      </w:r>
    </w:p>
    <w:p>
      <w:pPr>
        <w:pStyle w:val="Heading3"/>
      </w:pPr>
      <w:r>
        <w:t xml:space="preserve">49.4.6 Likely interview questions</w:t>
      </w:r>
    </w:p>
    <w:p>
      <w:pPr>
        <w:pStyle w:val="FirstParagraph"/>
      </w:pPr>
      <w:r>
        <w:rPr>
          <w:bCs/>
          <w:b/>
        </w:rPr>
        <w:t xml:space="preserve">Q. How is PCA computed and why use it on multispectral data?</w:t>
      </w:r>
      <w:r>
        <w:t xml:space="preserve"> </w:t>
      </w:r>
      <w:r>
        <w:t xml:space="preserve">Covariance matrix → eigenvalues/eigenvectors → rotate data; decorrelates bands, compresses information into few components, aids change detection.</w:t>
      </w:r>
    </w:p>
    <w:p>
      <w:pPr>
        <w:pStyle w:val="BodyText"/>
      </w:pPr>
      <w:r>
        <w:rPr>
          <w:bCs/>
          <w:b/>
        </w:rPr>
        <w:t xml:space="preserve">Q. Why is the spectral angle mapper insensitive to illumination?</w:t>
      </w:r>
      <w:r>
        <w:t xml:space="preserve"> </w:t>
      </w:r>
      <w:r>
        <w:t xml:space="preserve">Illumination scales the pixel vector’s length, not its direction; SAM measures the angle only.</w:t>
      </w:r>
    </w:p>
    <w:p>
      <w:pPr>
        <w:pStyle w:val="BodyText"/>
      </w:pPr>
      <w:r>
        <w:rPr>
          <w:bCs/>
          <w:b/>
        </w:rPr>
        <w:t xml:space="preserve">Q. Derive the optimum fertiliser dose from a quadratic response.</w:t>
      </w:r>
      <w:r>
        <w:t xml:space="preserve"> </w:t>
      </w:r>
      <m:oMath>
        <m:r>
          <m:t>Y</m:t>
        </m:r>
        <m:r>
          <m:rPr>
            <m:sty m:val="p"/>
          </m:rPr>
          <m:t>=</m:t>
        </m:r>
        <m:r>
          <m:t>a</m:t>
        </m:r>
        <m:r>
          <m:rPr>
            <m:sty m:val="p"/>
          </m:rPr>
          <m:t>+</m:t>
        </m:r>
        <m:r>
          <m:t>b</m:t>
        </m:r>
        <m:r>
          <m:t>N</m:t>
        </m:r>
        <m:r>
          <m:rPr>
            <m:sty m:val="p"/>
          </m:rPr>
          <m:t>−</m:t>
        </m:r>
        <m:r>
          <m:t>c</m:t>
        </m:r>
        <m:sSup>
          <m:e>
            <m:r>
              <m:t>N</m:t>
            </m:r>
          </m:e>
          <m:sup>
            <m:r>
              <m:t>2</m:t>
            </m:r>
          </m:sup>
        </m:sSup>
      </m:oMath>
      <w:r>
        <w:t xml:space="preserve">;</w:t>
      </w:r>
      <w:r>
        <w:t xml:space="preserve"> </w:t>
      </w:r>
      <m:oMath>
        <m:r>
          <m:t>d</m:t>
        </m:r>
        <m:r>
          <m:t>Y</m:t>
        </m:r>
        <m:r>
          <m:rPr>
            <m:sty m:val="p"/>
          </m:rPr>
          <m:t>/</m:t>
        </m:r>
        <m:r>
          <m:t>d</m:t>
        </m:r>
        <m:r>
          <m:t>N</m:t>
        </m:r>
        <m:r>
          <m:rPr>
            <m:sty m:val="p"/>
          </m:rPr>
          <m:t>=</m:t>
        </m:r>
        <m:r>
          <m:t>0</m:t>
        </m:r>
      </m:oMath>
      <w:r>
        <w:t xml:space="preserve"> </w:t>
      </w:r>
      <w:r>
        <w:t xml:space="preserve">⇒</w:t>
      </w:r>
      <w:r>
        <w:t xml:space="preserve"> </w:t>
      </w:r>
      <m:oMath>
        <m:sSub>
          <m:e>
            <m:r>
              <m:t>N</m:t>
            </m:r>
          </m:e>
          <m:sub>
            <m:r>
              <m:t>o</m:t>
            </m:r>
            <m:r>
              <m:t>p</m:t>
            </m:r>
            <m:r>
              <m:t>t</m:t>
            </m:r>
          </m:sub>
        </m:sSub>
        <m:r>
          <m:rPr>
            <m:sty m:val="p"/>
          </m:rPr>
          <m:t>=</m:t>
        </m:r>
        <m:r>
          <m:t>b</m:t>
        </m:r>
        <m:r>
          <m:rPr>
            <m:sty m:val="p"/>
          </m:rPr>
          <m:t>/</m:t>
        </m:r>
        <m:r>
          <m:t>2</m:t>
        </m:r>
        <m:r>
          <m:t>c</m:t>
        </m:r>
      </m:oMath>
      <w:r>
        <w:t xml:space="preserve">; economic optimum</w:t>
      </w:r>
      <w:r>
        <w:t xml:space="preserve"> </w:t>
      </w:r>
      <m:oMath>
        <m:r>
          <m:t>N</m:t>
        </m:r>
        <m:r>
          <m:rPr>
            <m:sty m:val="p"/>
          </m:rPr>
          <m:t>=</m:t>
        </m:r>
        <m:d>
          <m:dPr>
            <m:begChr m:val="("/>
            <m:endChr m:val=")"/>
            <m:sepChr m:val=""/>
            <m:grow/>
          </m:dPr>
          <m:e>
            <m:r>
              <m:t>b</m:t>
            </m:r>
            <m:r>
              <m:rPr>
                <m:sty m:val="p"/>
              </m:rPr>
              <m:t>−</m:t>
            </m:r>
            <m:sSub>
              <m:e>
                <m:r>
                  <m:t>P</m:t>
                </m:r>
              </m:e>
              <m:sub>
                <m:r>
                  <m:t>N</m:t>
                </m:r>
              </m:sub>
            </m:sSub>
            <m:r>
              <m:rPr>
                <m:sty m:val="p"/>
              </m:rPr>
              <m:t>/</m:t>
            </m:r>
            <m:sSub>
              <m:e>
                <m:r>
                  <m:t>P</m:t>
                </m:r>
              </m:e>
              <m:sub>
                <m:r>
                  <m:t>Y</m:t>
                </m:r>
              </m:sub>
            </m:sSub>
          </m:e>
        </m:d>
        <m:r>
          <m:rPr>
            <m:sty m:val="p"/>
          </m:rPr>
          <m:t>/</m:t>
        </m:r>
        <m:r>
          <m:t>2</m:t>
        </m:r>
        <m:r>
          <m:t>c</m:t>
        </m:r>
      </m:oMath>
      <w:r>
        <w:t xml:space="preserve">.</w:t>
      </w:r>
    </w:p>
    <w:p>
      <w:pPr>
        <w:pStyle w:val="BodyText"/>
      </w:pPr>
      <w:r>
        <w:rPr>
          <w:bCs/>
          <w:b/>
        </w:rPr>
        <w:t xml:space="preserve">Q. How many GCPs for a second-order polynomial?</w:t>
      </w:r>
      <w:r>
        <w:t xml:space="preserve"> </w:t>
      </w:r>
      <w:r>
        <w:t xml:space="preserve">At least 6 (12 coefficients); more are used for least-squares redundancy.</w:t>
      </w:r>
    </w:p>
    <w:p>
      <w:pPr>
        <w:pStyle w:val="BodyText"/>
      </w:pPr>
      <w:r>
        <w:rPr>
          <w:bCs/>
          <w:b/>
        </w:rPr>
        <w:t xml:space="preserve">Q. What does a zero determinant imply?</w:t>
      </w:r>
      <w:r>
        <w:t xml:space="preserve"> </w:t>
      </w:r>
      <w:r>
        <w:t xml:space="preserve">The matrix is singular — no inverse; equations are linearly dependent (e.g., perfectly collinear predictors make</w:t>
      </w:r>
      <w:r>
        <w:t xml:space="preserve"> </w:t>
      </w:r>
      <m:oMath>
        <m:sSup>
          <m:e>
            <m:r>
              <m:t>X</m:t>
            </m:r>
          </m:e>
          <m:sup>
            <m:r>
              <m:t>T</m:t>
            </m:r>
          </m:sup>
        </m:sSup>
        <m:r>
          <m:t>X</m:t>
        </m:r>
      </m:oMath>
      <w:r>
        <w:t xml:space="preserve"> </w:t>
      </w:r>
      <w:r>
        <w:t xml:space="preserve">singular).</w:t>
      </w:r>
    </w:p>
    <w:p>
      <w:pPr>
        <w:pStyle w:val="Heading1"/>
      </w:pPr>
      <w:r>
        <w:t xml:space="preserve">Chapter 50. Descriptive Statistics and Probability</w:t>
      </w:r>
    </w:p>
    <w:p>
      <w:pPr>
        <w:pStyle w:val="Heading2"/>
      </w:pPr>
      <w:r>
        <w:t xml:space="preserve">50.1 Statistics — Meaning and Scope</w:t>
      </w:r>
    </w:p>
    <w:p>
      <w:pPr>
        <w:pStyle w:val="FirstParagraph"/>
      </w:pPr>
      <w:r>
        <w:rPr>
          <w:bCs/>
          <w:b/>
        </w:rPr>
        <w:t xml:space="preserve">Statistics</w:t>
      </w:r>
      <w:r>
        <w:t xml:space="preserve"> </w:t>
      </w:r>
      <w:r>
        <w:t xml:space="preserve">is the science of collecting, organising, summarising, analysing and interpreting numerical data to draw valid conclusions under uncertainty.</w:t>
      </w:r>
      <w:r>
        <w:t xml:space="preserve"> </w:t>
      </w:r>
      <w:r>
        <w:rPr>
          <w:bCs/>
          <w:b/>
        </w:rPr>
        <w:t xml:space="preserve">Descriptive statistics</w:t>
      </w:r>
      <w:r>
        <w:t xml:space="preserve"> </w:t>
      </w:r>
      <w:r>
        <w:t xml:space="preserve">summarises the data in hand;</w:t>
      </w:r>
      <w:r>
        <w:t xml:space="preserve"> </w:t>
      </w:r>
      <w:r>
        <w:rPr>
          <w:bCs/>
          <w:b/>
        </w:rPr>
        <w:t xml:space="preserve">inferential statistics</w:t>
      </w:r>
      <w:r>
        <w:t xml:space="preserve"> </w:t>
      </w:r>
      <w:r>
        <w:t xml:space="preserve">generalises from a sample to a population. Data types:</w:t>
      </w:r>
      <w:r>
        <w:t xml:space="preserve"> </w:t>
      </w:r>
      <w:r>
        <w:rPr>
          <w:bCs/>
          <w:b/>
        </w:rPr>
        <w:t xml:space="preserve">qualitative</w:t>
      </w:r>
      <w:r>
        <w:t xml:space="preserve"> </w:t>
      </w:r>
      <w:r>
        <w:t xml:space="preserve">(nominal — crop type; ordinal — drought severity class) and</w:t>
      </w:r>
      <w:r>
        <w:t xml:space="preserve"> </w:t>
      </w:r>
      <w:r>
        <w:rPr>
          <w:bCs/>
          <w:b/>
        </w:rPr>
        <w:t xml:space="preserve">quantitative</w:t>
      </w:r>
      <w:r>
        <w:t xml:space="preserve"> </w:t>
      </w:r>
      <w:r>
        <w:t xml:space="preserve">(discrete — number of tillers; continuous — yield, temperature). Measurement scales: nominal, ordinal, interval (°C — no true zero), ratio (K, yield — true zero).</w:t>
      </w:r>
    </w:p>
    <w:p>
      <w:pPr>
        <w:pStyle w:val="Heading2"/>
      </w:pPr>
      <w:r>
        <w:t xml:space="preserve">50.2 Frequency Distribution</w:t>
      </w:r>
    </w:p>
    <w:p>
      <w:pPr>
        <w:pStyle w:val="Heading3"/>
      </w:pPr>
      <w:r>
        <w:t xml:space="preserve">50.2.1 Construction (steps)</w:t>
      </w:r>
    </w:p>
    <w:p>
      <w:pPr>
        <w:pStyle w:val="Compact"/>
        <w:numPr>
          <w:ilvl w:val="0"/>
          <w:numId w:val="1386"/>
        </w:numPr>
      </w:pPr>
      <w:r>
        <w:t xml:space="preserve">Find the</w:t>
      </w:r>
      <w:r>
        <w:t xml:space="preserve"> </w:t>
      </w:r>
      <w:r>
        <w:rPr>
          <w:bCs/>
          <w:b/>
        </w:rPr>
        <w:t xml:space="preserve">range</w:t>
      </w:r>
      <w:r>
        <w:t xml:space="preserve"> </w:t>
      </w:r>
      <w:r>
        <w:t xml:space="preserve">= maximum − minimum.</w:t>
      </w:r>
    </w:p>
    <w:p>
      <w:pPr>
        <w:pStyle w:val="Compact"/>
        <w:numPr>
          <w:ilvl w:val="0"/>
          <w:numId w:val="1386"/>
        </w:numPr>
      </w:pPr>
      <w:r>
        <w:t xml:space="preserve">Decide number of classes k (5–20;</w:t>
      </w:r>
      <w:r>
        <w:t xml:space="preserve"> </w:t>
      </w:r>
      <w:r>
        <w:rPr>
          <w:bCs/>
          <w:b/>
        </w:rPr>
        <w:t xml:space="preserve">Sturges’ rule</w:t>
      </w:r>
      <w:r>
        <w:t xml:space="preserve"> </w:t>
      </w:r>
      <m:oMath>
        <m:r>
          <m:t>k</m:t>
        </m:r>
        <m:r>
          <m:rPr>
            <m:sty m:val="p"/>
          </m:rPr>
          <m:t>=</m:t>
        </m:r>
        <m:r>
          <m:t>1</m:t>
        </m:r>
        <m:r>
          <m:rPr>
            <m:sty m:val="p"/>
          </m:rPr>
          <m:t>+</m:t>
        </m:r>
        <m:r>
          <m:t>3.322</m:t>
        </m:r>
        <m:sSub>
          <m:e>
            <m:r>
              <m:rPr>
                <m:sty m:val="p"/>
              </m:rPr>
              <m:t>log</m:t>
            </m:r>
          </m:e>
          <m:sub>
            <m:r>
              <m:t>10</m:t>
            </m:r>
          </m:sub>
        </m:sSub>
        <m:r>
          <m:t>N</m:t>
        </m:r>
      </m:oMath>
      <w:r>
        <w:t xml:space="preserve">).</w:t>
      </w:r>
    </w:p>
    <w:p>
      <w:pPr>
        <w:pStyle w:val="Compact"/>
        <w:numPr>
          <w:ilvl w:val="0"/>
          <w:numId w:val="1386"/>
        </w:numPr>
      </w:pPr>
      <w:r>
        <w:rPr>
          <w:bCs/>
          <w:b/>
        </w:rPr>
        <w:t xml:space="preserve">Class width</w:t>
      </w:r>
      <w:r>
        <w:t xml:space="preserve"> </w:t>
      </w:r>
      <m:oMath>
        <m:r>
          <m:t>h</m:t>
        </m:r>
        <m:r>
          <m:rPr>
            <m:sty m:val="p"/>
          </m:rPr>
          <m:t>≈</m:t>
        </m:r>
      </m:oMath>
      <w:r>
        <w:t xml:space="preserve"> </w:t>
      </w:r>
      <w:r>
        <w:t xml:space="preserve">range/k (round conveniently).</w:t>
      </w:r>
    </w:p>
    <w:p>
      <w:pPr>
        <w:pStyle w:val="Compact"/>
        <w:numPr>
          <w:ilvl w:val="0"/>
          <w:numId w:val="1386"/>
        </w:numPr>
      </w:pPr>
      <w:r>
        <w:t xml:space="preserve">Form class limits (exclusive 10–20, 20–30 … or inclusive 10–19, 20–29 …; class boundaries convert inclusive to continuous form); class mark = midpoint.</w:t>
      </w:r>
    </w:p>
    <w:p>
      <w:pPr>
        <w:pStyle w:val="Compact"/>
        <w:numPr>
          <w:ilvl w:val="0"/>
          <w:numId w:val="1386"/>
        </w:numPr>
      </w:pPr>
      <w:r>
        <w:t xml:space="preserve">Tally observations →</w:t>
      </w:r>
      <w:r>
        <w:t xml:space="preserve"> </w:t>
      </w:r>
      <w:r>
        <w:rPr>
          <w:bCs/>
          <w:b/>
        </w:rPr>
        <w:t xml:space="preserve">frequency</w:t>
      </w:r>
      <w:r>
        <w:t xml:space="preserve"> </w:t>
      </w:r>
      <w:r>
        <w:t xml:space="preserve">f; compute</w:t>
      </w:r>
      <w:r>
        <w:t xml:space="preserve"> </w:t>
      </w:r>
      <w:r>
        <w:rPr>
          <w:bCs/>
          <w:b/>
        </w:rPr>
        <w:t xml:space="preserve">relative frequency</w:t>
      </w:r>
      <w:r>
        <w:t xml:space="preserve"> </w:t>
      </w:r>
      <w:r>
        <w:t xml:space="preserve">f/N,</w:t>
      </w:r>
      <w:r>
        <w:t xml:space="preserve"> </w:t>
      </w:r>
      <w:r>
        <w:rPr>
          <w:bCs/>
          <w:b/>
        </w:rPr>
        <w:t xml:space="preserve">cumulative frequency</w:t>
      </w:r>
      <w:r>
        <w:t xml:space="preserve"> </w:t>
      </w:r>
      <w:r>
        <w:t xml:space="preserve">(less-than and more-than).</w:t>
      </w:r>
    </w:p>
    <w:p>
      <w:pPr>
        <w:pStyle w:val="Heading3"/>
      </w:pPr>
      <w:r>
        <w:t xml:space="preserve">50.2.2 Graphical presentation</w:t>
      </w:r>
    </w:p>
    <w:p>
      <w:pPr>
        <w:pStyle w:val="FirstParagraph"/>
      </w:pPr>
      <w:r>
        <w:t xml:space="preserve">Histogram (continuous classes, area ∝ frequency), frequency polygon,</w:t>
      </w:r>
      <w:r>
        <w:t xml:space="preserve"> </w:t>
      </w:r>
      <w:r>
        <w:rPr>
          <w:bCs/>
          <w:b/>
        </w:rPr>
        <w:t xml:space="preserve">ogive</w:t>
      </w:r>
      <w:r>
        <w:t xml:space="preserve"> </w:t>
      </w:r>
      <w:r>
        <w:t xml:space="preserve">(cumulative frequency curve — median and quartiles read graphically), bar and pie charts (categorical), stem-and-leaf,</w:t>
      </w:r>
      <w:r>
        <w:t xml:space="preserve"> </w:t>
      </w:r>
      <w:r>
        <w:rPr>
          <w:bCs/>
          <w:b/>
        </w:rPr>
        <w:t xml:space="preserve">box-and-whisker plot</w:t>
      </w:r>
      <w:r>
        <w:t xml:space="preserve"> </w:t>
      </w:r>
      <w:r>
        <w:t xml:space="preserve">(min, Q1, median, Q3, max; outliers beyond 1.5 × IQR), scatter diagram (bivariate). In RS, the image</w:t>
      </w:r>
      <w:r>
        <w:t xml:space="preserve"> </w:t>
      </w:r>
      <w:r>
        <w:rPr>
          <w:bCs/>
          <w:b/>
        </w:rPr>
        <w:t xml:space="preserve">histogram</w:t>
      </w:r>
      <w:r>
        <w:t xml:space="preserve"> </w:t>
      </w:r>
      <w:r>
        <w:t xml:space="preserve">is a frequency distribution of DNs — used for contrast stretching, thresholding and histogram equalisation.</w:t>
      </w:r>
    </w:p>
    <w:p>
      <w:pPr>
        <w:pStyle w:val="Heading3"/>
      </w:pPr>
      <w:r>
        <w:t xml:space="preserve">50.2.3 Shape of distribution</w:t>
      </w:r>
    </w:p>
    <w:p>
      <w:pPr>
        <w:pStyle w:val="Compact"/>
        <w:numPr>
          <w:ilvl w:val="0"/>
          <w:numId w:val="1387"/>
        </w:numPr>
      </w:pPr>
      <w:r>
        <w:rPr>
          <w:bCs/>
          <w:b/>
        </w:rPr>
        <w:t xml:space="preserve">Skewness</w:t>
      </w:r>
      <w:r>
        <w:t xml:space="preserve"> </w:t>
      </w:r>
      <w:r>
        <w:t xml:space="preserve">(asymmetry): Karl Pearson’s</w:t>
      </w:r>
      <w:r>
        <w:t xml:space="preserve"> </w:t>
      </w:r>
      <m:oMath>
        <m:sSub>
          <m:e>
            <m:r>
              <m:t>S</m:t>
            </m:r>
          </m:e>
          <m:sub>
            <m:r>
              <m:t>k</m:t>
            </m:r>
          </m:sub>
        </m:sSub>
        <m:r>
          <m:rPr>
            <m:sty m:val="p"/>
          </m:rPr>
          <m:t>=</m:t>
        </m:r>
        <m:f>
          <m:fPr>
            <m:type m:val="bar"/>
          </m:fPr>
          <m:num>
            <m:acc>
              <m:accPr>
                <m:chr m:val="‾"/>
              </m:accPr>
              <m:e>
                <m:r>
                  <m:t>x</m:t>
                </m:r>
              </m:e>
            </m:acc>
            <m:r>
              <m:rPr>
                <m:sty m:val="p"/>
              </m:rPr>
              <m:t>−</m:t>
            </m:r>
            <m:r>
              <m:t>M</m:t>
            </m:r>
            <m:r>
              <m:t>o</m:t>
            </m:r>
          </m:num>
          <m:den>
            <m:r>
              <m:t>σ</m:t>
            </m:r>
          </m:den>
        </m:f>
        <m:r>
          <m:rPr>
            <m:sty m:val="p"/>
          </m:rPr>
          <m:t>≈</m:t>
        </m:r>
        <m:f>
          <m:fPr>
            <m:type m:val="bar"/>
          </m:fPr>
          <m:num>
            <m:r>
              <m:t>3</m:t>
            </m:r>
            <m:d>
              <m:dPr>
                <m:begChr m:val="("/>
                <m:endChr m:val=")"/>
                <m:sepChr m:val=""/>
                <m:grow/>
              </m:dPr>
              <m:e>
                <m:acc>
                  <m:accPr>
                    <m:chr m:val="‾"/>
                  </m:accPr>
                  <m:e>
                    <m:r>
                      <m:t>x</m:t>
                    </m:r>
                  </m:e>
                </m:acc>
                <m:r>
                  <m:rPr>
                    <m:sty m:val="p"/>
                  </m:rPr>
                  <m:t>−</m:t>
                </m:r>
                <m:r>
                  <m:t>M</m:t>
                </m:r>
                <m:r>
                  <m:t>d</m:t>
                </m:r>
              </m:e>
            </m:d>
          </m:num>
          <m:den>
            <m:r>
              <m:t>σ</m:t>
            </m:r>
          </m:den>
        </m:f>
      </m:oMath>
      <w:r>
        <w:t xml:space="preserve">; Bowley’s</w:t>
      </w:r>
      <w:r>
        <w:t xml:space="preserve"> </w:t>
      </w:r>
      <m:oMath>
        <m:f>
          <m:fPr>
            <m:type m:val="bar"/>
          </m:fPr>
          <m:num>
            <m:sSub>
              <m:e>
                <m:r>
                  <m:t>Q</m:t>
                </m:r>
              </m:e>
              <m:sub>
                <m:r>
                  <m:t>3</m:t>
                </m:r>
              </m:sub>
            </m:sSub>
            <m:r>
              <m:rPr>
                <m:sty m:val="p"/>
              </m:rPr>
              <m:t>+</m:t>
            </m:r>
            <m:sSub>
              <m:e>
                <m:r>
                  <m:t>Q</m:t>
                </m:r>
              </m:e>
              <m:sub>
                <m:r>
                  <m:t>1</m:t>
                </m:r>
              </m:sub>
            </m:sSub>
            <m:r>
              <m:rPr>
                <m:sty m:val="p"/>
              </m:rPr>
              <m:t>−</m:t>
            </m:r>
            <m:r>
              <m:t>2</m:t>
            </m:r>
            <m:r>
              <m:t>M</m:t>
            </m:r>
            <m:r>
              <m:t>d</m:t>
            </m:r>
          </m:num>
          <m:den>
            <m:sSub>
              <m:e>
                <m:r>
                  <m:t>Q</m:t>
                </m:r>
              </m:e>
              <m:sub>
                <m:r>
                  <m:t>3</m:t>
                </m:r>
              </m:sub>
            </m:sSub>
            <m:r>
              <m:rPr>
                <m:sty m:val="p"/>
              </m:rPr>
              <m:t>−</m:t>
            </m:r>
            <m:sSub>
              <m:e>
                <m:r>
                  <m:t>Q</m:t>
                </m:r>
              </m:e>
              <m:sub>
                <m:r>
                  <m:t>1</m:t>
                </m:r>
              </m:sub>
            </m:sSub>
          </m:den>
        </m:f>
      </m:oMath>
      <w:r>
        <w:t xml:space="preserve">; moment measure</w:t>
      </w:r>
      <w:r>
        <w:t xml:space="preserve"> </w:t>
      </w:r>
      <m:oMath>
        <m:sSub>
          <m:e>
            <m:r>
              <m:t>β</m:t>
            </m:r>
          </m:e>
          <m:sub>
            <m:r>
              <m:t>1</m:t>
            </m:r>
          </m:sub>
        </m:sSub>
        <m:r>
          <m:rPr>
            <m:sty m:val="p"/>
          </m:rPr>
          <m:t>=</m:t>
        </m:r>
        <m:sSubSup>
          <m:e>
            <m:r>
              <m:t>μ</m:t>
            </m:r>
          </m:e>
          <m:sub>
            <m:r>
              <m:t>3</m:t>
            </m:r>
          </m:sub>
          <m:sup>
            <m:r>
              <m:t>2</m:t>
            </m:r>
          </m:sup>
        </m:sSubSup>
        <m:r>
          <m:rPr>
            <m:sty m:val="p"/>
          </m:rPr>
          <m:t>/</m:t>
        </m:r>
        <m:sSubSup>
          <m:e>
            <m:r>
              <m:t>μ</m:t>
            </m:r>
          </m:e>
          <m:sub>
            <m:r>
              <m:t>2</m:t>
            </m:r>
          </m:sub>
          <m:sup>
            <m:r>
              <m:t>3</m:t>
            </m:r>
          </m:sup>
        </m:sSubSup>
      </m:oMath>
      <w:r>
        <w:t xml:space="preserve">,</w:t>
      </w:r>
      <w:r>
        <w:t xml:space="preserve"> </w:t>
      </w:r>
      <m:oMath>
        <m:sSub>
          <m:e>
            <m:r>
              <m:t>γ</m:t>
            </m:r>
          </m:e>
          <m:sub>
            <m:r>
              <m:t>1</m:t>
            </m:r>
          </m:sub>
        </m:sSub>
        <m:r>
          <m:rPr>
            <m:sty m:val="p"/>
          </m:rPr>
          <m:t>=</m:t>
        </m:r>
        <m:rad>
          <m:radPr>
            <m:degHide m:val="on"/>
          </m:radPr>
          <m:deg/>
          <m:e>
            <m:sSub>
              <m:e>
                <m:r>
                  <m:t>β</m:t>
                </m:r>
              </m:e>
              <m:sub>
                <m:r>
                  <m:t>1</m:t>
                </m:r>
              </m:sub>
            </m:sSub>
          </m:e>
        </m:rad>
      </m:oMath>
      <w:r>
        <w:t xml:space="preserve">. Positive skew (long right tail; mean &gt; median &gt; mode) — daily rainfall, pest counts; negative skew — e.g., yields near a ceiling.</w:t>
      </w:r>
    </w:p>
    <w:p>
      <w:pPr>
        <w:pStyle w:val="Compact"/>
        <w:numPr>
          <w:ilvl w:val="0"/>
          <w:numId w:val="1387"/>
        </w:numPr>
      </w:pPr>
      <w:r>
        <w:rPr>
          <w:bCs/>
          <w:b/>
        </w:rPr>
        <w:t xml:space="preserve">Kurtosis</w:t>
      </w:r>
      <w:r>
        <w:t xml:space="preserve"> </w:t>
      </w:r>
      <w:r>
        <w:t xml:space="preserve">(peakedness):</w:t>
      </w:r>
      <w:r>
        <w:t xml:space="preserve"> </w:t>
      </w:r>
      <m:oMath>
        <m:sSub>
          <m:e>
            <m:r>
              <m:t>β</m:t>
            </m:r>
          </m:e>
          <m:sub>
            <m:r>
              <m:t>2</m:t>
            </m:r>
          </m:sub>
        </m:sSub>
        <m:r>
          <m:rPr>
            <m:sty m:val="p"/>
          </m:rPr>
          <m:t>=</m:t>
        </m:r>
        <m:sSub>
          <m:e>
            <m:r>
              <m:t>μ</m:t>
            </m:r>
          </m:e>
          <m:sub>
            <m:r>
              <m:t>4</m:t>
            </m:r>
          </m:sub>
        </m:sSub>
        <m:r>
          <m:rPr>
            <m:sty m:val="p"/>
          </m:rPr>
          <m:t>/</m:t>
        </m:r>
        <m:sSubSup>
          <m:e>
            <m:r>
              <m:t>μ</m:t>
            </m:r>
          </m:e>
          <m:sub>
            <m:r>
              <m:t>2</m:t>
            </m:r>
          </m:sub>
          <m:sup>
            <m:r>
              <m:t>2</m:t>
            </m:r>
          </m:sup>
        </m:sSubSup>
      </m:oMath>
      <w:r>
        <w:t xml:space="preserve">; = 3 mesokurtic (normal), &gt; 3 leptokurtic, &lt; 3 platykurtic; excess kurtosis</w:t>
      </w:r>
      <w:r>
        <w:t xml:space="preserve"> </w:t>
      </w:r>
      <m:oMath>
        <m:sSub>
          <m:e>
            <m:r>
              <m:t>γ</m:t>
            </m:r>
          </m:e>
          <m:sub>
            <m:r>
              <m:t>2</m:t>
            </m:r>
          </m:sub>
        </m:sSub>
        <m:r>
          <m:rPr>
            <m:sty m:val="p"/>
          </m:rPr>
          <m:t>=</m:t>
        </m:r>
        <m:sSub>
          <m:e>
            <m:r>
              <m:t>β</m:t>
            </m:r>
          </m:e>
          <m:sub>
            <m:r>
              <m:t>2</m:t>
            </m:r>
          </m:sub>
        </m:sSub>
        <m:r>
          <m:rPr>
            <m:sty m:val="p"/>
          </m:rPr>
          <m:t>−</m:t>
        </m:r>
        <m:r>
          <m:t>3</m:t>
        </m:r>
      </m:oMath>
      <w:r>
        <w:t xml:space="preserve">.</w:t>
      </w:r>
    </w:p>
    <w:p>
      <w:pPr>
        <w:pStyle w:val="Compact"/>
        <w:numPr>
          <w:ilvl w:val="0"/>
          <w:numId w:val="1387"/>
        </w:numPr>
      </w:pPr>
      <w:r>
        <w:t xml:space="preserve">Moments about the mean:</w:t>
      </w:r>
      <w:r>
        <w:t xml:space="preserve"> </w:t>
      </w:r>
      <m:oMath>
        <m:sSub>
          <m:e>
            <m:r>
              <m:t>μ</m:t>
            </m:r>
          </m:e>
          <m:sub>
            <m:r>
              <m:t>r</m:t>
            </m:r>
          </m:sub>
        </m:sSub>
        <m:r>
          <m:rPr>
            <m:sty m:val="p"/>
          </m:rPr>
          <m:t>=</m:t>
        </m:r>
        <m:f>
          <m:fPr>
            <m:type m:val="bar"/>
          </m:fPr>
          <m:num>
            <m:r>
              <m:t>1</m:t>
            </m:r>
          </m:num>
          <m:den>
            <m:r>
              <m:t>N</m:t>
            </m:r>
          </m:den>
        </m:f>
        <m:r>
          <m:rPr>
            <m:sty m:val="p"/>
          </m:rPr>
          <m:t>∑</m:t>
        </m:r>
        <m:sSup>
          <m:e>
            <m:d>
              <m:dPr>
                <m:begChr m:val="("/>
                <m:endChr m:val=")"/>
                <m:sepChr m:val=""/>
                <m:grow/>
              </m:dPr>
              <m:e>
                <m:r>
                  <m:t>x</m:t>
                </m:r>
                <m:r>
                  <m:rPr>
                    <m:sty m:val="p"/>
                  </m:rPr>
                  <m:t>−</m:t>
                </m:r>
                <m:acc>
                  <m:accPr>
                    <m:chr m:val="‾"/>
                  </m:accPr>
                  <m:e>
                    <m:r>
                      <m:t>x</m:t>
                    </m:r>
                  </m:e>
                </m:acc>
              </m:e>
            </m:d>
          </m:e>
          <m:sup>
            <m:r>
              <m:t>r</m:t>
            </m:r>
          </m:sup>
        </m:sSup>
      </m:oMath>
      <w:r>
        <w:t xml:space="preserve"> </w:t>
      </w:r>
      <w:r>
        <w:t xml:space="preserve">(μ₂ = variance).</w:t>
      </w:r>
    </w:p>
    <w:p>
      <w:pPr>
        <w:pStyle w:val="Heading2"/>
      </w:pPr>
      <w:r>
        <w:t xml:space="preserve">50.3 Measures of Central Tendency</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Formula (ungrouped / grouped)</w:t>
            </w:r>
          </w:p>
        </w:tc>
        <w:tc>
          <w:tcPr/>
          <w:p>
            <w:pPr>
              <w:pStyle w:val="Compact"/>
              <w:jc w:val="left"/>
            </w:pPr>
            <w:r>
              <w:t xml:space="preserve">Properties &amp; use</w:t>
            </w:r>
          </w:p>
        </w:tc>
      </w:tr>
      <w:tr>
        <w:tc>
          <w:tcPr/>
          <w:p>
            <w:pPr>
              <w:pStyle w:val="Compact"/>
              <w:jc w:val="left"/>
            </w:pPr>
            <w:r>
              <w:rPr>
                <w:bCs/>
                <w:b/>
              </w:rPr>
              <w:t xml:space="preserve">Arithmetic mean</w:t>
            </w:r>
          </w:p>
        </w:tc>
        <w:tc>
          <w:tcPr/>
          <w:p>
            <w:pPr>
              <w:pStyle w:val="Compact"/>
              <w:jc w:val="left"/>
            </w:pPr>
            <m:oMath>
              <m:acc>
                <m:accPr>
                  <m:chr m:val="‾"/>
                </m:accPr>
                <m:e>
                  <m:r>
                    <m:t>x</m:t>
                  </m:r>
                </m:e>
              </m:acc>
              <m:r>
                <m:rPr>
                  <m:sty m:val="p"/>
                </m:rPr>
                <m:t>=</m:t>
              </m:r>
              <m:f>
                <m:fPr>
                  <m:type m:val="bar"/>
                </m:fPr>
                <m:num>
                  <m:r>
                    <m:rPr>
                      <m:sty m:val="p"/>
                    </m:rPr>
                    <m:t>∑</m:t>
                  </m:r>
                  <m:r>
                    <m:t>x</m:t>
                  </m:r>
                </m:num>
                <m:den>
                  <m:r>
                    <m:t>n</m:t>
                  </m:r>
                </m:den>
              </m:f>
            </m:oMath>
            <w:r>
              <w:t xml:space="preserve">;</w:t>
            </w:r>
            <w:r>
              <w:t xml:space="preserve"> </w:t>
            </w:r>
            <m:oMath>
              <m:acc>
                <m:accPr>
                  <m:chr m:val="‾"/>
                </m:accPr>
                <m:e>
                  <m:r>
                    <m:t>x</m:t>
                  </m:r>
                </m:e>
              </m:acc>
              <m:r>
                <m:rPr>
                  <m:sty m:val="p"/>
                </m:rPr>
                <m:t>=</m:t>
              </m:r>
              <m:f>
                <m:fPr>
                  <m:type m:val="bar"/>
                </m:fPr>
                <m:num>
                  <m:r>
                    <m:rPr>
                      <m:sty m:val="p"/>
                    </m:rPr>
                    <m:t>∑</m:t>
                  </m:r>
                  <m:r>
                    <m:t>f</m:t>
                  </m:r>
                  <m:r>
                    <m:t>x</m:t>
                  </m:r>
                </m:num>
                <m:den>
                  <m:r>
                    <m:rPr>
                      <m:sty m:val="p"/>
                    </m:rPr>
                    <m:t>∑</m:t>
                  </m:r>
                  <m:r>
                    <m:t>f</m:t>
                  </m:r>
                </m:den>
              </m:f>
            </m:oMath>
            <w:r>
              <w:t xml:space="preserve">; step-deviation</w:t>
            </w:r>
            <w:r>
              <w:t xml:space="preserve"> </w:t>
            </w:r>
            <m:oMath>
              <m:acc>
                <m:accPr>
                  <m:chr m:val="‾"/>
                </m:accPr>
                <m:e>
                  <m:r>
                    <m:t>x</m:t>
                  </m:r>
                </m:e>
              </m:acc>
              <m:r>
                <m:rPr>
                  <m:sty m:val="p"/>
                </m:rPr>
                <m:t>=</m:t>
              </m:r>
              <m:r>
                <m:t>A</m:t>
              </m:r>
              <m:r>
                <m:rPr>
                  <m:sty m:val="p"/>
                </m:rPr>
                <m:t>+</m:t>
              </m:r>
              <m:f>
                <m:fPr>
                  <m:type m:val="bar"/>
                </m:fPr>
                <m:num>
                  <m:r>
                    <m:rPr>
                      <m:sty m:val="p"/>
                    </m:rPr>
                    <m:t>∑</m:t>
                  </m:r>
                  <m:r>
                    <m:t>f</m:t>
                  </m:r>
                  <m:r>
                    <m:t>d</m:t>
                  </m:r>
                  <m:r>
                    <m:rPr>
                      <m:sty m:val="p"/>
                    </m:rPr>
                    <m:t>′</m:t>
                  </m:r>
                </m:num>
                <m:den>
                  <m:r>
                    <m:rPr>
                      <m:sty m:val="p"/>
                    </m:rPr>
                    <m:t>∑</m:t>
                  </m:r>
                  <m:r>
                    <m:t>f</m:t>
                  </m:r>
                </m:den>
              </m:f>
              <m:r>
                <m:t>h</m:t>
              </m:r>
            </m:oMath>
          </w:p>
        </w:tc>
        <w:tc>
          <w:tcPr/>
          <w:p>
            <w:pPr>
              <w:pStyle w:val="Compact"/>
              <w:jc w:val="left"/>
            </w:pPr>
            <w:r>
              <w:t xml:space="preserve">Uses all data; affected by extremes; Σ(x − x̄) = 0; Σ(x − x̄)² minimum</w:t>
            </w:r>
          </w:p>
        </w:tc>
      </w:tr>
      <w:tr>
        <w:tc>
          <w:tcPr/>
          <w:p>
            <w:pPr>
              <w:pStyle w:val="Compact"/>
              <w:jc w:val="left"/>
            </w:pPr>
            <w:r>
              <w:rPr>
                <w:bCs/>
                <w:b/>
              </w:rPr>
              <w:t xml:space="preserve">Weighted mean</w:t>
            </w:r>
          </w:p>
        </w:tc>
        <w:tc>
          <w:tcPr/>
          <w:p>
            <w:pPr>
              <w:pStyle w:val="Compact"/>
              <w:jc w:val="left"/>
            </w:pPr>
            <m:oMath>
              <m:sSub>
                <m:e>
                  <m:acc>
                    <m:accPr>
                      <m:chr m:val="‾"/>
                    </m:accPr>
                    <m:e>
                      <m:r>
                        <m:t>x</m:t>
                      </m:r>
                    </m:e>
                  </m:acc>
                </m:e>
                <m:sub>
                  <m:r>
                    <m:t>w</m:t>
                  </m:r>
                </m:sub>
              </m:sSub>
              <m:r>
                <m:rPr>
                  <m:sty m:val="p"/>
                </m:rPr>
                <m:t>=</m:t>
              </m:r>
              <m:f>
                <m:fPr>
                  <m:type m:val="bar"/>
                </m:fPr>
                <m:num>
                  <m:r>
                    <m:rPr>
                      <m:sty m:val="p"/>
                    </m:rPr>
                    <m:t>∑</m:t>
                  </m:r>
                  <m:r>
                    <m:t>w</m:t>
                  </m:r>
                  <m:r>
                    <m:t>x</m:t>
                  </m:r>
                </m:num>
                <m:den>
                  <m:r>
                    <m:rPr>
                      <m:sty m:val="p"/>
                    </m:rPr>
                    <m:t>∑</m:t>
                  </m:r>
                  <m:r>
                    <m:t>w</m:t>
                  </m:r>
                </m:den>
              </m:f>
            </m:oMath>
          </w:p>
        </w:tc>
        <w:tc>
          <w:tcPr/>
          <w:p>
            <w:pPr>
              <w:pStyle w:val="Compact"/>
              <w:jc w:val="left"/>
            </w:pPr>
            <w:r>
              <w:t xml:space="preserve">Area-weighted yield, Thiessen rainfall</w:t>
            </w:r>
          </w:p>
        </w:tc>
      </w:tr>
      <w:tr>
        <w:tc>
          <w:tcPr/>
          <w:p>
            <w:pPr>
              <w:pStyle w:val="Compact"/>
              <w:jc w:val="left"/>
            </w:pPr>
            <w:r>
              <w:rPr>
                <w:bCs/>
                <w:b/>
              </w:rPr>
              <w:t xml:space="preserve">Median</w:t>
            </w:r>
          </w:p>
        </w:tc>
        <w:tc>
          <w:tcPr/>
          <w:p>
            <w:pPr>
              <w:pStyle w:val="Compact"/>
              <w:jc w:val="left"/>
            </w:pPr>
            <w:r>
              <w:t xml:space="preserve">Middle value; grouped</w:t>
            </w:r>
            <w:r>
              <w:t xml:space="preserve"> </w:t>
            </w:r>
            <m:oMath>
              <m:r>
                <m:t>M</m:t>
              </m:r>
              <m:r>
                <m:t>d</m:t>
              </m:r>
              <m:r>
                <m:rPr>
                  <m:sty m:val="p"/>
                </m:rPr>
                <m:t>=</m:t>
              </m:r>
              <m:r>
                <m:t>L</m:t>
              </m:r>
              <m:r>
                <m:rPr>
                  <m:sty m:val="p"/>
                </m:rPr>
                <m:t>+</m:t>
              </m:r>
              <m:f>
                <m:fPr>
                  <m:type m:val="bar"/>
                </m:fPr>
                <m:num>
                  <m:r>
                    <m:t>N</m:t>
                  </m:r>
                  <m:r>
                    <m:rPr>
                      <m:sty m:val="p"/>
                    </m:rPr>
                    <m:t>/</m:t>
                  </m:r>
                  <m:r>
                    <m:t>2</m:t>
                  </m:r>
                  <m:r>
                    <m:rPr>
                      <m:sty m:val="p"/>
                    </m:rPr>
                    <m:t>−</m:t>
                  </m:r>
                  <m:r>
                    <m:t>c</m:t>
                  </m:r>
                  <m:r>
                    <m:t>f</m:t>
                  </m:r>
                </m:num>
                <m:den>
                  <m:r>
                    <m:t>f</m:t>
                  </m:r>
                </m:den>
              </m:f>
              <m:r>
                <m:t>h</m:t>
              </m:r>
            </m:oMath>
          </w:p>
        </w:tc>
        <w:tc>
          <w:tcPr/>
          <w:p>
            <w:pPr>
              <w:pStyle w:val="Compact"/>
              <w:jc w:val="left"/>
            </w:pPr>
            <w:r>
              <w:t xml:space="preserve">Robust to outliers; skewed data (rainfall); median filter in DIP</w:t>
            </w:r>
          </w:p>
        </w:tc>
      </w:tr>
      <w:tr>
        <w:tc>
          <w:tcPr/>
          <w:p>
            <w:pPr>
              <w:pStyle w:val="Compact"/>
              <w:jc w:val="left"/>
            </w:pPr>
            <w:r>
              <w:rPr>
                <w:bCs/>
                <w:b/>
              </w:rPr>
              <w:t xml:space="preserve">Mode</w:t>
            </w:r>
          </w:p>
        </w:tc>
        <w:tc>
          <w:tcPr/>
          <w:p>
            <w:pPr>
              <w:pStyle w:val="Compact"/>
              <w:jc w:val="left"/>
            </w:pPr>
            <w:r>
              <w:t xml:space="preserve">Most frequent; grouped</w:t>
            </w:r>
            <w:r>
              <w:t xml:space="preserve"> </w:t>
            </w:r>
            <m:oMath>
              <m:r>
                <m:t>M</m:t>
              </m:r>
              <m:r>
                <m:t>o</m:t>
              </m:r>
              <m:r>
                <m:rPr>
                  <m:sty m:val="p"/>
                </m:rPr>
                <m:t>=</m:t>
              </m:r>
              <m:r>
                <m:t>L</m:t>
              </m:r>
              <m:r>
                <m:rPr>
                  <m:sty m:val="p"/>
                </m:rPr>
                <m:t>+</m:t>
              </m:r>
              <m:f>
                <m:fPr>
                  <m:type m:val="bar"/>
                </m:fPr>
                <m:num>
                  <m:sSub>
                    <m:e>
                      <m:r>
                        <m:t>f</m:t>
                      </m:r>
                    </m:e>
                    <m:sub>
                      <m:r>
                        <m:t>1</m:t>
                      </m:r>
                    </m:sub>
                  </m:sSub>
                  <m:r>
                    <m:rPr>
                      <m:sty m:val="p"/>
                    </m:rPr>
                    <m:t>−</m:t>
                  </m:r>
                  <m:sSub>
                    <m:e>
                      <m:r>
                        <m:t>f</m:t>
                      </m:r>
                    </m:e>
                    <m:sub>
                      <m:r>
                        <m:t>0</m:t>
                      </m:r>
                    </m:sub>
                  </m:sSub>
                </m:num>
                <m:den>
                  <m:r>
                    <m:t>2</m:t>
                  </m:r>
                  <m:sSub>
                    <m:e>
                      <m:r>
                        <m:t>f</m:t>
                      </m:r>
                    </m:e>
                    <m:sub>
                      <m:r>
                        <m:t>1</m:t>
                      </m:r>
                    </m:sub>
                  </m:sSub>
                  <m:r>
                    <m:rPr>
                      <m:sty m:val="p"/>
                    </m:rPr>
                    <m:t>−</m:t>
                  </m:r>
                  <m:sSub>
                    <m:e>
                      <m:r>
                        <m:t>f</m:t>
                      </m:r>
                    </m:e>
                    <m:sub>
                      <m:r>
                        <m:t>0</m:t>
                      </m:r>
                    </m:sub>
                  </m:sSub>
                  <m:r>
                    <m:rPr>
                      <m:sty m:val="p"/>
                    </m:rPr>
                    <m:t>−</m:t>
                  </m:r>
                  <m:sSub>
                    <m:e>
                      <m:r>
                        <m:t>f</m:t>
                      </m:r>
                    </m:e>
                    <m:sub>
                      <m:r>
                        <m:t>2</m:t>
                      </m:r>
                    </m:sub>
                  </m:sSub>
                </m:den>
              </m:f>
              <m:r>
                <m:t>h</m:t>
              </m:r>
            </m:oMath>
          </w:p>
        </w:tc>
        <w:tc>
          <w:tcPr/>
          <w:p>
            <w:pPr>
              <w:pStyle w:val="Compact"/>
              <w:jc w:val="left"/>
            </w:pPr>
            <w:r>
              <w:t xml:space="preserve">Categorical data; majority filter in classified images</w:t>
            </w:r>
          </w:p>
        </w:tc>
      </w:tr>
      <w:tr>
        <w:tc>
          <w:tcPr/>
          <w:p>
            <w:pPr>
              <w:pStyle w:val="Compact"/>
              <w:jc w:val="left"/>
            </w:pPr>
            <w:r>
              <w:rPr>
                <w:bCs/>
                <w:b/>
              </w:rPr>
              <w:t xml:space="preserve">Geometric mean</w:t>
            </w:r>
          </w:p>
        </w:tc>
        <w:tc>
          <w:tcPr/>
          <w:p>
            <w:pPr>
              <w:pStyle w:val="Compact"/>
              <w:jc w:val="left"/>
            </w:pPr>
            <m:oMath>
              <m:r>
                <m:t>G</m:t>
              </m:r>
              <m:r>
                <m:t>M</m:t>
              </m:r>
              <m:r>
                <m:rPr>
                  <m:sty m:val="p"/>
                </m:rPr>
                <m:t>=</m:t>
              </m:r>
              <m:sSup>
                <m:e>
                  <m:d>
                    <m:dPr>
                      <m:begChr m:val="("/>
                      <m:endChr m:val=")"/>
                      <m:sepChr m:val=""/>
                      <m:grow/>
                    </m:dPr>
                    <m:e>
                      <m:sSub>
                        <m:e>
                          <m:r>
                            <m:t>x</m:t>
                          </m:r>
                        </m:e>
                        <m:sub>
                          <m:r>
                            <m:t>1</m:t>
                          </m:r>
                        </m:sub>
                      </m:sSub>
                      <m:sSub>
                        <m:e>
                          <m:r>
                            <m:t>x</m:t>
                          </m:r>
                        </m:e>
                        <m:sub>
                          <m:r>
                            <m:t>2</m:t>
                          </m:r>
                        </m:sub>
                      </m:sSub>
                      <m:r>
                        <m:rPr>
                          <m:sty m:val="p"/>
                        </m:rPr>
                        <m:t>⋯</m:t>
                      </m:r>
                      <m:sSub>
                        <m:e>
                          <m:r>
                            <m:t>x</m:t>
                          </m:r>
                        </m:e>
                        <m:sub>
                          <m:r>
                            <m:t>n</m:t>
                          </m:r>
                        </m:sub>
                      </m:sSub>
                    </m:e>
                  </m:d>
                </m:e>
                <m:sup>
                  <m:r>
                    <m:t>1</m:t>
                  </m:r>
                  <m:r>
                    <m:rPr>
                      <m:sty m:val="p"/>
                    </m:rPr>
                    <m:t>/</m:t>
                  </m:r>
                  <m:r>
                    <m:t>n</m:t>
                  </m:r>
                </m:sup>
              </m:sSup>
            </m:oMath>
            <w:r>
              <w:t xml:space="preserve">,</w:t>
            </w:r>
            <w:r>
              <w:t xml:space="preserve"> </w:t>
            </w:r>
            <m:oMath>
              <m:r>
                <m:rPr>
                  <m:sty m:val="p"/>
                </m:rPr>
                <m:t>log</m:t>
              </m:r>
              <m:r>
                <m:t>G</m:t>
              </m:r>
              <m:r>
                <m:t>M</m:t>
              </m:r>
              <m:r>
                <m:rPr>
                  <m:sty m:val="p"/>
                </m:rPr>
                <m:t>=</m:t>
              </m:r>
              <m:f>
                <m:fPr>
                  <m:type m:val="bar"/>
                </m:fPr>
                <m:num>
                  <m:r>
                    <m:rPr>
                      <m:sty m:val="p"/>
                    </m:rPr>
                    <m:t>∑</m:t>
                  </m:r>
                  <m:r>
                    <m:rPr>
                      <m:sty m:val="p"/>
                    </m:rPr>
                    <m:t>log</m:t>
                  </m:r>
                  <m:r>
                    <m:t>x</m:t>
                  </m:r>
                </m:num>
                <m:den>
                  <m:r>
                    <m:t>n</m:t>
                  </m:r>
                </m:den>
              </m:f>
            </m:oMath>
          </w:p>
        </w:tc>
        <w:tc>
          <w:tcPr/>
          <w:p>
            <w:pPr>
              <w:pStyle w:val="Compact"/>
              <w:jc w:val="left"/>
            </w:pPr>
            <w:r>
              <w:t xml:space="preserve">Growth rates, ratios, compound growth of production</w:t>
            </w:r>
          </w:p>
        </w:tc>
      </w:tr>
      <w:tr>
        <w:tc>
          <w:tcPr/>
          <w:p>
            <w:pPr>
              <w:pStyle w:val="Compact"/>
              <w:jc w:val="left"/>
            </w:pPr>
            <w:r>
              <w:rPr>
                <w:bCs/>
                <w:b/>
              </w:rPr>
              <w:t xml:space="preserve">Harmonic mean</w:t>
            </w:r>
          </w:p>
        </w:tc>
        <w:tc>
          <w:tcPr/>
          <w:p>
            <w:pPr>
              <w:pStyle w:val="Compact"/>
              <w:jc w:val="left"/>
            </w:pPr>
            <m:oMath>
              <m:r>
                <m:t>H</m:t>
              </m:r>
              <m:r>
                <m:t>M</m:t>
              </m:r>
              <m:r>
                <m:rPr>
                  <m:sty m:val="p"/>
                </m:rPr>
                <m:t>=</m:t>
              </m:r>
              <m:f>
                <m:fPr>
                  <m:type m:val="bar"/>
                </m:fPr>
                <m:num>
                  <m:r>
                    <m:t>n</m:t>
                  </m:r>
                </m:num>
                <m:den>
                  <m:r>
                    <m:rPr>
                      <m:sty m:val="p"/>
                    </m:rPr>
                    <m:t>∑</m:t>
                  </m:r>
                  <m:r>
                    <m:t>1</m:t>
                  </m:r>
                  <m:r>
                    <m:rPr>
                      <m:sty m:val="p"/>
                    </m:rPr>
                    <m:t>/</m:t>
                  </m:r>
                  <m:r>
                    <m:t>x</m:t>
                  </m:r>
                </m:den>
              </m:f>
            </m:oMath>
          </w:p>
        </w:tc>
        <w:tc>
          <w:tcPr/>
          <w:p>
            <w:pPr>
              <w:pStyle w:val="Compact"/>
              <w:jc w:val="left"/>
            </w:pPr>
            <w:r>
              <w:t xml:space="preserve">Average rates (speed, prices per unit)</w:t>
            </w:r>
          </w:p>
        </w:tc>
      </w:tr>
    </w:tbl>
    <w:p>
      <w:pPr>
        <w:pStyle w:val="BodyText"/>
      </w:pPr>
      <w:r>
        <w:rPr>
          <w:bCs/>
          <w:b/>
        </w:rPr>
        <w:t xml:space="preserve">Relations:</w:t>
      </w:r>
      <w:r>
        <w:t xml:space="preserve"> </w:t>
      </w:r>
      <w:r>
        <w:t xml:space="preserve">AM ≥ GM ≥ HM (equal only if all values equal); for two values</w:t>
      </w:r>
      <w:r>
        <w:t xml:space="preserve"> </w:t>
      </w:r>
      <m:oMath>
        <m:r>
          <m:t>G</m:t>
        </m:r>
        <m:sSup>
          <m:e>
            <m:r>
              <m:t>M</m:t>
            </m:r>
          </m:e>
          <m:sup>
            <m:r>
              <m:t>2</m:t>
            </m:r>
          </m:sup>
        </m:sSup>
        <m:r>
          <m:rPr>
            <m:sty m:val="p"/>
          </m:rPr>
          <m:t>=</m:t>
        </m:r>
        <m:r>
          <m:t>A</m:t>
        </m:r>
        <m:r>
          <m:t>M</m:t>
        </m:r>
        <m:r>
          <m:rPr>
            <m:sty m:val="p"/>
          </m:rPr>
          <m:t>×</m:t>
        </m:r>
        <m:r>
          <m:t>H</m:t>
        </m:r>
        <m:r>
          <m:t>M</m:t>
        </m:r>
      </m:oMath>
      <w:r>
        <w:t xml:space="preserve">. Empirical relation for moderately skewed data:</w:t>
      </w:r>
      <w:r>
        <w:t xml:space="preserve"> </w:t>
      </w:r>
      <w:r>
        <w:rPr>
          <w:bCs/>
          <w:b/>
        </w:rPr>
        <w:t xml:space="preserve">Mode = 3 Median − 2 Mean</w:t>
      </w:r>
      <w:r>
        <w:t xml:space="preserve">.</w:t>
      </w:r>
    </w:p>
    <w:p>
      <w:pPr>
        <w:pStyle w:val="BodyText"/>
      </w:pPr>
      <w:r>
        <w:rPr>
          <w:bCs/>
          <w:b/>
        </w:rPr>
        <w:t xml:space="preserve">Partition values:</w:t>
      </w:r>
      <w:r>
        <w:t xml:space="preserve"> </w:t>
      </w:r>
      <w:r>
        <w:t xml:space="preserve">quartiles, deciles, percentiles —</w:t>
      </w:r>
      <w:r>
        <w:t xml:space="preserve"> </w:t>
      </w:r>
      <m:oMath>
        <m:sSub>
          <m:e>
            <m:r>
              <m:t>Q</m:t>
            </m:r>
          </m:e>
          <m:sub>
            <m:r>
              <m:t>i</m:t>
            </m:r>
          </m:sub>
        </m:sSub>
        <m:r>
          <m:rPr>
            <m:sty m:val="p"/>
          </m:rPr>
          <m:t>=</m:t>
        </m:r>
        <m:r>
          <m:t>L</m:t>
        </m:r>
        <m:r>
          <m:rPr>
            <m:sty m:val="p"/>
          </m:rPr>
          <m:t>+</m:t>
        </m:r>
        <m:f>
          <m:fPr>
            <m:type m:val="bar"/>
          </m:fPr>
          <m:num>
            <m:r>
              <m:t>i</m:t>
            </m:r>
            <m:r>
              <m:t>N</m:t>
            </m:r>
            <m:r>
              <m:rPr>
                <m:sty m:val="p"/>
              </m:rPr>
              <m:t>/</m:t>
            </m:r>
            <m:r>
              <m:t>4</m:t>
            </m:r>
            <m:r>
              <m:rPr>
                <m:sty m:val="p"/>
              </m:rPr>
              <m:t>−</m:t>
            </m:r>
            <m:r>
              <m:t>c</m:t>
            </m:r>
            <m:r>
              <m:t>f</m:t>
            </m:r>
          </m:num>
          <m:den>
            <m:r>
              <m:t>f</m:t>
            </m:r>
          </m:den>
        </m:f>
        <m:r>
          <m:t>h</m:t>
        </m:r>
      </m:oMath>
      <w:r>
        <w:t xml:space="preserve">. Rainfall percentiles define</w:t>
      </w:r>
      <w:r>
        <w:t xml:space="preserve"> </w:t>
      </w:r>
      <w:r>
        <w:rPr>
          <w:bCs/>
          <w:b/>
        </w:rPr>
        <w:t xml:space="preserve">deciles drought index</w:t>
      </w:r>
      <w:r>
        <w:t xml:space="preserve"> </w:t>
      </w:r>
      <w:r>
        <w:t xml:space="preserve">(below the 1st decile → very much below normal); percentile stretching (2–98%) in image enhancement.</w:t>
      </w:r>
    </w:p>
    <w:p>
      <w:pPr>
        <w:pStyle w:val="Heading2"/>
      </w:pPr>
      <w:r>
        <w:t xml:space="preserve">50.4 Measures of Dispersion</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Formula</w:t>
            </w:r>
          </w:p>
        </w:tc>
        <w:tc>
          <w:tcPr/>
          <w:p>
            <w:pPr>
              <w:pStyle w:val="Compact"/>
              <w:jc w:val="left"/>
            </w:pPr>
            <w:r>
              <w:t xml:space="preserve">Notes</w:t>
            </w:r>
          </w:p>
        </w:tc>
      </w:tr>
      <w:tr>
        <w:tc>
          <w:tcPr/>
          <w:p>
            <w:pPr>
              <w:pStyle w:val="Compact"/>
              <w:jc w:val="left"/>
            </w:pPr>
            <w:r>
              <w:rPr>
                <w:bCs/>
                <w:b/>
              </w:rPr>
              <w:t xml:space="preserve">Range</w:t>
            </w:r>
          </w:p>
        </w:tc>
        <w:tc>
          <w:tcPr/>
          <w:p>
            <w:pPr>
              <w:pStyle w:val="Compact"/>
              <w:jc w:val="left"/>
            </w:pPr>
            <w:r>
              <w:t xml:space="preserve">max − min; coefficient</w:t>
            </w:r>
            <w:r>
              <w:t xml:space="preserve"> </w:t>
            </w:r>
            <m:oMath>
              <m:f>
                <m:fPr>
                  <m:type m:val="bar"/>
                </m:fPr>
                <m:num>
                  <m:r>
                    <m:t>m</m:t>
                  </m:r>
                  <m:r>
                    <m:t>a</m:t>
                  </m:r>
                  <m:r>
                    <m:t>x</m:t>
                  </m:r>
                  <m:r>
                    <m:rPr>
                      <m:sty m:val="p"/>
                    </m:rPr>
                    <m:t>−</m:t>
                  </m:r>
                  <m:r>
                    <m:t>m</m:t>
                  </m:r>
                  <m:r>
                    <m:t>i</m:t>
                  </m:r>
                  <m:r>
                    <m:t>n</m:t>
                  </m:r>
                </m:num>
                <m:den>
                  <m:r>
                    <m:t>m</m:t>
                  </m:r>
                  <m:r>
                    <m:t>a</m:t>
                  </m:r>
                  <m:r>
                    <m:t>x</m:t>
                  </m:r>
                  <m:r>
                    <m:rPr>
                      <m:sty m:val="p"/>
                    </m:rPr>
                    <m:t>+</m:t>
                  </m:r>
                  <m:r>
                    <m:t>m</m:t>
                  </m:r>
                  <m:r>
                    <m:t>i</m:t>
                  </m:r>
                  <m:r>
                    <m:t>n</m:t>
                  </m:r>
                </m:den>
              </m:f>
            </m:oMath>
          </w:p>
        </w:tc>
        <w:tc>
          <w:tcPr/>
          <w:p>
            <w:pPr>
              <w:pStyle w:val="Compact"/>
              <w:jc w:val="left"/>
            </w:pPr>
            <w:r>
              <w:t xml:space="preserve">Simplest; diurnal temperature range</w:t>
            </w:r>
          </w:p>
        </w:tc>
      </w:tr>
      <w:tr>
        <w:tc>
          <w:tcPr/>
          <w:p>
            <w:pPr>
              <w:pStyle w:val="Compact"/>
              <w:jc w:val="left"/>
            </w:pPr>
            <w:r>
              <w:rPr>
                <w:bCs/>
                <w:b/>
              </w:rPr>
              <w:t xml:space="preserve">Quartile deviation</w:t>
            </w:r>
          </w:p>
        </w:tc>
        <w:tc>
          <w:tcPr/>
          <w:p>
            <w:pPr>
              <w:pStyle w:val="Compact"/>
              <w:jc w:val="left"/>
            </w:pPr>
            <m:oMath>
              <m:r>
                <m:t>Q</m:t>
              </m:r>
              <m:r>
                <m:t>D</m:t>
              </m:r>
              <m:r>
                <m:rPr>
                  <m:sty m:val="p"/>
                </m:rPr>
                <m:t>=</m:t>
              </m:r>
              <m:f>
                <m:fPr>
                  <m:type m:val="bar"/>
                </m:fPr>
                <m:num>
                  <m:sSub>
                    <m:e>
                      <m:r>
                        <m:t>Q</m:t>
                      </m:r>
                    </m:e>
                    <m:sub>
                      <m:r>
                        <m:t>3</m:t>
                      </m:r>
                    </m:sub>
                  </m:sSub>
                  <m:r>
                    <m:rPr>
                      <m:sty m:val="p"/>
                    </m:rPr>
                    <m:t>−</m:t>
                  </m:r>
                  <m:sSub>
                    <m:e>
                      <m:r>
                        <m:t>Q</m:t>
                      </m:r>
                    </m:e>
                    <m:sub>
                      <m:r>
                        <m:t>1</m:t>
                      </m:r>
                    </m:sub>
                  </m:sSub>
                </m:num>
                <m:den>
                  <m:r>
                    <m:t>2</m:t>
                  </m:r>
                </m:den>
              </m:f>
            </m:oMath>
            <w:r>
              <w:t xml:space="preserve">; IQR = Q₃ − Q₁</w:t>
            </w:r>
          </w:p>
        </w:tc>
        <w:tc>
          <w:tcPr/>
          <w:p>
            <w:pPr>
              <w:pStyle w:val="Compact"/>
              <w:jc w:val="left"/>
            </w:pPr>
            <w:r>
              <w:t xml:space="preserve">Robust</w:t>
            </w:r>
          </w:p>
        </w:tc>
      </w:tr>
      <w:tr>
        <w:tc>
          <w:tcPr/>
          <w:p>
            <w:pPr>
              <w:pStyle w:val="Compact"/>
              <w:jc w:val="left"/>
            </w:pPr>
            <w:r>
              <w:rPr>
                <w:bCs/>
                <w:b/>
              </w:rPr>
              <w:t xml:space="preserve">Mean deviation</w:t>
            </w:r>
          </w:p>
        </w:tc>
        <w:tc>
          <w:tcPr/>
          <w:p>
            <w:pPr>
              <w:pStyle w:val="Compact"/>
              <w:jc w:val="left"/>
            </w:pPr>
            <m:oMath>
              <m:r>
                <m:t>M</m:t>
              </m:r>
              <m:r>
                <m:t>D</m:t>
              </m:r>
              <m:r>
                <m:rPr>
                  <m:sty m:val="p"/>
                </m:rPr>
                <m:t>=</m:t>
              </m:r>
              <m:f>
                <m:fPr>
                  <m:type m:val="bar"/>
                </m:fPr>
                <m:num>
                  <m:r>
                    <m:rPr>
                      <m:sty m:val="p"/>
                    </m:rPr>
                    <m:t>∑</m:t>
                  </m:r>
                  <m:d>
                    <m:dPr>
                      <m:begChr m:val="|"/>
                      <m:endChr m:val="|"/>
                      <m:sepChr m:val=""/>
                      <m:grow/>
                    </m:dPr>
                    <m:e>
                      <m:r>
                        <m:t>x</m:t>
                      </m:r>
                      <m:r>
                        <m:rPr>
                          <m:sty m:val="p"/>
                        </m:rPr>
                        <m:t>−</m:t>
                      </m:r>
                      <m:r>
                        <m:t>A</m:t>
                      </m:r>
                    </m:e>
                  </m:d>
                </m:num>
                <m:den>
                  <m:r>
                    <m:t>n</m:t>
                  </m:r>
                </m:den>
              </m:f>
            </m:oMath>
            <w:r>
              <w:t xml:space="preserve"> </w:t>
            </w:r>
            <w:r>
              <w:t xml:space="preserve">(minimum about median)</w:t>
            </w:r>
          </w:p>
        </w:tc>
        <w:tc>
          <w:tcPr/>
          <w:p>
            <w:pPr>
              <w:pStyle w:val="Compact"/>
            </w:pPr>
          </w:p>
        </w:tc>
      </w:tr>
      <w:tr>
        <w:tc>
          <w:tcPr/>
          <w:p>
            <w:pPr>
              <w:pStyle w:val="Compact"/>
              <w:jc w:val="left"/>
            </w:pPr>
            <w:r>
              <w:rPr>
                <w:bCs/>
                <w:b/>
              </w:rPr>
              <w:t xml:space="preserve">Variance</w:t>
            </w:r>
          </w:p>
        </w:tc>
        <w:tc>
          <w:tcPr/>
          <w:p>
            <w:pPr>
              <w:pStyle w:val="Compact"/>
              <w:jc w:val="left"/>
            </w:pPr>
            <w:r>
              <w:t xml:space="preserve">Population</w:t>
            </w:r>
            <w:r>
              <w:t xml:space="preserve"> </w:t>
            </w:r>
            <m:oMath>
              <m:sSup>
                <m:e>
                  <m:r>
                    <m:t>σ</m:t>
                  </m:r>
                </m:e>
                <m:sup>
                  <m:r>
                    <m:t>2</m:t>
                  </m:r>
                </m:sup>
              </m:sSup>
              <m:r>
                <m:rPr>
                  <m:sty m:val="p"/>
                </m:rPr>
                <m:t>=</m:t>
              </m:r>
              <m:f>
                <m:fPr>
                  <m:type m:val="bar"/>
                </m:fPr>
                <m:num>
                  <m:r>
                    <m:rPr>
                      <m:sty m:val="p"/>
                    </m:rPr>
                    <m:t>∑</m:t>
                  </m:r>
                  <m:sSup>
                    <m:e>
                      <m:d>
                        <m:dPr>
                          <m:begChr m:val="("/>
                          <m:endChr m:val=")"/>
                          <m:sepChr m:val=""/>
                          <m:grow/>
                        </m:dPr>
                        <m:e>
                          <m:r>
                            <m:t>x</m:t>
                          </m:r>
                          <m:r>
                            <m:rPr>
                              <m:sty m:val="p"/>
                            </m:rPr>
                            <m:t>−</m:t>
                          </m:r>
                          <m:r>
                            <m:t>μ</m:t>
                          </m:r>
                        </m:e>
                      </m:d>
                    </m:e>
                    <m:sup>
                      <m:r>
                        <m:t>2</m:t>
                      </m:r>
                    </m:sup>
                  </m:sSup>
                </m:num>
                <m:den>
                  <m:r>
                    <m:t>N</m:t>
                  </m:r>
                </m:den>
              </m:f>
            </m:oMath>
            <w:r>
              <w:t xml:space="preserve">; sample</w:t>
            </w:r>
            <w:r>
              <w:t xml:space="preserve"> </w:t>
            </w:r>
            <m:oMath>
              <m:sSup>
                <m:e>
                  <m:r>
                    <m:t>s</m:t>
                  </m:r>
                </m:e>
                <m:sup>
                  <m:r>
                    <m:t>2</m:t>
                  </m:r>
                </m:sup>
              </m:sSup>
              <m:r>
                <m:rPr>
                  <m:sty m:val="p"/>
                </m:rPr>
                <m:t>=</m:t>
              </m:r>
              <m:f>
                <m:fPr>
                  <m:type m:val="bar"/>
                </m:fPr>
                <m:num>
                  <m:r>
                    <m:rPr>
                      <m:sty m:val="p"/>
                    </m:rPr>
                    <m:t>∑</m:t>
                  </m:r>
                  <m:sSup>
                    <m:e>
                      <m:d>
                        <m:dPr>
                          <m:begChr m:val="("/>
                          <m:endChr m:val=")"/>
                          <m:sepChr m:val=""/>
                          <m:grow/>
                        </m:dPr>
                        <m:e>
                          <m:r>
                            <m:t>x</m:t>
                          </m:r>
                          <m:r>
                            <m:rPr>
                              <m:sty m:val="p"/>
                            </m:rPr>
                            <m:t>−</m:t>
                          </m:r>
                          <m:acc>
                            <m:accPr>
                              <m:chr m:val="‾"/>
                            </m:accPr>
                            <m:e>
                              <m:r>
                                <m:t>x</m:t>
                              </m:r>
                            </m:e>
                          </m:acc>
                        </m:e>
                      </m:d>
                    </m:e>
                    <m:sup>
                      <m:r>
                        <m:t>2</m:t>
                      </m:r>
                    </m:sup>
                  </m:sSup>
                </m:num>
                <m:den>
                  <m:r>
                    <m:t>n</m:t>
                  </m:r>
                  <m:r>
                    <m:rPr>
                      <m:sty m:val="p"/>
                    </m:rPr>
                    <m:t>−</m:t>
                  </m:r>
                  <m:r>
                    <m:t>1</m:t>
                  </m:r>
                </m:den>
              </m:f>
              <m:r>
                <m:rPr>
                  <m:sty m:val="p"/>
                </m:rPr>
                <m:t>=</m:t>
              </m:r>
              <m:f>
                <m:fPr>
                  <m:type m:val="bar"/>
                </m:fPr>
                <m:num>
                  <m:r>
                    <m:rPr>
                      <m:sty m:val="p"/>
                    </m:rPr>
                    <m:t>∑</m:t>
                  </m:r>
                  <m:sSup>
                    <m:e>
                      <m:r>
                        <m:t>x</m:t>
                      </m:r>
                    </m:e>
                    <m:sup>
                      <m:r>
                        <m:t>2</m:t>
                      </m:r>
                    </m:sup>
                  </m:sSup>
                  <m:r>
                    <m:rPr>
                      <m:sty m:val="p"/>
                    </m:rPr>
                    <m:t>−</m:t>
                  </m:r>
                  <m:sSup>
                    <m:e>
                      <m:d>
                        <m:dPr>
                          <m:begChr m:val="("/>
                          <m:endChr m:val=")"/>
                          <m:sepChr m:val=""/>
                          <m:grow/>
                        </m:dPr>
                        <m:e>
                          <m:r>
                            <m:rPr>
                              <m:sty m:val="p"/>
                            </m:rPr>
                            <m:t>∑</m:t>
                          </m:r>
                          <m:r>
                            <m:t>x</m:t>
                          </m:r>
                        </m:e>
                      </m:d>
                    </m:e>
                    <m:sup>
                      <m:r>
                        <m:t>2</m:t>
                      </m:r>
                    </m:sup>
                  </m:sSup>
                  <m:r>
                    <m:rPr>
                      <m:sty m:val="p"/>
                    </m:rPr>
                    <m:t>/</m:t>
                  </m:r>
                  <m:r>
                    <m:t>n</m:t>
                  </m:r>
                </m:num>
                <m:den>
                  <m:r>
                    <m:t>n</m:t>
                  </m:r>
                  <m:r>
                    <m:rPr>
                      <m:sty m:val="p"/>
                    </m:rPr>
                    <m:t>−</m:t>
                  </m:r>
                  <m:r>
                    <m:t>1</m:t>
                  </m:r>
                </m:den>
              </m:f>
            </m:oMath>
          </w:p>
        </w:tc>
        <w:tc>
          <w:tcPr/>
          <w:p>
            <w:pPr>
              <w:pStyle w:val="Compact"/>
              <w:jc w:val="left"/>
            </w:pPr>
            <w:r>
              <w:t xml:space="preserve">n − 1 = degrees of freedom (unbiased estimator)</w:t>
            </w:r>
          </w:p>
        </w:tc>
      </w:tr>
      <w:tr>
        <w:tc>
          <w:tcPr/>
          <w:p>
            <w:pPr>
              <w:pStyle w:val="Compact"/>
              <w:jc w:val="left"/>
            </w:pPr>
            <w:r>
              <w:rPr>
                <w:bCs/>
                <w:b/>
              </w:rPr>
              <w:t xml:space="preserve">Standard deviation</w:t>
            </w:r>
          </w:p>
        </w:tc>
        <w:tc>
          <w:tcPr/>
          <w:p>
            <w:pPr>
              <w:pStyle w:val="Compact"/>
              <w:jc w:val="left"/>
            </w:pPr>
            <m:oMath>
              <m:r>
                <m:t>s</m:t>
              </m:r>
              <m:r>
                <m:rPr>
                  <m:sty m:val="p"/>
                </m:rPr>
                <m:t>=</m:t>
              </m:r>
              <m:rad>
                <m:radPr>
                  <m:degHide m:val="on"/>
                </m:radPr>
                <m:deg/>
                <m:e>
                  <m:sSup>
                    <m:e>
                      <m:r>
                        <m:t>s</m:t>
                      </m:r>
                    </m:e>
                    <m:sup>
                      <m:r>
                        <m:t>2</m:t>
                      </m:r>
                    </m:sup>
                  </m:sSup>
                </m:e>
              </m:rad>
            </m:oMath>
          </w:p>
        </w:tc>
        <w:tc>
          <w:tcPr/>
          <w:p>
            <w:pPr>
              <w:pStyle w:val="Compact"/>
              <w:jc w:val="left"/>
            </w:pPr>
            <w:r>
              <w:t xml:space="preserve">Same units as data</w:t>
            </w:r>
          </w:p>
        </w:tc>
      </w:tr>
      <w:tr>
        <w:tc>
          <w:tcPr/>
          <w:p>
            <w:pPr>
              <w:pStyle w:val="Compact"/>
              <w:jc w:val="left"/>
            </w:pPr>
            <w:r>
              <w:rPr>
                <w:bCs/>
                <w:b/>
              </w:rPr>
              <w:t xml:space="preserve">Coefficient of variation</w:t>
            </w:r>
          </w:p>
        </w:tc>
        <w:tc>
          <w:tcPr/>
          <w:p>
            <w:pPr>
              <w:pStyle w:val="Compact"/>
              <w:jc w:val="left"/>
            </w:pPr>
            <m:oMath>
              <m:r>
                <m:t>C</m:t>
              </m:r>
              <m:r>
                <m:t>V</m:t>
              </m:r>
              <m:r>
                <m:rPr>
                  <m:sty m:val="p"/>
                </m:rPr>
                <m:t>=</m:t>
              </m:r>
              <m:f>
                <m:fPr>
                  <m:type m:val="bar"/>
                </m:fPr>
                <m:num>
                  <m:r>
                    <m:t>s</m:t>
                  </m:r>
                </m:num>
                <m:den>
                  <m:acc>
                    <m:accPr>
                      <m:chr m:val="‾"/>
                    </m:accPr>
                    <m:e>
                      <m:r>
                        <m:t>x</m:t>
                      </m:r>
                    </m:e>
                  </m:acc>
                </m:den>
              </m:f>
              <m:r>
                <m:rPr>
                  <m:sty m:val="p"/>
                </m:rPr>
                <m:t>×</m:t>
              </m:r>
              <m:r>
                <m:t>100</m:t>
              </m:r>
            </m:oMath>
          </w:p>
        </w:tc>
        <w:tc>
          <w:tcPr/>
          <w:p>
            <w:pPr>
              <w:pStyle w:val="Compact"/>
              <w:jc w:val="left"/>
            </w:pPr>
            <w:r>
              <w:t xml:space="preserve">Unit-free; rainfall variability (CV &gt; 25% → unreliable rainfall, drought-prone); field-trial precision (CV &lt; 10–15% acceptable); yield stability</w:t>
            </w:r>
          </w:p>
        </w:tc>
      </w:tr>
      <w:tr>
        <w:tc>
          <w:tcPr/>
          <w:p>
            <w:pPr>
              <w:pStyle w:val="Compact"/>
              <w:jc w:val="left"/>
            </w:pPr>
            <w:r>
              <w:rPr>
                <w:bCs/>
                <w:b/>
              </w:rPr>
              <w:t xml:space="preserve">Standard error of mean</w:t>
            </w:r>
          </w:p>
        </w:tc>
        <w:tc>
          <w:tcPr/>
          <w:p>
            <w:pPr>
              <w:pStyle w:val="Compact"/>
              <w:jc w:val="left"/>
            </w:pPr>
            <m:oMath>
              <m:r>
                <m:t>S</m:t>
              </m:r>
              <m:r>
                <m:t>E</m:t>
              </m:r>
              <m:r>
                <m:rPr>
                  <m:sty m:val="p"/>
                </m:rPr>
                <m:t>=</m:t>
              </m:r>
              <m:r>
                <m:t>s</m:t>
              </m:r>
              <m:r>
                <m:rPr>
                  <m:sty m:val="p"/>
                </m:rPr>
                <m:t>/</m:t>
              </m:r>
              <m:rad>
                <m:radPr>
                  <m:degHide m:val="on"/>
                </m:radPr>
                <m:deg/>
                <m:e>
                  <m:r>
                    <m:t>n</m:t>
                  </m:r>
                </m:e>
              </m:rad>
            </m:oMath>
          </w:p>
        </w:tc>
        <w:tc>
          <w:tcPr/>
          <w:p>
            <w:pPr>
              <w:pStyle w:val="Compact"/>
              <w:jc w:val="left"/>
            </w:pPr>
            <w:r>
              <w:t xml:space="preserve">Precision of mean</w:t>
            </w:r>
          </w:p>
        </w:tc>
      </w:tr>
    </w:tbl>
    <w:p>
      <w:pPr>
        <w:pStyle w:val="BodyText"/>
      </w:pPr>
      <w:r>
        <w:rPr>
          <w:bCs/>
          <w:b/>
        </w:rPr>
        <w:t xml:space="preserve">Properties:</w:t>
      </w:r>
      <w:r>
        <w:t xml:space="preserve"> </w:t>
      </w:r>
      <w:r>
        <w:t xml:space="preserve">variance is unaffected by change of origin but affected by scale:</w:t>
      </w:r>
      <w:r>
        <w:t xml:space="preserve"> </w:t>
      </w:r>
      <m:oMath>
        <m:r>
          <m:t>V</m:t>
        </m:r>
        <m:d>
          <m:dPr>
            <m:begChr m:val="("/>
            <m:endChr m:val=")"/>
            <m:sepChr m:val=""/>
            <m:grow/>
          </m:dPr>
          <m:e>
            <m:r>
              <m:t>a</m:t>
            </m:r>
            <m:r>
              <m:t>x</m:t>
            </m:r>
            <m:r>
              <m:rPr>
                <m:sty m:val="p"/>
              </m:rPr>
              <m:t>+</m:t>
            </m:r>
            <m:r>
              <m:t>b</m:t>
            </m:r>
          </m:e>
        </m:d>
        <m:r>
          <m:rPr>
            <m:sty m:val="p"/>
          </m:rPr>
          <m:t>=</m:t>
        </m:r>
        <m:sSup>
          <m:e>
            <m:r>
              <m:t>a</m:t>
            </m:r>
          </m:e>
          <m:sup>
            <m:r>
              <m:t>2</m:t>
            </m:r>
          </m:sup>
        </m:sSup>
        <m:r>
          <m:t>V</m:t>
        </m:r>
        <m:d>
          <m:dPr>
            <m:begChr m:val="("/>
            <m:endChr m:val=")"/>
            <m:sepChr m:val=""/>
            <m:grow/>
          </m:dPr>
          <m:e>
            <m:r>
              <m:t>x</m:t>
            </m:r>
          </m:e>
        </m:d>
      </m:oMath>
      <w:r>
        <w:t xml:space="preserve">. Combined variance of groups:</w:t>
      </w:r>
      <w:r>
        <w:t xml:space="preserve"> </w:t>
      </w:r>
      <m:oMath>
        <m:sSup>
          <m:e>
            <m:r>
              <m:t>σ</m:t>
            </m:r>
          </m:e>
          <m:sup>
            <m:r>
              <m:t>2</m:t>
            </m:r>
          </m:sup>
        </m:sSup>
        <m:r>
          <m:rPr>
            <m:sty m:val="p"/>
          </m:rPr>
          <m:t>=</m:t>
        </m:r>
        <m:f>
          <m:fPr>
            <m:type m:val="bar"/>
          </m:fPr>
          <m:num>
            <m:r>
              <m:rPr>
                <m:sty m:val="p"/>
              </m:rPr>
              <m:t>∑</m:t>
            </m:r>
            <m:sSub>
              <m:e>
                <m:r>
                  <m:t>n</m:t>
                </m:r>
              </m:e>
              <m:sub>
                <m:r>
                  <m:t>i</m:t>
                </m:r>
              </m:sub>
            </m:sSub>
            <m:d>
              <m:dPr>
                <m:begChr m:val="("/>
                <m:endChr m:val=")"/>
                <m:sepChr m:val=""/>
                <m:grow/>
              </m:dPr>
              <m:e>
                <m:sSubSup>
                  <m:e>
                    <m:r>
                      <m:t>σ</m:t>
                    </m:r>
                  </m:e>
                  <m:sub>
                    <m:r>
                      <m:t>i</m:t>
                    </m:r>
                  </m:sub>
                  <m:sup>
                    <m:r>
                      <m:t>2</m:t>
                    </m:r>
                  </m:sup>
                </m:sSubSup>
                <m:r>
                  <m:rPr>
                    <m:sty m:val="p"/>
                  </m:rPr>
                  <m:t>+</m:t>
                </m:r>
                <m:sSubSup>
                  <m:e>
                    <m:r>
                      <m:t>d</m:t>
                    </m:r>
                  </m:e>
                  <m:sub>
                    <m:r>
                      <m:t>i</m:t>
                    </m:r>
                  </m:sub>
                  <m:sup>
                    <m:r>
                      <m:t>2</m:t>
                    </m:r>
                  </m:sup>
                </m:sSubSup>
              </m:e>
            </m:d>
          </m:num>
          <m:den>
            <m:r>
              <m:rPr>
                <m:sty m:val="p"/>
              </m:rPr>
              <m:t>∑</m:t>
            </m:r>
            <m:sSub>
              <m:e>
                <m:r>
                  <m:t>n</m:t>
                </m:r>
              </m:e>
              <m:sub>
                <m:r>
                  <m:t>i</m:t>
                </m:r>
              </m:sub>
            </m:sSub>
          </m:den>
        </m:f>
      </m:oMath>
      <w:r>
        <w:t xml:space="preserve">,</w:t>
      </w:r>
      <w:r>
        <w:t xml:space="preserve"> </w:t>
      </w:r>
      <m:oMath>
        <m:sSub>
          <m:e>
            <m:r>
              <m:t>d</m:t>
            </m:r>
          </m:e>
          <m:sub>
            <m:r>
              <m:t>i</m:t>
            </m:r>
          </m:sub>
        </m:sSub>
        <m:r>
          <m:rPr>
            <m:sty m:val="p"/>
          </m:rPr>
          <m:t>=</m:t>
        </m:r>
        <m:sSub>
          <m:e>
            <m:acc>
              <m:accPr>
                <m:chr m:val="‾"/>
              </m:accPr>
              <m:e>
                <m:r>
                  <m:t>x</m:t>
                </m:r>
              </m:e>
            </m:acc>
          </m:e>
          <m:sub>
            <m:r>
              <m:t>i</m:t>
            </m:r>
          </m:sub>
        </m:sSub>
        <m:r>
          <m:rPr>
            <m:sty m:val="p"/>
          </m:rPr>
          <m:t>−</m:t>
        </m:r>
        <m:acc>
          <m:accPr>
            <m:chr m:val="‾"/>
          </m:accPr>
          <m:e>
            <m:r>
              <m:t>x</m:t>
            </m:r>
          </m:e>
        </m:acc>
      </m:oMath>
      <w:r>
        <w:t xml:space="preserve">.</w:t>
      </w:r>
      <w:r>
        <w:t xml:space="preserve"> </w:t>
      </w:r>
      <w:r>
        <w:rPr>
          <w:bCs/>
          <w:b/>
        </w:rPr>
        <w:t xml:space="preserve">Chebyshev’s inequality:</w:t>
      </w:r>
      <w:r>
        <w:t xml:space="preserve"> </w:t>
      </w:r>
      <w:r>
        <w:t xml:space="preserve">at least</w:t>
      </w:r>
      <w:r>
        <w:t xml:space="preserve"> </w:t>
      </w:r>
      <m:oMath>
        <m:r>
          <m:t>1</m:t>
        </m:r>
        <m:r>
          <m:rPr>
            <m:sty m:val="p"/>
          </m:rPr>
          <m:t>−</m:t>
        </m:r>
        <m:r>
          <m:t>1</m:t>
        </m:r>
        <m:r>
          <m:rPr>
            <m:sty m:val="p"/>
          </m:rPr>
          <m:t>/</m:t>
        </m:r>
        <m:sSup>
          <m:e>
            <m:r>
              <m:t>k</m:t>
            </m:r>
          </m:e>
          <m:sup>
            <m:r>
              <m:t>2</m:t>
            </m:r>
          </m:sup>
        </m:sSup>
      </m:oMath>
      <w:r>
        <w:t xml:space="preserve"> </w:t>
      </w:r>
      <w:r>
        <w:t xml:space="preserve">of any distribution lies within k SD of the mean.</w:t>
      </w:r>
      <w:r>
        <w:t xml:space="preserve"> </w:t>
      </w:r>
      <w:r>
        <w:rPr>
          <w:bCs/>
          <w:b/>
        </w:rPr>
        <w:t xml:space="preserve">Z-score</w:t>
      </w:r>
      <w:r>
        <w:t xml:space="preserve"> </w:t>
      </w:r>
      <m:oMath>
        <m:r>
          <m:t>z</m:t>
        </m:r>
        <m:r>
          <m:rPr>
            <m:sty m:val="p"/>
          </m:rPr>
          <m:t>=</m:t>
        </m:r>
        <m:d>
          <m:dPr>
            <m:begChr m:val="("/>
            <m:endChr m:val=")"/>
            <m:sepChr m:val=""/>
            <m:grow/>
          </m:dPr>
          <m:e>
            <m:r>
              <m:t>x</m:t>
            </m:r>
            <m:r>
              <m:rPr>
                <m:sty m:val="p"/>
              </m:rPr>
              <m:t>−</m:t>
            </m:r>
            <m:acc>
              <m:accPr>
                <m:chr m:val="‾"/>
              </m:accPr>
              <m:e>
                <m:r>
                  <m:t>x</m:t>
                </m:r>
              </m:e>
            </m:acc>
          </m:e>
        </m:d>
        <m:r>
          <m:rPr>
            <m:sty m:val="p"/>
          </m:rPr>
          <m:t>/</m:t>
        </m:r>
        <m:r>
          <m:t>s</m:t>
        </m:r>
      </m:oMath>
      <w:r>
        <w:t xml:space="preserve"> </w:t>
      </w:r>
      <w:r>
        <w:t xml:space="preserve">standardises — e.g., Standardised Precipitation Index and NDVI anomaly (z-score) maps.</w:t>
      </w:r>
    </w:p>
    <w:p>
      <w:pPr>
        <w:pStyle w:val="CaptionedFigure"/>
      </w:pPr>
      <w:r>
        <w:drawing>
          <wp:inline>
            <wp:extent cx="5334000" cy="2506980"/>
            <wp:effectExtent b="0" l="0" r="0" t="0"/>
            <wp:docPr descr="Descriptive analysis of an agromet data set (e.g., 30-year rainfall)" title="" id="153" name="Picture"/>
            <a:graphic>
              <a:graphicData uri="http://schemas.openxmlformats.org/drawingml/2006/picture">
                <pic:pic>
                  <pic:nvPicPr>
                    <pic:cNvPr descr="/tmp/claude-0/-home-user-sonu/ab07c29a-21cd-5a4a-9d2d-68ad72d07153/scratchpad/build/../flows/flow_032.png" id="154" name="Picture"/>
                    <pic:cNvPicPr>
                      <a:picLocks noChangeArrowheads="1" noChangeAspect="1"/>
                    </pic:cNvPicPr>
                  </pic:nvPicPr>
                  <pic:blipFill>
                    <a:blip r:embed="rId152"/>
                    <a:stretch>
                      <a:fillRect/>
                    </a:stretch>
                  </pic:blipFill>
                  <pic:spPr bwMode="auto">
                    <a:xfrm>
                      <a:off x="0" y="0"/>
                      <a:ext cx="5334000" cy="2506980"/>
                    </a:xfrm>
                    <a:prstGeom prst="rect">
                      <a:avLst/>
                    </a:prstGeom>
                    <a:noFill/>
                    <a:ln w="9525">
                      <a:noFill/>
                      <a:headEnd/>
                      <a:tailEnd/>
                    </a:ln>
                  </pic:spPr>
                </pic:pic>
              </a:graphicData>
            </a:graphic>
          </wp:inline>
        </w:drawing>
      </w:r>
    </w:p>
    <w:p>
      <w:pPr>
        <w:pStyle w:val="ImageCaption"/>
      </w:pPr>
      <w:r>
        <w:t xml:space="preserve">Descriptive analysis of an agromet data set (e.g., 30-year rainfall)</w:t>
      </w:r>
    </w:p>
    <w:p>
      <w:pPr>
        <w:pStyle w:val="Heading2"/>
      </w:pPr>
      <w:r>
        <w:t xml:space="preserve">50.5 Probability</w:t>
      </w:r>
    </w:p>
    <w:p>
      <w:pPr>
        <w:pStyle w:val="Heading3"/>
      </w:pPr>
      <w:r>
        <w:t xml:space="preserve">50.5.1 Concepts</w:t>
      </w:r>
    </w:p>
    <w:p>
      <w:pPr>
        <w:pStyle w:val="Compact"/>
        <w:numPr>
          <w:ilvl w:val="0"/>
          <w:numId w:val="1388"/>
        </w:numPr>
      </w:pPr>
      <w:r>
        <w:rPr>
          <w:bCs/>
          <w:b/>
        </w:rPr>
        <w:t xml:space="preserve">Random experiment</w:t>
      </w:r>
      <w:r>
        <w:t xml:space="preserve">,</w:t>
      </w:r>
      <w:r>
        <w:t xml:space="preserve"> </w:t>
      </w:r>
      <w:r>
        <w:rPr>
          <w:bCs/>
          <w:b/>
        </w:rPr>
        <w:t xml:space="preserve">sample space</w:t>
      </w:r>
      <w:r>
        <w:t xml:space="preserve"> </w:t>
      </w:r>
      <w:r>
        <w:t xml:space="preserve">S,</w:t>
      </w:r>
      <w:r>
        <w:t xml:space="preserve"> </w:t>
      </w:r>
      <w:r>
        <w:rPr>
          <w:bCs/>
          <w:b/>
        </w:rPr>
        <w:t xml:space="preserve">event</w:t>
      </w:r>
      <w:r>
        <w:t xml:space="preserve"> </w:t>
      </w:r>
      <w:r>
        <w:t xml:space="preserve">E. Classical probability</w:t>
      </w:r>
      <w:r>
        <w:t xml:space="preserve"> </w:t>
      </w:r>
      <m:oMath>
        <m:r>
          <m:t>P</m:t>
        </m:r>
        <m:d>
          <m:dPr>
            <m:begChr m:val="("/>
            <m:endChr m:val=")"/>
            <m:sepChr m:val=""/>
            <m:grow/>
          </m:dPr>
          <m:e>
            <m:r>
              <m:t>E</m:t>
            </m:r>
          </m:e>
        </m:d>
        <m:r>
          <m:rPr>
            <m:sty m:val="p"/>
          </m:rPr>
          <m:t>=</m:t>
        </m:r>
        <m:f>
          <m:fPr>
            <m:type m:val="bar"/>
          </m:fPr>
          <m:num>
            <m:r>
              <m:t>n</m:t>
            </m:r>
            <m:d>
              <m:dPr>
                <m:begChr m:val="("/>
                <m:endChr m:val=")"/>
                <m:sepChr m:val=""/>
                <m:grow/>
              </m:dPr>
              <m:e>
                <m:r>
                  <m:t>E</m:t>
                </m:r>
              </m:e>
            </m:d>
          </m:num>
          <m:den>
            <m:r>
              <m:t>n</m:t>
            </m:r>
            <m:d>
              <m:dPr>
                <m:begChr m:val="("/>
                <m:endChr m:val=")"/>
                <m:sepChr m:val=""/>
                <m:grow/>
              </m:dPr>
              <m:e>
                <m:r>
                  <m:t>S</m:t>
                </m:r>
              </m:e>
            </m:d>
          </m:den>
        </m:f>
      </m:oMath>
      <w:r>
        <w:t xml:space="preserve">; relative-frequency (empirical) probability;</w:t>
      </w:r>
      <w:r>
        <w:t xml:space="preserve"> </w:t>
      </w:r>
      <w:r>
        <w:rPr>
          <w:bCs/>
          <w:b/>
        </w:rPr>
        <w:t xml:space="preserve">axiomatic</w:t>
      </w:r>
      <w:r>
        <w:t xml:space="preserve"> </w:t>
      </w:r>
      <w:r>
        <w:t xml:space="preserve">(Kolmogorov): 0 ≤ P ≤ 1, P(S) = 1, additivity for mutually exclusive events.</w:t>
      </w:r>
    </w:p>
    <w:p>
      <w:pPr>
        <w:pStyle w:val="Compact"/>
        <w:numPr>
          <w:ilvl w:val="0"/>
          <w:numId w:val="1388"/>
        </w:numPr>
      </w:pPr>
      <w:r>
        <w:rPr>
          <w:bCs/>
          <w:b/>
        </w:rPr>
        <w:t xml:space="preserve">Addition theorem:</w:t>
      </w:r>
      <w:r>
        <w:t xml:space="preserve"> </w:t>
      </w:r>
      <m:oMath>
        <m:r>
          <m:t>P</m:t>
        </m:r>
        <m:d>
          <m:dPr>
            <m:begChr m:val="("/>
            <m:endChr m:val=")"/>
            <m:sepChr m:val=""/>
            <m:grow/>
          </m:dPr>
          <m:e>
            <m:r>
              <m:t>A</m:t>
            </m:r>
            <m:r>
              <m:rPr>
                <m:sty m:val="p"/>
              </m:rPr>
              <m:t>∪</m:t>
            </m:r>
            <m:r>
              <m:t>B</m:t>
            </m:r>
          </m:e>
        </m:d>
        <m:r>
          <m:rPr>
            <m:sty m:val="p"/>
          </m:rPr>
          <m:t>=</m:t>
        </m:r>
        <m:r>
          <m:t>P</m:t>
        </m:r>
        <m:d>
          <m:dPr>
            <m:begChr m:val="("/>
            <m:endChr m:val=")"/>
            <m:sepChr m:val=""/>
            <m:grow/>
          </m:dPr>
          <m:e>
            <m:r>
              <m:t>A</m:t>
            </m:r>
          </m:e>
        </m:d>
        <m:r>
          <m:rPr>
            <m:sty m:val="p"/>
          </m:rPr>
          <m:t>+</m:t>
        </m:r>
        <m:r>
          <m:t>P</m:t>
        </m:r>
        <m:d>
          <m:dPr>
            <m:begChr m:val="("/>
            <m:endChr m:val=")"/>
            <m:sepChr m:val=""/>
            <m:grow/>
          </m:dPr>
          <m:e>
            <m:r>
              <m:t>B</m:t>
            </m:r>
          </m:e>
        </m:d>
        <m:r>
          <m:rPr>
            <m:sty m:val="p"/>
          </m:rPr>
          <m:t>−</m:t>
        </m:r>
        <m:r>
          <m:t>P</m:t>
        </m:r>
        <m:d>
          <m:dPr>
            <m:begChr m:val="("/>
            <m:endChr m:val=")"/>
            <m:sepChr m:val=""/>
            <m:grow/>
          </m:dPr>
          <m:e>
            <m:r>
              <m:t>A</m:t>
            </m:r>
            <m:r>
              <m:rPr>
                <m:sty m:val="p"/>
              </m:rPr>
              <m:t>∩</m:t>
            </m:r>
            <m:r>
              <m:t>B</m:t>
            </m:r>
          </m:e>
        </m:d>
      </m:oMath>
      <w:r>
        <w:t xml:space="preserve">.</w:t>
      </w:r>
    </w:p>
    <w:p>
      <w:pPr>
        <w:pStyle w:val="Compact"/>
        <w:numPr>
          <w:ilvl w:val="0"/>
          <w:numId w:val="1388"/>
        </w:numPr>
      </w:pPr>
      <w:r>
        <w:rPr>
          <w:bCs/>
          <w:b/>
        </w:rPr>
        <w:t xml:space="preserve">Conditional probability:</w:t>
      </w:r>
      <w:r>
        <w:t xml:space="preserve"> </w:t>
      </w: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w:r>
        <w:t xml:space="preserve">;</w:t>
      </w:r>
      <w:r>
        <w:t xml:space="preserve"> </w:t>
      </w:r>
      <w:r>
        <w:rPr>
          <w:bCs/>
          <w:b/>
        </w:rPr>
        <w:t xml:space="preserve">multiplication theorem</w:t>
      </w:r>
      <w:r>
        <w:t xml:space="preserve"> </w:t>
      </w:r>
      <m:oMath>
        <m:r>
          <m:t>P</m:t>
        </m:r>
        <m:d>
          <m:dPr>
            <m:begChr m:val="("/>
            <m:endChr m:val=")"/>
            <m:sepChr m:val=""/>
            <m:grow/>
          </m:dPr>
          <m:e>
            <m:r>
              <m:t>A</m:t>
            </m:r>
            <m:r>
              <m:rPr>
                <m:sty m:val="p"/>
              </m:rPr>
              <m:t>∩</m:t>
            </m:r>
            <m:r>
              <m:t>B</m:t>
            </m:r>
          </m:e>
        </m:d>
        <m:r>
          <m:rPr>
            <m:sty m:val="p"/>
          </m:rPr>
          <m:t>=</m:t>
        </m:r>
        <m:r>
          <m:t>P</m:t>
        </m:r>
        <m:d>
          <m:dPr>
            <m:begChr m:val="("/>
            <m:endChr m:val=")"/>
            <m:sepChr m:val=""/>
            <m:grow/>
          </m:dPr>
          <m:e>
            <m:r>
              <m:t>A</m:t>
            </m:r>
          </m:e>
        </m:d>
        <m:r>
          <m:t>P</m:t>
        </m:r>
        <m:d>
          <m:dPr>
            <m:begChr m:val="("/>
            <m:endChr m:val=")"/>
            <m:sepChr m:val=""/>
            <m:grow/>
          </m:dPr>
          <m:e>
            <m:r>
              <m:t>B</m:t>
            </m:r>
            <m:r>
              <m:rPr>
                <m:sty m:val="p"/>
              </m:rPr>
              <m:t>|</m:t>
            </m:r>
            <m:r>
              <m:t>A</m:t>
            </m:r>
          </m:e>
        </m:d>
      </m:oMath>
      <w:r>
        <w:t xml:space="preserve">; independent events:</w:t>
      </w:r>
      <w:r>
        <w:t xml:space="preserve"> </w:t>
      </w:r>
      <m:oMath>
        <m:r>
          <m:t>P</m:t>
        </m:r>
        <m:d>
          <m:dPr>
            <m:begChr m:val="("/>
            <m:endChr m:val=")"/>
            <m:sepChr m:val=""/>
            <m:grow/>
          </m:dPr>
          <m:e>
            <m:r>
              <m:t>A</m:t>
            </m:r>
            <m:r>
              <m:rPr>
                <m:sty m:val="p"/>
              </m:rPr>
              <m:t>∩</m:t>
            </m:r>
            <m:r>
              <m:t>B</m:t>
            </m:r>
          </m:e>
        </m:d>
        <m:r>
          <m:rPr>
            <m:sty m:val="p"/>
          </m:rPr>
          <m:t>=</m:t>
        </m:r>
        <m:r>
          <m:t>P</m:t>
        </m:r>
        <m:d>
          <m:dPr>
            <m:begChr m:val="("/>
            <m:endChr m:val=")"/>
            <m:sepChr m:val=""/>
            <m:grow/>
          </m:dPr>
          <m:e>
            <m:r>
              <m:t>A</m:t>
            </m:r>
          </m:e>
        </m:d>
        <m:r>
          <m:t>P</m:t>
        </m:r>
        <m:d>
          <m:dPr>
            <m:begChr m:val="("/>
            <m:endChr m:val=")"/>
            <m:sepChr m:val=""/>
            <m:grow/>
          </m:dPr>
          <m:e>
            <m:r>
              <m:t>B</m:t>
            </m:r>
          </m:e>
        </m:d>
      </m:oMath>
      <w:r>
        <w:t xml:space="preserve">.</w:t>
      </w:r>
    </w:p>
    <w:p>
      <w:pPr>
        <w:pStyle w:val="Compact"/>
        <w:numPr>
          <w:ilvl w:val="0"/>
          <w:numId w:val="1388"/>
        </w:numPr>
      </w:pPr>
      <w:r>
        <w:rPr>
          <w:bCs/>
          <w:b/>
        </w:rPr>
        <w:t xml:space="preserve">Bayes’ theorem:</w:t>
      </w:r>
      <w:r>
        <w:t xml:space="preserve"> </w:t>
      </w:r>
      <m:oMath>
        <m:r>
          <m:t>P</m:t>
        </m:r>
        <m:d>
          <m:dPr>
            <m:begChr m:val="("/>
            <m:endChr m:val=")"/>
            <m:sepChr m:val=""/>
            <m:grow/>
          </m:dPr>
          <m:e>
            <m:sSub>
              <m:e>
                <m:r>
                  <m:t>A</m:t>
                </m:r>
              </m:e>
              <m:sub>
                <m:r>
                  <m:t>i</m:t>
                </m:r>
              </m:sub>
            </m:sSub>
            <m:r>
              <m:rPr>
                <m:sty m:val="p"/>
              </m:rPr>
              <m:t>|</m:t>
            </m:r>
            <m:r>
              <m:t>B</m:t>
            </m:r>
          </m:e>
        </m:d>
        <m:r>
          <m:rPr>
            <m:sty m:val="p"/>
          </m:rPr>
          <m:t>=</m:t>
        </m:r>
        <m:f>
          <m:fPr>
            <m:type m:val="bar"/>
          </m:fPr>
          <m:num>
            <m:r>
              <m:t>P</m:t>
            </m:r>
            <m:d>
              <m:dPr>
                <m:begChr m:val="("/>
                <m:endChr m:val=")"/>
                <m:sepChr m:val=""/>
                <m:grow/>
              </m:dPr>
              <m:e>
                <m:r>
                  <m:t>B</m:t>
                </m:r>
                <m:r>
                  <m:rPr>
                    <m:sty m:val="p"/>
                  </m:rPr>
                  <m:t>|</m:t>
                </m:r>
                <m:sSub>
                  <m:e>
                    <m:r>
                      <m:t>A</m:t>
                    </m:r>
                  </m:e>
                  <m:sub>
                    <m:r>
                      <m:t>i</m:t>
                    </m:r>
                  </m:sub>
                </m:sSub>
              </m:e>
            </m:d>
            <m:r>
              <m:t>P</m:t>
            </m:r>
            <m:d>
              <m:dPr>
                <m:begChr m:val="("/>
                <m:endChr m:val=")"/>
                <m:sepChr m:val=""/>
                <m:grow/>
              </m:dPr>
              <m:e>
                <m:sSub>
                  <m:e>
                    <m:r>
                      <m:t>A</m:t>
                    </m:r>
                  </m:e>
                  <m:sub>
                    <m:r>
                      <m:t>i</m:t>
                    </m:r>
                  </m:sub>
                </m:sSub>
              </m:e>
            </m:d>
          </m:num>
          <m:den>
            <m:nary>
              <m:naryPr>
                <m:chr m:val="∑"/>
                <m:limLoc m:val="undOvr"/>
                <m:subHide m:val="off"/>
                <m:supHide m:val="on"/>
              </m:naryPr>
              <m:sub>
                <m:r>
                  <m:t>j</m:t>
                </m:r>
              </m:sub>
              <m:sup>
                <m:r>
                  <m:t>​</m:t>
                </m:r>
              </m:sup>
              <m:e>
                <m:r>
                  <m:t>P</m:t>
                </m:r>
              </m:e>
            </m:nary>
            <m:d>
              <m:dPr>
                <m:begChr m:val="("/>
                <m:endChr m:val=")"/>
                <m:sepChr m:val=""/>
                <m:grow/>
              </m:dPr>
              <m:e>
                <m:r>
                  <m:t>B</m:t>
                </m:r>
                <m:r>
                  <m:rPr>
                    <m:sty m:val="p"/>
                  </m:rPr>
                  <m:t>|</m:t>
                </m:r>
                <m:sSub>
                  <m:e>
                    <m:r>
                      <m:t>A</m:t>
                    </m:r>
                  </m:e>
                  <m:sub>
                    <m:r>
                      <m:t>j</m:t>
                    </m:r>
                  </m:sub>
                </m:sSub>
              </m:e>
            </m:d>
            <m:r>
              <m:t>P</m:t>
            </m:r>
            <m:d>
              <m:dPr>
                <m:begChr m:val="("/>
                <m:endChr m:val=")"/>
                <m:sepChr m:val=""/>
                <m:grow/>
              </m:dPr>
              <m:e>
                <m:sSub>
                  <m:e>
                    <m:r>
                      <m:t>A</m:t>
                    </m:r>
                  </m:e>
                  <m:sub>
                    <m:r>
                      <m:t>j</m:t>
                    </m:r>
                  </m:sub>
                </m:sSub>
              </m:e>
            </m:d>
          </m:den>
        </m:f>
      </m:oMath>
      <w:r>
        <w:t xml:space="preserve"> </w:t>
      </w:r>
      <w:r>
        <w:t xml:space="preserve">— updating prior with evidence; basis of the</w:t>
      </w:r>
      <w:r>
        <w:t xml:space="preserve"> </w:t>
      </w:r>
      <w:r>
        <w:rPr>
          <w:bCs/>
          <w:b/>
        </w:rPr>
        <w:t xml:space="preserve">maximum-likelihood/Bayesian classifier</w:t>
      </w:r>
      <w:r>
        <w:t xml:space="preserve"> </w:t>
      </w:r>
      <w:r>
        <w:t xml:space="preserve">(with prior class probabilities), naive Bayes, data assimilation and forecast verification.</w:t>
      </w:r>
    </w:p>
    <w:p>
      <w:pPr>
        <w:pStyle w:val="Compact"/>
        <w:numPr>
          <w:ilvl w:val="0"/>
          <w:numId w:val="1388"/>
        </w:numPr>
      </w:pPr>
      <w:r>
        <w:t xml:space="preserve">Permutations</w:t>
      </w:r>
      <w:r>
        <w:t xml:space="preserve"> </w:t>
      </w:r>
      <m:oMath>
        <m:sSup>
          <m:e>
            <m:r>
              <m:t>​</m:t>
            </m:r>
          </m:e>
          <m:sup>
            <m:r>
              <m:t>n</m:t>
            </m:r>
          </m:sup>
        </m:sSup>
        <m:sSub>
          <m:e>
            <m:r>
              <m:t>P</m:t>
            </m:r>
          </m:e>
          <m:sub>
            <m:r>
              <m:t>r</m:t>
            </m:r>
          </m:sub>
        </m:sSub>
        <m:r>
          <m:rPr>
            <m:sty m:val="p"/>
          </m:rPr>
          <m:t>=</m:t>
        </m:r>
        <m:f>
          <m:fPr>
            <m:type m:val="bar"/>
          </m:fPr>
          <m:num>
            <m:r>
              <m:t>n</m:t>
            </m:r>
            <m:r>
              <m:rPr>
                <m:sty m:val="p"/>
              </m:rPr>
              <m:t>!</m:t>
            </m:r>
          </m:num>
          <m:den>
            <m:d>
              <m:dPr>
                <m:begChr m:val="("/>
                <m:endChr m:val=")"/>
                <m:sepChr m:val=""/>
                <m:grow/>
              </m:dPr>
              <m:e>
                <m:r>
                  <m:t>n</m:t>
                </m:r>
                <m:r>
                  <m:rPr>
                    <m:sty m:val="p"/>
                  </m:rPr>
                  <m:t>−</m:t>
                </m:r>
                <m:r>
                  <m:t>r</m:t>
                </m:r>
              </m:e>
            </m:d>
            <m:r>
              <m:rPr>
                <m:sty m:val="p"/>
              </m:rPr>
              <m:t>!</m:t>
            </m:r>
          </m:den>
        </m:f>
      </m:oMath>
      <w:r>
        <w:t xml:space="preserve">; combinations</w:t>
      </w:r>
      <w:r>
        <w:t xml:space="preserve"> </w:t>
      </w:r>
      <m:oMath>
        <m:sSup>
          <m:e>
            <m:r>
              <m:t>​</m:t>
            </m:r>
          </m:e>
          <m:sup>
            <m:r>
              <m:t>n</m:t>
            </m:r>
          </m:sup>
        </m:sSup>
        <m:sSub>
          <m:e>
            <m:r>
              <m:t>C</m:t>
            </m:r>
          </m:e>
          <m:sub>
            <m:r>
              <m:t>r</m:t>
            </m:r>
          </m:sub>
        </m:sSub>
        <m:r>
          <m:rPr>
            <m:sty m:val="p"/>
          </m:rPr>
          <m:t>=</m:t>
        </m:r>
        <m:f>
          <m:fPr>
            <m:type m:val="bar"/>
          </m:fPr>
          <m:num>
            <m:r>
              <m:t>n</m:t>
            </m:r>
            <m:r>
              <m:rPr>
                <m:sty m:val="p"/>
              </m:rPr>
              <m:t>!</m:t>
            </m:r>
          </m:num>
          <m:den>
            <m:r>
              <m:t>r</m:t>
            </m:r>
            <m:r>
              <m:rPr>
                <m:sty m:val="p"/>
              </m:rPr>
              <m:t>!</m:t>
            </m:r>
            <m:d>
              <m:dPr>
                <m:begChr m:val="("/>
                <m:endChr m:val=")"/>
                <m:sepChr m:val=""/>
                <m:grow/>
              </m:dPr>
              <m:e>
                <m:r>
                  <m:t>n</m:t>
                </m:r>
                <m:r>
                  <m:rPr>
                    <m:sty m:val="p"/>
                  </m:rPr>
                  <m:t>−</m:t>
                </m:r>
                <m:r>
                  <m:t>r</m:t>
                </m:r>
              </m:e>
            </m:d>
            <m:r>
              <m:rPr>
                <m:sty m:val="p"/>
              </m:rPr>
              <m:t>!</m:t>
            </m:r>
          </m:den>
        </m:f>
      </m:oMath>
      <w:r>
        <w:t xml:space="preserve">.</w:t>
      </w:r>
    </w:p>
    <w:p>
      <w:pPr>
        <w:pStyle w:val="Compact"/>
        <w:numPr>
          <w:ilvl w:val="0"/>
          <w:numId w:val="1388"/>
        </w:numPr>
      </w:pPr>
      <w:r>
        <w:rPr>
          <w:bCs/>
          <w:b/>
        </w:rPr>
        <w:t xml:space="preserve">Random variable</w:t>
      </w:r>
      <w:r>
        <w:t xml:space="preserve">, probability mass/density function,</w:t>
      </w:r>
      <w:r>
        <w:t xml:space="preserve"> </w:t>
      </w:r>
      <w:r>
        <w:rPr>
          <w:bCs/>
          <w:b/>
        </w:rPr>
        <w:t xml:space="preserve">expectation</w:t>
      </w:r>
      <w:r>
        <w:t xml:space="preserve"> </w:t>
      </w:r>
      <m:oMath>
        <m:r>
          <m:t>E</m:t>
        </m:r>
        <m:d>
          <m:dPr>
            <m:begChr m:val="("/>
            <m:endChr m:val=")"/>
            <m:sepChr m:val=""/>
            <m:grow/>
          </m:dPr>
          <m:e>
            <m:r>
              <m:t>X</m:t>
            </m:r>
          </m:e>
        </m:d>
        <m:r>
          <m:rPr>
            <m:sty m:val="p"/>
          </m:rPr>
          <m:t>=</m:t>
        </m:r>
        <m:r>
          <m:rPr>
            <m:sty m:val="p"/>
          </m:rPr>
          <m:t>∑</m:t>
        </m:r>
        <m:r>
          <m:t>x</m:t>
        </m:r>
        <m:r>
          <m:t>p</m:t>
        </m:r>
        <m:d>
          <m:dPr>
            <m:begChr m:val="("/>
            <m:endChr m:val=")"/>
            <m:sepChr m:val=""/>
            <m:grow/>
          </m:dPr>
          <m:e>
            <m:r>
              <m:t>x</m:t>
            </m:r>
          </m:e>
        </m:d>
      </m:oMath>
      <w:r>
        <w:t xml:space="preserve"> </w:t>
      </w:r>
      <w:r>
        <w:t xml:space="preserve">or</w:t>
      </w:r>
      <w:r>
        <w:t xml:space="preserve"> </w:t>
      </w:r>
      <m:oMath>
        <m:r>
          <m:rPr>
            <m:sty m:val="p"/>
          </m:rPr>
          <m:t>∫</m:t>
        </m:r>
        <m:r>
          <m:t>x</m:t>
        </m:r>
        <m:r>
          <m:t>f</m:t>
        </m:r>
        <m:d>
          <m:dPr>
            <m:begChr m:val="("/>
            <m:endChr m:val=")"/>
            <m:sepChr m:val=""/>
            <m:grow/>
          </m:dPr>
          <m:e>
            <m:r>
              <m:t>x</m:t>
            </m:r>
          </m:e>
        </m:d>
        <m:r>
          <m:t>d</m:t>
        </m:r>
        <m:r>
          <m:t>x</m:t>
        </m:r>
      </m:oMath>
      <w:r>
        <w:t xml:space="preserve">, variance</w:t>
      </w:r>
      <w:r>
        <w:t xml:space="preserve"> </w:t>
      </w:r>
      <m:oMath>
        <m:r>
          <m:t>V</m:t>
        </m:r>
        <m:d>
          <m:dPr>
            <m:begChr m:val="("/>
            <m:endChr m:val=")"/>
            <m:sepChr m:val=""/>
            <m:grow/>
          </m:dPr>
          <m:e>
            <m:r>
              <m:t>X</m:t>
            </m:r>
          </m:e>
        </m:d>
        <m:r>
          <m:rPr>
            <m:sty m:val="p"/>
          </m:rPr>
          <m:t>=</m:t>
        </m:r>
        <m:r>
          <m:t>E</m:t>
        </m:r>
        <m:d>
          <m:dPr>
            <m:begChr m:val="("/>
            <m:endChr m:val=")"/>
            <m:sepChr m:val=""/>
            <m:grow/>
          </m:dPr>
          <m:e>
            <m:sSup>
              <m:e>
                <m:r>
                  <m:t>X</m:t>
                </m:r>
              </m:e>
              <m:sup>
                <m:r>
                  <m:t>2</m:t>
                </m:r>
              </m:sup>
            </m:sSup>
          </m:e>
        </m:d>
        <m:r>
          <m:rPr>
            <m:sty m:val="p"/>
          </m:rPr>
          <m:t>−</m:t>
        </m:r>
        <m:sSup>
          <m:e>
            <m:d>
              <m:dPr>
                <m:begChr m:val="["/>
                <m:endChr m:val="]"/>
                <m:sepChr m:val=""/>
                <m:grow/>
              </m:dPr>
              <m:e>
                <m:r>
                  <m:t>E</m:t>
                </m:r>
                <m:d>
                  <m:dPr>
                    <m:begChr m:val="("/>
                    <m:endChr m:val=")"/>
                    <m:sepChr m:val=""/>
                    <m:grow/>
                  </m:dPr>
                  <m:e>
                    <m:r>
                      <m:t>X</m:t>
                    </m:r>
                  </m:e>
                </m:d>
              </m:e>
            </m:d>
          </m:e>
          <m:sup>
            <m:r>
              <m:t>2</m:t>
            </m:r>
          </m:sup>
        </m:sSup>
      </m:oMath>
      <w:r>
        <w:t xml:space="preserve">.</w:t>
      </w:r>
    </w:p>
    <w:p>
      <w:pPr>
        <w:pStyle w:val="Heading3"/>
      </w:pPr>
      <w:r>
        <w:t xml:space="preserve">50.5.2 Rainfall probability applications</w:t>
      </w:r>
    </w:p>
    <w:p>
      <w:pPr>
        <w:pStyle w:val="Compact"/>
        <w:numPr>
          <w:ilvl w:val="0"/>
          <w:numId w:val="1389"/>
        </w:numPr>
      </w:pPr>
      <w:r>
        <w:rPr>
          <w:bCs/>
          <w:b/>
        </w:rPr>
        <w:t xml:space="preserve">Markov chain</w:t>
      </w:r>
      <w:r>
        <w:t xml:space="preserve"> </w:t>
      </w:r>
      <w:r>
        <w:t xml:space="preserve">wet/dry spell analysis: P(W|W), P(W|D), initial probability P(W) — for sowing-window and dry-spell risk (e.g., probability of ≥ 20 mm in a week, used in crop planning).</w:t>
      </w:r>
    </w:p>
    <w:p>
      <w:pPr>
        <w:pStyle w:val="Compact"/>
        <w:numPr>
          <w:ilvl w:val="0"/>
          <w:numId w:val="1389"/>
        </w:numPr>
      </w:pPr>
      <w:r>
        <w:rPr>
          <w:bCs/>
          <w:b/>
        </w:rPr>
        <w:t xml:space="preserve">Return period</w:t>
      </w:r>
      <w:r>
        <w:t xml:space="preserve"> </w:t>
      </w:r>
      <m:oMath>
        <m:r>
          <m:t>T</m:t>
        </m:r>
        <m:r>
          <m:rPr>
            <m:sty m:val="p"/>
          </m:rPr>
          <m:t>=</m:t>
        </m:r>
        <m:r>
          <m:t>1</m:t>
        </m:r>
        <m:r>
          <m:rPr>
            <m:sty m:val="p"/>
          </m:rPr>
          <m:t>/</m:t>
        </m:r>
        <m:r>
          <m:t>P</m:t>
        </m:r>
      </m:oMath>
      <w:r>
        <w:t xml:space="preserve">; probability of at least one exceedance in n years:</w:t>
      </w:r>
      <w:r>
        <w:t xml:space="preserve"> </w:t>
      </w:r>
      <m:oMath>
        <m:r>
          <m:t>1</m:t>
        </m:r>
        <m:r>
          <m:rPr>
            <m:sty m:val="p"/>
          </m:rPr>
          <m:t>−</m:t>
        </m:r>
        <m:sSup>
          <m:e>
            <m:d>
              <m:dPr>
                <m:begChr m:val="("/>
                <m:endChr m:val=")"/>
                <m:sepChr m:val=""/>
                <m:grow/>
              </m:dPr>
              <m:e>
                <m:r>
                  <m:t>1</m:t>
                </m:r>
                <m:r>
                  <m:rPr>
                    <m:sty m:val="p"/>
                  </m:rPr>
                  <m:t>−</m:t>
                </m:r>
                <m:r>
                  <m:t>1</m:t>
                </m:r>
                <m:r>
                  <m:rPr>
                    <m:sty m:val="p"/>
                  </m:rPr>
                  <m:t>/</m:t>
                </m:r>
                <m:r>
                  <m:t>T</m:t>
                </m:r>
              </m:e>
            </m:d>
          </m:e>
          <m:sup>
            <m:r>
              <m:t>n</m:t>
            </m:r>
          </m:sup>
        </m:sSup>
      </m:oMath>
      <w:r>
        <w:t xml:space="preserve">.</w:t>
      </w:r>
    </w:p>
    <w:p>
      <w:pPr>
        <w:pStyle w:val="Compact"/>
        <w:numPr>
          <w:ilvl w:val="0"/>
          <w:numId w:val="1389"/>
        </w:numPr>
      </w:pPr>
      <w:r>
        <w:rPr>
          <w:bCs/>
          <w:b/>
        </w:rPr>
        <w:t xml:space="preserve">Assured/dependable rainfall</w:t>
      </w:r>
      <w:r>
        <w:t xml:space="preserve"> </w:t>
      </w:r>
      <w:r>
        <w:t xml:space="preserve">— amount exceeded with 75% probability (rank method:</w:t>
      </w:r>
      <w:r>
        <w:t xml:space="preserve"> </w:t>
      </w:r>
      <m:oMath>
        <m:r>
          <m:t>P</m:t>
        </m:r>
        <m:r>
          <m:rPr>
            <m:sty m:val="p"/>
          </m:rPr>
          <m:t>=</m:t>
        </m:r>
        <m:f>
          <m:fPr>
            <m:type m:val="bar"/>
          </m:fPr>
          <m:num>
            <m:r>
              <m:t>m</m:t>
            </m:r>
          </m:num>
          <m:den>
            <m:r>
              <m:t>n</m:t>
            </m:r>
            <m:r>
              <m:rPr>
                <m:sty m:val="p"/>
              </m:rPr>
              <m:t>+</m:t>
            </m:r>
            <m:r>
              <m:t>1</m:t>
            </m:r>
          </m:den>
        </m:f>
        <m:r>
          <m:rPr>
            <m:sty m:val="p"/>
          </m:rPr>
          <m:t>×</m:t>
        </m:r>
        <m:r>
          <m:t>100</m:t>
        </m:r>
      </m:oMath>
      <w:r>
        <w:t xml:space="preserve">, Weibull plotting position).</w:t>
      </w:r>
    </w:p>
    <w:p>
      <w:pPr>
        <w:pStyle w:val="Heading3"/>
      </w:pPr>
      <w:r>
        <w:t xml:space="preserve">50.5.3 Important probability distributions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Distribution</w:t>
            </w:r>
          </w:p>
        </w:tc>
        <w:tc>
          <w:tcPr/>
          <w:p>
            <w:pPr>
              <w:pStyle w:val="Compact"/>
              <w:jc w:val="left"/>
            </w:pPr>
            <w:r>
              <w:t xml:space="preserve">Form</w:t>
            </w:r>
          </w:p>
        </w:tc>
        <w:tc>
          <w:tcPr/>
          <w:p>
            <w:pPr>
              <w:pStyle w:val="Compact"/>
              <w:jc w:val="left"/>
            </w:pPr>
            <w:r>
              <w:t xml:space="preserve">Mean, variance</w:t>
            </w:r>
          </w:p>
        </w:tc>
        <w:tc>
          <w:tcPr/>
          <w:p>
            <w:pPr>
              <w:pStyle w:val="Compact"/>
              <w:jc w:val="left"/>
            </w:pPr>
            <w:r>
              <w:t xml:space="preserve">Agricultural example</w:t>
            </w:r>
          </w:p>
        </w:tc>
      </w:tr>
      <w:tr>
        <w:tc>
          <w:tcPr/>
          <w:p>
            <w:pPr>
              <w:pStyle w:val="Compact"/>
              <w:jc w:val="left"/>
            </w:pPr>
            <w:r>
              <w:rPr>
                <w:bCs/>
                <w:b/>
              </w:rPr>
              <w:t xml:space="preserve">Binomial</w:t>
            </w:r>
          </w:p>
        </w:tc>
        <w:tc>
          <w:tcPr/>
          <w:p>
            <w:pPr>
              <w:pStyle w:val="Compact"/>
              <w:jc w:val="left"/>
            </w:pPr>
            <m:oMath>
              <m:r>
                <m:t>P</m:t>
              </m:r>
              <m:d>
                <m:dPr>
                  <m:begChr m:val="("/>
                  <m:endChr m:val=")"/>
                  <m:sepChr m:val=""/>
                  <m:grow/>
                </m:dPr>
                <m:e>
                  <m:r>
                    <m:t>x</m:t>
                  </m:r>
                </m:e>
              </m:d>
              <m:r>
                <m:rPr>
                  <m:sty m:val="p"/>
                </m:rPr>
                <m:t>=</m:t>
              </m:r>
              <m:sSup>
                <m:e>
                  <m:r>
                    <m:t>​</m:t>
                  </m:r>
                </m:e>
                <m:sup>
                  <m:r>
                    <m:t>n</m:t>
                  </m:r>
                </m:sup>
              </m:sSup>
              <m:sSub>
                <m:e>
                  <m:r>
                    <m:t>C</m:t>
                  </m:r>
                </m:e>
                <m:sub>
                  <m:r>
                    <m:t>x</m:t>
                  </m:r>
                </m:sub>
              </m:sSub>
              <m:sSup>
                <m:e>
                  <m:r>
                    <m:t>p</m:t>
                  </m:r>
                </m:e>
                <m:sup>
                  <m:r>
                    <m:t>x</m:t>
                  </m:r>
                </m:sup>
              </m:sSup>
              <m:sSup>
                <m:e>
                  <m:r>
                    <m:t>q</m:t>
                  </m:r>
                </m:e>
                <m:sup>
                  <m:r>
                    <m:t>n</m:t>
                  </m:r>
                  <m:r>
                    <m:rPr>
                      <m:sty m:val="p"/>
                    </m:rPr>
                    <m:t>−</m:t>
                  </m:r>
                  <m:r>
                    <m:t>x</m:t>
                  </m:r>
                </m:sup>
              </m:sSup>
            </m:oMath>
          </w:p>
        </w:tc>
        <w:tc>
          <w:tcPr/>
          <w:p>
            <w:pPr>
              <w:pStyle w:val="Compact"/>
              <w:jc w:val="left"/>
            </w:pPr>
            <w:r>
              <w:t xml:space="preserve">np, npq</w:t>
            </w:r>
          </w:p>
        </w:tc>
        <w:tc>
          <w:tcPr/>
          <w:p>
            <w:pPr>
              <w:pStyle w:val="Compact"/>
              <w:jc w:val="left"/>
            </w:pPr>
            <w:r>
              <w:t xml:space="preserve">Number of rainy days in n days; germination out of n seeds</w:t>
            </w:r>
          </w:p>
        </w:tc>
      </w:tr>
      <w:tr>
        <w:tc>
          <w:tcPr/>
          <w:p>
            <w:pPr>
              <w:pStyle w:val="Compact"/>
              <w:jc w:val="left"/>
            </w:pPr>
            <w:r>
              <w:rPr>
                <w:bCs/>
                <w:b/>
              </w:rPr>
              <w:t xml:space="preserve">Poisson</w:t>
            </w:r>
          </w:p>
        </w:tc>
        <w:tc>
          <w:tcPr/>
          <w:p>
            <w:pPr>
              <w:pStyle w:val="Compact"/>
              <w:jc w:val="left"/>
            </w:pPr>
            <m:oMath>
              <m:r>
                <m:t>P</m:t>
              </m:r>
              <m:d>
                <m:dPr>
                  <m:begChr m:val="("/>
                  <m:endChr m:val=")"/>
                  <m:sepChr m:val=""/>
                  <m:grow/>
                </m:dPr>
                <m:e>
                  <m:r>
                    <m:t>x</m:t>
                  </m:r>
                </m:e>
              </m:d>
              <m:r>
                <m:rPr>
                  <m:sty m:val="p"/>
                </m:rPr>
                <m:t>=</m:t>
              </m:r>
              <m:f>
                <m:fPr>
                  <m:type m:val="bar"/>
                </m:fPr>
                <m:num>
                  <m:sSup>
                    <m:e>
                      <m:r>
                        <m:t>e</m:t>
                      </m:r>
                    </m:e>
                    <m:sup>
                      <m:r>
                        <m:rPr>
                          <m:sty m:val="p"/>
                        </m:rPr>
                        <m:t>−</m:t>
                      </m:r>
                      <m:r>
                        <m:t>λ</m:t>
                      </m:r>
                    </m:sup>
                  </m:sSup>
                  <m:sSup>
                    <m:e>
                      <m:r>
                        <m:t>λ</m:t>
                      </m:r>
                    </m:e>
                    <m:sup>
                      <m:r>
                        <m:t>x</m:t>
                      </m:r>
                    </m:sup>
                  </m:sSup>
                </m:num>
                <m:den>
                  <m:r>
                    <m:t>x</m:t>
                  </m:r>
                  <m:r>
                    <m:rPr>
                      <m:sty m:val="p"/>
                    </m:rPr>
                    <m:t>!</m:t>
                  </m:r>
                </m:den>
              </m:f>
            </m:oMath>
          </w:p>
        </w:tc>
        <w:tc>
          <w:tcPr/>
          <w:p>
            <w:pPr>
              <w:pStyle w:val="Compact"/>
              <w:jc w:val="left"/>
            </w:pPr>
            <w:r>
              <w:t xml:space="preserve">λ, λ</w:t>
            </w:r>
          </w:p>
        </w:tc>
        <w:tc>
          <w:tcPr/>
          <w:p>
            <w:pPr>
              <w:pStyle w:val="Compact"/>
              <w:jc w:val="left"/>
            </w:pPr>
            <w:r>
              <w:t xml:space="preserve">Rare events: insects per plant, cyclones per year; limit of binomial (n large, p small)</w:t>
            </w:r>
          </w:p>
        </w:tc>
      </w:tr>
      <w:tr>
        <w:tc>
          <w:tcPr/>
          <w:p>
            <w:pPr>
              <w:pStyle w:val="Compact"/>
              <w:jc w:val="left"/>
            </w:pPr>
            <w:r>
              <w:rPr>
                <w:bCs/>
                <w:b/>
              </w:rPr>
              <w:t xml:space="preserve">Normal</w:t>
            </w:r>
          </w:p>
        </w:tc>
        <w:tc>
          <w:tcPr/>
          <w:p>
            <w:pPr>
              <w:pStyle w:val="Compact"/>
              <w:jc w:val="left"/>
            </w:pPr>
            <m:oMath>
              <m:r>
                <m:t>f</m:t>
              </m:r>
              <m:d>
                <m:dPr>
                  <m:begChr m:val="("/>
                  <m:endChr m:val=")"/>
                  <m:sepChr m:val=""/>
                  <m:grow/>
                </m:dPr>
                <m:e>
                  <m:r>
                    <m:t>x</m:t>
                  </m:r>
                </m:e>
              </m:d>
              <m:r>
                <m:rPr>
                  <m:sty m:val="p"/>
                </m:rPr>
                <m:t>=</m:t>
              </m:r>
              <m:f>
                <m:fPr>
                  <m:type m:val="bar"/>
                </m:fPr>
                <m:num>
                  <m:r>
                    <m:t>1</m:t>
                  </m:r>
                </m:num>
                <m:den>
                  <m:r>
                    <m:t>σ</m:t>
                  </m:r>
                  <m:rad>
                    <m:radPr>
                      <m:degHide m:val="on"/>
                    </m:radPr>
                    <m:deg/>
                    <m:e>
                      <m:r>
                        <m:t>2</m:t>
                      </m:r>
                      <m:r>
                        <m:t>π</m:t>
                      </m:r>
                    </m:e>
                  </m:rad>
                </m:den>
              </m:f>
              <m:sSup>
                <m:e>
                  <m:r>
                    <m:t>e</m:t>
                  </m:r>
                </m:e>
                <m:sup>
                  <m:r>
                    <m:rPr>
                      <m:sty m:val="p"/>
                    </m:rPr>
                    <m:t>−</m:t>
                  </m:r>
                  <m:f>
                    <m:fPr>
                      <m:type m:val="bar"/>
                    </m:fPr>
                    <m:num>
                      <m:sSup>
                        <m:e>
                          <m:d>
                            <m:dPr>
                              <m:begChr m:val="("/>
                              <m:endChr m:val=")"/>
                              <m:sepChr m:val=""/>
                              <m:grow/>
                            </m:dPr>
                            <m:e>
                              <m:r>
                                <m:t>x</m:t>
                              </m:r>
                              <m:r>
                                <m:rPr>
                                  <m:sty m:val="p"/>
                                </m:rPr>
                                <m:t>−</m:t>
                              </m:r>
                              <m:r>
                                <m:t>μ</m:t>
                              </m:r>
                            </m:e>
                          </m:d>
                        </m:e>
                        <m:sup>
                          <m:r>
                            <m:t>2</m:t>
                          </m:r>
                        </m:sup>
                      </m:sSup>
                    </m:num>
                    <m:den>
                      <m:r>
                        <m:t>2</m:t>
                      </m:r>
                      <m:sSup>
                        <m:e>
                          <m:r>
                            <m:t>σ</m:t>
                          </m:r>
                        </m:e>
                        <m:sup>
                          <m:r>
                            <m:t>2</m:t>
                          </m:r>
                        </m:sup>
                      </m:sSup>
                    </m:den>
                  </m:f>
                </m:sup>
              </m:sSup>
            </m:oMath>
          </w:p>
        </w:tc>
        <w:tc>
          <w:tcPr/>
          <w:p>
            <w:pPr>
              <w:pStyle w:val="Compact"/>
              <w:jc w:val="left"/>
            </w:pPr>
            <w:r>
              <w:t xml:space="preserve">μ, σ²</w:t>
            </w:r>
          </w:p>
        </w:tc>
        <w:tc>
          <w:tcPr/>
          <w:p>
            <w:pPr>
              <w:pStyle w:val="Compact"/>
              <w:jc w:val="left"/>
            </w:pPr>
            <w:r>
              <w:t xml:space="preserve">Yields, temperatures, measurement errors</w:t>
            </w:r>
          </w:p>
        </w:tc>
      </w:tr>
      <w:tr>
        <w:tc>
          <w:tcPr/>
          <w:p>
            <w:pPr>
              <w:pStyle w:val="Compact"/>
              <w:jc w:val="left"/>
            </w:pPr>
            <w:r>
              <w:rPr>
                <w:bCs/>
                <w:b/>
              </w:rPr>
              <w:t xml:space="preserve">Log-normal</w:t>
            </w:r>
          </w:p>
        </w:tc>
        <w:tc>
          <w:tcPr/>
          <w:p>
            <w:pPr>
              <w:pStyle w:val="Compact"/>
              <w:jc w:val="left"/>
            </w:pPr>
            <w:r>
              <w:t xml:space="preserve">ln X normal</w:t>
            </w:r>
          </w:p>
        </w:tc>
        <w:tc>
          <w:tcPr/>
          <w:p>
            <w:pPr>
              <w:pStyle w:val="Compact"/>
            </w:pPr>
          </w:p>
        </w:tc>
        <w:tc>
          <w:tcPr/>
          <w:p>
            <w:pPr>
              <w:pStyle w:val="Compact"/>
              <w:jc w:val="left"/>
            </w:pPr>
            <w:r>
              <w:t xml:space="preserve">Rainfall amounts, hydraulic conductivity</w:t>
            </w:r>
          </w:p>
        </w:tc>
      </w:tr>
      <w:tr>
        <w:tc>
          <w:tcPr/>
          <w:p>
            <w:pPr>
              <w:pStyle w:val="Compact"/>
              <w:jc w:val="left"/>
            </w:pPr>
            <w:r>
              <w:rPr>
                <w:bCs/>
                <w:b/>
              </w:rPr>
              <w:t xml:space="preserve">Gamma</w:t>
            </w:r>
          </w:p>
        </w:tc>
        <w:tc>
          <w:tcPr/>
          <w:p>
            <w:pPr>
              <w:pStyle w:val="Compact"/>
              <w:jc w:val="left"/>
            </w:pPr>
            <m:oMath>
              <m:r>
                <m:t>f</m:t>
              </m:r>
              <m:d>
                <m:dPr>
                  <m:begChr m:val="("/>
                  <m:endChr m:val=")"/>
                  <m:sepChr m:val=""/>
                  <m:grow/>
                </m:dPr>
                <m:e>
                  <m:r>
                    <m:t>x</m:t>
                  </m:r>
                </m:e>
              </m:d>
              <m:r>
                <m:rPr>
                  <m:sty m:val="p"/>
                </m:rPr>
                <m:t>=</m:t>
              </m:r>
              <m:f>
                <m:fPr>
                  <m:type m:val="bar"/>
                </m:fPr>
                <m:num>
                  <m:sSup>
                    <m:e>
                      <m:r>
                        <m:t>x</m:t>
                      </m:r>
                    </m:e>
                    <m:sup>
                      <m:r>
                        <m:t>α</m:t>
                      </m:r>
                      <m:r>
                        <m:rPr>
                          <m:sty m:val="p"/>
                        </m:rPr>
                        <m:t>−</m:t>
                      </m:r>
                      <m:r>
                        <m:t>1</m:t>
                      </m:r>
                    </m:sup>
                  </m:sSup>
                  <m:sSup>
                    <m:e>
                      <m:r>
                        <m:t>e</m:t>
                      </m:r>
                    </m:e>
                    <m:sup>
                      <m:r>
                        <m:rPr>
                          <m:sty m:val="p"/>
                        </m:rPr>
                        <m:t>−</m:t>
                      </m:r>
                      <m:r>
                        <m:t>x</m:t>
                      </m:r>
                      <m:r>
                        <m:rPr>
                          <m:sty m:val="p"/>
                        </m:rPr>
                        <m:t>/</m:t>
                      </m:r>
                      <m:r>
                        <m:t>β</m:t>
                      </m:r>
                    </m:sup>
                  </m:sSup>
                </m:num>
                <m:den>
                  <m:sSup>
                    <m:e>
                      <m:r>
                        <m:t>β</m:t>
                      </m:r>
                    </m:e>
                    <m:sup>
                      <m:r>
                        <m:t>α</m:t>
                      </m:r>
                    </m:sup>
                  </m:sSup>
                  <m:r>
                    <m:t>Γ</m:t>
                  </m:r>
                  <m:d>
                    <m:dPr>
                      <m:begChr m:val="("/>
                      <m:endChr m:val=")"/>
                      <m:sepChr m:val=""/>
                      <m:grow/>
                    </m:dPr>
                    <m:e>
                      <m:r>
                        <m:t>α</m:t>
                      </m:r>
                    </m:e>
                  </m:d>
                </m:den>
              </m:f>
            </m:oMath>
          </w:p>
        </w:tc>
        <w:tc>
          <w:tcPr/>
          <w:p>
            <w:pPr>
              <w:pStyle w:val="Compact"/>
              <w:jc w:val="left"/>
            </w:pPr>
            <w:r>
              <w:t xml:space="preserve">αβ, αβ²</w:t>
            </w:r>
          </w:p>
        </w:tc>
        <w:tc>
          <w:tcPr/>
          <w:p>
            <w:pPr>
              <w:pStyle w:val="Compact"/>
              <w:jc w:val="left"/>
            </w:pPr>
            <w:r>
              <w:t xml:space="preserve">Monthly rainfall — fitted for</w:t>
            </w:r>
            <w:r>
              <w:t xml:space="preserve"> </w:t>
            </w:r>
            <w:r>
              <w:rPr>
                <w:bCs/>
                <w:b/>
              </w:rPr>
              <w:t xml:space="preserve">SPI</w:t>
            </w:r>
            <w:r>
              <w:t xml:space="preserve"> </w:t>
            </w:r>
            <w:r>
              <w:t xml:space="preserve">before transforming to standard normal</w:t>
            </w:r>
          </w:p>
        </w:tc>
      </w:tr>
      <w:tr>
        <w:tc>
          <w:tcPr/>
          <w:p>
            <w:pPr>
              <w:pStyle w:val="Compact"/>
              <w:jc w:val="left"/>
            </w:pPr>
            <w:r>
              <w:rPr>
                <w:bCs/>
                <w:b/>
              </w:rPr>
              <w:t xml:space="preserve">Extreme value (Gumbel/GEV)</w:t>
            </w:r>
          </w:p>
        </w:tc>
        <w:tc>
          <w:tcPr/>
          <w:p>
            <w:pPr>
              <w:pStyle w:val="Compact"/>
              <w:jc w:val="left"/>
            </w:pPr>
            <m:oMath>
              <m:r>
                <m:t>F</m:t>
              </m:r>
              <m:d>
                <m:dPr>
                  <m:begChr m:val="("/>
                  <m:endChr m:val=")"/>
                  <m:sepChr m:val=""/>
                  <m:grow/>
                </m:dPr>
                <m:e>
                  <m:r>
                    <m:t>x</m:t>
                  </m:r>
                </m:e>
              </m:d>
              <m:r>
                <m:rPr>
                  <m:sty m:val="p"/>
                </m:rPr>
                <m:t>=</m:t>
              </m:r>
              <m:r>
                <m:rPr>
                  <m:sty m:val="p"/>
                </m:rPr>
                <m:t>exp</m:t>
              </m:r>
              <m:d>
                <m:dPr>
                  <m:begChr m:val="["/>
                  <m:endChr m:val="]"/>
                  <m:sepChr m:val=""/>
                  <m:grow/>
                </m:dPr>
                <m:e>
                  <m:r>
                    <m:rPr>
                      <m:sty m:val="p"/>
                    </m:rPr>
                    <m:t>−</m:t>
                  </m:r>
                  <m:sSup>
                    <m:e>
                      <m:r>
                        <m:t>e</m:t>
                      </m:r>
                    </m:e>
                    <m:sup>
                      <m:r>
                        <m:rPr>
                          <m:sty m:val="p"/>
                        </m:rPr>
                        <m:t>−</m:t>
                      </m:r>
                      <m:d>
                        <m:dPr>
                          <m:begChr m:val="("/>
                          <m:endChr m:val=")"/>
                          <m:sepChr m:val=""/>
                          <m:grow/>
                        </m:dPr>
                        <m:e>
                          <m:r>
                            <m:t>x</m:t>
                          </m:r>
                          <m:r>
                            <m:rPr>
                              <m:sty m:val="p"/>
                            </m:rPr>
                            <m:t>−</m:t>
                          </m:r>
                          <m:r>
                            <m:t>u</m:t>
                          </m:r>
                        </m:e>
                      </m:d>
                      <m:r>
                        <m:rPr>
                          <m:sty m:val="p"/>
                        </m:rPr>
                        <m:t>/</m:t>
                      </m:r>
                      <m:r>
                        <m:t>α</m:t>
                      </m:r>
                    </m:sup>
                  </m:sSup>
                </m:e>
              </m:d>
            </m:oMath>
          </w:p>
        </w:tc>
        <w:tc>
          <w:tcPr/>
          <w:p>
            <w:pPr>
              <w:pStyle w:val="Compact"/>
            </w:pPr>
          </w:p>
        </w:tc>
        <w:tc>
          <w:tcPr/>
          <w:p>
            <w:pPr>
              <w:pStyle w:val="Compact"/>
              <w:jc w:val="left"/>
            </w:pPr>
            <w:r>
              <w:t xml:space="preserve">Annual maximum rainfall, floods, heat extremes</w:t>
            </w:r>
          </w:p>
        </w:tc>
      </w:tr>
      <w:tr>
        <w:tc>
          <w:tcPr/>
          <w:p>
            <w:pPr>
              <w:pStyle w:val="Compact"/>
              <w:jc w:val="left"/>
            </w:pPr>
            <w:r>
              <w:rPr>
                <w:bCs/>
                <w:b/>
              </w:rPr>
              <w:t xml:space="preserve">Weibull</w:t>
            </w:r>
          </w:p>
        </w:tc>
        <w:tc>
          <w:tcPr/>
          <w:p>
            <w:pPr>
              <w:pStyle w:val="Compact"/>
            </w:pPr>
          </w:p>
        </w:tc>
        <w:tc>
          <w:tcPr/>
          <w:p>
            <w:pPr>
              <w:pStyle w:val="Compact"/>
            </w:pPr>
          </w:p>
        </w:tc>
        <w:tc>
          <w:tcPr/>
          <w:p>
            <w:pPr>
              <w:pStyle w:val="Compact"/>
              <w:jc w:val="left"/>
            </w:pPr>
            <w:r>
              <w:t xml:space="preserve">Wind speed, failure times</w:t>
            </w:r>
          </w:p>
        </w:tc>
      </w:tr>
      <w:tr>
        <w:tc>
          <w:tcPr/>
          <w:p>
            <w:pPr>
              <w:pStyle w:val="Compact"/>
              <w:jc w:val="left"/>
            </w:pPr>
            <w:r>
              <w:rPr>
                <w:bCs/>
                <w:b/>
              </w:rPr>
              <w:t xml:space="preserve">Exponential</w:t>
            </w:r>
          </w:p>
        </w:tc>
        <w:tc>
          <w:tcPr/>
          <w:p>
            <w:pPr>
              <w:pStyle w:val="Compact"/>
              <w:jc w:val="left"/>
            </w:pPr>
            <m:oMath>
              <m:r>
                <m:t>f</m:t>
              </m:r>
              <m:d>
                <m:dPr>
                  <m:begChr m:val="("/>
                  <m:endChr m:val=")"/>
                  <m:sepChr m:val=""/>
                  <m:grow/>
                </m:dPr>
                <m:e>
                  <m:r>
                    <m:t>x</m:t>
                  </m:r>
                </m:e>
              </m:d>
              <m:r>
                <m:rPr>
                  <m:sty m:val="p"/>
                </m:rPr>
                <m:t>=</m:t>
              </m:r>
              <m:r>
                <m:t>λ</m:t>
              </m:r>
              <m:sSup>
                <m:e>
                  <m:r>
                    <m:t>e</m:t>
                  </m:r>
                </m:e>
                <m:sup>
                  <m:r>
                    <m:rPr>
                      <m:sty m:val="p"/>
                    </m:rPr>
                    <m:t>−</m:t>
                  </m:r>
                  <m:r>
                    <m:t>λ</m:t>
                  </m:r>
                  <m:r>
                    <m:t>x</m:t>
                  </m:r>
                </m:sup>
              </m:sSup>
            </m:oMath>
          </w:p>
        </w:tc>
        <w:tc>
          <w:tcPr/>
          <w:p>
            <w:pPr>
              <w:pStyle w:val="Compact"/>
              <w:jc w:val="left"/>
            </w:pPr>
            <w:r>
              <w:t xml:space="preserve">1/λ, 1/λ²</w:t>
            </w:r>
          </w:p>
        </w:tc>
        <w:tc>
          <w:tcPr/>
          <w:p>
            <w:pPr>
              <w:pStyle w:val="Compact"/>
              <w:jc w:val="left"/>
            </w:pPr>
            <w:r>
              <w:t xml:space="preserve">Waiting time between events</w:t>
            </w:r>
          </w:p>
        </w:tc>
      </w:tr>
    </w:tbl>
    <w:p>
      <w:pPr>
        <w:pStyle w:val="BodyText"/>
      </w:pPr>
      <w:r>
        <w:rPr>
          <w:bCs/>
          <w:b/>
        </w:rPr>
        <w:t xml:space="preserve">Normal curve properties:</w:t>
      </w:r>
      <w:r>
        <w:t xml:space="preserve"> </w:t>
      </w:r>
      <w:r>
        <w:t xml:space="preserve">symmetric, bell-shaped, mean = median = mode; areas: μ ± 1σ = 68.27%, ±2σ = 95.45%, ±3σ = 99.73%; ±1.96σ = 95%, ±2.576σ = 99%.</w:t>
      </w:r>
      <w:r>
        <w:t xml:space="preserve"> </w:t>
      </w:r>
      <w:r>
        <w:rPr>
          <w:bCs/>
          <w:b/>
        </w:rPr>
        <w:t xml:space="preserve">Standard normal</w:t>
      </w:r>
      <w:r>
        <w:t xml:space="preserve"> </w:t>
      </w:r>
      <m:oMath>
        <m:r>
          <m:t>Z</m:t>
        </m:r>
        <m:r>
          <m:rPr>
            <m:sty m:val="p"/>
          </m:rPr>
          <m:t>=</m:t>
        </m:r>
        <m:d>
          <m:dPr>
            <m:begChr m:val="("/>
            <m:endChr m:val=")"/>
            <m:sepChr m:val=""/>
            <m:grow/>
          </m:dPr>
          <m:e>
            <m:r>
              <m:t>X</m:t>
            </m:r>
            <m:r>
              <m:rPr>
                <m:sty m:val="p"/>
              </m:rPr>
              <m:t>−</m:t>
            </m:r>
            <m:r>
              <m:t>μ</m:t>
            </m:r>
          </m:e>
        </m:d>
        <m:r>
          <m:rPr>
            <m:sty m:val="p"/>
          </m:rPr>
          <m:t>/</m:t>
        </m:r>
        <m:r>
          <m:t>σ</m:t>
        </m:r>
      </m:oMath>
      <w:r>
        <w:t xml:space="preserve"> </w:t>
      </w:r>
      <w:r>
        <w:t xml:space="preserve">~ N(0, 1).</w:t>
      </w:r>
      <w:r>
        <w:t xml:space="preserve"> </w:t>
      </w:r>
      <w:r>
        <w:rPr>
          <w:bCs/>
          <w:b/>
        </w:rPr>
        <w:t xml:space="preserve">Central limit theorem:</w:t>
      </w:r>
      <w:r>
        <w:t xml:space="preserve"> </w:t>
      </w:r>
      <w:r>
        <w:t xml:space="preserve">means of large samples are approximately normal with SD</w:t>
      </w:r>
      <w:r>
        <w:t xml:space="preserve"> </w:t>
      </w:r>
      <m:oMath>
        <m:r>
          <m:t>σ</m:t>
        </m:r>
        <m:r>
          <m:rPr>
            <m:sty m:val="p"/>
          </m:rPr>
          <m:t>/</m:t>
        </m:r>
        <m:rad>
          <m:radPr>
            <m:degHide m:val="on"/>
          </m:radPr>
          <m:deg/>
          <m:e>
            <m:r>
              <m:t>n</m:t>
            </m:r>
          </m:e>
        </m:rad>
      </m:oMath>
      <w:r>
        <w:t xml:space="preserve">, whatever the parent distribution — the basis of large-sample tests and confidence intervals.</w:t>
      </w:r>
    </w:p>
    <w:p>
      <w:pPr>
        <w:pStyle w:val="Heading3"/>
      </w:pPr>
      <w:r>
        <w:t xml:space="preserve">50.5.4 Likely interview questions</w:t>
      </w:r>
    </w:p>
    <w:p>
      <w:pPr>
        <w:pStyle w:val="FirstParagraph"/>
      </w:pPr>
      <w:r>
        <w:rPr>
          <w:bCs/>
          <w:b/>
        </w:rPr>
        <w:t xml:space="preserve">Q. When is the median preferred to the mean?</w:t>
      </w:r>
      <w:r>
        <w:t xml:space="preserve"> </w:t>
      </w:r>
      <w:r>
        <w:t xml:space="preserve">For skewed data or outliers — e.g., daily rainfall, income, pest counts.</w:t>
      </w:r>
    </w:p>
    <w:p>
      <w:pPr>
        <w:pStyle w:val="BodyText"/>
      </w:pPr>
      <w:r>
        <w:rPr>
          <w:bCs/>
          <w:b/>
        </w:rPr>
        <w:t xml:space="preserve">Q. What does CV tell you about rainfall?</w:t>
      </w:r>
      <w:r>
        <w:t xml:space="preserve"> </w:t>
      </w:r>
      <w:r>
        <w:t xml:space="preserve">Relative variability; high CV means less dependable rainfall and higher drought risk.</w:t>
      </w:r>
    </w:p>
    <w:p>
      <w:pPr>
        <w:pStyle w:val="BodyText"/>
      </w:pPr>
      <w:r>
        <w:rPr>
          <w:bCs/>
          <w:b/>
        </w:rPr>
        <w:t xml:space="preserve">Q. Which distribution is fitted for SPI?</w:t>
      </w:r>
      <w:r>
        <w:t xml:space="preserve"> </w:t>
      </w:r>
      <w:r>
        <w:t xml:space="preserve">Gamma (other options Pearson III), then converted to a standard normal variate.</w:t>
      </w:r>
    </w:p>
    <w:p>
      <w:pPr>
        <w:pStyle w:val="BodyText"/>
      </w:pPr>
      <w:r>
        <w:rPr>
          <w:bCs/>
          <w:b/>
        </w:rPr>
        <w:t xml:space="preserve">Q. State Bayes’ theorem and give an RS application.</w:t>
      </w:r>
      <w:r>
        <w:t xml:space="preserve"> </w:t>
      </w:r>
      <w:r>
        <w:t xml:space="preserve">Posterior ∝ likelihood × prior; maximum-likelihood classification with prior probabilities.</w:t>
      </w:r>
    </w:p>
    <w:p>
      <w:pPr>
        <w:pStyle w:val="BodyText"/>
      </w:pPr>
      <w:r>
        <w:rPr>
          <w:bCs/>
          <w:b/>
        </w:rPr>
        <w:t xml:space="preserve">Q. What is the central limit theorem?</w:t>
      </w:r>
      <w:r>
        <w:t xml:space="preserve"> </w:t>
      </w:r>
      <w:r>
        <w:t xml:space="preserve">Sample means tend to normality as n increases, with standard error σ/√n.</w:t>
      </w:r>
    </w:p>
    <w:p>
      <w:pPr>
        <w:pStyle w:val="Heading1"/>
      </w:pPr>
      <w:r>
        <w:t xml:space="preserve">Chapter 51. Sampling Theory and Agricultural Surveys</w:t>
      </w:r>
    </w:p>
    <w:p>
      <w:pPr>
        <w:pStyle w:val="Heading2"/>
      </w:pPr>
      <w:r>
        <w:t xml:space="preserve">51.1 Population, Sample and Why We Sample</w:t>
      </w:r>
    </w:p>
    <w:p>
      <w:pPr>
        <w:pStyle w:val="Compact"/>
        <w:numPr>
          <w:ilvl w:val="0"/>
          <w:numId w:val="1390"/>
        </w:numPr>
      </w:pPr>
      <w:r>
        <w:rPr>
          <w:bCs/>
          <w:b/>
        </w:rPr>
        <w:t xml:space="preserve">Population (universe):</w:t>
      </w:r>
      <w:r>
        <w:t xml:space="preserve"> </w:t>
      </w:r>
      <w:r>
        <w:t xml:space="preserve">all units of interest (all wheat fields of a district);</w:t>
      </w:r>
      <w:r>
        <w:t xml:space="preserve"> </w:t>
      </w:r>
      <w:r>
        <w:rPr>
          <w:bCs/>
          <w:b/>
        </w:rPr>
        <w:t xml:space="preserve">sampling unit:</w:t>
      </w:r>
      <w:r>
        <w:t xml:space="preserve"> </w:t>
      </w:r>
      <w:r>
        <w:t xml:space="preserve">element selected (field, village, pixel, segment);</w:t>
      </w:r>
      <w:r>
        <w:t xml:space="preserve"> </w:t>
      </w:r>
      <w:r>
        <w:rPr>
          <w:bCs/>
          <w:b/>
        </w:rPr>
        <w:t xml:space="preserve">sampling frame:</w:t>
      </w:r>
      <w:r>
        <w:t xml:space="preserve"> </w:t>
      </w:r>
      <w:r>
        <w:t xml:space="preserve">list/map of all units (village list, cadastral map, satellite-derived crop mask, grid).</w:t>
      </w:r>
    </w:p>
    <w:p>
      <w:pPr>
        <w:pStyle w:val="Compact"/>
        <w:numPr>
          <w:ilvl w:val="0"/>
          <w:numId w:val="1390"/>
        </w:numPr>
      </w:pPr>
      <w:r>
        <w:rPr>
          <w:bCs/>
          <w:b/>
        </w:rPr>
        <w:t xml:space="preserve">Parameter</w:t>
      </w:r>
      <w:r>
        <w:t xml:space="preserve"> </w:t>
      </w:r>
      <w:r>
        <w:t xml:space="preserve">(population value, μ, σ) vs</w:t>
      </w:r>
      <w:r>
        <w:t xml:space="preserve"> </w:t>
      </w:r>
      <w:r>
        <w:rPr>
          <w:bCs/>
          <w:b/>
        </w:rPr>
        <w:t xml:space="preserve">statistic</w:t>
      </w:r>
      <w:r>
        <w:t xml:space="preserve"> </w:t>
      </w:r>
      <w:r>
        <w:t xml:space="preserve">(sample value, x̄, s);</w:t>
      </w:r>
      <w:r>
        <w:t xml:space="preserve"> </w:t>
      </w:r>
      <w:r>
        <w:rPr>
          <w:bCs/>
          <w:b/>
        </w:rPr>
        <w:t xml:space="preserve">estimator</w:t>
      </w:r>
      <w:r>
        <w:t xml:space="preserve"> </w:t>
      </w:r>
      <w:r>
        <w:t xml:space="preserve">and its</w:t>
      </w:r>
      <w:r>
        <w:t xml:space="preserve"> </w:t>
      </w:r>
      <w:r>
        <w:rPr>
          <w:bCs/>
          <w:b/>
        </w:rPr>
        <w:t xml:space="preserve">sampling distribution</w:t>
      </w:r>
      <w:r>
        <w:t xml:space="preserve">.</w:t>
      </w:r>
    </w:p>
    <w:p>
      <w:pPr>
        <w:pStyle w:val="Compact"/>
        <w:numPr>
          <w:ilvl w:val="0"/>
          <w:numId w:val="1390"/>
        </w:numPr>
      </w:pPr>
      <w:r>
        <w:rPr>
          <w:bCs/>
          <w:b/>
        </w:rPr>
        <w:t xml:space="preserve">Census vs sample survey:</w:t>
      </w:r>
      <w:r>
        <w:t xml:space="preserve"> </w:t>
      </w:r>
      <w:r>
        <w:t xml:space="preserve">sampling is cheaper, faster, allows better-trained enumerators and supervision (hence often</w:t>
      </w:r>
      <w:r>
        <w:t xml:space="preserve"> </w:t>
      </w:r>
      <w:r>
        <w:rPr>
          <w:iCs/>
          <w:i/>
        </w:rPr>
        <w:t xml:space="preserve">more</w:t>
      </w:r>
      <w:r>
        <w:t xml:space="preserve"> </w:t>
      </w:r>
      <w:r>
        <w:t xml:space="preserve">accurate overall), and is the only option for destructive measurements (crop cutting).</w:t>
      </w:r>
    </w:p>
    <w:p>
      <w:pPr>
        <w:pStyle w:val="Compact"/>
        <w:numPr>
          <w:ilvl w:val="0"/>
          <w:numId w:val="1390"/>
        </w:numPr>
      </w:pPr>
      <w:r>
        <w:rPr>
          <w:bCs/>
          <w:b/>
        </w:rPr>
        <w:t xml:space="preserve">Good estimator properties:</w:t>
      </w:r>
      <w:r>
        <w:t xml:space="preserve"> </w:t>
      </w:r>
      <w:r>
        <w:t xml:space="preserve">unbiasedness, consistency, efficiency (minimum variance), sufficiency.</w:t>
      </w:r>
    </w:p>
    <w:p>
      <w:pPr>
        <w:pStyle w:val="Heading2"/>
      </w:pPr>
      <w:r>
        <w:t xml:space="preserve">51.2 Sampling and Non-Sampling Errors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Error</w:t>
            </w:r>
          </w:p>
        </w:tc>
        <w:tc>
          <w:tcPr/>
          <w:p>
            <w:pPr>
              <w:pStyle w:val="Compact"/>
              <w:jc w:val="left"/>
            </w:pPr>
            <w:r>
              <w:t xml:space="preserve">Cause</w:t>
            </w:r>
          </w:p>
        </w:tc>
        <w:tc>
          <w:tcPr/>
          <w:p>
            <w:pPr>
              <w:pStyle w:val="Compact"/>
              <w:jc w:val="left"/>
            </w:pPr>
            <w:r>
              <w:t xml:space="preserve">Control</w:t>
            </w:r>
          </w:p>
        </w:tc>
      </w:tr>
      <w:tr>
        <w:tc>
          <w:tcPr/>
          <w:p>
            <w:pPr>
              <w:pStyle w:val="Compact"/>
              <w:jc w:val="left"/>
            </w:pPr>
            <w:r>
              <w:rPr>
                <w:bCs/>
                <w:b/>
              </w:rPr>
              <w:t xml:space="preserve">Sampling error</w:t>
            </w:r>
          </w:p>
        </w:tc>
        <w:tc>
          <w:tcPr/>
          <w:p>
            <w:pPr>
              <w:pStyle w:val="Compact"/>
              <w:jc w:val="left"/>
            </w:pPr>
            <w:r>
              <w:t xml:space="preserve">Studying only part of the population</w:t>
            </w:r>
          </w:p>
        </w:tc>
        <w:tc>
          <w:tcPr/>
          <w:p>
            <w:pPr>
              <w:pStyle w:val="Compact"/>
              <w:jc w:val="left"/>
            </w:pPr>
            <w:r>
              <w:t xml:space="preserve">Decreases with n (∝ 1/√n); better designs (stratification)</w:t>
            </w:r>
          </w:p>
        </w:tc>
      </w:tr>
      <w:tr>
        <w:tc>
          <w:tcPr/>
          <w:p>
            <w:pPr>
              <w:pStyle w:val="Compact"/>
              <w:jc w:val="left"/>
            </w:pPr>
            <w:r>
              <w:rPr>
                <w:bCs/>
                <w:b/>
              </w:rPr>
              <w:t xml:space="preserve">Non-sampling errors</w:t>
            </w:r>
          </w:p>
        </w:tc>
        <w:tc>
          <w:tcPr/>
          <w:p>
            <w:pPr>
              <w:pStyle w:val="Compact"/>
              <w:jc w:val="left"/>
            </w:pPr>
            <w:r>
              <w:t xml:space="preserve">Frame errors (incomplete lists), non-response, measurement/observer bias, wrong plot size, processing errors, eye-estimation in crop area reporting (girdawari)</w:t>
            </w:r>
          </w:p>
        </w:tc>
        <w:tc>
          <w:tcPr/>
          <w:p>
            <w:pPr>
              <w:pStyle w:val="Compact"/>
              <w:jc w:val="left"/>
            </w:pPr>
            <w:r>
              <w:t xml:space="preserve">Training, supervision, pilot surveys, standardised protocols, independent checks; present even in a census and</w:t>
            </w:r>
            <w:r>
              <w:t xml:space="preserve"> </w:t>
            </w:r>
            <w:r>
              <w:rPr>
                <w:iCs/>
                <w:i/>
              </w:rPr>
              <w:t xml:space="preserve">increase</w:t>
            </w:r>
            <w:r>
              <w:t xml:space="preserve"> </w:t>
            </w:r>
            <w:r>
              <w:t xml:space="preserve">with survey size</w:t>
            </w:r>
          </w:p>
        </w:tc>
      </w:tr>
    </w:tbl>
    <w:p>
      <w:pPr>
        <w:pStyle w:val="BodyText"/>
      </w:pPr>
      <w:r>
        <w:rPr>
          <w:bCs/>
          <w:b/>
        </w:rPr>
        <w:t xml:space="preserve">Bias</w:t>
      </w:r>
      <w:r>
        <w:t xml:space="preserve"> </w:t>
      </w:r>
      <w:r>
        <w:t xml:space="preserve">is a systematic deviation;</w:t>
      </w:r>
      <w:r>
        <w:t xml:space="preserve"> </w:t>
      </w:r>
      <w:r>
        <w:rPr>
          <w:bCs/>
          <w:b/>
        </w:rPr>
        <w:t xml:space="preserve">mean square error</w:t>
      </w:r>
      <w:r>
        <w:t xml:space="preserve"> </w:t>
      </w:r>
      <m:oMath>
        <m:r>
          <m:t>M</m:t>
        </m:r>
        <m:r>
          <m:t>S</m:t>
        </m:r>
        <m:r>
          <m:t>E</m:t>
        </m:r>
        <m:r>
          <m:rPr>
            <m:sty m:val="p"/>
          </m:rPr>
          <m:t>=</m:t>
        </m:r>
        <m:r>
          <m:t>V</m:t>
        </m:r>
        <m:r>
          <m:t>a</m:t>
        </m:r>
        <m:r>
          <m:t>r</m:t>
        </m:r>
        <m:r>
          <m:t>i</m:t>
        </m:r>
        <m:r>
          <m:t>a</m:t>
        </m:r>
        <m:r>
          <m:t>n</m:t>
        </m:r>
        <m:r>
          <m:t>c</m:t>
        </m:r>
        <m:r>
          <m:t>e</m:t>
        </m:r>
        <m:r>
          <m:rPr>
            <m:sty m:val="p"/>
          </m:rPr>
          <m:t>+</m:t>
        </m:r>
        <m:r>
          <m:t>B</m:t>
        </m:r>
        <m:r>
          <m:t>i</m:t>
        </m:r>
        <m:r>
          <m:t>a</m:t>
        </m:r>
        <m:sSup>
          <m:e>
            <m:r>
              <m:t>s</m:t>
            </m:r>
          </m:e>
          <m:sup>
            <m:r>
              <m:t>2</m:t>
            </m:r>
          </m:sup>
        </m:sSup>
      </m:oMath>
      <w:r>
        <w:t xml:space="preserve">.</w:t>
      </w:r>
    </w:p>
    <w:p>
      <w:pPr>
        <w:pStyle w:val="Heading2"/>
      </w:pPr>
      <w:r>
        <w:t xml:space="preserve">51.3 Estimators for Principal Probability Designs</w:t>
      </w:r>
    </w:p>
    <w:p>
      <w:pPr>
        <w:pStyle w:val="FirstParagraph"/>
      </w:pPr>
      <w:r>
        <w:t xml:space="preserve">(The design concepts — SRS, stratified, systematic, multistage, PPS — are described in the preceding section; here are the working formulae.)</w:t>
      </w:r>
    </w:p>
    <w:p>
      <w:pPr>
        <w:pStyle w:val="Heading3"/>
      </w:pPr>
      <w:r>
        <w:t xml:space="preserve">51.3.1 Simple random sampling (without replacement)</w:t>
      </w:r>
    </w:p>
    <w:p>
      <w:pPr>
        <w:pStyle w:val="FirstParagraph"/>
      </w:pPr>
      <m:oMathPara>
        <m:oMathParaPr>
          <m:jc m:val="center"/>
        </m:oMathParaPr>
        <m:oMath>
          <m:acc>
            <m:accPr>
              <m:chr m:val="‾"/>
            </m:accPr>
            <m:e>
              <m:r>
                <m:t>y</m:t>
              </m:r>
            </m:e>
          </m:acc>
          <m:r>
            <m:rPr>
              <m:sty m:val="p"/>
            </m:rPr>
            <m:t>=</m:t>
          </m:r>
          <m:f>
            <m:fPr>
              <m:type m:val="bar"/>
            </m:fPr>
            <m:num>
              <m:r>
                <m:t>1</m:t>
              </m:r>
            </m:num>
            <m:den>
              <m:r>
                <m:t>n</m:t>
              </m:r>
            </m:den>
          </m:f>
          <m:r>
            <m:rPr>
              <m:sty m:val="p"/>
            </m:rPr>
            <m:t>∑</m:t>
          </m:r>
          <m:sSub>
            <m:e>
              <m:r>
                <m:t>y</m:t>
              </m:r>
            </m:e>
            <m:sub>
              <m:r>
                <m:t>i</m:t>
              </m:r>
            </m:sub>
          </m:sSub>
          <m:r>
            <m:rPr>
              <m:sty m:val="p"/>
            </m:rPr>
            <m:t>,</m:t>
          </m:r>
          <m:r>
            <m:t>  </m:t>
          </m:r>
          <m:r>
            <m:t>V</m:t>
          </m:r>
          <m:d>
            <m:dPr>
              <m:begChr m:val="("/>
              <m:endChr m:val=")"/>
              <m:sepChr m:val=""/>
              <m:grow/>
            </m:dPr>
            <m:e>
              <m:acc>
                <m:accPr>
                  <m:chr m:val="‾"/>
                </m:accPr>
                <m:e>
                  <m:r>
                    <m:t>y</m:t>
                  </m:r>
                </m:e>
              </m:acc>
            </m:e>
          </m:d>
          <m:r>
            <m:rPr>
              <m:sty m:val="p"/>
            </m:rPr>
            <m:t>=</m:t>
          </m:r>
          <m:d>
            <m:dPr>
              <m:begChr m:val="("/>
              <m:endChr m:val=")"/>
              <m:sepChr m:val=""/>
              <m:grow/>
            </m:dPr>
            <m:e>
              <m:r>
                <m:t>1</m:t>
              </m:r>
              <m:r>
                <m:rPr>
                  <m:sty m:val="p"/>
                </m:rPr>
                <m:t>−</m:t>
              </m:r>
              <m:f>
                <m:fPr>
                  <m:type m:val="bar"/>
                </m:fPr>
                <m:num>
                  <m:r>
                    <m:t>n</m:t>
                  </m:r>
                </m:num>
                <m:den>
                  <m:r>
                    <m:t>N</m:t>
                  </m:r>
                </m:den>
              </m:f>
            </m:e>
          </m:d>
          <m:f>
            <m:fPr>
              <m:type m:val="bar"/>
            </m:fPr>
            <m:num>
              <m:sSup>
                <m:e>
                  <m:r>
                    <m:t>S</m:t>
                  </m:r>
                </m:e>
                <m:sup>
                  <m:r>
                    <m:t>2</m:t>
                  </m:r>
                </m:sup>
              </m:sSup>
            </m:num>
            <m:den>
              <m:r>
                <m:t>n</m:t>
              </m:r>
            </m:den>
          </m:f>
          <m:r>
            <m:rPr>
              <m:sty m:val="p"/>
            </m:rPr>
            <m:t>,</m:t>
          </m:r>
          <m:r>
            <m:t>  </m:t>
          </m:r>
          <m:acc>
            <m:accPr>
              <m:chr m:val="̂"/>
            </m:accPr>
            <m:e>
              <m:r>
                <m:t>Y</m:t>
              </m:r>
            </m:e>
          </m:acc>
          <m:r>
            <m:rPr>
              <m:sty m:val="p"/>
            </m:rPr>
            <m:t>=</m:t>
          </m:r>
          <m:r>
            <m:t>N</m:t>
          </m:r>
          <m:acc>
            <m:accPr>
              <m:chr m:val="‾"/>
            </m:accPr>
            <m:e>
              <m:r>
                <m:t>y</m:t>
              </m:r>
            </m:e>
          </m:acc>
        </m:oMath>
      </m:oMathPara>
    </w:p>
    <w:p>
      <w:pPr>
        <w:pStyle w:val="FirstParagraph"/>
      </w:pPr>
      <m:oMath>
        <m:d>
          <m:dPr>
            <m:begChr m:val="("/>
            <m:endChr m:val=")"/>
            <m:sepChr m:val=""/>
            <m:grow/>
          </m:dPr>
          <m:e>
            <m:r>
              <m:t>1</m:t>
            </m:r>
            <m:r>
              <m:rPr>
                <m:sty m:val="p"/>
              </m:rPr>
              <m:t>−</m:t>
            </m:r>
            <m:r>
              <m:t>n</m:t>
            </m:r>
            <m:r>
              <m:rPr>
                <m:sty m:val="p"/>
              </m:rPr>
              <m:t>/</m:t>
            </m:r>
            <m:r>
              <m:t>N</m:t>
            </m:r>
          </m:e>
        </m:d>
      </m:oMath>
      <w:r>
        <w:t xml:space="preserve"> </w:t>
      </w:r>
      <w:r>
        <w:t xml:space="preserve">=</w:t>
      </w:r>
      <w:r>
        <w:t xml:space="preserve"> </w:t>
      </w:r>
      <w:r>
        <w:rPr>
          <w:bCs/>
          <w:b/>
        </w:rPr>
        <w:t xml:space="preserve">finite population correction</w:t>
      </w:r>
      <w:r>
        <w:t xml:space="preserve"> </w:t>
      </w:r>
      <w:r>
        <w:t xml:space="preserve">(negligible when n/N &lt; 5%). Selection by lottery or random number tables/computer.</w:t>
      </w:r>
    </w:p>
    <w:p>
      <w:pPr>
        <w:pStyle w:val="BodyText"/>
      </w:pPr>
      <w:r>
        <w:rPr>
          <w:bCs/>
          <w:b/>
        </w:rPr>
        <w:t xml:space="preserve">Sample size</w:t>
      </w:r>
      <w:r>
        <w:t xml:space="preserve"> </w:t>
      </w:r>
      <w:r>
        <w:t xml:space="preserve">to estimate the mean with margin of error d at confidence z:</w:t>
      </w:r>
    </w:p>
    <w:p>
      <w:pPr>
        <w:pStyle w:val="BodyText"/>
      </w:pPr>
      <m:oMathPara>
        <m:oMathParaPr>
          <m:jc m:val="center"/>
        </m:oMathParaPr>
        <m:oMath>
          <m:sSub>
            <m:e>
              <m:r>
                <m:t>n</m:t>
              </m:r>
            </m:e>
            <m:sub>
              <m:r>
                <m:t>0</m:t>
              </m:r>
            </m:sub>
          </m:sSub>
          <m:r>
            <m:rPr>
              <m:sty m:val="p"/>
            </m:rPr>
            <m:t>=</m:t>
          </m:r>
          <m:f>
            <m:fPr>
              <m:type m:val="bar"/>
            </m:fPr>
            <m:num>
              <m:sSup>
                <m:e>
                  <m:r>
                    <m:t>z</m:t>
                  </m:r>
                </m:e>
                <m:sup>
                  <m:r>
                    <m:t>2</m:t>
                  </m:r>
                </m:sup>
              </m:sSup>
              <m:sSup>
                <m:e>
                  <m:r>
                    <m:t>S</m:t>
                  </m:r>
                </m:e>
                <m:sup>
                  <m:r>
                    <m:t>2</m:t>
                  </m:r>
                </m:sup>
              </m:sSup>
            </m:num>
            <m:den>
              <m:sSup>
                <m:e>
                  <m:r>
                    <m:t>d</m:t>
                  </m:r>
                </m:e>
                <m:sup>
                  <m:r>
                    <m:t>2</m:t>
                  </m:r>
                </m:sup>
              </m:sSup>
            </m:den>
          </m:f>
          <m:r>
            <m:t> </m:t>
          </m:r>
          <m:r>
            <m:rPr>
              <m:nor/>
              <m:sty m:val="p"/>
            </m:rPr>
            <m:t>or with relative error </m:t>
          </m:r>
          <m:r>
            <m:t>e</m:t>
          </m:r>
          <m:r>
            <m:rPr>
              <m:sty m:val="p"/>
            </m:rPr>
            <m:t>:</m:t>
          </m:r>
          <m:r>
            <m:t> </m:t>
          </m:r>
          <m:sSub>
            <m:e>
              <m:r>
                <m:t>n</m:t>
              </m:r>
            </m:e>
            <m:sub>
              <m:r>
                <m:t>0</m:t>
              </m:r>
            </m:sub>
          </m:sSub>
          <m:r>
            <m:rPr>
              <m:sty m:val="p"/>
            </m:rPr>
            <m:t>=</m:t>
          </m:r>
          <m:sSup>
            <m:e>
              <m:d>
                <m:dPr>
                  <m:begChr m:val="("/>
                  <m:endChr m:val=")"/>
                  <m:sepChr m:val=""/>
                  <m:grow/>
                </m:dPr>
                <m:e>
                  <m:f>
                    <m:fPr>
                      <m:type m:val="bar"/>
                    </m:fPr>
                    <m:num>
                      <m:r>
                        <m:t>z</m:t>
                      </m:r>
                      <m:r>
                        <m:rPr>
                          <m:sty m:val="p"/>
                        </m:rPr>
                        <m:t>⋅</m:t>
                      </m:r>
                      <m:r>
                        <m:t>C</m:t>
                      </m:r>
                      <m:r>
                        <m:t>V</m:t>
                      </m:r>
                    </m:num>
                    <m:den>
                      <m:r>
                        <m:t>e</m:t>
                      </m:r>
                    </m:den>
                  </m:f>
                </m:e>
              </m:d>
            </m:e>
            <m:sup>
              <m:r>
                <m:t>2</m:t>
              </m:r>
            </m:sup>
          </m:sSup>
          <m:r>
            <m:rPr>
              <m:sty m:val="p"/>
            </m:rPr>
            <m:t>,</m:t>
          </m:r>
          <m:r>
            <m:t>  </m:t>
          </m:r>
          <m:r>
            <m:t>n</m:t>
          </m:r>
          <m:r>
            <m:rPr>
              <m:sty m:val="p"/>
            </m:rPr>
            <m:t>=</m:t>
          </m:r>
          <m:f>
            <m:fPr>
              <m:type m:val="bar"/>
            </m:fPr>
            <m:num>
              <m:sSub>
                <m:e>
                  <m:r>
                    <m:t>n</m:t>
                  </m:r>
                </m:e>
                <m:sub>
                  <m:r>
                    <m:t>0</m:t>
                  </m:r>
                </m:sub>
              </m:sSub>
            </m:num>
            <m:den>
              <m:r>
                <m:t>1</m:t>
              </m:r>
              <m:r>
                <m:rPr>
                  <m:sty m:val="p"/>
                </m:rPr>
                <m:t>+</m:t>
              </m:r>
              <m:sSub>
                <m:e>
                  <m:r>
                    <m:t>n</m:t>
                  </m:r>
                </m:e>
                <m:sub>
                  <m:r>
                    <m:t>0</m:t>
                  </m:r>
                </m:sub>
              </m:sSub>
              <m:r>
                <m:rPr>
                  <m:sty m:val="p"/>
                </m:rPr>
                <m:t>/</m:t>
              </m:r>
              <m:r>
                <m:t>N</m:t>
              </m:r>
            </m:den>
          </m:f>
        </m:oMath>
      </m:oMathPara>
    </w:p>
    <w:p>
      <w:pPr>
        <w:pStyle w:val="FirstParagraph"/>
      </w:pPr>
      <w:r>
        <w:t xml:space="preserve">For a proportion (e.g., classification accuracy):</w:t>
      </w:r>
      <w:r>
        <w:t xml:space="preserve"> </w:t>
      </w:r>
      <m:oMath>
        <m:r>
          <m:t>n</m:t>
        </m:r>
        <m:r>
          <m:rPr>
            <m:sty m:val="p"/>
          </m:rPr>
          <m:t>=</m:t>
        </m:r>
        <m:f>
          <m:fPr>
            <m:type m:val="bar"/>
          </m:fPr>
          <m:num>
            <m:sSup>
              <m:e>
                <m:r>
                  <m:t>z</m:t>
                </m:r>
              </m:e>
              <m:sup>
                <m:r>
                  <m:t>2</m:t>
                </m:r>
              </m:sup>
            </m:sSup>
            <m:r>
              <m:t>p</m:t>
            </m:r>
            <m:d>
              <m:dPr>
                <m:begChr m:val="("/>
                <m:endChr m:val=")"/>
                <m:sepChr m:val=""/>
                <m:grow/>
              </m:dPr>
              <m:e>
                <m:r>
                  <m:t>1</m:t>
                </m:r>
                <m:r>
                  <m:rPr>
                    <m:sty m:val="p"/>
                  </m:rPr>
                  <m:t>−</m:t>
                </m:r>
                <m:r>
                  <m:t>p</m:t>
                </m:r>
              </m:e>
            </m:d>
          </m:num>
          <m:den>
            <m:sSup>
              <m:e>
                <m:r>
                  <m:t>d</m:t>
                </m:r>
              </m:e>
              <m:sup>
                <m:r>
                  <m:t>2</m:t>
                </m:r>
              </m:sup>
            </m:sSup>
          </m:den>
        </m:f>
      </m:oMath>
      <w:r>
        <w:t xml:space="preserve"> </w:t>
      </w:r>
      <w:r>
        <w:t xml:space="preserve">— e.g., expected accuracy 85%, ±5% at 95% →</w:t>
      </w:r>
      <w:r>
        <w:t xml:space="preserve"> </w:t>
      </w:r>
      <m:oMath>
        <m:r>
          <m:t>n</m:t>
        </m:r>
        <m:r>
          <m:rPr>
            <m:sty m:val="p"/>
          </m:rPr>
          <m:t>=</m:t>
        </m:r>
        <m:sSup>
          <m:e>
            <m:r>
              <m:t>1.96</m:t>
            </m:r>
          </m:e>
          <m:sup>
            <m:r>
              <m:t>2</m:t>
            </m:r>
          </m:sup>
        </m:sSup>
        <m:r>
          <m:rPr>
            <m:sty m:val="p"/>
          </m:rPr>
          <m:t>×</m:t>
        </m:r>
        <m:r>
          <m:t>0.85</m:t>
        </m:r>
        <m:r>
          <m:rPr>
            <m:sty m:val="p"/>
          </m:rPr>
          <m:t>×</m:t>
        </m:r>
        <m:r>
          <m:t>0.15</m:t>
        </m:r>
        <m:r>
          <m:rPr>
            <m:sty m:val="p"/>
          </m:rPr>
          <m:t>/</m:t>
        </m:r>
        <m:sSup>
          <m:e>
            <m:r>
              <m:t>0.05</m:t>
            </m:r>
          </m:e>
          <m:sup>
            <m:r>
              <m:t>2</m:t>
            </m:r>
          </m:sup>
        </m:sSup>
        <m:r>
          <m:rPr>
            <m:sty m:val="p"/>
          </m:rPr>
          <m:t>≈</m:t>
        </m:r>
        <m:r>
          <m:t>196</m:t>
        </m:r>
      </m:oMath>
      <w:r>
        <w:t xml:space="preserve"> </w:t>
      </w:r>
      <w:r>
        <w:t xml:space="preserve">points.</w:t>
      </w:r>
    </w:p>
    <w:p>
      <w:pPr>
        <w:pStyle w:val="Heading3"/>
      </w:pPr>
      <w:r>
        <w:t xml:space="preserve">51.3.2 Stratified random sampling</w:t>
      </w:r>
    </w:p>
    <w:p>
      <w:pPr>
        <w:pStyle w:val="FirstParagraph"/>
      </w:pPr>
      <m:oMathPara>
        <m:oMathParaPr>
          <m:jc m:val="center"/>
        </m:oMathParaPr>
        <m:oMath>
          <m:sSub>
            <m:e>
              <m:acc>
                <m:accPr>
                  <m:chr m:val="‾"/>
                </m:accPr>
                <m:e>
                  <m:r>
                    <m:t>y</m:t>
                  </m:r>
                </m:e>
              </m:acc>
            </m:e>
            <m:sub>
              <m:r>
                <m:t>s</m:t>
              </m:r>
              <m:r>
                <m:t>t</m:t>
              </m:r>
            </m:sub>
          </m:sSub>
          <m:r>
            <m:rPr>
              <m:sty m:val="p"/>
            </m:rPr>
            <m:t>=</m:t>
          </m:r>
          <m:nary>
            <m:naryPr>
              <m:chr m:val="∑"/>
              <m:limLoc m:val="undOvr"/>
              <m:subHide m:val="off"/>
              <m:supHide m:val="on"/>
            </m:naryPr>
            <m:sub>
              <m:r>
                <m:t>h</m:t>
              </m:r>
            </m:sub>
            <m:sup>
              <m:r>
                <m:t>​</m:t>
              </m:r>
            </m:sup>
            <m:e>
              <m:sSub>
                <m:e>
                  <m:r>
                    <m:t>W</m:t>
                  </m:r>
                </m:e>
                <m:sub>
                  <m:r>
                    <m:t>h</m:t>
                  </m:r>
                </m:sub>
              </m:sSub>
            </m:e>
          </m:nary>
          <m:sSub>
            <m:e>
              <m:acc>
                <m:accPr>
                  <m:chr m:val="‾"/>
                </m:accPr>
                <m:e>
                  <m:r>
                    <m:t>y</m:t>
                  </m:r>
                </m:e>
              </m:acc>
            </m:e>
            <m:sub>
              <m:r>
                <m:t>h</m:t>
              </m:r>
            </m:sub>
          </m:sSub>
          <m:r>
            <m:rPr>
              <m:sty m:val="p"/>
            </m:rPr>
            <m:t>,</m:t>
          </m:r>
          <m:r>
            <m:t> </m:t>
          </m:r>
          <m:sSub>
            <m:e>
              <m:r>
                <m:t>W</m:t>
              </m:r>
            </m:e>
            <m:sub>
              <m:r>
                <m:t>h</m:t>
              </m:r>
            </m:sub>
          </m:sSub>
          <m:r>
            <m:rPr>
              <m:sty m:val="p"/>
            </m:rPr>
            <m:t>=</m:t>
          </m:r>
          <m:f>
            <m:fPr>
              <m:type m:val="bar"/>
            </m:fPr>
            <m:num>
              <m:sSub>
                <m:e>
                  <m:r>
                    <m:t>N</m:t>
                  </m:r>
                </m:e>
                <m:sub>
                  <m:r>
                    <m:t>h</m:t>
                  </m:r>
                </m:sub>
              </m:sSub>
            </m:num>
            <m:den>
              <m:r>
                <m:t>N</m:t>
              </m:r>
            </m:den>
          </m:f>
          <m:r>
            <m:rPr>
              <m:sty m:val="p"/>
            </m:rPr>
            <m:t>,</m:t>
          </m:r>
          <m:r>
            <m:t>  </m:t>
          </m:r>
          <m:r>
            <m:t>V</m:t>
          </m:r>
          <m:d>
            <m:dPr>
              <m:begChr m:val="("/>
              <m:endChr m:val=")"/>
              <m:sepChr m:val=""/>
              <m:grow/>
            </m:dPr>
            <m:e>
              <m:sSub>
                <m:e>
                  <m:acc>
                    <m:accPr>
                      <m:chr m:val="‾"/>
                    </m:accPr>
                    <m:e>
                      <m:r>
                        <m:t>y</m:t>
                      </m:r>
                    </m:e>
                  </m:acc>
                </m:e>
                <m:sub>
                  <m:r>
                    <m:t>s</m:t>
                  </m:r>
                  <m:r>
                    <m:t>t</m:t>
                  </m:r>
                </m:sub>
              </m:sSub>
            </m:e>
          </m:d>
          <m:r>
            <m:rPr>
              <m:sty m:val="p"/>
            </m:rPr>
            <m:t>=</m:t>
          </m:r>
          <m:nary>
            <m:naryPr>
              <m:chr m:val="∑"/>
              <m:limLoc m:val="undOvr"/>
              <m:subHide m:val="off"/>
              <m:supHide m:val="on"/>
            </m:naryPr>
            <m:sub>
              <m:r>
                <m:t>h</m:t>
              </m:r>
            </m:sub>
            <m:sup>
              <m:r>
                <m:t>​</m:t>
              </m:r>
            </m:sup>
            <m:e>
              <m:sSubSup>
                <m:e>
                  <m:r>
                    <m:t>W</m:t>
                  </m:r>
                </m:e>
                <m:sub>
                  <m:r>
                    <m:t>h</m:t>
                  </m:r>
                </m:sub>
                <m:sup>
                  <m:r>
                    <m:t>2</m:t>
                  </m:r>
                </m:sup>
              </m:sSubSup>
            </m:e>
          </m:nary>
          <m:d>
            <m:dPr>
              <m:begChr m:val="("/>
              <m:endChr m:val=")"/>
              <m:sepChr m:val=""/>
              <m:grow/>
            </m:dPr>
            <m:e>
              <m:r>
                <m:t>1</m:t>
              </m:r>
              <m:r>
                <m:rPr>
                  <m:sty m:val="p"/>
                </m:rPr>
                <m:t>−</m:t>
              </m:r>
              <m:sSub>
                <m:e>
                  <m:r>
                    <m:t>f</m:t>
                  </m:r>
                </m:e>
                <m:sub>
                  <m:r>
                    <m:t>h</m:t>
                  </m:r>
                </m:sub>
              </m:sSub>
            </m:e>
          </m:d>
          <m:f>
            <m:fPr>
              <m:type m:val="bar"/>
            </m:fPr>
            <m:num>
              <m:sSubSup>
                <m:e>
                  <m:r>
                    <m:t>S</m:t>
                  </m:r>
                </m:e>
                <m:sub>
                  <m:r>
                    <m:t>h</m:t>
                  </m:r>
                </m:sub>
                <m:sup>
                  <m:r>
                    <m:t>2</m:t>
                  </m:r>
                </m:sup>
              </m:sSubSup>
            </m:num>
            <m:den>
              <m:sSub>
                <m:e>
                  <m:r>
                    <m:t>n</m:t>
                  </m:r>
                </m:e>
                <m:sub>
                  <m:r>
                    <m:t>h</m:t>
                  </m:r>
                </m:sub>
              </m:sSub>
            </m:den>
          </m:f>
        </m:oMath>
      </m:oMathPara>
    </w:p>
    <w:p>
      <w:pPr>
        <w:pStyle w:val="FirstParagraph"/>
      </w:pPr>
      <w:r>
        <w:rPr>
          <w:bCs/>
          <w:b/>
        </w:rPr>
        <w:t xml:space="preserve">Allocation of sample to strata:</w:t>
      </w:r>
      <w:r>
        <w:t xml:space="preserve"> </w:t>
      </w:r>
      <w:r>
        <w:t xml:space="preserve">-</w:t>
      </w:r>
      <w:r>
        <w:t xml:space="preserve"> </w:t>
      </w:r>
      <w:r>
        <w:rPr>
          <w:bCs/>
          <w:b/>
        </w:rPr>
        <w:t xml:space="preserve">Proportional:</w:t>
      </w:r>
      <w:r>
        <w:t xml:space="preserve"> </w:t>
      </w:r>
      <m:oMath>
        <m:sSub>
          <m:e>
            <m:r>
              <m:t>n</m:t>
            </m:r>
          </m:e>
          <m:sub>
            <m:r>
              <m:t>h</m:t>
            </m:r>
          </m:sub>
        </m:sSub>
        <m:r>
          <m:rPr>
            <m:sty m:val="p"/>
          </m:rPr>
          <m:t>=</m:t>
        </m:r>
        <m:r>
          <m:t>n</m:t>
        </m:r>
        <m:f>
          <m:fPr>
            <m:type m:val="bar"/>
          </m:fPr>
          <m:num>
            <m:sSub>
              <m:e>
                <m:r>
                  <m:t>N</m:t>
                </m:r>
              </m:e>
              <m:sub>
                <m:r>
                  <m:t>h</m:t>
                </m:r>
              </m:sub>
            </m:sSub>
          </m:num>
          <m:den>
            <m:r>
              <m:t>N</m:t>
            </m:r>
          </m:den>
        </m:f>
      </m:oMath>
      <w:r>
        <w:t xml:space="preserve">.</w:t>
      </w:r>
      <w:r>
        <w:t xml:space="preserve"> </w:t>
      </w:r>
      <w:r>
        <w:t xml:space="preserve">-</w:t>
      </w:r>
      <w:r>
        <w:t xml:space="preserve"> </w:t>
      </w:r>
      <w:r>
        <w:rPr>
          <w:bCs/>
          <w:b/>
        </w:rPr>
        <w:t xml:space="preserve">Neyman (optimum, equal cost):</w:t>
      </w:r>
      <w:r>
        <w:t xml:space="preserve"> </w:t>
      </w:r>
      <m:oMath>
        <m:sSub>
          <m:e>
            <m:r>
              <m:t>n</m:t>
            </m:r>
          </m:e>
          <m:sub>
            <m:r>
              <m:t>h</m:t>
            </m:r>
          </m:sub>
        </m:sSub>
        <m:r>
          <m:rPr>
            <m:sty m:val="p"/>
          </m:rPr>
          <m:t>=</m:t>
        </m:r>
        <m:r>
          <m:t>n</m:t>
        </m:r>
        <m:f>
          <m:fPr>
            <m:type m:val="bar"/>
          </m:fPr>
          <m:num>
            <m:sSub>
              <m:e>
                <m:r>
                  <m:t>N</m:t>
                </m:r>
              </m:e>
              <m:sub>
                <m:r>
                  <m:t>h</m:t>
                </m:r>
              </m:sub>
            </m:sSub>
            <m:sSub>
              <m:e>
                <m:r>
                  <m:t>S</m:t>
                </m:r>
              </m:e>
              <m:sub>
                <m:r>
                  <m:t>h</m:t>
                </m:r>
              </m:sub>
            </m:sSub>
          </m:num>
          <m:den>
            <m:r>
              <m:rPr>
                <m:sty m:val="p"/>
              </m:rPr>
              <m:t>∑</m:t>
            </m:r>
            <m:sSub>
              <m:e>
                <m:r>
                  <m:t>N</m:t>
                </m:r>
              </m:e>
              <m:sub>
                <m:r>
                  <m:t>h</m:t>
                </m:r>
              </m:sub>
            </m:sSub>
            <m:sSub>
              <m:e>
                <m:r>
                  <m:t>S</m:t>
                </m:r>
              </m:e>
              <m:sub>
                <m:r>
                  <m:t>h</m:t>
                </m:r>
              </m:sub>
            </m:sSub>
          </m:den>
        </m:f>
      </m:oMath>
      <w:r>
        <w:t xml:space="preserve"> </w:t>
      </w:r>
      <w:r>
        <w:t xml:space="preserve">— more samples where strata are larger and more variable.</w:t>
      </w:r>
      <w:r>
        <w:t xml:space="preserve"> </w:t>
      </w:r>
      <w:r>
        <w:t xml:space="preserve">-</w:t>
      </w:r>
      <w:r>
        <w:t xml:space="preserve"> </w:t>
      </w:r>
      <w:r>
        <w:rPr>
          <w:bCs/>
          <w:b/>
        </w:rPr>
        <w:t xml:space="preserve">Optimum with costs:</w:t>
      </w:r>
      <w:r>
        <w:t xml:space="preserve"> </w:t>
      </w:r>
      <m:oMath>
        <m:sSub>
          <m:e>
            <m:r>
              <m:t>n</m:t>
            </m:r>
          </m:e>
          <m:sub>
            <m:r>
              <m:t>h</m:t>
            </m:r>
          </m:sub>
        </m:sSub>
        <m:r>
          <m:rPr>
            <m:sty m:val="p"/>
          </m:rPr>
          <m:t>∝</m:t>
        </m:r>
        <m:f>
          <m:fPr>
            <m:type m:val="bar"/>
          </m:fPr>
          <m:num>
            <m:sSub>
              <m:e>
                <m:r>
                  <m:t>N</m:t>
                </m:r>
              </m:e>
              <m:sub>
                <m:r>
                  <m:t>h</m:t>
                </m:r>
              </m:sub>
            </m:sSub>
            <m:sSub>
              <m:e>
                <m:r>
                  <m:t>S</m:t>
                </m:r>
              </m:e>
              <m:sub>
                <m:r>
                  <m:t>h</m:t>
                </m:r>
              </m:sub>
            </m:sSub>
          </m:num>
          <m:den>
            <m:rad>
              <m:radPr>
                <m:degHide m:val="on"/>
              </m:radPr>
              <m:deg/>
              <m:e>
                <m:sSub>
                  <m:e>
                    <m:r>
                      <m:t>c</m:t>
                    </m:r>
                  </m:e>
                  <m:sub>
                    <m:r>
                      <m:t>h</m:t>
                    </m:r>
                  </m:sub>
                </m:sSub>
              </m:e>
            </m:rad>
          </m:den>
        </m:f>
      </m:oMath>
      <w:r>
        <w:t xml:space="preserve">.</w:t>
      </w:r>
    </w:p>
    <w:p>
      <w:pPr>
        <w:pStyle w:val="BodyText"/>
      </w:pPr>
      <w:r>
        <w:t xml:space="preserve">Gain in precision is greatest when strata means differ widely and strata are internally homogeneous. In RS-aided surveys, strata are formed from</w:t>
      </w:r>
      <w:r>
        <w:t xml:space="preserve"> </w:t>
      </w:r>
      <w:r>
        <w:rPr>
          <w:bCs/>
          <w:b/>
        </w:rPr>
        <w:t xml:space="preserve">satellite-derived crop intensity</w:t>
      </w:r>
      <w:r>
        <w:t xml:space="preserve"> </w:t>
      </w:r>
      <w:r>
        <w:t xml:space="preserve">(e.g., percent crop in a grid/segment).</w:t>
      </w:r>
    </w:p>
    <w:p>
      <w:pPr>
        <w:pStyle w:val="Heading3"/>
      </w:pPr>
      <w:r>
        <w:t xml:space="preserve">51.3.3 Systematic sampling</w:t>
      </w:r>
    </w:p>
    <w:p>
      <w:pPr>
        <w:pStyle w:val="FirstParagraph"/>
      </w:pPr>
      <w:r>
        <w:t xml:space="preserve">Sampling interval</w:t>
      </w:r>
      <w:r>
        <w:t xml:space="preserve"> </w:t>
      </w:r>
      <m:oMath>
        <m:r>
          <m:t>k</m:t>
        </m:r>
        <m:r>
          <m:rPr>
            <m:sty m:val="p"/>
          </m:rPr>
          <m:t>=</m:t>
        </m:r>
        <m:r>
          <m:t>N</m:t>
        </m:r>
        <m:r>
          <m:rPr>
            <m:sty m:val="p"/>
          </m:rPr>
          <m:t>/</m:t>
        </m:r>
        <m:r>
          <m:t>n</m:t>
        </m:r>
      </m:oMath>
      <w:r>
        <w:t xml:space="preserve">; random start r (1 ≤ r ≤ k), then r, r + k, r + 2k … Efficient when there is a trend; risky with periodicity matching k. Point grids for accuracy assessment and area-frame surveys are systematic.</w:t>
      </w:r>
    </w:p>
    <w:p>
      <w:pPr>
        <w:pStyle w:val="Heading3"/>
      </w:pPr>
      <w:r>
        <w:t xml:space="preserve">51.3.4 Cluster and multistage sampling</w:t>
      </w:r>
    </w:p>
    <w:p>
      <w:pPr>
        <w:pStyle w:val="Compact"/>
        <w:numPr>
          <w:ilvl w:val="0"/>
          <w:numId w:val="1391"/>
        </w:numPr>
      </w:pPr>
      <w:r>
        <w:rPr>
          <w:bCs/>
          <w:b/>
        </w:rPr>
        <w:t xml:space="preserve">Cluster sampling:</w:t>
      </w:r>
      <w:r>
        <w:t xml:space="preserve"> </w:t>
      </w:r>
      <w:r>
        <w:t xml:space="preserve">groups (clusters) selected; all units within surveyed. Efficiency falls as</w:t>
      </w:r>
      <w:r>
        <w:t xml:space="preserve"> </w:t>
      </w:r>
      <w:r>
        <w:rPr>
          <w:bCs/>
          <w:b/>
        </w:rPr>
        <w:t xml:space="preserve">intra-class correlation</w:t>
      </w:r>
      <w:r>
        <w:t xml:space="preserve"> </w:t>
      </w:r>
      <w:r>
        <w:t xml:space="preserve">ρ rises;</w:t>
      </w:r>
      <w:r>
        <w:t xml:space="preserve"> </w:t>
      </w:r>
      <w:r>
        <w:rPr>
          <w:bCs/>
          <w:b/>
        </w:rPr>
        <w:t xml:space="preserve">design effect</w:t>
      </w:r>
      <w:r>
        <w:t xml:space="preserve"> </w:t>
      </w:r>
      <m:oMath>
        <m:r>
          <m:t>d</m:t>
        </m:r>
        <m:r>
          <m:t>e</m:t>
        </m:r>
        <m:r>
          <m:t>f</m:t>
        </m:r>
        <m:r>
          <m:t>f</m:t>
        </m:r>
        <m:r>
          <m:rPr>
            <m:sty m:val="p"/>
          </m:rPr>
          <m:t>=</m:t>
        </m:r>
        <m:r>
          <m:t>1</m:t>
        </m:r>
        <m:r>
          <m:rPr>
            <m:sty m:val="p"/>
          </m:rPr>
          <m:t>+</m:t>
        </m:r>
        <m:d>
          <m:dPr>
            <m:begChr m:val="("/>
            <m:endChr m:val=")"/>
            <m:sepChr m:val=""/>
            <m:grow/>
          </m:dPr>
          <m:e>
            <m:r>
              <m:t>m</m:t>
            </m:r>
            <m:r>
              <m:rPr>
                <m:sty m:val="p"/>
              </m:rPr>
              <m:t>−</m:t>
            </m:r>
            <m:r>
              <m:t>1</m:t>
            </m:r>
          </m:e>
        </m:d>
        <m:r>
          <m:t>ρ</m:t>
        </m:r>
      </m:oMath>
      <w:r>
        <w:t xml:space="preserve"> </w:t>
      </w:r>
      <w:r>
        <w:t xml:space="preserve">(m = cluster size).</w:t>
      </w:r>
    </w:p>
    <w:p>
      <w:pPr>
        <w:pStyle w:val="Compact"/>
        <w:numPr>
          <w:ilvl w:val="0"/>
          <w:numId w:val="1391"/>
        </w:numPr>
      </w:pPr>
      <w:r>
        <w:rPr>
          <w:bCs/>
          <w:b/>
        </w:rPr>
        <w:t xml:space="preserve">Two-stage:</w:t>
      </w:r>
      <w:r>
        <w:t xml:space="preserve"> </w:t>
      </w:r>
      <w:r>
        <w:t xml:space="preserve">villages (PSU) → fields (SSU); variance has between-PSU and within-PSU components. The Indian</w:t>
      </w:r>
      <w:r>
        <w:t xml:space="preserve"> </w:t>
      </w:r>
      <w:r>
        <w:rPr>
          <w:bCs/>
          <w:b/>
        </w:rPr>
        <w:t xml:space="preserve">crop estimation surveys</w:t>
      </w:r>
      <w:r>
        <w:t xml:space="preserve"> </w:t>
      </w:r>
      <w:r>
        <w:t xml:space="preserve">follow stratified multistage designs: tehsil/block (stratum) → villages (first stage) → survey numbers/fields (second stage) → experimental plot of fixed size (e.g., 5 m × 5 m or 10 m × 5 m) for</w:t>
      </w:r>
      <w:r>
        <w:t xml:space="preserve"> </w:t>
      </w:r>
      <w:r>
        <w:rPr>
          <w:bCs/>
          <w:b/>
        </w:rPr>
        <w:t xml:space="preserve">crop cutting</w:t>
      </w:r>
      <w:r>
        <w:t xml:space="preserve"> </w:t>
      </w:r>
      <w:r>
        <w:t xml:space="preserve">at harvest → yield per hectare; production = area × yield.</w:t>
      </w:r>
    </w:p>
    <w:p>
      <w:pPr>
        <w:pStyle w:val="Heading3"/>
      </w:pPr>
      <w:r>
        <w:t xml:space="preserve">51.3.5 PPS sampling</w:t>
      </w:r>
    </w:p>
    <w:p>
      <w:pPr>
        <w:pStyle w:val="FirstParagraph"/>
      </w:pPr>
      <w:r>
        <w:t xml:space="preserve">Selection probability</w:t>
      </w:r>
      <w:r>
        <w:t xml:space="preserve"> </w:t>
      </w:r>
      <m:oMath>
        <m:sSub>
          <m:e>
            <m:r>
              <m:t>p</m:t>
            </m:r>
          </m:e>
          <m:sub>
            <m:r>
              <m:t>i</m:t>
            </m:r>
          </m:sub>
        </m:sSub>
        <m:r>
          <m:rPr>
            <m:sty m:val="p"/>
          </m:rPr>
          <m:t>=</m:t>
        </m:r>
        <m:sSub>
          <m:e>
            <m:r>
              <m:t>X</m:t>
            </m:r>
          </m:e>
          <m:sub>
            <m:r>
              <m:t>i</m:t>
            </m:r>
          </m:sub>
        </m:sSub>
        <m:r>
          <m:rPr>
            <m:sty m:val="p"/>
          </m:rPr>
          <m:t>/</m:t>
        </m:r>
        <m:r>
          <m:t>X</m:t>
        </m:r>
      </m:oMath>
      <w:r>
        <w:t xml:space="preserve"> </w:t>
      </w:r>
      <w:r>
        <w:t xml:space="preserve">(size measure X, e.g., area).</w:t>
      </w:r>
      <w:r>
        <w:t xml:space="preserve"> </w:t>
      </w:r>
      <w:r>
        <w:rPr>
          <w:bCs/>
          <w:b/>
        </w:rPr>
        <w:t xml:space="preserve">Hansen–Hurwitz</w:t>
      </w:r>
      <w:r>
        <w:t xml:space="preserve"> </w:t>
      </w:r>
      <w:r>
        <w:t xml:space="preserve">estimator (with replacement):</w:t>
      </w:r>
      <w:r>
        <w:t xml:space="preserve"> </w:t>
      </w:r>
      <m:oMath>
        <m:acc>
          <m:accPr>
            <m:chr m:val="̂"/>
          </m:accPr>
          <m:e>
            <m:r>
              <m:t>Y</m:t>
            </m:r>
          </m:e>
        </m:acc>
        <m:r>
          <m:rPr>
            <m:sty m:val="p"/>
          </m:rPr>
          <m:t>=</m:t>
        </m:r>
        <m:f>
          <m:fPr>
            <m:type m:val="bar"/>
          </m:fPr>
          <m:num>
            <m:r>
              <m:t>1</m:t>
            </m:r>
          </m:num>
          <m:den>
            <m:r>
              <m:t>n</m:t>
            </m:r>
          </m:den>
        </m:f>
        <m:r>
          <m:rPr>
            <m:sty m:val="p"/>
          </m:rPr>
          <m:t>∑</m:t>
        </m:r>
        <m:f>
          <m:fPr>
            <m:type m:val="bar"/>
          </m:fPr>
          <m:num>
            <m:sSub>
              <m:e>
                <m:r>
                  <m:t>y</m:t>
                </m:r>
              </m:e>
              <m:sub>
                <m:r>
                  <m:t>i</m:t>
                </m:r>
              </m:sub>
            </m:sSub>
          </m:num>
          <m:den>
            <m:sSub>
              <m:e>
                <m:r>
                  <m:t>p</m:t>
                </m:r>
              </m:e>
              <m:sub>
                <m:r>
                  <m:t>i</m:t>
                </m:r>
              </m:sub>
            </m:sSub>
          </m:den>
        </m:f>
      </m:oMath>
      <w:r>
        <w:t xml:space="preserve">;</w:t>
      </w:r>
      <w:r>
        <w:t xml:space="preserve"> </w:t>
      </w:r>
      <w:r>
        <w:rPr>
          <w:bCs/>
          <w:b/>
        </w:rPr>
        <w:t xml:space="preserve">Horvitz–Thompson</w:t>
      </w:r>
      <w:r>
        <w:t xml:space="preserve"> </w:t>
      </w:r>
      <w:r>
        <w:t xml:space="preserve">(without replacement):</w:t>
      </w:r>
      <w:r>
        <w:t xml:space="preserve"> </w:t>
      </w:r>
      <m:oMath>
        <m:acc>
          <m:accPr>
            <m:chr m:val="̂"/>
          </m:accPr>
          <m:e>
            <m:r>
              <m:t>Y</m:t>
            </m:r>
          </m:e>
        </m:acc>
        <m:r>
          <m:rPr>
            <m:sty m:val="p"/>
          </m:rPr>
          <m:t>=</m:t>
        </m:r>
        <m:r>
          <m:rPr>
            <m:sty m:val="p"/>
          </m:rPr>
          <m:t>∑</m:t>
        </m:r>
        <m:f>
          <m:fPr>
            <m:type m:val="bar"/>
          </m:fPr>
          <m:num>
            <m:sSub>
              <m:e>
                <m:r>
                  <m:t>y</m:t>
                </m:r>
              </m:e>
              <m:sub>
                <m:r>
                  <m:t>i</m:t>
                </m:r>
              </m:sub>
            </m:sSub>
          </m:num>
          <m:den>
            <m:sSub>
              <m:e>
                <m:r>
                  <m:t>π</m:t>
                </m:r>
              </m:e>
              <m:sub>
                <m:r>
                  <m:t>i</m:t>
                </m:r>
              </m:sub>
            </m:sSub>
          </m:den>
        </m:f>
      </m:oMath>
      <w:r>
        <w:t xml:space="preserve"> </w:t>
      </w:r>
      <w:r>
        <w:t xml:space="preserve">(π inclusion probability). Selection by cumulative-total or Lahiri’s method.</w:t>
      </w:r>
    </w:p>
    <w:p>
      <w:pPr>
        <w:pStyle w:val="Heading2"/>
      </w:pPr>
      <w:r>
        <w:t xml:space="preserve">51.4 Using Auxiliary Information — Ratio, Regression and Double Sampling</w:t>
      </w:r>
    </w:p>
    <w:p>
      <w:pPr>
        <w:pStyle w:val="FirstParagraph"/>
      </w:pPr>
      <w:r>
        <w:t xml:space="preserve">These are the mathematical bridges between satellite data (cheap, complete) and ground data (accurate, sparse).</w:t>
      </w:r>
    </w:p>
    <w:p>
      <w:pPr>
        <w:pStyle w:val="BodyText"/>
      </w:pPr>
      <w:r>
        <w:rPr>
          <w:bCs/>
          <w:b/>
        </w:rPr>
        <w:t xml:space="preserve">Ratio estimator</w:t>
      </w:r>
      <w:r>
        <w:t xml:space="preserve"> </w:t>
      </w:r>
      <w:r>
        <w:t xml:space="preserve">(y correlated with auxiliary x through origin):</w:t>
      </w:r>
    </w:p>
    <w:p>
      <w:pPr>
        <w:pStyle w:val="BodyText"/>
      </w:pPr>
      <m:oMathPara>
        <m:oMathParaPr>
          <m:jc m:val="center"/>
        </m:oMathParaPr>
        <m:oMath>
          <m:sSub>
            <m:e>
              <m:acc>
                <m:accPr>
                  <m:chr m:val="̂"/>
                </m:accPr>
                <m:e>
                  <m:acc>
                    <m:accPr>
                      <m:chr m:val="‾"/>
                    </m:accPr>
                    <m:e>
                      <m:r>
                        <m:t>Y</m:t>
                      </m:r>
                    </m:e>
                  </m:acc>
                </m:e>
              </m:acc>
            </m:e>
            <m:sub>
              <m:r>
                <m:t>R</m:t>
              </m:r>
            </m:sub>
          </m:sSub>
          <m:r>
            <m:rPr>
              <m:sty m:val="p"/>
            </m:rPr>
            <m:t>=</m:t>
          </m:r>
          <m:f>
            <m:fPr>
              <m:type m:val="bar"/>
            </m:fPr>
            <m:num>
              <m:acc>
                <m:accPr>
                  <m:chr m:val="‾"/>
                </m:accPr>
                <m:e>
                  <m:r>
                    <m:t>y</m:t>
                  </m:r>
                </m:e>
              </m:acc>
            </m:num>
            <m:den>
              <m:acc>
                <m:accPr>
                  <m:chr m:val="‾"/>
                </m:accPr>
                <m:e>
                  <m:r>
                    <m:t>x</m:t>
                  </m:r>
                </m:e>
              </m:acc>
            </m:den>
          </m:f>
          <m:acc>
            <m:accPr>
              <m:chr m:val="‾"/>
            </m:accPr>
            <m:e>
              <m:r>
                <m:t>X</m:t>
              </m:r>
            </m:e>
          </m:acc>
        </m:oMath>
      </m:oMathPara>
    </w:p>
    <w:p>
      <w:pPr>
        <w:pStyle w:val="FirstParagraph"/>
      </w:pPr>
      <w:r>
        <w:t xml:space="preserve">e.g., ground crop area y vs. satellite-classified area x in sample segments, expanded by the satellite total X. More efficient than SRS when</w:t>
      </w:r>
      <w:r>
        <w:t xml:space="preserve"> </w:t>
      </w:r>
      <m:oMath>
        <m:r>
          <m:t>ρ</m:t>
        </m:r>
        <m:r>
          <m:rPr>
            <m:sty m:val="p"/>
          </m:rPr>
          <m:t>&gt;</m:t>
        </m:r>
        <m:f>
          <m:fPr>
            <m:type m:val="bar"/>
          </m:fPr>
          <m:num>
            <m:r>
              <m:t>1</m:t>
            </m:r>
          </m:num>
          <m:den>
            <m:r>
              <m:t>2</m:t>
            </m:r>
          </m:den>
        </m:f>
        <m:f>
          <m:fPr>
            <m:type m:val="bar"/>
          </m:fPr>
          <m:num>
            <m:sSub>
              <m:e>
                <m:r>
                  <m:t>C</m:t>
                </m:r>
              </m:e>
              <m:sub>
                <m:r>
                  <m:t>x</m:t>
                </m:r>
              </m:sub>
            </m:sSub>
          </m:num>
          <m:den>
            <m:sSub>
              <m:e>
                <m:r>
                  <m:t>C</m:t>
                </m:r>
              </m:e>
              <m:sub>
                <m:r>
                  <m:t>y</m:t>
                </m:r>
              </m:sub>
            </m:sSub>
          </m:den>
        </m:f>
      </m:oMath>
      <w:r>
        <w:t xml:space="preserve">.</w:t>
      </w:r>
    </w:p>
    <w:p>
      <w:pPr>
        <w:pStyle w:val="BodyText"/>
      </w:pPr>
      <w:r>
        <w:rPr>
          <w:bCs/>
          <w:b/>
        </w:rPr>
        <w:t xml:space="preserve">Regression estimator:</w:t>
      </w:r>
    </w:p>
    <w:p>
      <w:pPr>
        <w:pStyle w:val="BodyText"/>
      </w:pPr>
      <m:oMathPara>
        <m:oMathParaPr>
          <m:jc m:val="center"/>
        </m:oMathParaPr>
        <m:oMath>
          <m:sSub>
            <m:e>
              <m:acc>
                <m:accPr>
                  <m:chr m:val="̂"/>
                </m:accPr>
                <m:e>
                  <m:acc>
                    <m:accPr>
                      <m:chr m:val="‾"/>
                    </m:accPr>
                    <m:e>
                      <m:r>
                        <m:t>Y</m:t>
                      </m:r>
                    </m:e>
                  </m:acc>
                </m:e>
              </m:acc>
            </m:e>
            <m:sub>
              <m:r>
                <m:t>l</m:t>
              </m:r>
              <m:r>
                <m:t>r</m:t>
              </m:r>
            </m:sub>
          </m:sSub>
          <m:r>
            <m:rPr>
              <m:sty m:val="p"/>
            </m:rPr>
            <m:t>=</m:t>
          </m:r>
          <m:acc>
            <m:accPr>
              <m:chr m:val="‾"/>
            </m:accPr>
            <m:e>
              <m:r>
                <m:t>y</m:t>
              </m:r>
            </m:e>
          </m:acc>
          <m:r>
            <m:rPr>
              <m:sty m:val="p"/>
            </m:rPr>
            <m:t>+</m:t>
          </m:r>
          <m:r>
            <m:t>b</m:t>
          </m:r>
          <m:d>
            <m:dPr>
              <m:begChr m:val="("/>
              <m:endChr m:val=")"/>
              <m:sepChr m:val=""/>
              <m:grow/>
            </m:dPr>
            <m:e>
              <m:acc>
                <m:accPr>
                  <m:chr m:val="‾"/>
                </m:accPr>
                <m:e>
                  <m:r>
                    <m:t>X</m:t>
                  </m:r>
                </m:e>
              </m:acc>
              <m:r>
                <m:rPr>
                  <m:sty m:val="p"/>
                </m:rPr>
                <m:t>−</m:t>
              </m:r>
              <m:acc>
                <m:accPr>
                  <m:chr m:val="‾"/>
                </m:accPr>
                <m:e>
                  <m:r>
                    <m:t>x</m:t>
                  </m:r>
                </m:e>
              </m:acc>
            </m:e>
          </m:d>
          <m:r>
            <m:rPr>
              <m:sty m:val="p"/>
            </m:rPr>
            <m:t>,</m:t>
          </m:r>
          <m:r>
            <m:t>  </m:t>
          </m:r>
          <m:r>
            <m:t>V</m:t>
          </m:r>
          <m:r>
            <m:rPr>
              <m:sty m:val="p"/>
            </m:rPr>
            <m:t>≈</m:t>
          </m:r>
          <m:f>
            <m:fPr>
              <m:type m:val="bar"/>
            </m:fPr>
            <m:num>
              <m:d>
                <m:dPr>
                  <m:begChr m:val="("/>
                  <m:endChr m:val=")"/>
                  <m:sepChr m:val=""/>
                  <m:grow/>
                </m:dPr>
                <m:e>
                  <m:r>
                    <m:t>1</m:t>
                  </m:r>
                  <m:r>
                    <m:rPr>
                      <m:sty m:val="p"/>
                    </m:rPr>
                    <m:t>−</m:t>
                  </m:r>
                  <m:r>
                    <m:t>f</m:t>
                  </m:r>
                </m:e>
              </m:d>
            </m:num>
            <m:den>
              <m:r>
                <m:t>n</m:t>
              </m:r>
            </m:den>
          </m:f>
          <m:sSubSup>
            <m:e>
              <m:r>
                <m:t>S</m:t>
              </m:r>
            </m:e>
            <m:sub>
              <m:r>
                <m:t>y</m:t>
              </m:r>
            </m:sub>
            <m:sup>
              <m:r>
                <m:t>2</m:t>
              </m:r>
            </m:sup>
          </m:sSubSup>
          <m:d>
            <m:dPr>
              <m:begChr m:val="("/>
              <m:endChr m:val=")"/>
              <m:sepChr m:val=""/>
              <m:grow/>
            </m:dPr>
            <m:e>
              <m:r>
                <m:t>1</m:t>
              </m:r>
              <m:r>
                <m:rPr>
                  <m:sty m:val="p"/>
                </m:rPr>
                <m:t>−</m:t>
              </m:r>
              <m:sSup>
                <m:e>
                  <m:r>
                    <m:t>ρ</m:t>
                  </m:r>
                </m:e>
                <m:sup>
                  <m:r>
                    <m:t>2</m:t>
                  </m:r>
                </m:sup>
              </m:sSup>
            </m:e>
          </m:d>
        </m:oMath>
      </m:oMathPara>
    </w:p>
    <w:p>
      <w:pPr>
        <w:pStyle w:val="FirstParagraph"/>
      </w:pPr>
      <w:r>
        <w:t xml:space="preserve">— variance reduced by factor</w:t>
      </w:r>
      <w:r>
        <w:t xml:space="preserve"> </w:t>
      </w:r>
      <m:oMath>
        <m:d>
          <m:dPr>
            <m:begChr m:val="("/>
            <m:endChr m:val=")"/>
            <m:sepChr m:val=""/>
            <m:grow/>
          </m:dPr>
          <m:e>
            <m:r>
              <m:t>1</m:t>
            </m:r>
            <m:r>
              <m:rPr>
                <m:sty m:val="p"/>
              </m:rPr>
              <m:t>−</m:t>
            </m:r>
            <m:sSup>
              <m:e>
                <m:r>
                  <m:t>ρ</m:t>
                </m:r>
              </m:e>
              <m:sup>
                <m:r>
                  <m:t>2</m:t>
                </m:r>
              </m:sup>
            </m:sSup>
          </m:e>
        </m:d>
      </m:oMath>
      <w:r>
        <w:t xml:space="preserve">;</w:t>
      </w:r>
      <w:r>
        <w:t xml:space="preserve"> </w:t>
      </w:r>
      <w:r>
        <w:rPr>
          <w:bCs/>
          <w:b/>
        </w:rPr>
        <w:t xml:space="preserve">relative efficiency</w:t>
      </w:r>
      <w:r>
        <w:t xml:space="preserve"> </w:t>
      </w:r>
      <w:r>
        <w:t xml:space="preserve">over direct expansion =</w:t>
      </w:r>
      <w:r>
        <w:t xml:space="preserve"> </w:t>
      </w:r>
      <m:oMath>
        <m:r>
          <m:t>1</m:t>
        </m:r>
        <m:r>
          <m:rPr>
            <m:sty m:val="p"/>
          </m:rPr>
          <m:t>/</m:t>
        </m:r>
        <m:d>
          <m:dPr>
            <m:begChr m:val="("/>
            <m:endChr m:val=")"/>
            <m:sepChr m:val=""/>
            <m:grow/>
          </m:dPr>
          <m:e>
            <m:r>
              <m:t>1</m:t>
            </m:r>
            <m:r>
              <m:rPr>
                <m:sty m:val="p"/>
              </m:rPr>
              <m:t>−</m:t>
            </m:r>
            <m:sSup>
              <m:e>
                <m:r>
                  <m:t>ρ</m:t>
                </m:r>
              </m:e>
              <m:sup>
                <m:r>
                  <m:t>2</m:t>
                </m:r>
              </m:sup>
            </m:sSup>
          </m:e>
        </m:d>
      </m:oMath>
      <w:r>
        <w:t xml:space="preserve">. This is the classical</w:t>
      </w:r>
      <w:r>
        <w:t xml:space="preserve"> </w:t>
      </w:r>
      <w:r>
        <w:rPr>
          <w:bCs/>
          <w:b/>
        </w:rPr>
        <w:t xml:space="preserve">USDA/LACIE and EU MARS regression estimator</w:t>
      </w:r>
      <w:r>
        <w:t xml:space="preserve"> </w:t>
      </w:r>
      <w:r>
        <w:t xml:space="preserve">(ground segment surveys + Landsat/AWiFS classification) used in area estimation.</w:t>
      </w:r>
    </w:p>
    <w:p>
      <w:pPr>
        <w:pStyle w:val="BodyText"/>
      </w:pPr>
      <w:r>
        <w:rPr>
          <w:bCs/>
          <w:b/>
        </w:rPr>
        <w:t xml:space="preserve">Double (two-phase) sampling:</w:t>
      </w:r>
      <w:r>
        <w:t xml:space="preserve"> </w:t>
      </w:r>
      <w:r>
        <w:t xml:space="preserve">a large first-phase sample measures the cheap auxiliary variable (e.g., NDVI/spectral yield indicator on many fields, or eye-estimates); a sub-sample measures the expensive variable (crop cutting). Used to integrate</w:t>
      </w:r>
      <w:r>
        <w:t xml:space="preserve"> </w:t>
      </w:r>
      <w:r>
        <w:rPr>
          <w:bCs/>
          <w:b/>
        </w:rPr>
        <w:t xml:space="preserve">RS-based yield proxies with fewer CCEs</w:t>
      </w:r>
      <w:r>
        <w:t xml:space="preserve"> </w:t>
      </w:r>
      <w:r>
        <w:t xml:space="preserve">— the logic behind</w:t>
      </w:r>
      <w:r>
        <w:t xml:space="preserve"> </w:t>
      </w:r>
      <w:r>
        <w:rPr>
          <w:bCs/>
          <w:b/>
        </w:rPr>
        <w:t xml:space="preserve">smart sampling</w:t>
      </w:r>
      <w:r>
        <w:t xml:space="preserve"> </w:t>
      </w:r>
      <w:r>
        <w:t xml:space="preserve">of CCEs under PMFBY/YES-TECH, where satellite-derived crop-health strata guide CCE location and number.</w:t>
      </w:r>
    </w:p>
    <w:p>
      <w:pPr>
        <w:pStyle w:val="CaptionedFigure"/>
      </w:pPr>
      <w:r>
        <w:drawing>
          <wp:inline>
            <wp:extent cx="5334000" cy="2867024"/>
            <wp:effectExtent b="0" l="0" r="0" t="0"/>
            <wp:docPr descr="Remote-sensing-aided crop area and yield survey" title="" id="156" name="Picture"/>
            <a:graphic>
              <a:graphicData uri="http://schemas.openxmlformats.org/drawingml/2006/picture">
                <pic:pic>
                  <pic:nvPicPr>
                    <pic:cNvPr descr="/tmp/claude-0/-home-user-sonu/ab07c29a-21cd-5a4a-9d2d-68ad72d07153/scratchpad/build/../flows/flow_033.png" id="157" name="Picture"/>
                    <pic:cNvPicPr>
                      <a:picLocks noChangeArrowheads="1" noChangeAspect="1"/>
                    </pic:cNvPicPr>
                  </pic:nvPicPr>
                  <pic:blipFill>
                    <a:blip r:embed="rId155"/>
                    <a:stretch>
                      <a:fillRect/>
                    </a:stretch>
                  </pic:blipFill>
                  <pic:spPr bwMode="auto">
                    <a:xfrm>
                      <a:off x="0" y="0"/>
                      <a:ext cx="5334000" cy="2867024"/>
                    </a:xfrm>
                    <a:prstGeom prst="rect">
                      <a:avLst/>
                    </a:prstGeom>
                    <a:noFill/>
                    <a:ln w="9525">
                      <a:noFill/>
                      <a:headEnd/>
                      <a:tailEnd/>
                    </a:ln>
                  </pic:spPr>
                </pic:pic>
              </a:graphicData>
            </a:graphic>
          </wp:inline>
        </w:drawing>
      </w:r>
    </w:p>
    <w:p>
      <w:pPr>
        <w:pStyle w:val="ImageCaption"/>
      </w:pPr>
      <w:r>
        <w:t xml:space="preserve">Remote-sensing-aided crop area and yield survey</w:t>
      </w:r>
    </w:p>
    <w:p>
      <w:pPr>
        <w:pStyle w:val="Heading2"/>
      </w:pPr>
      <w:r>
        <w:t xml:space="preserve">51.5 Other Sampling Methods</w:t>
      </w:r>
    </w:p>
    <w:p>
      <w:pPr>
        <w:pStyle w:val="Compact"/>
        <w:numPr>
          <w:ilvl w:val="0"/>
          <w:numId w:val="1392"/>
        </w:numPr>
      </w:pPr>
      <w:r>
        <w:rPr>
          <w:bCs/>
          <w:b/>
        </w:rPr>
        <w:t xml:space="preserve">Non-probability:</w:t>
      </w:r>
      <w:r>
        <w:t xml:space="preserve"> </w:t>
      </w:r>
      <w:r>
        <w:t xml:space="preserve">purposive/judgement (sites for flux towers, benchmark sites), convenience, quota, snowball — no valid sampling error, risk of bias.</w:t>
      </w:r>
    </w:p>
    <w:p>
      <w:pPr>
        <w:pStyle w:val="Compact"/>
        <w:numPr>
          <w:ilvl w:val="0"/>
          <w:numId w:val="1392"/>
        </w:numPr>
      </w:pPr>
      <w:r>
        <w:rPr>
          <w:bCs/>
          <w:b/>
        </w:rPr>
        <w:t xml:space="preserve">Area-frame sampling:</w:t>
      </w:r>
      <w:r>
        <w:t xml:space="preserve"> </w:t>
      </w:r>
      <w:r>
        <w:t xml:space="preserve">land divided into segments of known area (no list of farms needed); points or segments sampled — used for crop area surveys and ground truth (e.g., EU LUCAS).</w:t>
      </w:r>
    </w:p>
    <w:p>
      <w:pPr>
        <w:pStyle w:val="Compact"/>
        <w:numPr>
          <w:ilvl w:val="0"/>
          <w:numId w:val="1392"/>
        </w:numPr>
      </w:pPr>
      <w:r>
        <w:rPr>
          <w:bCs/>
          <w:b/>
        </w:rPr>
        <w:t xml:space="preserve">Spatial sampling for mapping:</w:t>
      </w:r>
      <w:r>
        <w:t xml:space="preserve"> </w:t>
      </w:r>
      <w:r>
        <w:t xml:space="preserve">random, stratified random (by class — required for unbiased accuracy assessment), systematic grids,</w:t>
      </w:r>
      <w:r>
        <w:t xml:space="preserve"> </w:t>
      </w:r>
      <w:r>
        <w:rPr>
          <w:bCs/>
          <w:b/>
        </w:rPr>
        <w:t xml:space="preserve">cluster</w:t>
      </w:r>
      <w:r>
        <w:t xml:space="preserve">, and geostatistically optimised designs (minimising kriging variance); for accuracy assessment the rule of thumb is ≥ 50 samples per class.</w:t>
      </w:r>
    </w:p>
    <w:p>
      <w:pPr>
        <w:pStyle w:val="Compact"/>
        <w:numPr>
          <w:ilvl w:val="0"/>
          <w:numId w:val="1392"/>
        </w:numPr>
      </w:pPr>
      <w:r>
        <w:rPr>
          <w:bCs/>
          <w:b/>
        </w:rPr>
        <w:t xml:space="preserve">Ranked set sampling, inverse sampling, adaptive cluster sampling</w:t>
      </w:r>
      <w:r>
        <w:t xml:space="preserve"> </w:t>
      </w:r>
      <w:r>
        <w:t xml:space="preserve">(rare, clustered pest infestations).</w:t>
      </w:r>
    </w:p>
    <w:p>
      <w:pPr>
        <w:pStyle w:val="Heading3"/>
      </w:pPr>
      <w:r>
        <w:t xml:space="preserve">51.5.1 Likely interview questions</w:t>
      </w:r>
    </w:p>
    <w:p>
      <w:pPr>
        <w:pStyle w:val="FirstParagraph"/>
      </w:pPr>
      <w:r>
        <w:rPr>
          <w:bCs/>
          <w:b/>
        </w:rPr>
        <w:t xml:space="preserve">Q. Why is the regression estimator more efficient?</w:t>
      </w:r>
      <w:r>
        <w:t xml:space="preserve"> </w:t>
      </w:r>
      <w:r>
        <w:t xml:space="preserve">It uses the correlation between ground and satellite values; variance falls by</w:t>
      </w:r>
      <w:r>
        <w:t xml:space="preserve"> </w:t>
      </w:r>
      <m:oMath>
        <m:d>
          <m:dPr>
            <m:begChr m:val="("/>
            <m:endChr m:val=")"/>
            <m:sepChr m:val=""/>
            <m:grow/>
          </m:dPr>
          <m:e>
            <m:r>
              <m:t>1</m:t>
            </m:r>
            <m:r>
              <m:rPr>
                <m:sty m:val="p"/>
              </m:rPr>
              <m:t>−</m:t>
            </m:r>
            <m:sSup>
              <m:e>
                <m:r>
                  <m:t>ρ</m:t>
                </m:r>
              </m:e>
              <m:sup>
                <m:r>
                  <m:t>2</m:t>
                </m:r>
              </m:sup>
            </m:sSup>
          </m:e>
        </m:d>
      </m:oMath>
      <w:r>
        <w:t xml:space="preserve">.</w:t>
      </w:r>
    </w:p>
    <w:p>
      <w:pPr>
        <w:pStyle w:val="BodyText"/>
      </w:pPr>
      <w:r>
        <w:rPr>
          <w:bCs/>
          <w:b/>
        </w:rPr>
        <w:t xml:space="preserve">Q. What is Neyman allocation?</w:t>
      </w:r>
      <w:r>
        <w:t xml:space="preserve"> </w:t>
      </w:r>
      <w:r>
        <w:t xml:space="preserve">Stratum sample sizes proportional to</w:t>
      </w:r>
      <w:r>
        <w:t xml:space="preserve"> </w:t>
      </w:r>
      <m:oMath>
        <m:sSub>
          <m:e>
            <m:r>
              <m:t>N</m:t>
            </m:r>
          </m:e>
          <m:sub>
            <m:r>
              <m:t>h</m:t>
            </m:r>
          </m:sub>
        </m:sSub>
        <m:sSub>
          <m:e>
            <m:r>
              <m:t>S</m:t>
            </m:r>
          </m:e>
          <m:sub>
            <m:r>
              <m:t>h</m:t>
            </m:r>
          </m:sub>
        </m:sSub>
      </m:oMath>
      <w:r>
        <w:t xml:space="preserve"> </w:t>
      </w:r>
      <w:r>
        <w:t xml:space="preserve">— optimal for fixed total n and equal costs.</w:t>
      </w:r>
    </w:p>
    <w:p>
      <w:pPr>
        <w:pStyle w:val="BodyText"/>
      </w:pPr>
      <w:r>
        <w:rPr>
          <w:bCs/>
          <w:b/>
        </w:rPr>
        <w:t xml:space="preserve">Q. How is sample size for accuracy assessment calculated?</w:t>
      </w:r>
      <w:r>
        <w:t xml:space="preserve"> </w:t>
      </w:r>
      <m:oMath>
        <m:r>
          <m:t>n</m:t>
        </m:r>
        <m:r>
          <m:rPr>
            <m:sty m:val="p"/>
          </m:rPr>
          <m:t>=</m:t>
        </m:r>
        <m:sSup>
          <m:e>
            <m:r>
              <m:t>z</m:t>
            </m:r>
          </m:e>
          <m:sup>
            <m:r>
              <m:t>2</m:t>
            </m:r>
          </m:sup>
        </m:sSup>
        <m:r>
          <m:t>p</m:t>
        </m:r>
        <m:d>
          <m:dPr>
            <m:begChr m:val="("/>
            <m:endChr m:val=")"/>
            <m:sepChr m:val=""/>
            <m:grow/>
          </m:dPr>
          <m:e>
            <m:r>
              <m:t>1</m:t>
            </m:r>
            <m:r>
              <m:rPr>
                <m:sty m:val="p"/>
              </m:rPr>
              <m:t>−</m:t>
            </m:r>
            <m:r>
              <m:t>p</m:t>
            </m:r>
          </m:e>
        </m:d>
        <m:r>
          <m:rPr>
            <m:sty m:val="p"/>
          </m:rPr>
          <m:t>/</m:t>
        </m:r>
        <m:sSup>
          <m:e>
            <m:r>
              <m:t>d</m:t>
            </m:r>
          </m:e>
          <m:sup>
            <m:r>
              <m:t>2</m:t>
            </m:r>
          </m:sup>
        </m:sSup>
      </m:oMath>
      <w:r>
        <w:t xml:space="preserve"> </w:t>
      </w:r>
      <w:r>
        <w:t xml:space="preserve">(binomial), with ≥ 50 points per class in stratified random sampling.</w:t>
      </w:r>
    </w:p>
    <w:p>
      <w:pPr>
        <w:pStyle w:val="BodyText"/>
      </w:pPr>
      <w:r>
        <w:rPr>
          <w:bCs/>
          <w:b/>
        </w:rPr>
        <w:t xml:space="preserve">Q. Distinguish sampling and non-sampling errors.</w:t>
      </w:r>
      <w:r>
        <w:t xml:space="preserve"> </w:t>
      </w:r>
      <w:r>
        <w:t xml:space="preserve">Sampling error arises from observing a part and falls with n; non-sampling errors (frame, measurement, non-response) arise in any survey and need procedural control.</w:t>
      </w:r>
    </w:p>
    <w:p>
      <w:pPr>
        <w:pStyle w:val="BodyText"/>
      </w:pPr>
      <w:r>
        <w:rPr>
          <w:bCs/>
          <w:b/>
        </w:rPr>
        <w:t xml:space="preserve">Q. How are crop yields officially estimated in India?</w:t>
      </w:r>
      <w:r>
        <w:t xml:space="preserve"> </w:t>
      </w:r>
      <w:r>
        <w:t xml:space="preserve">Through General Crop Estimation Surveys: stratified multistage random sampling with crop cutting experiments on randomly located plots; RS now supports CCE planning and yield estimation.</w:t>
      </w:r>
    </w:p>
    <w:p>
      <w:pPr>
        <w:pStyle w:val="Heading2"/>
      </w:pPr>
      <w:r>
        <w:t xml:space="preserve">51.6 Probability Sampling Designs Used in Agricultural Statistics</w:t>
      </w:r>
    </w:p>
    <w:p>
      <w:pPr>
        <w:pStyle w:val="FirstParagraph"/>
      </w:pPr>
      <w:r>
        <w:t xml:space="preserve">The sample-segment crop-area estimation approach and the Crop Cutting Experiment network both rest on formal probability-sampling theory, worth being able to name and distinguish precisely.</w:t>
      </w:r>
    </w:p>
    <w:p>
      <w:pPr>
        <w:pStyle w:val="BodyText"/>
      </w:pPr>
      <w:r>
        <w:rPr>
          <w:bCs/>
          <w:b/>
        </w:rPr>
        <w:t xml:space="preserve">Simple Random Sampling (SRS):</w:t>
      </w:r>
      <w:r>
        <w:t xml:space="preserve"> </w:t>
      </w:r>
      <w:r>
        <w:t xml:space="preserve">every unit in the population (e.g., every field, every village) has an equal, independent probability of selection; the simplest design, but can be statistically inefficient (higher variance for a given sample size) when the population is heterogeneous, since pure chance may under- or over-represent important sub-groups.</w:t>
      </w:r>
    </w:p>
    <w:p>
      <w:pPr>
        <w:pStyle w:val="BodyText"/>
      </w:pPr>
      <w:r>
        <w:rPr>
          <w:bCs/>
          <w:b/>
        </w:rPr>
        <w:t xml:space="preserve">Stratified Random Sampling:</w:t>
      </w:r>
      <w:r>
        <w:t xml:space="preserve"> </w:t>
      </w:r>
      <w:r>
        <w:t xml:space="preserve">the population is first divided into relatively homogeneous sub-groups (strata) — e.g., agro-climatic zone, irrigation status, or cropping-pattern class — and independent random samples are drawn within each stratum; because within-stratum variance is smaller than overall population variance (by design, since strata are chosen to be internally homogeneous), the overall estimate’s variance is reduced relative to SRS of the same total sample size — the design logic underlying FASAL’s district/agro-climatic-zone-stratified sample-segment network and CCE plot allocation.</w:t>
      </w:r>
    </w:p>
    <w:p>
      <w:pPr>
        <w:pStyle w:val="BodyText"/>
      </w:pPr>
      <w:r>
        <w:rPr>
          <w:bCs/>
          <w:b/>
        </w:rPr>
        <w:t xml:space="preserve">Systematic Sampling:</w:t>
      </w:r>
      <w:r>
        <w:t xml:space="preserve"> </w:t>
      </w:r>
      <w:r>
        <w:t xml:space="preserve">units are selected at fixed, regular intervals from an ordered list or a regular spatial grid (e.g., every k-th field, or sample points on a fixed grid spacing) after a random start; operationally simple and often statistically efficient for spatially/sequentially correlated variables, but can produce biased estimates if the population has a periodic pattern coinciding with the sampling interval (a classical pitfall to be aware of).</w:t>
      </w:r>
    </w:p>
    <w:p>
      <w:pPr>
        <w:pStyle w:val="BodyText"/>
      </w:pPr>
      <w:r>
        <w:rPr>
          <w:bCs/>
          <w:b/>
        </w:rPr>
        <w:t xml:space="preserve">Multi-stage (cluster) sampling:</w:t>
      </w:r>
      <w:r>
        <w:t xml:space="preserve"> </w:t>
      </w:r>
      <w:r>
        <w:t xml:space="preserve">sampling proceeds in stages — e.g., first randomly selecting a sample of villages (primary sampling units), then randomly selecting a sample of fields within each selected village (secondary sampling units) — reducing field-survey logistical cost (enumerators need only visit a limited number of clusters, not scatter across the entire study area) at some efficiency cost relative to a fully randomised single-stage design; the design logic behind the practical fieldwork structure of the CCE programme and most large-scale agricultural household/holding surveys.</w:t>
      </w:r>
    </w:p>
    <w:p>
      <w:pPr>
        <w:pStyle w:val="BodyText"/>
      </w:pPr>
      <w:r>
        <w:rPr>
          <w:bCs/>
          <w:b/>
        </w:rPr>
        <w:t xml:space="preserve">Probability Proportional to Size (PPS) sampling:</w:t>
      </w:r>
      <w:r>
        <w:t xml:space="preserve"> </w:t>
      </w:r>
      <w:r>
        <w:t xml:space="preserve">units are selected with probability proportional to a known size measure (e.g., a village’s cropped area) rather than with equal probability — ensuring that larger/more consequential units are proportionally more likely to be sampled, improving efficiency when the target variable (e.g., total production) scales with the size measure.</w:t>
      </w:r>
    </w:p>
    <w:p>
      <w:pPr>
        <w:pStyle w:val="Heading2"/>
      </w:pPr>
      <w:r>
        <w:t xml:space="preserve">51.7 Sampling Error and Confidence Intervals</w:t>
      </w:r>
    </w:p>
    <w:p>
      <w:pPr>
        <w:pStyle w:val="FirstParagraph"/>
      </w:pPr>
      <w:r>
        <w:t xml:space="preserve">For an estimate based on a sample of size n with sample standard deviation s, the</w:t>
      </w:r>
      <w:r>
        <w:t xml:space="preserve"> </w:t>
      </w:r>
      <w:r>
        <w:rPr>
          <w:bCs/>
          <w:b/>
        </w:rPr>
        <w:t xml:space="preserve">standard error</w:t>
      </w:r>
      <w:r>
        <w:t xml:space="preserve"> </w:t>
      </w:r>
      <w:r>
        <w:t xml:space="preserve">is SE = s/√n (for SRS; more complex formulae apply for stratified/multi-stage designs, generally involving a design effect that adjusts for the departure from simple random sampling), and an approximate 95 percent confidence interval for the population mean is estimate ± 1.96×SE (for a sufficiently large n, invoking the Central Limit Theorem) — the standard basis for reporting the precision of a district-level crop-area or yield estimate, and directly comparable to the kriging-variance-based uncertainty measure introduced in the relevant chapter, both ultimately serving the same purpose of quantifying confidence in a spatial/statistical estimate.</w:t>
      </w:r>
    </w:p>
    <w:p>
      <w:pPr>
        <w:pStyle w:val="Heading1"/>
      </w:pPr>
      <w:r>
        <w:t xml:space="preserve">Chapter 52. Design of Experiments, ANOVA and Testing of Hypothesis</w:t>
      </w:r>
    </w:p>
    <w:p>
      <w:pPr>
        <w:pStyle w:val="Heading2"/>
      </w:pPr>
      <w:r>
        <w:t xml:space="preserve">52.1 Testing of Hypothesis</w:t>
      </w:r>
    </w:p>
    <w:p>
      <w:pPr>
        <w:pStyle w:val="Heading3"/>
      </w:pPr>
      <w:r>
        <w:t xml:space="preserve">52.1.1 Key terms</w:t>
      </w:r>
    </w:p>
    <w:p>
      <w:pPr>
        <w:pStyle w:val="Compact"/>
        <w:numPr>
          <w:ilvl w:val="0"/>
          <w:numId w:val="1393"/>
        </w:numPr>
      </w:pPr>
      <w:r>
        <w:rPr>
          <w:bCs/>
          <w:b/>
        </w:rPr>
        <w:t xml:space="preserve">Null hypothesis H₀</w:t>
      </w:r>
      <w:r>
        <w:t xml:space="preserve"> </w:t>
      </w:r>
      <w:r>
        <w:t xml:space="preserve">— no difference/no effect (μ₁ = μ₂);</w:t>
      </w:r>
      <w:r>
        <w:t xml:space="preserve"> </w:t>
      </w:r>
      <w:r>
        <w:rPr>
          <w:bCs/>
          <w:b/>
        </w:rPr>
        <w:t xml:space="preserve">alternative H₁</w:t>
      </w:r>
      <w:r>
        <w:t xml:space="preserve"> </w:t>
      </w:r>
      <w:r>
        <w:t xml:space="preserve">— difference exists (two-tailed μ₁ ≠ μ₂, or one-tailed μ₁ &gt; μ₂).</w:t>
      </w:r>
    </w:p>
    <w:p>
      <w:pPr>
        <w:pStyle w:val="Compact"/>
        <w:numPr>
          <w:ilvl w:val="0"/>
          <w:numId w:val="1393"/>
        </w:numPr>
      </w:pPr>
      <w:r>
        <w:rPr>
          <w:bCs/>
          <w:b/>
        </w:rPr>
        <w:t xml:space="preserve">Test statistic</w:t>
      </w:r>
      <w:r>
        <w:t xml:space="preserve"> </w:t>
      </w:r>
      <w:r>
        <w:t xml:space="preserve">— computed from sample, with known distribution under H₀ (z, t, F, χ²).</w:t>
      </w:r>
    </w:p>
    <w:p>
      <w:pPr>
        <w:pStyle w:val="Compact"/>
        <w:numPr>
          <w:ilvl w:val="0"/>
          <w:numId w:val="1393"/>
        </w:numPr>
      </w:pPr>
      <w:r>
        <w:rPr>
          <w:bCs/>
          <w:b/>
        </w:rPr>
        <w:t xml:space="preserve">Level of significance α</w:t>
      </w:r>
      <w:r>
        <w:t xml:space="preserve"> </w:t>
      </w:r>
      <w:r>
        <w:t xml:space="preserve">— probability of rejecting a true H₀ (usually 5% or 1%);</w:t>
      </w:r>
      <w:r>
        <w:t xml:space="preserve"> </w:t>
      </w:r>
      <w:r>
        <w:rPr>
          <w:bCs/>
          <w:b/>
        </w:rPr>
        <w:t xml:space="preserve">critical region</w:t>
      </w:r>
      <w:r>
        <w:t xml:space="preserve"> </w:t>
      </w:r>
      <w:r>
        <w:t xml:space="preserve">— values of the statistic leading to rejection;</w:t>
      </w:r>
      <w:r>
        <w:t xml:space="preserve"> </w:t>
      </w:r>
      <w:r>
        <w:rPr>
          <w:bCs/>
          <w:b/>
        </w:rPr>
        <w:t xml:space="preserve">confidence level</w:t>
      </w:r>
      <w:r>
        <w:t xml:space="preserve"> </w:t>
      </w:r>
      <w:r>
        <w:t xml:space="preserve">= 1 − α.</w:t>
      </w:r>
    </w:p>
    <w:p>
      <w:pPr>
        <w:pStyle w:val="Compact"/>
        <w:numPr>
          <w:ilvl w:val="0"/>
          <w:numId w:val="1393"/>
        </w:numPr>
      </w:pPr>
      <w:r>
        <w:rPr>
          <w:bCs/>
          <w:b/>
        </w:rPr>
        <w:t xml:space="preserve">p-value</w:t>
      </w:r>
      <w:r>
        <w:t xml:space="preserve"> </w:t>
      </w:r>
      <w:r>
        <w:t xml:space="preserve">— probability, if H₀ is true, of obtaining a statistic at least as extreme as observed. Reject H₀ if p ≤ α. A small p does</w:t>
      </w:r>
      <w:r>
        <w:t xml:space="preserve"> </w:t>
      </w:r>
      <w:r>
        <w:rPr>
          <w:bCs/>
          <w:b/>
        </w:rPr>
        <w:t xml:space="preserve">not</w:t>
      </w:r>
      <w:r>
        <w:t xml:space="preserve"> </w:t>
      </w:r>
      <w:r>
        <w:t xml:space="preserve">measure effect size or practical importance.</w:t>
      </w:r>
    </w:p>
    <w:p>
      <w:pPr>
        <w:pStyle w:val="Compact"/>
        <w:numPr>
          <w:ilvl w:val="0"/>
          <w:numId w:val="1393"/>
        </w:numPr>
      </w:pPr>
      <w:r>
        <w:rPr>
          <w:bCs/>
          <w:b/>
        </w:rPr>
        <w:t xml:space="preserve">Degrees of freedom</w:t>
      </w:r>
      <w:r>
        <w:t xml:space="preserve"> </w:t>
      </w:r>
      <w:r>
        <w:t xml:space="preserve">— number of independent observations free to vary after estimating parameters.</w:t>
      </w:r>
    </w:p>
    <w:p>
      <w:pPr>
        <w:pStyle w:val="Heading3"/>
      </w:pPr>
      <w:r>
        <w:t xml:space="preserve">52.1.2 Type I and Type II errors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Decision</w:t>
            </w:r>
          </w:p>
        </w:tc>
        <w:tc>
          <w:tcPr/>
          <w:p>
            <w:pPr>
              <w:pStyle w:val="Compact"/>
              <w:jc w:val="left"/>
            </w:pPr>
            <w:r>
              <w:t xml:space="preserve">H₀ true</w:t>
            </w:r>
          </w:p>
        </w:tc>
        <w:tc>
          <w:tcPr/>
          <w:p>
            <w:pPr>
              <w:pStyle w:val="Compact"/>
              <w:jc w:val="left"/>
            </w:pPr>
            <w:r>
              <w:t xml:space="preserve">H₀ false</w:t>
            </w:r>
          </w:p>
        </w:tc>
      </w:tr>
      <w:tr>
        <w:tc>
          <w:tcPr/>
          <w:p>
            <w:pPr>
              <w:pStyle w:val="Compact"/>
              <w:jc w:val="left"/>
            </w:pPr>
            <w:r>
              <w:rPr>
                <w:bCs/>
                <w:b/>
              </w:rPr>
              <w:t xml:space="preserve">Reject H₀</w:t>
            </w:r>
          </w:p>
        </w:tc>
        <w:tc>
          <w:tcPr/>
          <w:p>
            <w:pPr>
              <w:pStyle w:val="Compact"/>
              <w:jc w:val="left"/>
            </w:pPr>
            <w:r>
              <w:rPr>
                <w:bCs/>
                <w:b/>
              </w:rPr>
              <w:t xml:space="preserve">Type I error</w:t>
            </w:r>
            <w:r>
              <w:t xml:space="preserve"> </w:t>
            </w:r>
            <w:r>
              <w:t xml:space="preserve">(α, false positive — e.g., declaring a fertiliser effective when it is not; false drought alarm)</w:t>
            </w:r>
          </w:p>
        </w:tc>
        <w:tc>
          <w:tcPr/>
          <w:p>
            <w:pPr>
              <w:pStyle w:val="Compact"/>
              <w:jc w:val="left"/>
            </w:pPr>
            <w:r>
              <w:t xml:space="preserve">Correct (power = 1 − β)</w:t>
            </w:r>
          </w:p>
        </w:tc>
      </w:tr>
      <w:tr>
        <w:tc>
          <w:tcPr/>
          <w:p>
            <w:pPr>
              <w:pStyle w:val="Compact"/>
              <w:jc w:val="left"/>
            </w:pPr>
            <w:r>
              <w:rPr>
                <w:bCs/>
                <w:b/>
              </w:rPr>
              <w:t xml:space="preserve">Accept H₀</w:t>
            </w:r>
          </w:p>
        </w:tc>
        <w:tc>
          <w:tcPr/>
          <w:p>
            <w:pPr>
              <w:pStyle w:val="Compact"/>
              <w:jc w:val="left"/>
            </w:pPr>
            <w:r>
              <w:t xml:space="preserve">Correct (1 − α)</w:t>
            </w:r>
          </w:p>
        </w:tc>
        <w:tc>
          <w:tcPr/>
          <w:p>
            <w:pPr>
              <w:pStyle w:val="Compact"/>
              <w:jc w:val="left"/>
            </w:pPr>
            <w:r>
              <w:rPr>
                <w:bCs/>
                <w:b/>
              </w:rPr>
              <w:t xml:space="preserve">Type II error</w:t>
            </w:r>
            <w:r>
              <w:t xml:space="preserve"> </w:t>
            </w:r>
            <w:r>
              <w:t xml:space="preserve">(β, false negative — missing a real effect; failing to warn of a real drought)</w:t>
            </w:r>
          </w:p>
        </w:tc>
      </w:tr>
    </w:tbl>
    <w:p>
      <w:pPr>
        <w:pStyle w:val="BodyText"/>
      </w:pPr>
      <w:r>
        <w:t xml:space="preserve">Reducing α increases β for fixed n; both fall only by increasing sample size/replication or reducing error variance.</w:t>
      </w:r>
      <w:r>
        <w:t xml:space="preserve"> </w:t>
      </w:r>
      <w:r>
        <w:rPr>
          <w:bCs/>
          <w:b/>
        </w:rPr>
        <w:t xml:space="preserve">Power</w:t>
      </w:r>
      <w:r>
        <w:t xml:space="preserve"> </w:t>
      </w:r>
      <w:r>
        <w:t xml:space="preserve">increases with n, effect size and α, and with lower experimental error. In classification, commission error resembles a Type I error for a class; omission resembles Type II.</w:t>
      </w:r>
    </w:p>
    <w:p>
      <w:pPr>
        <w:pStyle w:val="Heading3"/>
      </w:pPr>
      <w:r>
        <w:t xml:space="preserve">52.1.3 Steps in testing</w:t>
      </w:r>
    </w:p>
    <w:p>
      <w:pPr>
        <w:pStyle w:val="CaptionedFigure"/>
      </w:pPr>
      <w:r>
        <w:drawing>
          <wp:inline>
            <wp:extent cx="5334000" cy="2506980"/>
            <wp:effectExtent b="0" l="0" r="0" t="0"/>
            <wp:docPr descr="Steps in a test of significance" title="" id="159" name="Picture"/>
            <a:graphic>
              <a:graphicData uri="http://schemas.openxmlformats.org/drawingml/2006/picture">
                <pic:pic>
                  <pic:nvPicPr>
                    <pic:cNvPr descr="/tmp/claude-0/-home-user-sonu/ab07c29a-21cd-5a4a-9d2d-68ad72d07153/scratchpad/build/../flows/flow_034.png" id="160" name="Picture"/>
                    <pic:cNvPicPr>
                      <a:picLocks noChangeArrowheads="1" noChangeAspect="1"/>
                    </pic:cNvPicPr>
                  </pic:nvPicPr>
                  <pic:blipFill>
                    <a:blip r:embed="rId158"/>
                    <a:stretch>
                      <a:fillRect/>
                    </a:stretch>
                  </pic:blipFill>
                  <pic:spPr bwMode="auto">
                    <a:xfrm>
                      <a:off x="0" y="0"/>
                      <a:ext cx="5334000" cy="2506980"/>
                    </a:xfrm>
                    <a:prstGeom prst="rect">
                      <a:avLst/>
                    </a:prstGeom>
                    <a:noFill/>
                    <a:ln w="9525">
                      <a:noFill/>
                      <a:headEnd/>
                      <a:tailEnd/>
                    </a:ln>
                  </pic:spPr>
                </pic:pic>
              </a:graphicData>
            </a:graphic>
          </wp:inline>
        </w:drawing>
      </w:r>
    </w:p>
    <w:p>
      <w:pPr>
        <w:pStyle w:val="ImageCaption"/>
      </w:pPr>
      <w:r>
        <w:t xml:space="preserve">Steps in a test of significance</w:t>
      </w:r>
    </w:p>
    <w:p>
      <w:pPr>
        <w:pStyle w:val="Heading3"/>
      </w:pPr>
      <w:r>
        <w:t xml:space="preserve">52.1.4 Common tests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Use</w:t>
            </w:r>
          </w:p>
        </w:tc>
        <w:tc>
          <w:tcPr/>
          <w:p>
            <w:pPr>
              <w:pStyle w:val="Compact"/>
              <w:jc w:val="left"/>
            </w:pPr>
            <w:r>
              <w:t xml:space="preserve">Statistic</w:t>
            </w:r>
          </w:p>
        </w:tc>
      </w:tr>
      <w:tr>
        <w:tc>
          <w:tcPr/>
          <w:p>
            <w:pPr>
              <w:pStyle w:val="Compact"/>
              <w:jc w:val="left"/>
            </w:pPr>
            <w:r>
              <w:rPr>
                <w:bCs/>
                <w:b/>
              </w:rPr>
              <w:t xml:space="preserve">z-test</w:t>
            </w:r>
            <w:r>
              <w:t xml:space="preserve"> </w:t>
            </w:r>
            <w:r>
              <w:t xml:space="preserve">(large n ≥ 30, σ known)</w:t>
            </w:r>
          </w:p>
        </w:tc>
        <w:tc>
          <w:tcPr/>
          <w:p>
            <w:pPr>
              <w:pStyle w:val="Compact"/>
              <w:jc w:val="left"/>
            </w:pPr>
            <w:r>
              <w:t xml:space="preserve">Mean vs. hypothesised value; two means; proportions</w:t>
            </w:r>
          </w:p>
        </w:tc>
        <w:tc>
          <w:tcPr/>
          <w:p>
            <w:pPr>
              <w:pStyle w:val="Compact"/>
              <w:jc w:val="left"/>
            </w:pPr>
            <m:oMath>
              <m:r>
                <m:t>z</m:t>
              </m:r>
              <m:r>
                <m:rPr>
                  <m:sty m:val="p"/>
                </m:rPr>
                <m:t>=</m:t>
              </m:r>
              <m:f>
                <m:fPr>
                  <m:type m:val="bar"/>
                </m:fPr>
                <m:num>
                  <m:acc>
                    <m:accPr>
                      <m:chr m:val="‾"/>
                    </m:accPr>
                    <m:e>
                      <m:r>
                        <m:t>x</m:t>
                      </m:r>
                    </m:e>
                  </m:acc>
                  <m:r>
                    <m:rPr>
                      <m:sty m:val="p"/>
                    </m:rPr>
                    <m:t>−</m:t>
                  </m:r>
                  <m:r>
                    <m:t>μ</m:t>
                  </m:r>
                </m:num>
                <m:den>
                  <m:r>
                    <m:t>σ</m:t>
                  </m:r>
                  <m:r>
                    <m:rPr>
                      <m:sty m:val="p"/>
                    </m:rPr>
                    <m:t>/</m:t>
                  </m:r>
                  <m:rad>
                    <m:radPr>
                      <m:degHide m:val="on"/>
                    </m:radPr>
                    <m:deg/>
                    <m:e>
                      <m:r>
                        <m:t>n</m:t>
                      </m:r>
                    </m:e>
                  </m:rad>
                </m:den>
              </m:f>
            </m:oMath>
            <w:r>
              <w:t xml:space="preserve">;</w:t>
            </w:r>
            <w:r>
              <w:t xml:space="preserve"> </w:t>
            </w:r>
            <m:oMath>
              <m:r>
                <m:t>z</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rad>
                    <m:radPr>
                      <m:degHide m:val="on"/>
                    </m:radPr>
                    <m:deg/>
                    <m:e>
                      <m:sSubSup>
                        <m:e>
                          <m:r>
                            <m:t>σ</m:t>
                          </m:r>
                        </m:e>
                        <m:sub>
                          <m:r>
                            <m:t>1</m:t>
                          </m:r>
                        </m:sub>
                        <m:sup>
                          <m:r>
                            <m:t>2</m:t>
                          </m:r>
                        </m:sup>
                      </m:sSubSup>
                      <m:r>
                        <m:rPr>
                          <m:sty m:val="p"/>
                        </m:rPr>
                        <m:t>/</m:t>
                      </m:r>
                      <m:sSub>
                        <m:e>
                          <m:r>
                            <m:t>n</m:t>
                          </m:r>
                        </m:e>
                        <m:sub>
                          <m:r>
                            <m:t>1</m:t>
                          </m:r>
                        </m:sub>
                      </m:sSub>
                      <m:r>
                        <m:rPr>
                          <m:sty m:val="p"/>
                        </m:rPr>
                        <m:t>+</m:t>
                      </m:r>
                      <m:sSubSup>
                        <m:e>
                          <m:r>
                            <m:t>σ</m:t>
                          </m:r>
                        </m:e>
                        <m:sub>
                          <m:r>
                            <m:t>2</m:t>
                          </m:r>
                        </m:sub>
                        <m:sup>
                          <m:r>
                            <m:t>2</m:t>
                          </m:r>
                        </m:sup>
                      </m:sSubSup>
                      <m:r>
                        <m:rPr>
                          <m:sty m:val="p"/>
                        </m:rPr>
                        <m:t>/</m:t>
                      </m:r>
                      <m:sSub>
                        <m:e>
                          <m:r>
                            <m:t>n</m:t>
                          </m:r>
                        </m:e>
                        <m:sub>
                          <m:r>
                            <m:t>2</m:t>
                          </m:r>
                        </m:sub>
                      </m:sSub>
                    </m:e>
                  </m:rad>
                </m:den>
              </m:f>
            </m:oMath>
            <w:r>
              <w:t xml:space="preserve">;</w:t>
            </w:r>
            <w:r>
              <w:t xml:space="preserve"> </w:t>
            </w:r>
            <m:oMath>
              <m:r>
                <m:t>z</m:t>
              </m:r>
              <m:r>
                <m:rPr>
                  <m:sty m:val="p"/>
                </m:rPr>
                <m:t>=</m:t>
              </m:r>
              <m:f>
                <m:fPr>
                  <m:type m:val="bar"/>
                </m:fPr>
                <m:num>
                  <m:r>
                    <m:t>p</m:t>
                  </m:r>
                  <m:r>
                    <m:rPr>
                      <m:sty m:val="p"/>
                    </m:rPr>
                    <m:t>−</m:t>
                  </m:r>
                  <m:r>
                    <m:t>P</m:t>
                  </m:r>
                </m:num>
                <m:den>
                  <m:rad>
                    <m:radPr>
                      <m:degHide m:val="on"/>
                    </m:radPr>
                    <m:deg/>
                    <m:e>
                      <m:r>
                        <m:t>P</m:t>
                      </m:r>
                      <m:r>
                        <m:t>Q</m:t>
                      </m:r>
                      <m:r>
                        <m:rPr>
                          <m:sty m:val="p"/>
                        </m:rPr>
                        <m:t>/</m:t>
                      </m:r>
                      <m:r>
                        <m:t>n</m:t>
                      </m:r>
                    </m:e>
                  </m:rad>
                </m:den>
              </m:f>
            </m:oMath>
          </w:p>
        </w:tc>
      </w:tr>
      <w:tr>
        <w:tc>
          <w:tcPr/>
          <w:p>
            <w:pPr>
              <w:pStyle w:val="Compact"/>
              <w:jc w:val="left"/>
            </w:pPr>
            <w:r>
              <w:rPr>
                <w:bCs/>
                <w:b/>
              </w:rPr>
              <w:t xml:space="preserve">One-sample t</w:t>
            </w:r>
          </w:p>
        </w:tc>
        <w:tc>
          <w:tcPr/>
          <w:p>
            <w:pPr>
              <w:pStyle w:val="Compact"/>
              <w:jc w:val="left"/>
            </w:pPr>
            <w:r>
              <w:t xml:space="preserve">Small sample mean vs. μ</w:t>
            </w:r>
          </w:p>
        </w:tc>
        <w:tc>
          <w:tcPr/>
          <w:p>
            <w:pPr>
              <w:pStyle w:val="Compact"/>
              <w:jc w:val="left"/>
            </w:pPr>
            <m:oMath>
              <m:r>
                <m:t>t</m:t>
              </m:r>
              <m:r>
                <m:rPr>
                  <m:sty m:val="p"/>
                </m:rPr>
                <m:t>=</m:t>
              </m:r>
              <m:f>
                <m:fPr>
                  <m:type m:val="bar"/>
                </m:fPr>
                <m:num>
                  <m:acc>
                    <m:accPr>
                      <m:chr m:val="‾"/>
                    </m:accPr>
                    <m:e>
                      <m:r>
                        <m:t>x</m:t>
                      </m:r>
                    </m:e>
                  </m:acc>
                  <m:r>
                    <m:rPr>
                      <m:sty m:val="p"/>
                    </m:rPr>
                    <m:t>−</m:t>
                  </m:r>
                  <m:r>
                    <m:t>μ</m:t>
                  </m:r>
                </m:num>
                <m:den>
                  <m:r>
                    <m:t>s</m:t>
                  </m:r>
                  <m:r>
                    <m:rPr>
                      <m:sty m:val="p"/>
                    </m:rPr>
                    <m:t>/</m:t>
                  </m:r>
                  <m:rad>
                    <m:radPr>
                      <m:degHide m:val="on"/>
                    </m:radPr>
                    <m:deg/>
                    <m:e>
                      <m:r>
                        <m:t>n</m:t>
                      </m:r>
                    </m:e>
                  </m:rad>
                </m:den>
              </m:f>
            </m:oMath>
            <w:r>
              <w:t xml:space="preserve">, df = n − 1</w:t>
            </w:r>
          </w:p>
        </w:tc>
      </w:tr>
      <w:tr>
        <w:tc>
          <w:tcPr/>
          <w:p>
            <w:pPr>
              <w:pStyle w:val="Compact"/>
              <w:jc w:val="left"/>
            </w:pPr>
            <w:r>
              <w:rPr>
                <w:bCs/>
                <w:b/>
              </w:rPr>
              <w:t xml:space="preserve">Two independent samples t</w:t>
            </w:r>
            <w:r>
              <w:t xml:space="preserve"> </w:t>
            </w:r>
            <w:r>
              <w:t xml:space="preserve">(equal variance)</w:t>
            </w:r>
          </w:p>
        </w:tc>
        <w:tc>
          <w:tcPr/>
          <w:p>
            <w:pPr>
              <w:pStyle w:val="Compact"/>
              <w:jc w:val="left"/>
            </w:pPr>
            <w:r>
              <w:t xml:space="preserve">Two varieties’ yields</w:t>
            </w:r>
          </w:p>
        </w:tc>
        <w:tc>
          <w:tcPr/>
          <w:p>
            <w:pPr>
              <w:pStyle w:val="Compact"/>
              <w:jc w:val="left"/>
            </w:p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sSub>
                    <m:e>
                      <m:r>
                        <m:t>s</m:t>
                      </m:r>
                    </m:e>
                    <m:sub>
                      <m:r>
                        <m:t>p</m:t>
                      </m:r>
                    </m:sub>
                  </m:sSub>
                  <m:rad>
                    <m:radPr>
                      <m:degHide m:val="on"/>
                    </m:radPr>
                    <m:deg/>
                    <m:e>
                      <m:r>
                        <m:t>1</m:t>
                      </m:r>
                      <m:r>
                        <m:rPr>
                          <m:sty m:val="p"/>
                        </m:rPr>
                        <m:t>/</m:t>
                      </m:r>
                      <m:sSub>
                        <m:e>
                          <m:r>
                            <m:t>n</m:t>
                          </m:r>
                        </m:e>
                        <m:sub>
                          <m:r>
                            <m:t>1</m:t>
                          </m:r>
                        </m:sub>
                      </m:sSub>
                      <m:r>
                        <m:rPr>
                          <m:sty m:val="p"/>
                        </m:rPr>
                        <m:t>+</m:t>
                      </m:r>
                      <m:r>
                        <m:t>1</m:t>
                      </m:r>
                      <m:r>
                        <m:rPr>
                          <m:sty m:val="p"/>
                        </m:rPr>
                        <m:t>/</m:t>
                      </m:r>
                      <m:sSub>
                        <m:e>
                          <m:r>
                            <m:t>n</m:t>
                          </m:r>
                        </m:e>
                        <m:sub>
                          <m:r>
                            <m:t>2</m:t>
                          </m:r>
                        </m:sub>
                      </m:sSub>
                    </m:e>
                  </m:rad>
                </m:den>
              </m:f>
            </m:oMath>
            <w:r>
              <w:t xml:space="preserve">,</w:t>
            </w:r>
            <w:r>
              <w:t xml:space="preserve"> </w:t>
            </w:r>
            <m:oMath>
              <m:sSubSup>
                <m:e>
                  <m:r>
                    <m:t>s</m:t>
                  </m:r>
                </m:e>
                <m:sub>
                  <m:r>
                    <m:t>p</m:t>
                  </m:r>
                </m:sub>
                <m:sup>
                  <m:r>
                    <m:t>2</m:t>
                  </m:r>
                </m:sup>
              </m:sSubSup>
              <m:r>
                <m:rPr>
                  <m:sty m:val="p"/>
                </m:rPr>
                <m:t>=</m:t>
              </m:r>
              <m:f>
                <m:fPr>
                  <m:type m:val="bar"/>
                </m:fPr>
                <m:num>
                  <m:d>
                    <m:dPr>
                      <m:begChr m:val="("/>
                      <m:endChr m:val=")"/>
                      <m:sepChr m:val=""/>
                      <m:grow/>
                    </m:dPr>
                    <m:e>
                      <m:sSub>
                        <m:e>
                          <m:r>
                            <m:t>n</m:t>
                          </m:r>
                        </m:e>
                        <m:sub>
                          <m:r>
                            <m:t>1</m:t>
                          </m:r>
                        </m:sub>
                      </m:sSub>
                      <m:r>
                        <m:rPr>
                          <m:sty m:val="p"/>
                        </m:rPr>
                        <m:t>−</m:t>
                      </m:r>
                      <m:r>
                        <m:t>1</m:t>
                      </m:r>
                    </m:e>
                  </m:d>
                  <m:sSubSup>
                    <m:e>
                      <m:r>
                        <m:t>s</m:t>
                      </m:r>
                    </m:e>
                    <m:sub>
                      <m:r>
                        <m:t>1</m:t>
                      </m:r>
                    </m:sub>
                    <m:sup>
                      <m:r>
                        <m:t>2</m:t>
                      </m:r>
                    </m:sup>
                  </m:sSubSup>
                  <m:r>
                    <m:rPr>
                      <m:sty m:val="p"/>
                    </m:rPr>
                    <m:t>+</m:t>
                  </m:r>
                  <m:d>
                    <m:dPr>
                      <m:begChr m:val="("/>
                      <m:endChr m:val=")"/>
                      <m:sepChr m:val=""/>
                      <m:grow/>
                    </m:dPr>
                    <m:e>
                      <m:sSub>
                        <m:e>
                          <m:r>
                            <m:t>n</m:t>
                          </m:r>
                        </m:e>
                        <m:sub>
                          <m:r>
                            <m:t>2</m:t>
                          </m:r>
                        </m:sub>
                      </m:sSub>
                      <m:r>
                        <m:rPr>
                          <m:sty m:val="p"/>
                        </m:rPr>
                        <m:t>−</m:t>
                      </m:r>
                      <m:r>
                        <m:t>1</m:t>
                      </m:r>
                    </m:e>
                  </m:d>
                  <m:sSubSup>
                    <m:e>
                      <m:r>
                        <m:t>s</m:t>
                      </m:r>
                    </m:e>
                    <m:sub>
                      <m:r>
                        <m:t>2</m:t>
                      </m:r>
                    </m:sub>
                    <m:sup>
                      <m:r>
                        <m:t>2</m:t>
                      </m:r>
                    </m:sup>
                  </m:sSubSup>
                </m:num>
                <m:den>
                  <m:sSub>
                    <m:e>
                      <m:r>
                        <m:t>n</m:t>
                      </m:r>
                    </m:e>
                    <m:sub>
                      <m:r>
                        <m:t>1</m:t>
                      </m:r>
                    </m:sub>
                  </m:sSub>
                  <m:r>
                    <m:rPr>
                      <m:sty m:val="p"/>
                    </m:rPr>
                    <m:t>+</m:t>
                  </m:r>
                  <m:sSub>
                    <m:e>
                      <m:r>
                        <m:t>n</m:t>
                      </m:r>
                    </m:e>
                    <m:sub>
                      <m:r>
                        <m:t>2</m:t>
                      </m:r>
                    </m:sub>
                  </m:sSub>
                  <m:r>
                    <m:rPr>
                      <m:sty m:val="p"/>
                    </m:rPr>
                    <m:t>−</m:t>
                  </m:r>
                  <m:r>
                    <m:t>2</m:t>
                  </m:r>
                </m:den>
              </m:f>
            </m:oMath>
            <w:r>
              <w:t xml:space="preserve">, df = n₁ + n₂ − 2</w:t>
            </w:r>
          </w:p>
        </w:tc>
      </w:tr>
      <w:tr>
        <w:tc>
          <w:tcPr/>
          <w:p>
            <w:pPr>
              <w:pStyle w:val="Compact"/>
              <w:jc w:val="left"/>
            </w:pPr>
            <w:r>
              <w:rPr>
                <w:bCs/>
                <w:b/>
              </w:rPr>
              <w:t xml:space="preserve">Paired t</w:t>
            </w:r>
          </w:p>
        </w:tc>
        <w:tc>
          <w:tcPr/>
          <w:p>
            <w:pPr>
              <w:pStyle w:val="Compact"/>
              <w:jc w:val="left"/>
            </w:pPr>
            <w:r>
              <w:t xml:space="preserve">Before/after on same units (yield with and without treatment on same farms; satellite vs. ground on same fields)</w:t>
            </w:r>
          </w:p>
        </w:tc>
        <w:tc>
          <w:tcPr/>
          <w:p>
            <w:pPr>
              <w:pStyle w:val="Compact"/>
              <w:jc w:val="left"/>
            </w:pPr>
            <m:oMath>
              <m:r>
                <m:t>t</m:t>
              </m:r>
              <m:r>
                <m:rPr>
                  <m:sty m:val="p"/>
                </m:rPr>
                <m:t>=</m:t>
              </m:r>
              <m:f>
                <m:fPr>
                  <m:type m:val="bar"/>
                </m:fPr>
                <m:num>
                  <m:acc>
                    <m:accPr>
                      <m:chr m:val="‾"/>
                    </m:accPr>
                    <m:e>
                      <m:r>
                        <m:t>d</m:t>
                      </m:r>
                    </m:e>
                  </m:acc>
                </m:num>
                <m:den>
                  <m:sSub>
                    <m:e>
                      <m:r>
                        <m:t>s</m:t>
                      </m:r>
                    </m:e>
                    <m:sub>
                      <m:r>
                        <m:t>d</m:t>
                      </m:r>
                    </m:sub>
                  </m:sSub>
                  <m:r>
                    <m:rPr>
                      <m:sty m:val="p"/>
                    </m:rPr>
                    <m:t>/</m:t>
                  </m:r>
                  <m:rad>
                    <m:radPr>
                      <m:degHide m:val="on"/>
                    </m:radPr>
                    <m:deg/>
                    <m:e>
                      <m:r>
                        <m:t>n</m:t>
                      </m:r>
                    </m:e>
                  </m:rad>
                </m:den>
              </m:f>
            </m:oMath>
            <w:r>
              <w:t xml:space="preserve">, df = n − 1</w:t>
            </w:r>
          </w:p>
        </w:tc>
      </w:tr>
      <w:tr>
        <w:tc>
          <w:tcPr/>
          <w:p>
            <w:pPr>
              <w:pStyle w:val="Compact"/>
              <w:jc w:val="left"/>
            </w:pPr>
            <w:r>
              <w:rPr>
                <w:bCs/>
                <w:b/>
              </w:rPr>
              <w:t xml:space="preserve">F-test</w:t>
            </w:r>
          </w:p>
        </w:tc>
        <w:tc>
          <w:tcPr/>
          <w:p>
            <w:pPr>
              <w:pStyle w:val="Compact"/>
              <w:jc w:val="left"/>
            </w:pPr>
            <w:r>
              <w:t xml:space="preserve">Equality of two variances; ANOVA</w:t>
            </w:r>
          </w:p>
        </w:tc>
        <w:tc>
          <w:tcPr/>
          <w:p>
            <w:pPr>
              <w:pStyle w:val="Compact"/>
              <w:jc w:val="left"/>
            </w:pPr>
            <m:oMath>
              <m:r>
                <m:t>F</m:t>
              </m:r>
              <m:r>
                <m:rPr>
                  <m:sty m:val="p"/>
                </m:rPr>
                <m:t>=</m:t>
              </m:r>
              <m:sSubSup>
                <m:e>
                  <m:r>
                    <m:t>s</m:t>
                  </m:r>
                </m:e>
                <m:sub>
                  <m:r>
                    <m:t>1</m:t>
                  </m:r>
                </m:sub>
                <m:sup>
                  <m:r>
                    <m:t>2</m:t>
                  </m:r>
                </m:sup>
              </m:sSubSup>
              <m:r>
                <m:rPr>
                  <m:sty m:val="p"/>
                </m:rPr>
                <m:t>/</m:t>
              </m:r>
              <m:sSubSup>
                <m:e>
                  <m:r>
                    <m:t>s</m:t>
                  </m:r>
                </m:e>
                <m:sub>
                  <m:r>
                    <m:t>2</m:t>
                  </m:r>
                </m:sub>
                <m:sup>
                  <m:r>
                    <m:t>2</m:t>
                  </m:r>
                </m:sup>
              </m:sSubSup>
            </m:oMath>
            <w:r>
              <w:t xml:space="preserve"> </w:t>
            </w:r>
            <w:r>
              <w:t xml:space="preserve">(larger on top)</w:t>
            </w:r>
          </w:p>
        </w:tc>
      </w:tr>
      <w:tr>
        <w:tc>
          <w:tcPr/>
          <w:p>
            <w:pPr>
              <w:pStyle w:val="Compact"/>
              <w:jc w:val="left"/>
            </w:pPr>
            <w:r>
              <w:rPr>
                <w:bCs/>
                <w:b/>
              </w:rPr>
              <w:t xml:space="preserve">χ² goodness of fit</w:t>
            </w:r>
          </w:p>
        </w:tc>
        <w:tc>
          <w:tcPr/>
          <w:p>
            <w:pPr>
              <w:pStyle w:val="Compact"/>
              <w:jc w:val="left"/>
            </w:pPr>
            <w:r>
              <w:t xml:space="preserve">Observed vs. expected frequencies (Mendelian ratios; fitting distributions to rainfall)</w:t>
            </w:r>
          </w:p>
        </w:tc>
        <w:tc>
          <w:tcPr/>
          <w:p>
            <w:pPr>
              <w:pStyle w:val="Compact"/>
              <w:jc w:val="left"/>
            </w:pPr>
            <m:oMath>
              <m:sSup>
                <m:e>
                  <m:r>
                    <m:t>χ</m:t>
                  </m:r>
                </m:e>
                <m:sup>
                  <m:r>
                    <m:t>2</m:t>
                  </m:r>
                </m:sup>
              </m:sSup>
              <m:r>
                <m:rPr>
                  <m:sty m:val="p"/>
                </m:rPr>
                <m:t>=</m:t>
              </m:r>
              <m:r>
                <m:rPr>
                  <m:sty m:val="p"/>
                </m:rPr>
                <m:t>∑</m:t>
              </m:r>
              <m:f>
                <m:fPr>
                  <m:type m:val="bar"/>
                </m:fPr>
                <m:num>
                  <m:sSup>
                    <m:e>
                      <m:d>
                        <m:dPr>
                          <m:begChr m:val="("/>
                          <m:endChr m:val=")"/>
                          <m:sepChr m:val=""/>
                          <m:grow/>
                        </m:dPr>
                        <m:e>
                          <m:r>
                            <m:t>O</m:t>
                          </m:r>
                          <m:r>
                            <m:rPr>
                              <m:sty m:val="p"/>
                            </m:rPr>
                            <m:t>−</m:t>
                          </m:r>
                          <m:r>
                            <m:t>E</m:t>
                          </m:r>
                        </m:e>
                      </m:d>
                    </m:e>
                    <m:sup>
                      <m:r>
                        <m:t>2</m:t>
                      </m:r>
                    </m:sup>
                  </m:sSup>
                </m:num>
                <m:den>
                  <m:r>
                    <m:t>E</m:t>
                  </m:r>
                </m:den>
              </m:f>
            </m:oMath>
            <w:r>
              <w:t xml:space="preserve">, df = k − 1 − (parameters estimated)</w:t>
            </w:r>
          </w:p>
        </w:tc>
      </w:tr>
      <w:tr>
        <w:tc>
          <w:tcPr/>
          <w:p>
            <w:pPr>
              <w:pStyle w:val="Compact"/>
              <w:jc w:val="left"/>
            </w:pPr>
            <w:r>
              <w:rPr>
                <w:bCs/>
                <w:b/>
              </w:rPr>
              <w:t xml:space="preserve">χ² independence</w:t>
            </w:r>
          </w:p>
        </w:tc>
        <w:tc>
          <w:tcPr/>
          <w:p>
            <w:pPr>
              <w:pStyle w:val="Compact"/>
              <w:jc w:val="left"/>
            </w:pPr>
            <w:r>
              <w:t xml:space="preserve">Contingency tables (adoption vs. farm size)</w:t>
            </w:r>
          </w:p>
        </w:tc>
        <w:tc>
          <w:tcPr/>
          <w:p>
            <w:pPr>
              <w:pStyle w:val="Compact"/>
              <w:jc w:val="left"/>
            </w:pPr>
            <m:oMath>
              <m:r>
                <m:t>E</m:t>
              </m:r>
              <m:r>
                <m:rPr>
                  <m:sty m:val="p"/>
                </m:rPr>
                <m:t>=</m:t>
              </m:r>
              <m:f>
                <m:fPr>
                  <m:type m:val="bar"/>
                </m:fPr>
                <m:num>
                  <m:r>
                    <m:t>R</m:t>
                  </m:r>
                  <m:r>
                    <m:rPr>
                      <m:sty m:val="p"/>
                    </m:rPr>
                    <m:t>×</m:t>
                  </m:r>
                  <m:r>
                    <m:t>C</m:t>
                  </m:r>
                </m:num>
                <m:den>
                  <m:r>
                    <m:t>N</m:t>
                  </m:r>
                </m:den>
              </m:f>
            </m:oMath>
            <w:r>
              <w:t xml:space="preserve">; df = (r − 1)(c − 1)</w:t>
            </w:r>
          </w:p>
        </w:tc>
      </w:tr>
      <w:tr>
        <w:tc>
          <w:tcPr/>
          <w:p>
            <w:pPr>
              <w:pStyle w:val="Compact"/>
              <w:jc w:val="left"/>
            </w:pPr>
            <w:r>
              <w:rPr>
                <w:bCs/>
                <w:b/>
              </w:rPr>
              <w:t xml:space="preserve">Test for r</w:t>
            </w:r>
          </w:p>
        </w:tc>
        <w:tc>
          <w:tcPr/>
          <w:p>
            <w:pPr>
              <w:pStyle w:val="Compact"/>
              <w:jc w:val="left"/>
            </w:pPr>
            <w:r>
              <w:t xml:space="preserve">Significance of correlation</w:t>
            </w:r>
          </w:p>
        </w:tc>
        <w:tc>
          <w:tcPr/>
          <w:p>
            <w:pPr>
              <w:pStyle w:val="Compact"/>
              <w:jc w:val="left"/>
            </w:pPr>
            <m:oMath>
              <m:r>
                <m:t>t</m:t>
              </m:r>
              <m:r>
                <m:rPr>
                  <m:sty m:val="p"/>
                </m:rPr>
                <m:t>=</m:t>
              </m:r>
              <m:f>
                <m:fPr>
                  <m:type m:val="bar"/>
                </m:fPr>
                <m:num>
                  <m:r>
                    <m:t>r</m:t>
                  </m:r>
                  <m:rad>
                    <m:radPr>
                      <m:degHide m:val="on"/>
                    </m:radPr>
                    <m:deg/>
                    <m:e>
                      <m:r>
                        <m:t>n</m:t>
                      </m:r>
                      <m:r>
                        <m:rPr>
                          <m:sty m:val="p"/>
                        </m:rPr>
                        <m:t>−</m:t>
                      </m:r>
                      <m:r>
                        <m:t>2</m:t>
                      </m:r>
                    </m:e>
                  </m:rad>
                </m:num>
                <m:den>
                  <m:rad>
                    <m:radPr>
                      <m:degHide m:val="on"/>
                    </m:radPr>
                    <m:deg/>
                    <m:e>
                      <m:r>
                        <m:t>1</m:t>
                      </m:r>
                      <m:r>
                        <m:rPr>
                          <m:sty m:val="p"/>
                        </m:rPr>
                        <m:t>−</m:t>
                      </m:r>
                      <m:sSup>
                        <m:e>
                          <m:r>
                            <m:t>r</m:t>
                          </m:r>
                        </m:e>
                        <m:sup>
                          <m:r>
                            <m:t>2</m:t>
                          </m:r>
                        </m:sup>
                      </m:sSup>
                    </m:e>
                  </m:rad>
                </m:den>
              </m:f>
            </m:oMath>
            <w:r>
              <w:t xml:space="preserve">, df = n − 2</w:t>
            </w:r>
          </w:p>
        </w:tc>
      </w:tr>
    </w:tbl>
    <w:p>
      <w:pPr>
        <w:pStyle w:val="BodyText"/>
      </w:pPr>
      <w:r>
        <w:rPr>
          <w:bCs/>
          <w:b/>
        </w:rPr>
        <w:t xml:space="preserve">Non-parametric</w:t>
      </w:r>
      <w:r>
        <w:t xml:space="preserve"> </w:t>
      </w:r>
      <w:r>
        <w:t xml:space="preserve">alternatives (no normality assumption): Mann–Whitney U, Wilcoxon signed-rank, Kruskal–Wallis, Spearman rank correlation,</w:t>
      </w:r>
      <w:r>
        <w:t xml:space="preserve"> </w:t>
      </w:r>
      <w:r>
        <w:rPr>
          <w:bCs/>
          <w:b/>
        </w:rPr>
        <w:t xml:space="preserve">Mann–Kendall trend test</w:t>
      </w:r>
      <w:r>
        <w:t xml:space="preserve"> </w:t>
      </w:r>
      <w:r>
        <w:t xml:space="preserve">with</w:t>
      </w:r>
      <w:r>
        <w:t xml:space="preserve"> </w:t>
      </w:r>
      <w:r>
        <w:rPr>
          <w:bCs/>
          <w:b/>
        </w:rPr>
        <w:t xml:space="preserve">Sen’s slope</w:t>
      </w:r>
      <w:r>
        <w:t xml:space="preserve"> </w:t>
      </w:r>
      <w:r>
        <w:t xml:space="preserve">(widely used for rainfall/temperature/NDVI trends), sign test.</w:t>
      </w:r>
      <w:r>
        <w:t xml:space="preserve"> </w:t>
      </w:r>
      <w:r>
        <w:rPr>
          <w:bCs/>
          <w:b/>
        </w:rPr>
        <w:t xml:space="preserve">McNemar’s test</w:t>
      </w:r>
      <w:r>
        <w:t xml:space="preserve"> </w:t>
      </w:r>
      <w:r>
        <w:t xml:space="preserve">compares two classifiers on the same samples; the</w:t>
      </w:r>
      <w:r>
        <w:t xml:space="preserve"> </w:t>
      </w:r>
      <w:r>
        <w:rPr>
          <w:bCs/>
          <w:b/>
        </w:rPr>
        <w:t xml:space="preserve">kappa z-test</w:t>
      </w:r>
      <w:r>
        <w:t xml:space="preserve"> </w:t>
      </w:r>
      <w:r>
        <w:t xml:space="preserve">compares two error matrices:</w:t>
      </w:r>
      <w:r>
        <w:t xml:space="preserve"> </w:t>
      </w:r>
      <m:oMath>
        <m:r>
          <m:t>Z</m:t>
        </m:r>
        <m:r>
          <m:rPr>
            <m:sty m:val="p"/>
          </m:rPr>
          <m:t>=</m:t>
        </m:r>
        <m:f>
          <m:fPr>
            <m:type m:val="bar"/>
          </m:fPr>
          <m:num>
            <m:d>
              <m:dPr>
                <m:begChr m:val="|"/>
                <m:endChr m:val="|"/>
                <m:sepChr m:val=""/>
                <m:grow/>
              </m:dPr>
              <m:e>
                <m:sSub>
                  <m:e>
                    <m:acc>
                      <m:accPr>
                        <m:chr m:val="̂"/>
                      </m:accPr>
                      <m:e>
                        <m:r>
                          <m:t>κ</m:t>
                        </m:r>
                      </m:e>
                    </m:acc>
                  </m:e>
                  <m:sub>
                    <m:r>
                      <m:t>1</m:t>
                    </m:r>
                  </m:sub>
                </m:sSub>
                <m:r>
                  <m:rPr>
                    <m:sty m:val="p"/>
                  </m:rPr>
                  <m:t>−</m:t>
                </m:r>
                <m:sSub>
                  <m:e>
                    <m:acc>
                      <m:accPr>
                        <m:chr m:val="̂"/>
                      </m:accPr>
                      <m:e>
                        <m:r>
                          <m:t>κ</m:t>
                        </m:r>
                      </m:e>
                    </m:acc>
                  </m:e>
                  <m:sub>
                    <m:r>
                      <m:t>2</m:t>
                    </m:r>
                  </m:sub>
                </m:sSub>
              </m:e>
            </m:d>
          </m:num>
          <m:den>
            <m:rad>
              <m:radPr>
                <m:degHide m:val="on"/>
              </m:radPr>
              <m:deg/>
              <m:e>
                <m:r>
                  <m:t>v</m:t>
                </m:r>
                <m:r>
                  <m:t>a</m:t>
                </m:r>
                <m:sSub>
                  <m:e>
                    <m:r>
                      <m:t>r</m:t>
                    </m:r>
                  </m:e>
                  <m:sub>
                    <m:r>
                      <m:t>1</m:t>
                    </m:r>
                  </m:sub>
                </m:sSub>
                <m:r>
                  <m:rPr>
                    <m:sty m:val="p"/>
                  </m:rPr>
                  <m:t>+</m:t>
                </m:r>
                <m:r>
                  <m:t>v</m:t>
                </m:r>
                <m:r>
                  <m:t>a</m:t>
                </m:r>
                <m:sSub>
                  <m:e>
                    <m:r>
                      <m:t>r</m:t>
                    </m:r>
                  </m:e>
                  <m:sub>
                    <m:r>
                      <m:t>2</m:t>
                    </m:r>
                  </m:sub>
                </m:sSub>
              </m:e>
            </m:rad>
          </m:den>
        </m:f>
      </m:oMath>
      <w:r>
        <w:t xml:space="preserve">.</w:t>
      </w:r>
    </w:p>
    <w:p>
      <w:pPr>
        <w:pStyle w:val="Heading2"/>
      </w:pPr>
      <w:r>
        <w:t xml:space="preserve">52.2 Design of Experiments (DOE)</w:t>
      </w:r>
    </w:p>
    <w:p>
      <w:pPr>
        <w:pStyle w:val="Heading3"/>
      </w:pPr>
      <w:r>
        <w:t xml:space="preserve">52.2.1 Principles (R. A. Fisher, Rothamsted)</w:t>
      </w:r>
    </w:p>
    <w:p>
      <w:pPr>
        <w:pStyle w:val="Compact"/>
        <w:numPr>
          <w:ilvl w:val="0"/>
          <w:numId w:val="1394"/>
        </w:numPr>
      </w:pPr>
      <w:r>
        <w:rPr>
          <w:bCs/>
          <w:b/>
        </w:rPr>
        <w:t xml:space="preserve">Replication</w:t>
      </w:r>
      <w:r>
        <w:t xml:space="preserve"> </w:t>
      </w:r>
      <w:r>
        <w:t xml:space="preserve">— repeating treatments; estimates experimental error and increases precision (</w:t>
      </w:r>
      <m:oMath>
        <m:r>
          <m:t>S</m:t>
        </m:r>
        <m:r>
          <m:t>E</m:t>
        </m:r>
        <m:r>
          <m:rPr>
            <m:sty m:val="p"/>
          </m:rPr>
          <m:t>=</m:t>
        </m:r>
        <m:rad>
          <m:radPr>
            <m:degHide m:val="on"/>
          </m:radPr>
          <m:deg/>
          <m:e>
            <m:r>
              <m:t>2</m:t>
            </m:r>
            <m:sSup>
              <m:e>
                <m:r>
                  <m:t>s</m:t>
                </m:r>
              </m:e>
              <m:sup>
                <m:r>
                  <m:t>2</m:t>
                </m:r>
              </m:sup>
            </m:sSup>
            <m:r>
              <m:rPr>
                <m:sty m:val="p"/>
              </m:rPr>
              <m:t>/</m:t>
            </m:r>
            <m:r>
              <m:t>r</m:t>
            </m:r>
          </m:e>
        </m:rad>
      </m:oMath>
      <w:r>
        <w:t xml:space="preserve"> </w:t>
      </w:r>
      <w:r>
        <w:t xml:space="preserve">for a difference).</w:t>
      </w:r>
    </w:p>
    <w:p>
      <w:pPr>
        <w:pStyle w:val="Compact"/>
        <w:numPr>
          <w:ilvl w:val="0"/>
          <w:numId w:val="1394"/>
        </w:numPr>
      </w:pPr>
      <w:r>
        <w:rPr>
          <w:bCs/>
          <w:b/>
        </w:rPr>
        <w:t xml:space="preserve">Randomisation</w:t>
      </w:r>
      <w:r>
        <w:t xml:space="preserve"> </w:t>
      </w:r>
      <w:r>
        <w:t xml:space="preserve">— random allocation of treatments to plots; ensures unbiased estimates of error and validity of tests.</w:t>
      </w:r>
    </w:p>
    <w:p>
      <w:pPr>
        <w:pStyle w:val="Compact"/>
        <w:numPr>
          <w:ilvl w:val="0"/>
          <w:numId w:val="1394"/>
        </w:numPr>
      </w:pPr>
      <w:r>
        <w:rPr>
          <w:bCs/>
          <w:b/>
        </w:rPr>
        <w:t xml:space="preserve">Local control (blocking)</w:t>
      </w:r>
      <w:r>
        <w:t xml:space="preserve"> </w:t>
      </w:r>
      <w:r>
        <w:t xml:space="preserve">— grouping homogeneous plots into blocks to remove known variation (fertility gradient) from error.</w:t>
      </w:r>
    </w:p>
    <w:p>
      <w:pPr>
        <w:pStyle w:val="FirstParagraph"/>
      </w:pPr>
      <w:r>
        <w:t xml:space="preserve">Terms:</w:t>
      </w:r>
      <w:r>
        <w:t xml:space="preserve"> </w:t>
      </w:r>
      <w:r>
        <w:rPr>
          <w:bCs/>
          <w:b/>
        </w:rPr>
        <w:t xml:space="preserve">treatment</w:t>
      </w:r>
      <w:r>
        <w:t xml:space="preserve">,</w:t>
      </w:r>
      <w:r>
        <w:t xml:space="preserve"> </w:t>
      </w:r>
      <w:r>
        <w:rPr>
          <w:bCs/>
          <w:b/>
        </w:rPr>
        <w:t xml:space="preserve">experimental unit/plot</w:t>
      </w:r>
      <w:r>
        <w:t xml:space="preserve">,</w:t>
      </w:r>
      <w:r>
        <w:t xml:space="preserve"> </w:t>
      </w:r>
      <w:r>
        <w:rPr>
          <w:bCs/>
          <w:b/>
        </w:rPr>
        <w:t xml:space="preserve">experimental error</w:t>
      </w:r>
      <w:r>
        <w:t xml:space="preserve"> </w:t>
      </w:r>
      <w:r>
        <w:t xml:space="preserve">(uncontrolled variation),</w:t>
      </w:r>
      <w:r>
        <w:t xml:space="preserve"> </w:t>
      </w:r>
      <w:r>
        <w:rPr>
          <w:bCs/>
          <w:b/>
        </w:rPr>
        <w:t xml:space="preserve">uniformity trial</w:t>
      </w:r>
      <w:r>
        <w:t xml:space="preserve"> </w:t>
      </w:r>
      <w:r>
        <w:t xml:space="preserve">(to study soil heterogeneity, optimum plot size and shape —</w:t>
      </w:r>
      <w:r>
        <w:t xml:space="preserve"> </w:t>
      </w:r>
      <w:r>
        <w:rPr>
          <w:bCs/>
          <w:b/>
        </w:rPr>
        <w:t xml:space="preserve">Fairfield Smith’s variance law</w:t>
      </w:r>
      <w:r>
        <w:t xml:space="preserve"> </w:t>
      </w:r>
      <m:oMath>
        <m:sSub>
          <m:e>
            <m:r>
              <m:t>V</m:t>
            </m:r>
          </m:e>
          <m:sub>
            <m:r>
              <m:t>x</m:t>
            </m:r>
          </m:sub>
        </m:sSub>
        <m:r>
          <m:rPr>
            <m:sty m:val="p"/>
          </m:rPr>
          <m:t>=</m:t>
        </m:r>
        <m:sSub>
          <m:e>
            <m:r>
              <m:t>V</m:t>
            </m:r>
          </m:e>
          <m:sub>
            <m:r>
              <m:t>1</m:t>
            </m:r>
          </m:sub>
        </m:sSub>
        <m:r>
          <m:rPr>
            <m:sty m:val="p"/>
          </m:rPr>
          <m:t>/</m:t>
        </m:r>
        <m:sSup>
          <m:e>
            <m:r>
              <m:t>x</m:t>
            </m:r>
          </m:e>
          <m:sup>
            <m:r>
              <m:t>b</m:t>
            </m:r>
          </m:sup>
        </m:sSup>
      </m:oMath>
      <w:r>
        <w:t xml:space="preserve">), border effects, guard rows.</w:t>
      </w:r>
    </w:p>
    <w:p>
      <w:pPr>
        <w:pStyle w:val="Heading3"/>
      </w:pPr>
      <w:r>
        <w:t xml:space="preserve">52.2.2 Completely Randomised Design (CRD)</w:t>
      </w:r>
    </w:p>
    <w:p>
      <w:pPr>
        <w:pStyle w:val="Compact"/>
        <w:numPr>
          <w:ilvl w:val="0"/>
          <w:numId w:val="1395"/>
        </w:numPr>
      </w:pPr>
      <w:r>
        <w:t xml:space="preserve">Treatments allocated entirely at random; for homogeneous material (lab, pot, greenhouse experiments).</w:t>
      </w:r>
    </w:p>
    <w:p>
      <w:pPr>
        <w:pStyle w:val="Compact"/>
        <w:numPr>
          <w:ilvl w:val="0"/>
          <w:numId w:val="1395"/>
        </w:numPr>
      </w:pPr>
      <w:r>
        <w:t xml:space="preserve">Model</w:t>
      </w:r>
      <w:r>
        <w:t xml:space="preserve"> </w:t>
      </w:r>
      <m:oMath>
        <m:sSub>
          <m:e>
            <m:r>
              <m:t>y</m:t>
            </m:r>
          </m:e>
          <m:sub>
            <m:r>
              <m:t>i</m:t>
            </m:r>
            <m:r>
              <m:t>j</m:t>
            </m:r>
          </m:sub>
        </m:sSub>
        <m:r>
          <m:rPr>
            <m:sty m:val="p"/>
          </m:rPr>
          <m:t>=</m:t>
        </m:r>
        <m:r>
          <m:t>μ</m:t>
        </m:r>
        <m:r>
          <m:rPr>
            <m:sty m:val="p"/>
          </m:rPr>
          <m:t>+</m:t>
        </m:r>
        <m:sSub>
          <m:e>
            <m:r>
              <m:t>t</m:t>
            </m:r>
          </m:e>
          <m:sub>
            <m:r>
              <m:t>i</m:t>
            </m:r>
          </m:sub>
        </m:sSub>
        <m:r>
          <m:rPr>
            <m:sty m:val="p"/>
          </m:rPr>
          <m:t>+</m:t>
        </m:r>
        <m:sSub>
          <m:e>
            <m:r>
              <m:t>e</m:t>
            </m:r>
          </m:e>
          <m:sub>
            <m:r>
              <m:t>i</m:t>
            </m:r>
            <m:r>
              <m:t>j</m:t>
            </m:r>
          </m:sub>
        </m:sSub>
      </m:oMath>
      <w:r>
        <w:t xml:space="preserve">. Flexible (unequal replications allowed), maximum error df, but less precise when material is heterogeneous.</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Source</w:t>
            </w:r>
          </w:p>
        </w:tc>
        <w:tc>
          <w:tcPr/>
          <w:p>
            <w:pPr>
              <w:pStyle w:val="Compact"/>
              <w:jc w:val="left"/>
            </w:pPr>
            <w:r>
              <w:t xml:space="preserve">df</w:t>
            </w:r>
          </w:p>
        </w:tc>
        <w:tc>
          <w:tcPr/>
          <w:p>
            <w:pPr>
              <w:pStyle w:val="Compact"/>
              <w:jc w:val="left"/>
            </w:pPr>
            <w:r>
              <w:t xml:space="preserve">SS</w:t>
            </w:r>
          </w:p>
        </w:tc>
        <w:tc>
          <w:tcPr/>
          <w:p>
            <w:pPr>
              <w:pStyle w:val="Compact"/>
              <w:jc w:val="left"/>
            </w:pPr>
            <w:r>
              <w:t xml:space="preserve">MSS</w:t>
            </w:r>
          </w:p>
        </w:tc>
        <w:tc>
          <w:tcPr/>
          <w:p>
            <w:pPr>
              <w:pStyle w:val="Compact"/>
              <w:jc w:val="left"/>
            </w:pPr>
            <w:r>
              <w:t xml:space="preserve">F</w:t>
            </w:r>
          </w:p>
        </w:tc>
      </w:tr>
      <w:tr>
        <w:tc>
          <w:tcPr/>
          <w:p>
            <w:pPr>
              <w:pStyle w:val="Compact"/>
              <w:jc w:val="left"/>
            </w:pPr>
            <w:r>
              <w:t xml:space="preserve">Treatments</w:t>
            </w:r>
          </w:p>
        </w:tc>
        <w:tc>
          <w:tcPr/>
          <w:p>
            <w:pPr>
              <w:pStyle w:val="Compact"/>
              <w:jc w:val="left"/>
            </w:pPr>
            <w:r>
              <w:t xml:space="preserve">t − 1</w:t>
            </w:r>
          </w:p>
        </w:tc>
        <w:tc>
          <w:tcPr/>
          <w:p>
            <w:pPr>
              <w:pStyle w:val="Compact"/>
              <w:jc w:val="left"/>
            </w:pPr>
            <w:r>
              <w:t xml:space="preserve">TrSS =</w:t>
            </w:r>
            <w:r>
              <w:t xml:space="preserve"> </w:t>
            </w:r>
            <m:oMath>
              <m:r>
                <m:rPr>
                  <m:sty m:val="p"/>
                </m:rPr>
                <m:t>∑</m:t>
              </m:r>
              <m:f>
                <m:fPr>
                  <m:type m:val="bar"/>
                </m:fPr>
                <m:num>
                  <m:sSubSup>
                    <m:e>
                      <m:r>
                        <m:t>T</m:t>
                      </m:r>
                    </m:e>
                    <m:sub>
                      <m:r>
                        <m:t>i</m:t>
                      </m:r>
                    </m:sub>
                    <m:sup>
                      <m:r>
                        <m:t>2</m:t>
                      </m:r>
                    </m:sup>
                  </m:sSubSup>
                </m:num>
                <m:den>
                  <m:sSub>
                    <m:e>
                      <m:r>
                        <m:t>r</m:t>
                      </m:r>
                    </m:e>
                    <m:sub>
                      <m:r>
                        <m:t>i</m:t>
                      </m:r>
                    </m:sub>
                  </m:sSub>
                </m:den>
              </m:f>
              <m:r>
                <m:rPr>
                  <m:sty m:val="p"/>
                </m:rPr>
                <m:t>−</m:t>
              </m:r>
              <m:r>
                <m:t>C</m:t>
              </m:r>
              <m:r>
                <m:t>F</m:t>
              </m:r>
            </m:oMath>
          </w:p>
        </w:tc>
        <w:tc>
          <w:tcPr/>
          <w:p>
            <w:pPr>
              <w:pStyle w:val="Compact"/>
              <w:jc w:val="left"/>
            </w:pPr>
            <w:r>
              <w:t xml:space="preserve">TrSS/(t − 1)</w:t>
            </w:r>
          </w:p>
        </w:tc>
        <w:tc>
          <w:tcPr/>
          <w:p>
            <w:pPr>
              <w:pStyle w:val="Compact"/>
              <w:jc w:val="left"/>
            </w:pPr>
            <w:r>
              <w:t xml:space="preserve">TrMS/EMS</w:t>
            </w:r>
          </w:p>
        </w:tc>
      </w:tr>
      <w:tr>
        <w:tc>
          <w:tcPr/>
          <w:p>
            <w:pPr>
              <w:pStyle w:val="Compact"/>
              <w:jc w:val="left"/>
            </w:pPr>
            <w:r>
              <w:t xml:space="preserve">Error</w:t>
            </w:r>
          </w:p>
        </w:tc>
        <w:tc>
          <w:tcPr/>
          <w:p>
            <w:pPr>
              <w:pStyle w:val="Compact"/>
              <w:jc w:val="left"/>
            </w:pPr>
            <w:r>
              <w:t xml:space="preserve">N − t</w:t>
            </w:r>
          </w:p>
        </w:tc>
        <w:tc>
          <w:tcPr/>
          <w:p>
            <w:pPr>
              <w:pStyle w:val="Compact"/>
              <w:jc w:val="left"/>
            </w:pPr>
            <w:r>
              <w:t xml:space="preserve">by subtraction</w:t>
            </w:r>
          </w:p>
        </w:tc>
        <w:tc>
          <w:tcPr/>
          <w:p>
            <w:pPr>
              <w:pStyle w:val="Compact"/>
              <w:jc w:val="left"/>
            </w:pPr>
            <w:r>
              <w:t xml:space="preserve">ESS/(N − t)</w:t>
            </w:r>
          </w:p>
        </w:tc>
        <w:tc>
          <w:tcPr/>
          <w:p>
            <w:pPr>
              <w:pStyle w:val="Compact"/>
            </w:pPr>
          </w:p>
        </w:tc>
      </w:tr>
      <w:tr>
        <w:tc>
          <w:tcPr/>
          <w:p>
            <w:pPr>
              <w:pStyle w:val="Compact"/>
              <w:jc w:val="left"/>
            </w:pPr>
            <w:r>
              <w:t xml:space="preserve">Total</w:t>
            </w:r>
          </w:p>
        </w:tc>
        <w:tc>
          <w:tcPr/>
          <w:p>
            <w:pPr>
              <w:pStyle w:val="Compact"/>
              <w:jc w:val="left"/>
            </w:pPr>
            <w:r>
              <w:t xml:space="preserve">N − 1</w:t>
            </w:r>
          </w:p>
        </w:tc>
        <w:tc>
          <w:tcPr/>
          <w:p>
            <w:pPr>
              <w:pStyle w:val="Compact"/>
              <w:jc w:val="left"/>
            </w:pPr>
            <m:oMath>
              <m:r>
                <m:rPr>
                  <m:sty m:val="p"/>
                </m:rPr>
                <m:t>∑</m:t>
              </m:r>
              <m:sSup>
                <m:e>
                  <m:r>
                    <m:t>y</m:t>
                  </m:r>
                </m:e>
                <m:sup>
                  <m:r>
                    <m:t>2</m:t>
                  </m:r>
                </m:sup>
              </m:sSup>
              <m:r>
                <m:rPr>
                  <m:sty m:val="p"/>
                </m:rPr>
                <m:t>−</m:t>
              </m:r>
              <m:r>
                <m:t>C</m:t>
              </m:r>
              <m:r>
                <m:t>F</m:t>
              </m:r>
            </m:oMath>
          </w:p>
        </w:tc>
        <w:tc>
          <w:tcPr/>
          <w:p>
            <w:pPr>
              <w:pStyle w:val="Compact"/>
            </w:pPr>
          </w:p>
        </w:tc>
        <w:tc>
          <w:tcPr/>
          <w:p>
            <w:pPr>
              <w:pStyle w:val="Compact"/>
            </w:pPr>
          </w:p>
        </w:tc>
      </w:tr>
    </w:tbl>
    <w:p>
      <w:pPr>
        <w:pStyle w:val="BodyText"/>
      </w:pPr>
      <w:r>
        <w:t xml:space="preserve">Correction factor</w:t>
      </w:r>
      <w:r>
        <w:t xml:space="preserve"> </w:t>
      </w:r>
      <m:oMath>
        <m:r>
          <m:t>C</m:t>
        </m:r>
        <m:r>
          <m:t>F</m:t>
        </m:r>
        <m:r>
          <m:rPr>
            <m:sty m:val="p"/>
          </m:rPr>
          <m:t>=</m:t>
        </m:r>
        <m:sSup>
          <m:e>
            <m:r>
              <m:t>G</m:t>
            </m:r>
          </m:e>
          <m:sup>
            <m:r>
              <m:t>2</m:t>
            </m:r>
          </m:sup>
        </m:sSup>
        <m:r>
          <m:rPr>
            <m:sty m:val="p"/>
          </m:rPr>
          <m:t>/</m:t>
        </m:r>
        <m:r>
          <m:t>N</m:t>
        </m:r>
      </m:oMath>
      <w:r>
        <w:t xml:space="preserve"> </w:t>
      </w:r>
      <w:r>
        <w:t xml:space="preserve">(G = grand total).</w:t>
      </w:r>
    </w:p>
    <w:p>
      <w:pPr>
        <w:pStyle w:val="Heading3"/>
      </w:pPr>
      <w:r>
        <w:t xml:space="preserve">52.2.3 Randomised (Complete) Block Design (RBD/RCBD)</w:t>
      </w:r>
    </w:p>
    <w:p>
      <w:pPr>
        <w:pStyle w:val="Compact"/>
        <w:numPr>
          <w:ilvl w:val="0"/>
          <w:numId w:val="1396"/>
        </w:numPr>
      </w:pPr>
      <w:r>
        <w:t xml:space="preserve">Field divided into r blocks across the fertility gradient; each block contains all t treatments, randomised independently within each block.</w:t>
      </w:r>
      <w:r>
        <w:t xml:space="preserve"> </w:t>
      </w:r>
      <w:r>
        <w:rPr>
          <w:bCs/>
          <w:b/>
        </w:rPr>
        <w:t xml:space="preserve">Most common field design.</w:t>
      </w:r>
    </w:p>
    <w:p>
      <w:pPr>
        <w:pStyle w:val="Compact"/>
        <w:numPr>
          <w:ilvl w:val="0"/>
          <w:numId w:val="1396"/>
        </w:numPr>
      </w:pPr>
      <w:r>
        <w:t xml:space="preserve">Model</w:t>
      </w:r>
      <w:r>
        <w:t xml:space="preserve"> </w:t>
      </w:r>
      <m:oMath>
        <m:sSub>
          <m:e>
            <m:r>
              <m:t>y</m:t>
            </m:r>
          </m:e>
          <m:sub>
            <m:r>
              <m:t>i</m:t>
            </m:r>
            <m:r>
              <m:t>j</m:t>
            </m:r>
          </m:sub>
        </m:sSub>
        <m:r>
          <m:rPr>
            <m:sty m:val="p"/>
          </m:rPr>
          <m:t>=</m:t>
        </m:r>
        <m:r>
          <m:t>μ</m:t>
        </m:r>
        <m:r>
          <m:rPr>
            <m:sty m:val="p"/>
          </m:rPr>
          <m:t>+</m:t>
        </m:r>
        <m:sSub>
          <m:e>
            <m:r>
              <m:t>t</m:t>
            </m:r>
          </m:e>
          <m:sub>
            <m:r>
              <m:t>i</m:t>
            </m:r>
          </m:sub>
        </m:sSub>
        <m:r>
          <m:rPr>
            <m:sty m:val="p"/>
          </m:rPr>
          <m:t>+</m:t>
        </m:r>
        <m:sSub>
          <m:e>
            <m:r>
              <m:t>b</m:t>
            </m:r>
          </m:e>
          <m:sub>
            <m:r>
              <m:t>j</m:t>
            </m:r>
          </m:sub>
        </m:sSub>
        <m:r>
          <m:rPr>
            <m:sty m:val="p"/>
          </m:rPr>
          <m:t>+</m:t>
        </m:r>
        <m:sSub>
          <m:e>
            <m:r>
              <m:t>e</m:t>
            </m:r>
          </m:e>
          <m:sub>
            <m:r>
              <m:t>i</m:t>
            </m:r>
            <m:r>
              <m:t>j</m:t>
            </m:r>
          </m:sub>
        </m:sSub>
      </m:oMath>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df</w:t>
            </w:r>
          </w:p>
        </w:tc>
        <w:tc>
          <w:tcPr/>
          <w:p>
            <w:pPr>
              <w:pStyle w:val="Compact"/>
              <w:jc w:val="left"/>
            </w:pPr>
            <w:r>
              <w:t xml:space="preserve">SS</w:t>
            </w:r>
          </w:p>
        </w:tc>
      </w:tr>
      <w:tr>
        <w:tc>
          <w:tcPr/>
          <w:p>
            <w:pPr>
              <w:pStyle w:val="Compact"/>
              <w:jc w:val="left"/>
            </w:pPr>
            <w:r>
              <w:t xml:space="preserve">Replications (blocks)</w:t>
            </w:r>
          </w:p>
        </w:tc>
        <w:tc>
          <w:tcPr/>
          <w:p>
            <w:pPr>
              <w:pStyle w:val="Compact"/>
              <w:jc w:val="left"/>
            </w:pPr>
            <w:r>
              <w:t xml:space="preserve">r − 1</w:t>
            </w:r>
          </w:p>
        </w:tc>
        <w:tc>
          <w:tcPr/>
          <w:p>
            <w:pPr>
              <w:pStyle w:val="Compact"/>
              <w:jc w:val="left"/>
            </w:pPr>
            <m:oMath>
              <m:r>
                <m:rPr>
                  <m:sty m:val="p"/>
                </m:rPr>
                <m:t>∑</m:t>
              </m:r>
              <m:sSubSup>
                <m:e>
                  <m:r>
                    <m:t>B</m:t>
                  </m:r>
                </m:e>
                <m:sub>
                  <m:r>
                    <m:t>j</m:t>
                  </m:r>
                </m:sub>
                <m:sup>
                  <m:r>
                    <m:t>2</m:t>
                  </m:r>
                </m:sup>
              </m:sSubSup>
              <m:r>
                <m:rPr>
                  <m:sty m:val="p"/>
                </m:rPr>
                <m:t>/</m:t>
              </m:r>
              <m:r>
                <m:t>t</m:t>
              </m:r>
              <m:r>
                <m:rPr>
                  <m:sty m:val="p"/>
                </m:rPr>
                <m:t>−</m:t>
              </m:r>
              <m:r>
                <m:t>C</m:t>
              </m:r>
              <m:r>
                <m:t>F</m:t>
              </m:r>
            </m:oMath>
          </w:p>
        </w:tc>
      </w:tr>
      <w:tr>
        <w:tc>
          <w:tcPr/>
          <w:p>
            <w:pPr>
              <w:pStyle w:val="Compact"/>
              <w:jc w:val="left"/>
            </w:pPr>
            <w:r>
              <w:t xml:space="preserve">Treatments</w:t>
            </w:r>
          </w:p>
        </w:tc>
        <w:tc>
          <w:tcPr/>
          <w:p>
            <w:pPr>
              <w:pStyle w:val="Compact"/>
              <w:jc w:val="left"/>
            </w:pPr>
            <w:r>
              <w:t xml:space="preserve">t − 1</w:t>
            </w:r>
          </w:p>
        </w:tc>
        <w:tc>
          <w:tcPr/>
          <w:p>
            <w:pPr>
              <w:pStyle w:val="Compact"/>
              <w:jc w:val="left"/>
            </w:pPr>
            <m:oMath>
              <m:r>
                <m:rPr>
                  <m:sty m:val="p"/>
                </m:rPr>
                <m:t>∑</m:t>
              </m:r>
              <m:sSubSup>
                <m:e>
                  <m:r>
                    <m:t>T</m:t>
                  </m:r>
                </m:e>
                <m:sub>
                  <m:r>
                    <m:t>i</m:t>
                  </m:r>
                </m:sub>
                <m:sup>
                  <m:r>
                    <m:t>2</m:t>
                  </m:r>
                </m:sup>
              </m:sSubSup>
              <m:r>
                <m:rPr>
                  <m:sty m:val="p"/>
                </m:rPr>
                <m:t>/</m:t>
              </m:r>
              <m:r>
                <m:t>r</m:t>
              </m:r>
              <m:r>
                <m:rPr>
                  <m:sty m:val="p"/>
                </m:rPr>
                <m:t>−</m:t>
              </m:r>
              <m:r>
                <m:t>C</m:t>
              </m:r>
              <m:r>
                <m:t>F</m:t>
              </m:r>
            </m:oMath>
          </w:p>
        </w:tc>
      </w:tr>
      <w:tr>
        <w:tc>
          <w:tcPr/>
          <w:p>
            <w:pPr>
              <w:pStyle w:val="Compact"/>
              <w:jc w:val="left"/>
            </w:pPr>
            <w:r>
              <w:t xml:space="preserve">Error</w:t>
            </w:r>
          </w:p>
        </w:tc>
        <w:tc>
          <w:tcPr/>
          <w:p>
            <w:pPr>
              <w:pStyle w:val="Compact"/>
              <w:jc w:val="left"/>
            </w:pPr>
            <w:r>
              <w:t xml:space="preserve">(r − 1)(t − 1)</w:t>
            </w:r>
          </w:p>
        </w:tc>
        <w:tc>
          <w:tcPr/>
          <w:p>
            <w:pPr>
              <w:pStyle w:val="Compact"/>
              <w:jc w:val="left"/>
            </w:pPr>
            <w:r>
              <w:t xml:space="preserve">Total − Rep − Tr</w:t>
            </w:r>
          </w:p>
        </w:tc>
      </w:tr>
      <w:tr>
        <w:tc>
          <w:tcPr/>
          <w:p>
            <w:pPr>
              <w:pStyle w:val="Compact"/>
              <w:jc w:val="left"/>
            </w:pPr>
            <w:r>
              <w:t xml:space="preserve">Total</w:t>
            </w:r>
          </w:p>
        </w:tc>
        <w:tc>
          <w:tcPr/>
          <w:p>
            <w:pPr>
              <w:pStyle w:val="Compact"/>
              <w:jc w:val="left"/>
            </w:pPr>
            <w:r>
              <w:t xml:space="preserve">rt − 1</w:t>
            </w:r>
          </w:p>
        </w:tc>
        <w:tc>
          <w:tcPr/>
          <w:p>
            <w:pPr>
              <w:pStyle w:val="Compact"/>
              <w:jc w:val="left"/>
            </w:pPr>
            <m:oMath>
              <m:r>
                <m:rPr>
                  <m:sty m:val="p"/>
                </m:rPr>
                <m:t>∑</m:t>
              </m:r>
              <m:sSup>
                <m:e>
                  <m:r>
                    <m:t>y</m:t>
                  </m:r>
                </m:e>
                <m:sup>
                  <m:r>
                    <m:t>2</m:t>
                  </m:r>
                </m:sup>
              </m:sSup>
              <m:r>
                <m:rPr>
                  <m:sty m:val="p"/>
                </m:rPr>
                <m:t>−</m:t>
              </m:r>
              <m:r>
                <m:t>C</m:t>
              </m:r>
              <m:r>
                <m:t>F</m:t>
              </m:r>
            </m:oMath>
          </w:p>
        </w:tc>
      </w:tr>
    </w:tbl>
    <w:p>
      <w:pPr>
        <w:pStyle w:val="Compact"/>
        <w:numPr>
          <w:ilvl w:val="0"/>
          <w:numId w:val="1397"/>
        </w:numPr>
      </w:pPr>
      <w:r>
        <w:rPr>
          <w:bCs/>
          <w:b/>
        </w:rPr>
        <w:t xml:space="preserve">Critical difference (LSD)</w:t>
      </w:r>
      <w:r>
        <w:t xml:space="preserve"> </w:t>
      </w:r>
      <w:r>
        <w:t xml:space="preserve">for comparing two treatment means:</w:t>
      </w:r>
      <w:r>
        <w:t xml:space="preserve"> </w:t>
      </w:r>
      <m:oMath>
        <m:r>
          <m:t>C</m:t>
        </m:r>
        <m:r>
          <m:t>D</m:t>
        </m:r>
        <m:r>
          <m:rPr>
            <m:sty m:val="p"/>
          </m:rPr>
          <m:t>=</m:t>
        </m:r>
        <m:sSub>
          <m:e>
            <m:r>
              <m:t>t</m:t>
            </m:r>
          </m:e>
          <m:sub>
            <m:r>
              <m:t>α</m:t>
            </m:r>
            <m:r>
              <m:rPr>
                <m:sty m:val="p"/>
              </m:rPr>
              <m:t>,</m:t>
            </m:r>
            <m:r>
              <m:t> </m:t>
            </m:r>
            <m:r>
              <m:t>e</m:t>
            </m:r>
            <m:r>
              <m:t>r</m:t>
            </m:r>
            <m:r>
              <m:t>r</m:t>
            </m:r>
            <m:r>
              <m:t>o</m:t>
            </m:r>
            <m:r>
              <m:t>r</m:t>
            </m:r>
            <m:r>
              <m:t> </m:t>
            </m:r>
            <m:r>
              <m:t>d</m:t>
            </m:r>
            <m:r>
              <m:t>f</m:t>
            </m:r>
          </m:sub>
        </m:sSub>
        <m:r>
          <m:rPr>
            <m:sty m:val="p"/>
          </m:rPr>
          <m:t>×</m:t>
        </m:r>
        <m:rad>
          <m:radPr>
            <m:degHide m:val="on"/>
          </m:radPr>
          <m:deg/>
          <m:e>
            <m:f>
              <m:fPr>
                <m:type m:val="bar"/>
              </m:fPr>
              <m:num>
                <m:r>
                  <m:t>2</m:t>
                </m:r>
                <m:r>
                  <m:t> </m:t>
                </m:r>
                <m:r>
                  <m:t>E</m:t>
                </m:r>
                <m:r>
                  <m:t>M</m:t>
                </m:r>
                <m:r>
                  <m:t>S</m:t>
                </m:r>
              </m:num>
              <m:den>
                <m:r>
                  <m:t>r</m:t>
                </m:r>
              </m:den>
            </m:f>
          </m:e>
        </m:rad>
      </m:oMath>
      <w:r>
        <w:t xml:space="preserve">; SEm±</w:t>
      </w:r>
      <w:r>
        <w:t xml:space="preserve"> </w:t>
      </w:r>
      <m:oMath>
        <m:r>
          <m:rPr>
            <m:sty m:val="p"/>
          </m:rPr>
          <m:t>=</m:t>
        </m:r>
        <m:rad>
          <m:radPr>
            <m:degHide m:val="on"/>
          </m:radPr>
          <m:deg/>
          <m:e>
            <m:r>
              <m:t>E</m:t>
            </m:r>
            <m:r>
              <m:t>M</m:t>
            </m:r>
            <m:r>
              <m:t>S</m:t>
            </m:r>
            <m:r>
              <m:rPr>
                <m:sty m:val="p"/>
              </m:rPr>
              <m:t>/</m:t>
            </m:r>
            <m:r>
              <m:t>r</m:t>
            </m:r>
          </m:e>
        </m:rad>
      </m:oMath>
      <w:r>
        <w:t xml:space="preserve">; CV%</w:t>
      </w:r>
      <w:r>
        <w:t xml:space="preserve"> </w:t>
      </w:r>
      <m:oMath>
        <m:r>
          <m:rPr>
            <m:sty m:val="p"/>
          </m:rPr>
          <m:t>=</m:t>
        </m:r>
        <m:f>
          <m:fPr>
            <m:type m:val="bar"/>
          </m:fPr>
          <m:num>
            <m:rad>
              <m:radPr>
                <m:degHide m:val="on"/>
              </m:radPr>
              <m:deg/>
              <m:e>
                <m:r>
                  <m:t>E</m:t>
                </m:r>
                <m:r>
                  <m:t>M</m:t>
                </m:r>
                <m:r>
                  <m:t>S</m:t>
                </m:r>
              </m:e>
            </m:rad>
          </m:num>
          <m:den>
            <m:acc>
              <m:accPr>
                <m:chr m:val="‾"/>
              </m:accPr>
              <m:e>
                <m:r>
                  <m:t>x</m:t>
                </m:r>
              </m:e>
            </m:acc>
          </m:den>
        </m:f>
        <m:r>
          <m:rPr>
            <m:sty m:val="p"/>
          </m:rPr>
          <m:t>×</m:t>
        </m:r>
        <m:r>
          <m:t>100</m:t>
        </m:r>
      </m:oMath>
      <w:r>
        <w:t xml:space="preserve">.</w:t>
      </w:r>
    </w:p>
    <w:p>
      <w:pPr>
        <w:pStyle w:val="Compact"/>
        <w:numPr>
          <w:ilvl w:val="0"/>
          <w:numId w:val="1397"/>
        </w:numPr>
      </w:pPr>
      <w:r>
        <w:rPr>
          <w:bCs/>
          <w:b/>
        </w:rPr>
        <w:t xml:space="preserve">Missing plot</w:t>
      </w:r>
      <w:r>
        <w:t xml:space="preserve"> </w:t>
      </w:r>
      <w:r>
        <w:t xml:space="preserve">(Yates):</w:t>
      </w:r>
      <w:r>
        <w:t xml:space="preserve"> </w:t>
      </w:r>
      <m:oMath>
        <m:r>
          <m:t>y</m:t>
        </m:r>
        <m:r>
          <m:rPr>
            <m:sty m:val="p"/>
          </m:rPr>
          <m:t>=</m:t>
        </m:r>
        <m:f>
          <m:fPr>
            <m:type m:val="bar"/>
          </m:fPr>
          <m:num>
            <m:r>
              <m:t>r</m:t>
            </m:r>
            <m:r>
              <m:t>B</m:t>
            </m:r>
            <m:r>
              <m:rPr>
                <m:sty m:val="p"/>
              </m:rPr>
              <m:t>+</m:t>
            </m:r>
            <m:r>
              <m:t>t</m:t>
            </m:r>
            <m:r>
              <m:t>T</m:t>
            </m:r>
            <m:r>
              <m:rPr>
                <m:sty m:val="p"/>
              </m:rPr>
              <m:t>−</m:t>
            </m:r>
            <m:r>
              <m:t>G</m:t>
            </m:r>
          </m:num>
          <m:den>
            <m:d>
              <m:dPr>
                <m:begChr m:val="("/>
                <m:endChr m:val=")"/>
                <m:sepChr m:val=""/>
                <m:grow/>
              </m:dPr>
              <m:e>
                <m:r>
                  <m:t>r</m:t>
                </m:r>
                <m:r>
                  <m:rPr>
                    <m:sty m:val="p"/>
                  </m:rPr>
                  <m:t>−</m:t>
                </m:r>
                <m:r>
                  <m:t>1</m:t>
                </m:r>
              </m:e>
            </m:d>
            <m:d>
              <m:dPr>
                <m:begChr m:val="("/>
                <m:endChr m:val=")"/>
                <m:sepChr m:val=""/>
                <m:grow/>
              </m:dPr>
              <m:e>
                <m:r>
                  <m:t>t</m:t>
                </m:r>
                <m:r>
                  <m:rPr>
                    <m:sty m:val="p"/>
                  </m:rPr>
                  <m:t>−</m:t>
                </m:r>
                <m:r>
                  <m:t>1</m:t>
                </m:r>
              </m:e>
            </m:d>
          </m:den>
        </m:f>
      </m:oMath>
      <w:r>
        <w:t xml:space="preserve"> </w:t>
      </w:r>
      <w:r>
        <w:t xml:space="preserve">(error df reduced by 1).</w:t>
      </w:r>
    </w:p>
    <w:p>
      <w:pPr>
        <w:pStyle w:val="Compact"/>
        <w:numPr>
          <w:ilvl w:val="0"/>
          <w:numId w:val="1397"/>
        </w:numPr>
      </w:pPr>
      <w:r>
        <w:t xml:space="preserve">Relative efficiency of RBD over CRD indicates gain from blocking.</w:t>
      </w:r>
    </w:p>
    <w:p>
      <w:pPr>
        <w:pStyle w:val="Heading3"/>
      </w:pPr>
      <w:r>
        <w:t xml:space="preserve">52.2.4 Latin Square Design (LSD)</w:t>
      </w:r>
    </w:p>
    <w:p>
      <w:pPr>
        <w:pStyle w:val="Compact"/>
        <w:numPr>
          <w:ilvl w:val="0"/>
          <w:numId w:val="1398"/>
        </w:numPr>
      </w:pPr>
      <w:r>
        <w:t xml:space="preserve">Controls variation in</w:t>
      </w:r>
      <w:r>
        <w:t xml:space="preserve"> </w:t>
      </w:r>
      <w:r>
        <w:rPr>
          <w:bCs/>
          <w:b/>
        </w:rPr>
        <w:t xml:space="preserve">two directions</w:t>
      </w:r>
      <w:r>
        <w:t xml:space="preserve"> </w:t>
      </w:r>
      <w:r>
        <w:t xml:space="preserve">(rows and columns — e.g., fertility gradient and slope/irrigation channel); each treatment once in each row and column; t × t layout (practical for 4–8 treatments).</w:t>
      </w:r>
    </w:p>
    <w:p>
      <w:pPr>
        <w:pStyle w:val="Compact"/>
        <w:numPr>
          <w:ilvl w:val="0"/>
          <w:numId w:val="1398"/>
        </w:numPr>
      </w:pPr>
      <w:r>
        <w:t xml:space="preserve">Model</w:t>
      </w:r>
      <w:r>
        <w:t xml:space="preserve"> </w:t>
      </w:r>
      <m:oMath>
        <m:sSub>
          <m:e>
            <m:r>
              <m:t>y</m:t>
            </m:r>
          </m:e>
          <m:sub>
            <m:r>
              <m:t>i</m:t>
            </m:r>
            <m:r>
              <m:t>j</m:t>
            </m:r>
            <m:r>
              <m:t>k</m:t>
            </m:r>
          </m:sub>
        </m:sSub>
        <m:r>
          <m:rPr>
            <m:sty m:val="p"/>
          </m:rPr>
          <m:t>=</m:t>
        </m:r>
        <m:r>
          <m:t>μ</m:t>
        </m:r>
        <m:r>
          <m:rPr>
            <m:sty m:val="p"/>
          </m:rPr>
          <m:t>+</m:t>
        </m:r>
        <m:sSub>
          <m:e>
            <m:r>
              <m:t>r</m:t>
            </m:r>
          </m:e>
          <m:sub>
            <m:r>
              <m:t>i</m:t>
            </m:r>
          </m:sub>
        </m:sSub>
        <m:r>
          <m:rPr>
            <m:sty m:val="p"/>
          </m:rPr>
          <m:t>+</m:t>
        </m:r>
        <m:sSub>
          <m:e>
            <m:r>
              <m:t>c</m:t>
            </m:r>
          </m:e>
          <m:sub>
            <m:r>
              <m:t>j</m:t>
            </m:r>
          </m:sub>
        </m:sSub>
        <m:r>
          <m:rPr>
            <m:sty m:val="p"/>
          </m:rPr>
          <m:t>+</m:t>
        </m:r>
        <m:sSub>
          <m:e>
            <m:r>
              <m:t>t</m:t>
            </m:r>
          </m:e>
          <m:sub>
            <m:r>
              <m:t>k</m:t>
            </m:r>
          </m:sub>
        </m:sSub>
        <m:r>
          <m:rPr>
            <m:sty m:val="p"/>
          </m:rPr>
          <m:t>+</m:t>
        </m:r>
        <m:sSub>
          <m:e>
            <m:r>
              <m:t>e</m:t>
            </m:r>
          </m:e>
          <m:sub>
            <m:r>
              <m:t>i</m:t>
            </m:r>
            <m:r>
              <m:t>j</m:t>
            </m:r>
            <m:r>
              <m:t>k</m:t>
            </m:r>
          </m:sub>
        </m:sSub>
      </m:oMath>
      <w:r>
        <w:t xml:space="preserve">; error df = (t − 1)(t − 2).</w:t>
      </w:r>
    </w:p>
    <w:p>
      <w:pPr>
        <w:pStyle w:val="Compact"/>
        <w:numPr>
          <w:ilvl w:val="0"/>
          <w:numId w:val="1398"/>
        </w:numPr>
      </w:pPr>
      <w:r>
        <w:t xml:space="preserve">Missing plot:</w:t>
      </w:r>
      <w:r>
        <w:t xml:space="preserve"> </w:t>
      </w:r>
      <m:oMath>
        <m:r>
          <m:t>y</m:t>
        </m:r>
        <m:r>
          <m:rPr>
            <m:sty m:val="p"/>
          </m:rPr>
          <m:t>=</m:t>
        </m:r>
        <m:f>
          <m:fPr>
            <m:type m:val="bar"/>
          </m:fPr>
          <m:num>
            <m:r>
              <m:t>t</m:t>
            </m:r>
            <m:d>
              <m:dPr>
                <m:begChr m:val="("/>
                <m:endChr m:val=")"/>
                <m:sepChr m:val=""/>
                <m:grow/>
              </m:dPr>
              <m:e>
                <m:r>
                  <m:t>R</m:t>
                </m:r>
                <m:r>
                  <m:rPr>
                    <m:sty m:val="p"/>
                  </m:rPr>
                  <m:t>+</m:t>
                </m:r>
                <m:r>
                  <m:t>C</m:t>
                </m:r>
                <m:r>
                  <m:rPr>
                    <m:sty m:val="p"/>
                  </m:rPr>
                  <m:t>+</m:t>
                </m:r>
                <m:r>
                  <m:t>T</m:t>
                </m:r>
              </m:e>
            </m:d>
            <m:r>
              <m:rPr>
                <m:sty m:val="p"/>
              </m:rPr>
              <m:t>−</m:t>
            </m:r>
            <m:r>
              <m:t>2</m:t>
            </m:r>
            <m:r>
              <m:t>G</m:t>
            </m:r>
          </m:num>
          <m:den>
            <m:d>
              <m:dPr>
                <m:begChr m:val="("/>
                <m:endChr m:val=")"/>
                <m:sepChr m:val=""/>
                <m:grow/>
              </m:dPr>
              <m:e>
                <m:r>
                  <m:t>t</m:t>
                </m:r>
                <m:r>
                  <m:rPr>
                    <m:sty m:val="p"/>
                  </m:rPr>
                  <m:t>−</m:t>
                </m:r>
                <m:r>
                  <m:t>1</m:t>
                </m:r>
              </m:e>
            </m:d>
            <m:d>
              <m:dPr>
                <m:begChr m:val="("/>
                <m:endChr m:val=")"/>
                <m:sepChr m:val=""/>
                <m:grow/>
              </m:dPr>
              <m:e>
                <m:r>
                  <m:t>t</m:t>
                </m:r>
                <m:r>
                  <m:rPr>
                    <m:sty m:val="p"/>
                  </m:rPr>
                  <m:t>−</m:t>
                </m:r>
                <m:r>
                  <m:t>2</m:t>
                </m:r>
              </m:e>
            </m:d>
          </m:den>
        </m:f>
      </m:oMath>
      <w:r>
        <w:t xml:space="preserve">.</w:t>
      </w:r>
    </w:p>
    <w:p>
      <w:pPr>
        <w:pStyle w:val="Heading3"/>
      </w:pPr>
      <w:r>
        <w:t xml:space="preserve">52.2.5 Factorial experiments</w:t>
      </w:r>
    </w:p>
    <w:p>
      <w:pPr>
        <w:pStyle w:val="Compact"/>
        <w:numPr>
          <w:ilvl w:val="0"/>
          <w:numId w:val="1399"/>
        </w:numPr>
      </w:pPr>
      <w:r>
        <w:t xml:space="preserve">Two or more factors at several levels studied together in all combinations (e.g., 3 N × 2 irrigation = 3 × 2 factorial; 2³ = 8 combinations) — estimates</w:t>
      </w:r>
      <w:r>
        <w:t xml:space="preserve"> </w:t>
      </w:r>
      <w:r>
        <w:rPr>
          <w:bCs/>
          <w:b/>
        </w:rPr>
        <w:t xml:space="preserve">main effects</w:t>
      </w:r>
      <w:r>
        <w:t xml:space="preserve"> </w:t>
      </w:r>
      <w:r>
        <w:t xml:space="preserve">and</w:t>
      </w:r>
      <w:r>
        <w:t xml:space="preserve"> </w:t>
      </w:r>
      <w:r>
        <w:rPr>
          <w:bCs/>
          <w:b/>
        </w:rPr>
        <w:t xml:space="preserve">interactions</w:t>
      </w:r>
      <w:r>
        <w:t xml:space="preserve"> </w:t>
      </w:r>
      <w:r>
        <w:t xml:space="preserve">(does the N response depend on irrigation?), efficient and broader inference.</w:t>
      </w:r>
    </w:p>
    <w:p>
      <w:pPr>
        <w:pStyle w:val="Compact"/>
        <w:numPr>
          <w:ilvl w:val="0"/>
          <w:numId w:val="1399"/>
        </w:numPr>
      </w:pPr>
      <w:r>
        <w:t xml:space="preserve">In a 2² factorial with factors A and B: main effect</w:t>
      </w:r>
      <w:r>
        <w:t xml:space="preserve"> </w:t>
      </w:r>
      <m:oMath>
        <m:r>
          <m:t>A</m:t>
        </m:r>
        <m:r>
          <m:rPr>
            <m:sty m:val="p"/>
          </m:rPr>
          <m:t>=</m:t>
        </m:r>
        <m:f>
          <m:fPr>
            <m:type m:val="lin"/>
          </m:fPr>
          <m:num>
            <m:r>
              <m:t>1</m:t>
            </m:r>
          </m:num>
          <m:den>
            <m:r>
              <m:t>2</m:t>
            </m:r>
          </m:den>
        </m:f>
        <m:d>
          <m:dPr>
            <m:begChr m:val="["/>
            <m:endChr m:val="]"/>
            <m:sepChr m:val=""/>
            <m:grow/>
          </m:dPr>
          <m:e>
            <m:d>
              <m:dPr>
                <m:begChr m:val="("/>
                <m:endChr m:val=")"/>
                <m:sepChr m:val=""/>
                <m:grow/>
              </m:dPr>
              <m:e>
                <m:r>
                  <m:t>a</m:t>
                </m:r>
                <m:r>
                  <m:t>b</m:t>
                </m:r>
              </m:e>
            </m:d>
            <m:r>
              <m:rPr>
                <m:sty m:val="p"/>
              </m:rPr>
              <m:t>−</m:t>
            </m:r>
            <m:d>
              <m:dPr>
                <m:begChr m:val="("/>
                <m:endChr m:val=")"/>
                <m:sepChr m:val=""/>
                <m:grow/>
              </m:dPr>
              <m:e>
                <m:r>
                  <m:t>b</m:t>
                </m:r>
              </m:e>
            </m:d>
            <m:r>
              <m:rPr>
                <m:sty m:val="p"/>
              </m:rPr>
              <m:t>+</m:t>
            </m:r>
            <m:d>
              <m:dPr>
                <m:begChr m:val="("/>
                <m:endChr m:val=")"/>
                <m:sepChr m:val=""/>
                <m:grow/>
              </m:dPr>
              <m:e>
                <m:r>
                  <m:t>a</m:t>
                </m:r>
              </m:e>
            </m:d>
            <m:r>
              <m:rPr>
                <m:sty m:val="p"/>
              </m:rPr>
              <m:t>−</m:t>
            </m:r>
            <m:d>
              <m:dPr>
                <m:begChr m:val="("/>
                <m:endChr m:val=")"/>
                <m:sepChr m:val=""/>
                <m:grow/>
              </m:dPr>
              <m:e>
                <m:r>
                  <m:t>1</m:t>
                </m:r>
              </m:e>
            </m:d>
          </m:e>
        </m:d>
      </m:oMath>
      <w:r>
        <w:t xml:space="preserve">, interaction</w:t>
      </w:r>
      <w:r>
        <w:t xml:space="preserve"> </w:t>
      </w:r>
      <m:oMath>
        <m:r>
          <m:t>A</m:t>
        </m:r>
        <m:r>
          <m:t>B</m:t>
        </m:r>
        <m:r>
          <m:rPr>
            <m:sty m:val="p"/>
          </m:rPr>
          <m:t>=</m:t>
        </m:r>
        <m:f>
          <m:fPr>
            <m:type m:val="lin"/>
          </m:fPr>
          <m:num>
            <m:r>
              <m:t>1</m:t>
            </m:r>
          </m:num>
          <m:den>
            <m:r>
              <m:t>2</m:t>
            </m:r>
          </m:den>
        </m:f>
        <m:d>
          <m:dPr>
            <m:begChr m:val="["/>
            <m:endChr m:val="]"/>
            <m:sepChr m:val=""/>
            <m:grow/>
          </m:dPr>
          <m:e>
            <m:d>
              <m:dPr>
                <m:begChr m:val="("/>
                <m:endChr m:val=")"/>
                <m:sepChr m:val=""/>
                <m:grow/>
              </m:dPr>
              <m:e>
                <m:r>
                  <m:t>a</m:t>
                </m:r>
                <m:r>
                  <m:t>b</m:t>
                </m:r>
              </m:e>
            </m:d>
            <m:r>
              <m:rPr>
                <m:sty m:val="p"/>
              </m:rPr>
              <m:t>−</m:t>
            </m:r>
            <m:d>
              <m:dPr>
                <m:begChr m:val="("/>
                <m:endChr m:val=")"/>
                <m:sepChr m:val=""/>
                <m:grow/>
              </m:dPr>
              <m:e>
                <m:r>
                  <m:t>a</m:t>
                </m:r>
              </m:e>
            </m:d>
            <m:r>
              <m:rPr>
                <m:sty m:val="p"/>
              </m:rPr>
              <m:t>−</m:t>
            </m:r>
            <m:d>
              <m:dPr>
                <m:begChr m:val="("/>
                <m:endChr m:val=")"/>
                <m:sepChr m:val=""/>
                <m:grow/>
              </m:dPr>
              <m:e>
                <m:r>
                  <m:t>b</m:t>
                </m:r>
              </m:e>
            </m:d>
            <m:r>
              <m:rPr>
                <m:sty m:val="p"/>
              </m:rPr>
              <m:t>+</m:t>
            </m:r>
            <m:d>
              <m:dPr>
                <m:begChr m:val="("/>
                <m:endChr m:val=")"/>
                <m:sepChr m:val=""/>
                <m:grow/>
              </m:dPr>
              <m:e>
                <m:r>
                  <m:t>1</m:t>
                </m:r>
              </m:e>
            </m:d>
          </m:e>
        </m:d>
      </m:oMath>
      <w:r>
        <w:t xml:space="preserve"> </w:t>
      </w:r>
      <w:r>
        <w:t xml:space="preserve">(per replicate, Yates’ notation).</w:t>
      </w:r>
    </w:p>
    <w:p>
      <w:pPr>
        <w:pStyle w:val="Compact"/>
        <w:numPr>
          <w:ilvl w:val="0"/>
          <w:numId w:val="1399"/>
        </w:numPr>
      </w:pPr>
      <w:r>
        <w:t xml:space="preserve">Laid out in CRD/RBD; large factorials may use</w:t>
      </w:r>
      <w:r>
        <w:t xml:space="preserve"> </w:t>
      </w:r>
      <w:r>
        <w:rPr>
          <w:bCs/>
          <w:b/>
        </w:rPr>
        <w:t xml:space="preserve">confounding</w:t>
      </w:r>
      <w:r>
        <w:t xml:space="preserve"> </w:t>
      </w:r>
      <w:r>
        <w:t xml:space="preserve">(sacrificing high-order interactions to reduce block size).</w:t>
      </w:r>
    </w:p>
    <w:p>
      <w:pPr>
        <w:pStyle w:val="Heading3"/>
      </w:pPr>
      <w:r>
        <w:t xml:space="preserve">52.2.6 Split-plot design</w:t>
      </w:r>
    </w:p>
    <w:p>
      <w:pPr>
        <w:pStyle w:val="Compact"/>
        <w:numPr>
          <w:ilvl w:val="0"/>
          <w:numId w:val="1400"/>
        </w:numPr>
      </w:pPr>
      <w:r>
        <w:t xml:space="preserve">When one factor needs large plots (irrigation, tillage, sowing date —</w:t>
      </w:r>
      <w:r>
        <w:t xml:space="preserve"> </w:t>
      </w:r>
      <w:r>
        <w:rPr>
          <w:bCs/>
          <w:b/>
        </w:rPr>
        <w:t xml:space="preserve">main-plot factor</w:t>
      </w:r>
      <w:r>
        <w:t xml:space="preserve">) and another can use small plots (variety, N dose —</w:t>
      </w:r>
      <w:r>
        <w:t xml:space="preserve"> </w:t>
      </w:r>
      <w:r>
        <w:rPr>
          <w:bCs/>
          <w:b/>
        </w:rPr>
        <w:t xml:space="preserve">sub-plot factor</w:t>
      </w:r>
      <w:r>
        <w:t xml:space="preserve">).</w:t>
      </w:r>
    </w:p>
    <w:p>
      <w:pPr>
        <w:pStyle w:val="Compact"/>
        <w:numPr>
          <w:ilvl w:val="0"/>
          <w:numId w:val="1400"/>
        </w:numPr>
      </w:pPr>
      <w:r>
        <w:t xml:space="preserve">Two error terms:</w:t>
      </w:r>
      <w:r>
        <w:t xml:space="preserve"> </w:t>
      </w:r>
      <w:r>
        <w:rPr>
          <w:bCs/>
          <w:b/>
        </w:rPr>
        <w:t xml:space="preserve">Error (a)</w:t>
      </w:r>
      <w:r>
        <w:t xml:space="preserve"> </w:t>
      </w:r>
      <w:r>
        <w:t xml:space="preserve">for main plots [(r − 1)(a − 1) df] — less precise;</w:t>
      </w:r>
      <w:r>
        <w:t xml:space="preserve"> </w:t>
      </w:r>
      <w:r>
        <w:rPr>
          <w:bCs/>
          <w:b/>
        </w:rPr>
        <w:t xml:space="preserve">Error (b)</w:t>
      </w:r>
      <w:r>
        <w:t xml:space="preserve"> </w:t>
      </w:r>
      <w:r>
        <w:t xml:space="preserve">for sub-plots and interaction [a(r − 1)(b − 1) df] — more precise.</w:t>
      </w:r>
    </w:p>
    <w:p>
      <w:pPr>
        <w:pStyle w:val="Compact"/>
        <w:numPr>
          <w:ilvl w:val="0"/>
          <w:numId w:val="1400"/>
        </w:numPr>
      </w:pPr>
      <w:r>
        <w:t xml:space="preserve">Variants: strip-plot (both factors in strips), split-split plot.</w:t>
      </w:r>
    </w:p>
    <w:p>
      <w:pPr>
        <w:pStyle w:val="Heading3"/>
      </w:pPr>
      <w:r>
        <w:t xml:space="preserve">52.2.7 Other designs and concepts</w:t>
      </w:r>
    </w:p>
    <w:p>
      <w:pPr>
        <w:pStyle w:val="FirstParagraph"/>
      </w:pPr>
      <w:r>
        <w:rPr>
          <w:bCs/>
          <w:b/>
        </w:rPr>
        <w:t xml:space="preserve">Augmented designs</w:t>
      </w:r>
      <w:r>
        <w:t xml:space="preserve"> </w:t>
      </w:r>
      <w:r>
        <w:t xml:space="preserve">(unreplicated germplasm with replicated checks),</w:t>
      </w:r>
      <w:r>
        <w:t xml:space="preserve"> </w:t>
      </w:r>
      <w:r>
        <w:rPr>
          <w:bCs/>
          <w:b/>
        </w:rPr>
        <w:t xml:space="preserve">incomplete block / lattice designs</w:t>
      </w:r>
      <w:r>
        <w:t xml:space="preserve"> </w:t>
      </w:r>
      <w:r>
        <w:t xml:space="preserve">(many varieties),</w:t>
      </w:r>
      <w:r>
        <w:t xml:space="preserve"> </w:t>
      </w:r>
      <w:r>
        <w:rPr>
          <w:bCs/>
          <w:b/>
        </w:rPr>
        <w:t xml:space="preserve">response surface designs</w:t>
      </w:r>
      <w:r>
        <w:t xml:space="preserve">,</w:t>
      </w:r>
      <w:r>
        <w:t xml:space="preserve"> </w:t>
      </w:r>
      <w:r>
        <w:rPr>
          <w:bCs/>
          <w:b/>
        </w:rPr>
        <w:t xml:space="preserve">on-farm trials</w:t>
      </w:r>
      <w:r>
        <w:t xml:space="preserve"> </w:t>
      </w:r>
      <w:r>
        <w:t xml:space="preserve">(farmers as replicates). Mean comparison: LSD/CD,</w:t>
      </w:r>
      <w:r>
        <w:t xml:space="preserve"> </w:t>
      </w:r>
      <w:r>
        <w:rPr>
          <w:bCs/>
          <w:b/>
        </w:rPr>
        <w:t xml:space="preserve">Duncan’s Multiple Range Test (DMRT)</w:t>
      </w:r>
      <w:r>
        <w:t xml:space="preserve">, Tukey’s HSD, Scheffé, Bonferroni.</w:t>
      </w:r>
      <w:r>
        <w:t xml:space="preserve"> </w:t>
      </w:r>
      <w:r>
        <w:rPr>
          <w:bCs/>
          <w:b/>
        </w:rPr>
        <w:t xml:space="preserve">ANOVA assumptions:</w:t>
      </w:r>
      <w:r>
        <w:t xml:space="preserve"> </w:t>
      </w:r>
      <w:r>
        <w:t xml:space="preserve">additivity of effects, independence, normality and homogeneity of error variance (checked by</w:t>
      </w:r>
      <w:r>
        <w:t xml:space="preserve"> </w:t>
      </w:r>
      <w:r>
        <w:rPr>
          <w:bCs/>
          <w:b/>
        </w:rPr>
        <w:t xml:space="preserve">Bartlett’s test</w:t>
      </w:r>
      <w:r>
        <w:t xml:space="preserve">); transformations when violated —</w:t>
      </w:r>
      <w:r>
        <w:t xml:space="preserve"> </w:t>
      </w:r>
      <w:r>
        <w:rPr>
          <w:bCs/>
          <w:b/>
        </w:rPr>
        <w:t xml:space="preserve">square root</w:t>
      </w:r>
      <w:r>
        <w:t xml:space="preserve"> </w:t>
      </w:r>
      <w:r>
        <w:t xml:space="preserve">for counts (insects),</w:t>
      </w:r>
      <w:r>
        <w:t xml:space="preserve"> </w:t>
      </w:r>
      <w:r>
        <w:rPr>
          <w:bCs/>
          <w:b/>
        </w:rPr>
        <w:t xml:space="preserve">arcsine</w:t>
      </w:r>
      <w:r>
        <w:t xml:space="preserve"> </w:t>
      </w:r>
      <m:oMath>
        <m:sSup>
          <m:e>
            <m:r>
              <m:rPr>
                <m:sty m:val="p"/>
              </m:rPr>
              <m:t>sin</m:t>
            </m:r>
          </m:e>
          <m:sup>
            <m:r>
              <m:rPr>
                <m:sty m:val="p"/>
              </m:rPr>
              <m:t>−</m:t>
            </m:r>
            <m:r>
              <m:t>1</m:t>
            </m:r>
          </m:sup>
        </m:sSup>
        <m:rad>
          <m:radPr>
            <m:degHide m:val="on"/>
          </m:radPr>
          <m:deg/>
          <m:e>
            <m:r>
              <m:t>p</m:t>
            </m:r>
          </m:e>
        </m:rad>
      </m:oMath>
      <w:r>
        <w:t xml:space="preserve"> </w:t>
      </w:r>
      <w:r>
        <w:t xml:space="preserve">for percentages (germination, disease incidence),</w:t>
      </w:r>
      <w:r>
        <w:t xml:space="preserve"> </w:t>
      </w:r>
      <w:r>
        <w:rPr>
          <w:bCs/>
          <w:b/>
        </w:rPr>
        <w:t xml:space="preserve">log</w:t>
      </w:r>
      <w:r>
        <w:t xml:space="preserve"> </w:t>
      </w:r>
      <w:r>
        <w:t xml:space="preserve">for multiplicative effects.</w:t>
      </w:r>
    </w:p>
    <w:p>
      <w:pPr>
        <w:pStyle w:val="Heading3"/>
      </w:pPr>
      <w:r>
        <w:t xml:space="preserve">52.2.8 Analysis of Variance — the logic</w:t>
      </w:r>
    </w:p>
    <w:p>
      <w:pPr>
        <w:pStyle w:val="FirstParagraph"/>
      </w:pPr>
      <w:r>
        <w:t xml:space="preserve">Total variation is partitioned into components due to identifiable sources and error:</w:t>
      </w:r>
    </w:p>
    <w:p>
      <w:pPr>
        <w:pStyle w:val="BodyText"/>
      </w:pPr>
      <m:oMathPara>
        <m:oMathParaPr>
          <m:jc m:val="center"/>
        </m:oMathParaPr>
        <m:oMath>
          <m:r>
            <m:t>S</m:t>
          </m:r>
          <m:sSub>
            <m:e>
              <m:r>
                <m:t>S</m:t>
              </m:r>
            </m:e>
            <m:sub>
              <m:r>
                <m:t>T</m:t>
              </m:r>
              <m:r>
                <m:t>o</m:t>
              </m:r>
              <m:r>
                <m:t>t</m:t>
              </m:r>
              <m:r>
                <m:t>a</m:t>
              </m:r>
              <m:r>
                <m:t>l</m:t>
              </m:r>
            </m:sub>
          </m:sSub>
          <m:r>
            <m:rPr>
              <m:sty m:val="p"/>
            </m:rPr>
            <m:t>=</m:t>
          </m:r>
          <m:r>
            <m:t>S</m:t>
          </m:r>
          <m:sSub>
            <m:e>
              <m:r>
                <m:t>S</m:t>
              </m:r>
            </m:e>
            <m:sub>
              <m:r>
                <m:t>T</m:t>
              </m:r>
              <m:r>
                <m:t>r</m:t>
              </m:r>
              <m:r>
                <m:t>e</m:t>
              </m:r>
              <m:r>
                <m:t>a</m:t>
              </m:r>
              <m:r>
                <m:t>t</m:t>
              </m:r>
              <m:r>
                <m:t>m</m:t>
              </m:r>
              <m:r>
                <m:t>e</m:t>
              </m:r>
              <m:r>
                <m:t>n</m:t>
              </m:r>
              <m:r>
                <m:t>t</m:t>
              </m:r>
            </m:sub>
          </m:sSub>
          <m:r>
            <m:rPr>
              <m:sty m:val="p"/>
            </m:rPr>
            <m:t>+</m:t>
          </m:r>
          <m:r>
            <m:t>S</m:t>
          </m:r>
          <m:sSub>
            <m:e>
              <m:r>
                <m:t>S</m:t>
              </m:r>
            </m:e>
            <m:sub>
              <m:r>
                <m:t>B</m:t>
              </m:r>
              <m:r>
                <m:t>l</m:t>
              </m:r>
              <m:r>
                <m:t>o</m:t>
              </m:r>
              <m:r>
                <m:t>c</m:t>
              </m:r>
              <m:r>
                <m:t>k</m:t>
              </m:r>
            </m:sub>
          </m:sSub>
          <m:r>
            <m:rPr>
              <m:sty m:val="p"/>
            </m:rPr>
            <m:t>+</m:t>
          </m:r>
          <m:r>
            <m:t>S</m:t>
          </m:r>
          <m:sSub>
            <m:e>
              <m:r>
                <m:t>S</m:t>
              </m:r>
            </m:e>
            <m:sub>
              <m:r>
                <m:t>E</m:t>
              </m:r>
              <m:r>
                <m:t>r</m:t>
              </m:r>
              <m:r>
                <m:t>r</m:t>
              </m:r>
              <m:r>
                <m:t>o</m:t>
              </m:r>
              <m:r>
                <m:t>r</m:t>
              </m:r>
            </m:sub>
          </m:sSub>
          <m:r>
            <m:rPr>
              <m:sty m:val="p"/>
            </m:rPr>
            <m:t>,</m:t>
          </m:r>
          <m:r>
            <m:t>  </m:t>
          </m:r>
          <m:r>
            <m:t>F</m:t>
          </m:r>
          <m:r>
            <m:rPr>
              <m:sty m:val="p"/>
            </m:rPr>
            <m:t>=</m:t>
          </m:r>
          <m:f>
            <m:fPr>
              <m:type m:val="bar"/>
            </m:fPr>
            <m:num>
              <m:r>
                <m:t>M</m:t>
              </m:r>
              <m:sSub>
                <m:e>
                  <m:r>
                    <m:t>S</m:t>
                  </m:r>
                </m:e>
                <m:sub>
                  <m:r>
                    <m:t>T</m:t>
                  </m:r>
                  <m:r>
                    <m:t>r</m:t>
                  </m:r>
                  <m:r>
                    <m:t>e</m:t>
                  </m:r>
                  <m:r>
                    <m:t>a</m:t>
                  </m:r>
                  <m:r>
                    <m:t>t</m:t>
                  </m:r>
                  <m:r>
                    <m:t>m</m:t>
                  </m:r>
                  <m:r>
                    <m:t>e</m:t>
                  </m:r>
                  <m:r>
                    <m:t>n</m:t>
                  </m:r>
                  <m:r>
                    <m:t>t</m:t>
                  </m:r>
                </m:sub>
              </m:sSub>
            </m:num>
            <m:den>
              <m:r>
                <m:t>M</m:t>
              </m:r>
              <m:sSub>
                <m:e>
                  <m:r>
                    <m:t>S</m:t>
                  </m:r>
                </m:e>
                <m:sub>
                  <m:r>
                    <m:t>E</m:t>
                  </m:r>
                  <m:r>
                    <m:t>r</m:t>
                  </m:r>
                  <m:r>
                    <m:t>r</m:t>
                  </m:r>
                  <m:r>
                    <m:t>o</m:t>
                  </m:r>
                  <m:r>
                    <m:t>r</m:t>
                  </m:r>
                </m:sub>
              </m:sSub>
            </m:den>
          </m:f>
        </m:oMath>
      </m:oMathPara>
    </w:p>
    <w:p>
      <w:pPr>
        <w:pStyle w:val="FirstParagraph"/>
      </w:pPr>
      <w:r>
        <w:t xml:space="preserve">If treatment means were equal, both MS estimate the same error variance (F ≈ 1); a large F (above table value at (t − 1, error df)) indicates real treatment differences.</w:t>
      </w:r>
    </w:p>
    <w:p>
      <w:pPr>
        <w:pStyle w:val="CaptionedFigure"/>
      </w:pPr>
      <w:r>
        <w:drawing>
          <wp:inline>
            <wp:extent cx="5334000" cy="2747010"/>
            <wp:effectExtent b="0" l="0" r="0" t="0"/>
            <wp:docPr descr="Field experiment — from planning to inference" title="" id="162" name="Picture"/>
            <a:graphic>
              <a:graphicData uri="http://schemas.openxmlformats.org/drawingml/2006/picture">
                <pic:pic>
                  <pic:nvPicPr>
                    <pic:cNvPr descr="/tmp/claude-0/-home-user-sonu/ab07c29a-21cd-5a4a-9d2d-68ad72d07153/scratchpad/build/../flows/flow_035.png" id="163" name="Picture"/>
                    <pic:cNvPicPr>
                      <a:picLocks noChangeArrowheads="1" noChangeAspect="1"/>
                    </pic:cNvPicPr>
                  </pic:nvPicPr>
                  <pic:blipFill>
                    <a:blip r:embed="rId161"/>
                    <a:stretch>
                      <a:fillRect/>
                    </a:stretch>
                  </pic:blipFill>
                  <pic:spPr bwMode="auto">
                    <a:xfrm>
                      <a:off x="0" y="0"/>
                      <a:ext cx="5334000" cy="2747010"/>
                    </a:xfrm>
                    <a:prstGeom prst="rect">
                      <a:avLst/>
                    </a:prstGeom>
                    <a:noFill/>
                    <a:ln w="9525">
                      <a:noFill/>
                      <a:headEnd/>
                      <a:tailEnd/>
                    </a:ln>
                  </pic:spPr>
                </pic:pic>
              </a:graphicData>
            </a:graphic>
          </wp:inline>
        </w:drawing>
      </w:r>
    </w:p>
    <w:p>
      <w:pPr>
        <w:pStyle w:val="ImageCaption"/>
      </w:pPr>
      <w:r>
        <w:t xml:space="preserve">Field experiment — from planning to inference</w:t>
      </w:r>
    </w:p>
    <w:p>
      <w:pPr>
        <w:pStyle w:val="Heading3"/>
      </w:pPr>
      <w:r>
        <w:t xml:space="preserve">52.2.9 Likely interview questions</w:t>
      </w:r>
    </w:p>
    <w:p>
      <w:pPr>
        <w:pStyle w:val="FirstParagraph"/>
      </w:pPr>
      <w:r>
        <w:rPr>
          <w:bCs/>
          <w:b/>
        </w:rPr>
        <w:t xml:space="preserve">Q. What are the three principles of experimental design?</w:t>
      </w:r>
      <w:r>
        <w:t xml:space="preserve"> </w:t>
      </w:r>
      <w:r>
        <w:t xml:space="preserve">Replication, randomisation, local control.</w:t>
      </w:r>
    </w:p>
    <w:p>
      <w:pPr>
        <w:pStyle w:val="BodyText"/>
      </w:pPr>
      <w:r>
        <w:rPr>
          <w:bCs/>
          <w:b/>
        </w:rPr>
        <w:t xml:space="preserve">Q. When do you use RBD vs LSD?</w:t>
      </w:r>
      <w:r>
        <w:t xml:space="preserve"> </w:t>
      </w:r>
      <w:r>
        <w:t xml:space="preserve">RBD for one-directional heterogeneity; LSD for two directions with few treatments.</w:t>
      </w:r>
    </w:p>
    <w:p>
      <w:pPr>
        <w:pStyle w:val="BodyText"/>
      </w:pPr>
      <w:r>
        <w:rPr>
          <w:bCs/>
          <w:b/>
        </w:rPr>
        <w:t xml:space="preserve">Q. Why does a split-plot design have two errors?</w:t>
      </w:r>
      <w:r>
        <w:t xml:space="preserve"> </w:t>
      </w:r>
      <w:r>
        <w:t xml:space="preserve">Main plots and sub-plots are randomised at different levels; main-plot comparisons use Error (a), sub-plot and interaction use Error (b).</w:t>
      </w:r>
    </w:p>
    <w:p>
      <w:pPr>
        <w:pStyle w:val="BodyText"/>
      </w:pPr>
      <w:r>
        <w:rPr>
          <w:bCs/>
          <w:b/>
        </w:rPr>
        <w:t xml:space="preserve">Q. Define Type I and Type II error and their relation.</w:t>
      </w:r>
      <w:r>
        <w:t xml:space="preserve"> </w:t>
      </w:r>
      <w:r>
        <w:t xml:space="preserve">Rejecting a true H₀ (α) vs. accepting a false H₀ (β); for fixed n, lowering one raises the other.</w:t>
      </w:r>
    </w:p>
    <w:p>
      <w:pPr>
        <w:pStyle w:val="BodyText"/>
      </w:pPr>
      <w:r>
        <w:rPr>
          <w:bCs/>
          <w:b/>
        </w:rPr>
        <w:t xml:space="preserve">Q. What does p = 0.03 mean?</w:t>
      </w:r>
      <w:r>
        <w:t xml:space="preserve"> </w:t>
      </w:r>
      <w:r>
        <w:t xml:space="preserve">If H₀ were true, results this extreme would occur only 3% of the time; significant at 5%, not at 1%.</w:t>
      </w:r>
    </w:p>
    <w:p>
      <w:pPr>
        <w:pStyle w:val="BodyText"/>
      </w:pPr>
      <w:r>
        <w:rPr>
          <w:bCs/>
          <w:b/>
        </w:rPr>
        <w:t xml:space="preserve">Q. How do you compute CD in RBD?</w:t>
      </w:r>
      <w:r>
        <w:t xml:space="preserve"> </w:t>
      </w:r>
      <m:oMath>
        <m:sSub>
          <m:e>
            <m:r>
              <m:t>t</m:t>
            </m:r>
          </m:e>
          <m:sub>
            <m:r>
              <m:t>e</m:t>
            </m:r>
            <m:r>
              <m:t>r</m:t>
            </m:r>
            <m:r>
              <m:t>r</m:t>
            </m:r>
            <m:r>
              <m:t>o</m:t>
            </m:r>
            <m:r>
              <m:t>r</m:t>
            </m:r>
            <m:r>
              <m:t> </m:t>
            </m:r>
            <m:r>
              <m:t>d</m:t>
            </m:r>
            <m:r>
              <m:t>f</m:t>
            </m:r>
          </m:sub>
        </m:sSub>
        <m:r>
          <m:rPr>
            <m:sty m:val="p"/>
          </m:rPr>
          <m:t>×</m:t>
        </m:r>
        <m:rad>
          <m:radPr>
            <m:degHide m:val="on"/>
          </m:radPr>
          <m:deg/>
          <m:e>
            <m:r>
              <m:t>2</m:t>
            </m:r>
            <m:r>
              <m:t>E</m:t>
            </m:r>
            <m:r>
              <m:t>M</m:t>
            </m:r>
            <m:r>
              <m:t>S</m:t>
            </m:r>
            <m:r>
              <m:rPr>
                <m:sty m:val="p"/>
              </m:rPr>
              <m:t>/</m:t>
            </m:r>
            <m:r>
              <m:t>r</m:t>
            </m:r>
          </m:e>
        </m:rad>
      </m:oMath>
      <w:r>
        <w:t xml:space="preserve">.</w:t>
      </w:r>
    </w:p>
    <w:p>
      <w:pPr>
        <w:pStyle w:val="Heading1"/>
      </w:pPr>
      <w:r>
        <w:t xml:space="preserve">Chapter 53. Correlation and Regression</w:t>
      </w:r>
    </w:p>
    <w:p>
      <w:pPr>
        <w:pStyle w:val="Heading2"/>
      </w:pPr>
      <w:r>
        <w:t xml:space="preserve">53.1 Correlation</w:t>
      </w:r>
    </w:p>
    <w:p>
      <w:pPr>
        <w:pStyle w:val="FirstParagraph"/>
      </w:pPr>
      <w:r>
        <w:rPr>
          <w:bCs/>
          <w:b/>
        </w:rPr>
        <w:t xml:space="preserve">Correlation</w:t>
      </w:r>
      <w:r>
        <w:t xml:space="preserve"> </w:t>
      </w:r>
      <w:r>
        <w:t xml:space="preserve">measures the strength and direction of linear association between two variables; it does</w:t>
      </w:r>
      <w:r>
        <w:t xml:space="preserve"> </w:t>
      </w:r>
      <w:r>
        <w:rPr>
          <w:bCs/>
          <w:b/>
        </w:rPr>
        <w:t xml:space="preserve">not</w:t>
      </w:r>
      <w:r>
        <w:t xml:space="preserve"> </w:t>
      </w:r>
      <w:r>
        <w:t xml:space="preserve">imply causation (a spurious correlation can arise from a common driver, e.g., both NDVI and yield rising with irrigation).</w:t>
      </w:r>
    </w:p>
    <w:p>
      <w:pPr>
        <w:pStyle w:val="Heading3"/>
      </w:pPr>
      <w:r>
        <w:t xml:space="preserve">53.1.1 Karl Pearson’s product-moment correlation</w:t>
      </w:r>
    </w:p>
    <w:p>
      <w:pPr>
        <w:pStyle w:val="FirstParagraph"/>
      </w:pPr>
      <m:oMathPara>
        <m:oMathParaPr>
          <m:jc m:val="center"/>
        </m:oMathParaPr>
        <m:oMath>
          <m:r>
            <m:t>r</m:t>
          </m:r>
          <m:r>
            <m:rPr>
              <m:sty m:val="p"/>
            </m:rPr>
            <m:t>=</m:t>
          </m:r>
          <m:f>
            <m:fPr>
              <m:type m:val="bar"/>
            </m:fPr>
            <m:num>
              <m:r>
                <m:rPr>
                  <m:sty m:val="p"/>
                </m:rPr>
                <m:t>cov</m:t>
              </m:r>
              <m:d>
                <m:dPr>
                  <m:begChr m:val="("/>
                  <m:endChr m:val=")"/>
                  <m:sepChr m:val=""/>
                  <m:grow/>
                </m:dPr>
                <m:e>
                  <m:r>
                    <m:t>x</m:t>
                  </m:r>
                  <m:r>
                    <m:rPr>
                      <m:sty m:val="p"/>
                    </m:rPr>
                    <m:t>,</m:t>
                  </m:r>
                  <m:r>
                    <m:t>y</m:t>
                  </m:r>
                </m:e>
              </m:d>
            </m:num>
            <m:den>
              <m:sSub>
                <m:e>
                  <m:r>
                    <m:t>s</m:t>
                  </m:r>
                </m:e>
                <m:sub>
                  <m:r>
                    <m:t>x</m:t>
                  </m:r>
                </m:sub>
              </m:sSub>
              <m:sSub>
                <m:e>
                  <m:r>
                    <m:t>s</m:t>
                  </m:r>
                </m:e>
                <m:sub>
                  <m:r>
                    <m:t>y</m:t>
                  </m:r>
                </m:sub>
              </m:sSub>
            </m:den>
          </m:f>
          <m:r>
            <m:rPr>
              <m:sty m:val="p"/>
            </m:rPr>
            <m:t>=</m:t>
          </m:r>
          <m:f>
            <m:fPr>
              <m:type m:val="bar"/>
            </m:fPr>
            <m:num>
              <m:r>
                <m:rPr>
                  <m:sty m:val="p"/>
                </m:rPr>
                <m:t>∑</m:t>
              </m:r>
              <m:d>
                <m:dPr>
                  <m:begChr m:val="("/>
                  <m:endChr m:val=")"/>
                  <m:sepChr m:val=""/>
                  <m:grow/>
                </m:dPr>
                <m:e>
                  <m:r>
                    <m:t>x</m:t>
                  </m:r>
                  <m:r>
                    <m:rPr>
                      <m:sty m:val="p"/>
                    </m:rPr>
                    <m:t>−</m:t>
                  </m:r>
                  <m:acc>
                    <m:accPr>
                      <m:chr m:val="‾"/>
                    </m:accPr>
                    <m:e>
                      <m:r>
                        <m:t>x</m:t>
                      </m:r>
                    </m:e>
                  </m:acc>
                </m:e>
              </m:d>
              <m:d>
                <m:dPr>
                  <m:begChr m:val="("/>
                  <m:endChr m:val=")"/>
                  <m:sepChr m:val=""/>
                  <m:grow/>
                </m:dPr>
                <m:e>
                  <m:r>
                    <m:t>y</m:t>
                  </m:r>
                  <m:r>
                    <m:rPr>
                      <m:sty m:val="p"/>
                    </m:rPr>
                    <m:t>−</m:t>
                  </m:r>
                  <m:acc>
                    <m:accPr>
                      <m:chr m:val="‾"/>
                    </m:accPr>
                    <m:e>
                      <m:r>
                        <m:t>y</m:t>
                      </m:r>
                    </m:e>
                  </m:acc>
                </m:e>
              </m:d>
            </m:num>
            <m:den>
              <m:rad>
                <m:radPr>
                  <m:degHide m:val="on"/>
                </m:radPr>
                <m:deg/>
                <m:e>
                  <m:r>
                    <m:rPr>
                      <m:sty m:val="p"/>
                    </m:rPr>
                    <m:t>∑</m:t>
                  </m:r>
                  <m:sSup>
                    <m:e>
                      <m:d>
                        <m:dPr>
                          <m:begChr m:val="("/>
                          <m:endChr m:val=")"/>
                          <m:sepChr m:val=""/>
                          <m:grow/>
                        </m:dPr>
                        <m:e>
                          <m:r>
                            <m:t>x</m:t>
                          </m:r>
                          <m:r>
                            <m:rPr>
                              <m:sty m:val="p"/>
                            </m:rPr>
                            <m:t>−</m:t>
                          </m:r>
                          <m:acc>
                            <m:accPr>
                              <m:chr m:val="‾"/>
                            </m:accPr>
                            <m:e>
                              <m:r>
                                <m:t>x</m:t>
                              </m:r>
                            </m:e>
                          </m:acc>
                        </m:e>
                      </m:d>
                    </m:e>
                    <m:sup>
                      <m:r>
                        <m:t>2</m:t>
                      </m:r>
                    </m:sup>
                  </m:sSup>
                  <m:r>
                    <m:rPr>
                      <m:sty m:val="p"/>
                    </m:rPr>
                    <m:t>∑</m:t>
                  </m:r>
                  <m:sSup>
                    <m:e>
                      <m:d>
                        <m:dPr>
                          <m:begChr m:val="("/>
                          <m:endChr m:val=")"/>
                          <m:sepChr m:val=""/>
                          <m:grow/>
                        </m:dPr>
                        <m:e>
                          <m:r>
                            <m:t>y</m:t>
                          </m:r>
                          <m:r>
                            <m:rPr>
                              <m:sty m:val="p"/>
                            </m:rPr>
                            <m:t>−</m:t>
                          </m:r>
                          <m:acc>
                            <m:accPr>
                              <m:chr m:val="‾"/>
                            </m:accPr>
                            <m:e>
                              <m:r>
                                <m:t>y</m:t>
                              </m:r>
                            </m:e>
                          </m:acc>
                        </m:e>
                      </m:d>
                    </m:e>
                    <m:sup>
                      <m:r>
                        <m:t>2</m:t>
                      </m:r>
                    </m:sup>
                  </m:sSup>
                </m:e>
              </m:rad>
            </m:den>
          </m:f>
          <m:r>
            <m:rPr>
              <m:sty m:val="p"/>
            </m:rPr>
            <m:t>=</m:t>
          </m:r>
          <m:f>
            <m:fPr>
              <m:type m:val="bar"/>
            </m:fPr>
            <m:num>
              <m:r>
                <m:t>n</m:t>
              </m:r>
              <m:r>
                <m:rPr>
                  <m:sty m:val="p"/>
                </m:rPr>
                <m:t>∑</m:t>
              </m:r>
              <m:r>
                <m:t>x</m:t>
              </m:r>
              <m:r>
                <m:t>y</m:t>
              </m:r>
              <m:r>
                <m:rPr>
                  <m:sty m:val="p"/>
                </m:rPr>
                <m:t>−</m:t>
              </m:r>
              <m:r>
                <m:rPr>
                  <m:sty m:val="p"/>
                </m:rPr>
                <m:t>∑</m:t>
              </m:r>
              <m:r>
                <m:t>x</m:t>
              </m:r>
              <m:r>
                <m:rPr>
                  <m:sty m:val="p"/>
                </m:rPr>
                <m:t>∑</m:t>
              </m:r>
              <m:r>
                <m:t>y</m:t>
              </m:r>
            </m:num>
            <m:den>
              <m:rad>
                <m:radPr>
                  <m:degHide m:val="on"/>
                </m:radPr>
                <m:deg/>
                <m:e>
                  <m:d>
                    <m:dPr>
                      <m:begChr m:val="["/>
                      <m:endChr m:val="]"/>
                      <m:sepChr m:val=""/>
                      <m:grow/>
                    </m:dPr>
                    <m:e>
                      <m:r>
                        <m:t>n</m:t>
                      </m:r>
                      <m:r>
                        <m:rPr>
                          <m:sty m:val="p"/>
                        </m:rPr>
                        <m:t>∑</m:t>
                      </m:r>
                      <m:sSup>
                        <m:e>
                          <m:r>
                            <m:t>x</m:t>
                          </m:r>
                        </m:e>
                        <m:sup>
                          <m:r>
                            <m:t>2</m:t>
                          </m:r>
                        </m:sup>
                      </m:sSup>
                      <m:r>
                        <m:rPr>
                          <m:sty m:val="p"/>
                        </m:rPr>
                        <m:t>−</m:t>
                      </m:r>
                      <m:sSup>
                        <m:e>
                          <m:d>
                            <m:dPr>
                              <m:begChr m:val="("/>
                              <m:endChr m:val=")"/>
                              <m:sepChr m:val=""/>
                              <m:grow/>
                            </m:dPr>
                            <m:e>
                              <m:r>
                                <m:rPr>
                                  <m:sty m:val="p"/>
                                </m:rPr>
                                <m:t>∑</m:t>
                              </m:r>
                              <m:r>
                                <m:t>x</m:t>
                              </m:r>
                            </m:e>
                          </m:d>
                        </m:e>
                        <m:sup>
                          <m:r>
                            <m:t>2</m:t>
                          </m:r>
                        </m:sup>
                      </m:sSup>
                    </m:e>
                  </m:d>
                  <m:d>
                    <m:dPr>
                      <m:begChr m:val="["/>
                      <m:endChr m:val="]"/>
                      <m:sepChr m:val=""/>
                      <m:grow/>
                    </m:dPr>
                    <m:e>
                      <m:r>
                        <m:t>n</m:t>
                      </m:r>
                      <m:r>
                        <m:rPr>
                          <m:sty m:val="p"/>
                        </m:rPr>
                        <m:t>∑</m:t>
                      </m:r>
                      <m:sSup>
                        <m:e>
                          <m:r>
                            <m:t>y</m:t>
                          </m:r>
                        </m:e>
                        <m:sup>
                          <m:r>
                            <m:t>2</m:t>
                          </m:r>
                        </m:sup>
                      </m:sSup>
                      <m:r>
                        <m:rPr>
                          <m:sty m:val="p"/>
                        </m:rPr>
                        <m:t>−</m:t>
                      </m:r>
                      <m:sSup>
                        <m:e>
                          <m:d>
                            <m:dPr>
                              <m:begChr m:val="("/>
                              <m:endChr m:val=")"/>
                              <m:sepChr m:val=""/>
                              <m:grow/>
                            </m:dPr>
                            <m:e>
                              <m:r>
                                <m:rPr>
                                  <m:sty m:val="p"/>
                                </m:rPr>
                                <m:t>∑</m:t>
                              </m:r>
                              <m:r>
                                <m:t>y</m:t>
                              </m:r>
                            </m:e>
                          </m:d>
                        </m:e>
                        <m:sup>
                          <m:r>
                            <m:t>2</m:t>
                          </m:r>
                        </m:sup>
                      </m:sSup>
                    </m:e>
                  </m:d>
                </m:e>
              </m:rad>
            </m:den>
          </m:f>
        </m:oMath>
      </m:oMathPara>
    </w:p>
    <w:p>
      <w:pPr>
        <w:pStyle w:val="FirstParagraph"/>
      </w:pPr>
      <w:r>
        <w:rPr>
          <w:bCs/>
          <w:b/>
        </w:rPr>
        <w:t xml:space="preserve">Properties:</w:t>
      </w:r>
      <w:r>
        <w:t xml:space="preserve"> </w:t>
      </w:r>
      <w:r>
        <w:t xml:space="preserve">−1 ≤ r ≤ +1; independent of change of origin and scale (only sign changes if one scale is negated); symmetric (r_xy = r_yx); r = 0 means no</w:t>
      </w:r>
      <w:r>
        <w:t xml:space="preserve"> </w:t>
      </w:r>
      <w:r>
        <w:rPr>
          <w:iCs/>
          <w:i/>
        </w:rPr>
        <w:t xml:space="preserve">linear</w:t>
      </w:r>
      <w:r>
        <w:t xml:space="preserve"> </w:t>
      </w:r>
      <w:r>
        <w:t xml:space="preserve">relation (a curvilinear one may exist);</w:t>
      </w:r>
      <w:r>
        <w:t xml:space="preserve"> </w:t>
      </w:r>
      <m:oMath>
        <m:r>
          <m:t>r</m:t>
        </m:r>
        <m:r>
          <m:rPr>
            <m:sty m:val="p"/>
          </m:rPr>
          <m:t>=</m:t>
        </m:r>
        <m:r>
          <m:rPr>
            <m:sty m:val="p"/>
          </m:rPr>
          <m:t>±</m:t>
        </m:r>
        <m:rad>
          <m:radPr>
            <m:degHide m:val="on"/>
          </m:radPr>
          <m:deg/>
          <m:e>
            <m:sSub>
              <m:e>
                <m:r>
                  <m:t>b</m:t>
                </m:r>
              </m:e>
              <m:sub>
                <m:r>
                  <m:t>y</m:t>
                </m:r>
                <m:r>
                  <m:t>x</m:t>
                </m:r>
              </m:sub>
            </m:sSub>
            <m:sSub>
              <m:e>
                <m:r>
                  <m:t>b</m:t>
                </m:r>
              </m:e>
              <m:sub>
                <m:r>
                  <m:t>x</m:t>
                </m:r>
                <m:r>
                  <m:t>y</m:t>
                </m:r>
              </m:sub>
            </m:sSub>
          </m:e>
        </m:rad>
      </m:oMath>
      <w:r>
        <w:t xml:space="preserve"> </w:t>
      </w:r>
      <w:r>
        <w:t xml:space="preserve">(geometric mean of the two regression coefficients). Significance:</w:t>
      </w:r>
      <w:r>
        <w:t xml:space="preserve"> </w:t>
      </w:r>
      <m:oMath>
        <m:r>
          <m:t>t</m:t>
        </m:r>
        <m:r>
          <m:rPr>
            <m:sty m:val="p"/>
          </m:rPr>
          <m:t>=</m:t>
        </m:r>
        <m:r>
          <m:t>r</m:t>
        </m:r>
        <m:rad>
          <m:radPr>
            <m:degHide m:val="on"/>
          </m:radPr>
          <m:deg/>
          <m:e>
            <m:r>
              <m:t>n</m:t>
            </m:r>
            <m:r>
              <m:rPr>
                <m:sty m:val="p"/>
              </m:rPr>
              <m:t>−</m:t>
            </m:r>
            <m:r>
              <m:t>2</m:t>
            </m:r>
          </m:e>
        </m:rad>
        <m:r>
          <m:rPr>
            <m:sty m:val="p"/>
          </m:rPr>
          <m:t>/</m:t>
        </m:r>
        <m:rad>
          <m:radPr>
            <m:degHide m:val="on"/>
          </m:radPr>
          <m:deg/>
          <m:e>
            <m:r>
              <m:t>1</m:t>
            </m:r>
            <m:r>
              <m:rPr>
                <m:sty m:val="p"/>
              </m:rPr>
              <m:t>−</m:t>
            </m:r>
            <m:sSup>
              <m:e>
                <m:r>
                  <m:t>r</m:t>
                </m:r>
              </m:e>
              <m:sup>
                <m:r>
                  <m:t>2</m:t>
                </m:r>
              </m:sup>
            </m:sSup>
          </m:e>
        </m:rad>
      </m:oMath>
      <w:r>
        <w:t xml:space="preserve">; for meta-analysis Fisher’s</w:t>
      </w:r>
      <w:r>
        <w:t xml:space="preserve"> </w:t>
      </w:r>
      <m:oMath>
        <m:r>
          <m:t>z</m:t>
        </m:r>
        <m:r>
          <m:rPr>
            <m:sty m:val="p"/>
          </m:rPr>
          <m:t>=</m:t>
        </m:r>
        <m:f>
          <m:fPr>
            <m:type m:val="lin"/>
          </m:fPr>
          <m:num>
            <m:r>
              <m:t>1</m:t>
            </m:r>
          </m:num>
          <m:den>
            <m:r>
              <m:t>2</m:t>
            </m:r>
          </m:den>
        </m:f>
        <m:r>
          <m:rPr>
            <m:sty m:val="p"/>
          </m:rPr>
          <m:t>ln</m:t>
        </m:r>
        <m:f>
          <m:fPr>
            <m:type m:val="bar"/>
          </m:fPr>
          <m:num>
            <m:r>
              <m:t>1</m:t>
            </m:r>
            <m:r>
              <m:rPr>
                <m:sty m:val="p"/>
              </m:rPr>
              <m:t>+</m:t>
            </m:r>
            <m:r>
              <m:t>r</m:t>
            </m:r>
          </m:num>
          <m:den>
            <m:r>
              <m:t>1</m:t>
            </m:r>
            <m:r>
              <m:rPr>
                <m:sty m:val="p"/>
              </m:rPr>
              <m:t>−</m:t>
            </m:r>
            <m:r>
              <m:t>r</m:t>
            </m:r>
          </m:den>
        </m:f>
      </m:oMath>
      <w:r>
        <w:t xml:space="preserve">. Standard error</w:t>
      </w:r>
      <w:r>
        <w:t xml:space="preserve"> </w:t>
      </w:r>
      <m:oMath>
        <m:r>
          <m:t>S</m:t>
        </m:r>
        <m:sSub>
          <m:e>
            <m:r>
              <m:t>E</m:t>
            </m:r>
          </m:e>
          <m:sub>
            <m:r>
              <m:t>r</m:t>
            </m:r>
          </m:sub>
        </m:sSub>
        <m:r>
          <m:rPr>
            <m:sty m:val="p"/>
          </m:rPr>
          <m:t>=</m:t>
        </m:r>
        <m:d>
          <m:dPr>
            <m:begChr m:val="("/>
            <m:endChr m:val=")"/>
            <m:sepChr m:val=""/>
            <m:grow/>
          </m:dPr>
          <m:e>
            <m:r>
              <m:t>1</m:t>
            </m:r>
            <m:r>
              <m:rPr>
                <m:sty m:val="p"/>
              </m:rPr>
              <m:t>−</m:t>
            </m:r>
            <m:sSup>
              <m:e>
                <m:r>
                  <m:t>r</m:t>
                </m:r>
              </m:e>
              <m:sup>
                <m:r>
                  <m:t>2</m:t>
                </m:r>
              </m:sup>
            </m:sSup>
          </m:e>
        </m:d>
        <m:r>
          <m:rPr>
            <m:sty m:val="p"/>
          </m:rPr>
          <m:t>/</m:t>
        </m:r>
        <m:rad>
          <m:radPr>
            <m:degHide m:val="on"/>
          </m:radPr>
          <m:deg/>
          <m:e>
            <m:r>
              <m:t>n</m:t>
            </m:r>
          </m:e>
        </m:rad>
      </m:oMath>
      <w:r>
        <w:t xml:space="preserve">; probable error</w:t>
      </w:r>
      <w:r>
        <w:t xml:space="preserve"> </w:t>
      </w:r>
      <m:oMath>
        <m:r>
          <m:t>P</m:t>
        </m:r>
        <m:r>
          <m:t>E</m:t>
        </m:r>
        <m:r>
          <m:rPr>
            <m:sty m:val="p"/>
          </m:rPr>
          <m:t>=</m:t>
        </m:r>
        <m:r>
          <m:t>0.6745</m:t>
        </m:r>
        <m:r>
          <m:t> </m:t>
        </m:r>
        <m:r>
          <m:t>S</m:t>
        </m:r>
        <m:sSub>
          <m:e>
            <m:r>
              <m:t>E</m:t>
            </m:r>
          </m:e>
          <m:sub>
            <m:r>
              <m:t>r</m:t>
            </m:r>
          </m:sub>
        </m:sSub>
      </m:oMath>
      <w:r>
        <w:t xml:space="preserve">.</w:t>
      </w:r>
    </w:p>
    <w:p>
      <w:pPr>
        <w:pStyle w:val="BodyText"/>
      </w:pPr>
      <w:r>
        <w:rPr>
          <w:bCs/>
          <w:b/>
        </w:rPr>
        <w:t xml:space="preserve">Interpretation guide:</w:t>
      </w:r>
      <w:r>
        <w:t xml:space="preserve"> </w:t>
      </w:r>
      <w:r>
        <w:t xml:space="preserve">|r| &lt; 0.3 weak, 0.3–0.7 moderate, &gt; 0.7 strong.</w:t>
      </w:r>
      <w:r>
        <w:t xml:space="preserve"> </w:t>
      </w:r>
      <w:r>
        <w:rPr>
          <w:bCs/>
          <w:b/>
        </w:rPr>
        <w:t xml:space="preserve">Coefficient of determination</w:t>
      </w:r>
      <w:r>
        <w:t xml:space="preserve"> </w:t>
      </w:r>
      <w:r>
        <w:t xml:space="preserve">r² = proportion of variance in y explained by x.</w:t>
      </w:r>
    </w:p>
    <w:p>
      <w:pPr>
        <w:pStyle w:val="Heading3"/>
      </w:pPr>
      <w:r>
        <w:t xml:space="preserve">53.1.2 Spearman’s rank correlation</w:t>
      </w:r>
    </w:p>
    <w:p>
      <w:pPr>
        <w:pStyle w:val="FirstParagraph"/>
      </w:pPr>
      <m:oMathPara>
        <m:oMathParaPr>
          <m:jc m:val="center"/>
        </m:oMathParaPr>
        <m:oMath>
          <m:r>
            <m:t>ρ</m:t>
          </m:r>
          <m:r>
            <m:rPr>
              <m:sty m:val="p"/>
            </m:rPr>
            <m:t>=</m:t>
          </m:r>
          <m:r>
            <m:t>1</m:t>
          </m:r>
          <m:r>
            <m:rPr>
              <m:sty m:val="p"/>
            </m:rPr>
            <m:t>−</m:t>
          </m:r>
          <m:f>
            <m:fPr>
              <m:type m:val="bar"/>
            </m:fPr>
            <m:num>
              <m:r>
                <m:t>6</m:t>
              </m:r>
              <m:r>
                <m:rPr>
                  <m:sty m:val="p"/>
                </m:rPr>
                <m:t>∑</m:t>
              </m:r>
              <m:sSubSup>
                <m:e>
                  <m:r>
                    <m:t>d</m:t>
                  </m:r>
                </m:e>
                <m:sub>
                  <m:r>
                    <m:t>i</m:t>
                  </m:r>
                </m:sub>
                <m:sup>
                  <m:r>
                    <m:t>2</m:t>
                  </m:r>
                </m:sup>
              </m:sSubSup>
            </m:num>
            <m:den>
              <m:r>
                <m:t>n</m:t>
              </m:r>
              <m:d>
                <m:dPr>
                  <m:begChr m:val="("/>
                  <m:endChr m:val=")"/>
                  <m:sepChr m:val=""/>
                  <m:grow/>
                </m:dPr>
                <m:e>
                  <m:sSup>
                    <m:e>
                      <m:r>
                        <m:t>n</m:t>
                      </m:r>
                    </m:e>
                    <m:sup>
                      <m:r>
                        <m:t>2</m:t>
                      </m:r>
                    </m:sup>
                  </m:sSup>
                  <m:r>
                    <m:rPr>
                      <m:sty m:val="p"/>
                    </m:rPr>
                    <m:t>−</m:t>
                  </m:r>
                  <m:r>
                    <m:t>1</m:t>
                  </m:r>
                </m:e>
              </m:d>
            </m:den>
          </m:f>
        </m:oMath>
      </m:oMathPara>
    </w:p>
    <w:p>
      <w:pPr>
        <w:pStyle w:val="FirstParagraph"/>
      </w:pPr>
      <w:r>
        <w:t xml:space="preserve">(d = difference in ranks; correction for ties). Non-parametric, measures</w:t>
      </w:r>
      <w:r>
        <w:t xml:space="preserve"> </w:t>
      </w:r>
      <w:r>
        <w:rPr>
          <w:bCs/>
          <w:b/>
        </w:rPr>
        <w:t xml:space="preserve">monotonic</w:t>
      </w:r>
      <w:r>
        <w:t xml:space="preserve"> </w:t>
      </w:r>
      <w:r>
        <w:t xml:space="preserve">relations, robust to outliers — used for ranking districts by drought severity or comparing variety ranks across locations.</w:t>
      </w:r>
      <w:r>
        <w:t xml:space="preserve"> </w:t>
      </w:r>
      <w:r>
        <w:rPr>
          <w:bCs/>
          <w:b/>
        </w:rPr>
        <w:t xml:space="preserve">Kendall’s τ</w:t>
      </w:r>
      <w:r>
        <w:t xml:space="preserve"> </w:t>
      </w:r>
      <w:r>
        <w:t xml:space="preserve">is another rank measure.</w:t>
      </w:r>
    </w:p>
    <w:p>
      <w:pPr>
        <w:pStyle w:val="Heading3"/>
      </w:pPr>
      <w:r>
        <w:t xml:space="preserve">53.1.3 Other correlation types</w:t>
      </w:r>
    </w:p>
    <w:p>
      <w:pPr>
        <w:pStyle w:val="Compact"/>
        <w:numPr>
          <w:ilvl w:val="0"/>
          <w:numId w:val="1401"/>
        </w:numPr>
      </w:pPr>
      <w:r>
        <w:rPr>
          <w:bCs/>
          <w:b/>
        </w:rPr>
        <w:t xml:space="preserve">Partial correlation</w:t>
      </w:r>
      <w:r>
        <w:t xml:space="preserve"> </w:t>
      </w:r>
      <w:r>
        <w:t xml:space="preserve">— between two variables holding a third constant:</w:t>
      </w:r>
      <w:r>
        <w:t xml:space="preserve"> </w:t>
      </w:r>
      <m:oMath>
        <m:sSub>
          <m:e>
            <m:r>
              <m:t>r</m:t>
            </m:r>
          </m:e>
          <m:sub>
            <m:r>
              <m:t>12.3</m:t>
            </m:r>
          </m:sub>
        </m:sSub>
        <m:r>
          <m:rPr>
            <m:sty m:val="p"/>
          </m:rPr>
          <m:t>=</m:t>
        </m:r>
        <m:f>
          <m:fPr>
            <m:type m:val="bar"/>
          </m:fPr>
          <m:num>
            <m:sSub>
              <m:e>
                <m:r>
                  <m:t>r</m:t>
                </m:r>
              </m:e>
              <m:sub>
                <m:r>
                  <m:t>12</m:t>
                </m:r>
              </m:sub>
            </m:sSub>
            <m:r>
              <m:rPr>
                <m:sty m:val="p"/>
              </m:rPr>
              <m:t>−</m:t>
            </m:r>
            <m:sSub>
              <m:e>
                <m:r>
                  <m:t>r</m:t>
                </m:r>
              </m:e>
              <m:sub>
                <m:r>
                  <m:t>13</m:t>
                </m:r>
              </m:sub>
            </m:sSub>
            <m:sSub>
              <m:e>
                <m:r>
                  <m:t>r</m:t>
                </m:r>
              </m:e>
              <m:sub>
                <m:r>
                  <m:t>23</m:t>
                </m:r>
              </m:sub>
            </m:sSub>
          </m:num>
          <m:den>
            <m:rad>
              <m:radPr>
                <m:degHide m:val="on"/>
              </m:radPr>
              <m:deg/>
              <m:e>
                <m:d>
                  <m:dPr>
                    <m:begChr m:val="("/>
                    <m:endChr m:val=")"/>
                    <m:sepChr m:val=""/>
                    <m:grow/>
                  </m:dPr>
                  <m:e>
                    <m:r>
                      <m:t>1</m:t>
                    </m:r>
                    <m:r>
                      <m:rPr>
                        <m:sty m:val="p"/>
                      </m:rPr>
                      <m:t>−</m:t>
                    </m:r>
                    <m:sSubSup>
                      <m:e>
                        <m:r>
                          <m:t>r</m:t>
                        </m:r>
                      </m:e>
                      <m:sub>
                        <m:r>
                          <m:t>13</m:t>
                        </m:r>
                      </m:sub>
                      <m:sup>
                        <m:r>
                          <m:t>2</m:t>
                        </m:r>
                      </m:sup>
                    </m:sSubSup>
                  </m:e>
                </m:d>
                <m:d>
                  <m:dPr>
                    <m:begChr m:val="("/>
                    <m:endChr m:val=")"/>
                    <m:sepChr m:val=""/>
                    <m:grow/>
                  </m:dPr>
                  <m:e>
                    <m:r>
                      <m:t>1</m:t>
                    </m:r>
                    <m:r>
                      <m:rPr>
                        <m:sty m:val="p"/>
                      </m:rPr>
                      <m:t>−</m:t>
                    </m:r>
                    <m:sSubSup>
                      <m:e>
                        <m:r>
                          <m:t>r</m:t>
                        </m:r>
                      </m:e>
                      <m:sub>
                        <m:r>
                          <m:t>23</m:t>
                        </m:r>
                      </m:sub>
                      <m:sup>
                        <m:r>
                          <m:t>2</m:t>
                        </m:r>
                      </m:sup>
                    </m:sSubSup>
                  </m:e>
                </m:d>
              </m:e>
            </m:rad>
          </m:den>
        </m:f>
      </m:oMath>
      <w:r>
        <w:t xml:space="preserve"> </w:t>
      </w:r>
      <w:r>
        <w:t xml:space="preserve">(e.g., yield–rainfall correlation after removing temperature effect).</w:t>
      </w:r>
    </w:p>
    <w:p>
      <w:pPr>
        <w:pStyle w:val="Compact"/>
        <w:numPr>
          <w:ilvl w:val="0"/>
          <w:numId w:val="1401"/>
        </w:numPr>
      </w:pPr>
      <w:r>
        <w:rPr>
          <w:bCs/>
          <w:b/>
        </w:rPr>
        <w:t xml:space="preserve">Multiple correlation</w:t>
      </w:r>
      <w:r>
        <w:t xml:space="preserve"> </w:t>
      </w:r>
      <m:oMath>
        <m:sSub>
          <m:e>
            <m:r>
              <m:t>R</m:t>
            </m:r>
          </m:e>
          <m:sub>
            <m:r>
              <m:t>1.23</m:t>
            </m:r>
          </m:sub>
        </m:sSub>
        <m:r>
          <m:rPr>
            <m:sty m:val="p"/>
          </m:rPr>
          <m:t>=</m:t>
        </m:r>
        <m:rad>
          <m:radPr>
            <m:degHide m:val="on"/>
          </m:radPr>
          <m:deg/>
          <m:e>
            <m:f>
              <m:fPr>
                <m:type m:val="bar"/>
              </m:fPr>
              <m:num>
                <m:sSubSup>
                  <m:e>
                    <m:r>
                      <m:t>r</m:t>
                    </m:r>
                  </m:e>
                  <m:sub>
                    <m:r>
                      <m:t>12</m:t>
                    </m:r>
                  </m:sub>
                  <m:sup>
                    <m:r>
                      <m:t>2</m:t>
                    </m:r>
                  </m:sup>
                </m:sSubSup>
                <m:r>
                  <m:rPr>
                    <m:sty m:val="p"/>
                  </m:rPr>
                  <m:t>+</m:t>
                </m:r>
                <m:sSubSup>
                  <m:e>
                    <m:r>
                      <m:t>r</m:t>
                    </m:r>
                  </m:e>
                  <m:sub>
                    <m:r>
                      <m:t>13</m:t>
                    </m:r>
                  </m:sub>
                  <m:sup>
                    <m:r>
                      <m:t>2</m:t>
                    </m:r>
                  </m:sup>
                </m:sSubSup>
                <m:r>
                  <m:rPr>
                    <m:sty m:val="p"/>
                  </m:rPr>
                  <m:t>−</m:t>
                </m:r>
                <m:r>
                  <m:t>2</m:t>
                </m:r>
                <m:sSub>
                  <m:e>
                    <m:r>
                      <m:t>r</m:t>
                    </m:r>
                  </m:e>
                  <m:sub>
                    <m:r>
                      <m:t>12</m:t>
                    </m:r>
                  </m:sub>
                </m:sSub>
                <m:sSub>
                  <m:e>
                    <m:r>
                      <m:t>r</m:t>
                    </m:r>
                  </m:e>
                  <m:sub>
                    <m:r>
                      <m:t>13</m:t>
                    </m:r>
                  </m:sub>
                </m:sSub>
                <m:sSub>
                  <m:e>
                    <m:r>
                      <m:t>r</m:t>
                    </m:r>
                  </m:e>
                  <m:sub>
                    <m:r>
                      <m:t>23</m:t>
                    </m:r>
                  </m:sub>
                </m:sSub>
              </m:num>
              <m:den>
                <m:r>
                  <m:t>1</m:t>
                </m:r>
                <m:r>
                  <m:rPr>
                    <m:sty m:val="p"/>
                  </m:rPr>
                  <m:t>−</m:t>
                </m:r>
                <m:sSubSup>
                  <m:e>
                    <m:r>
                      <m:t>r</m:t>
                    </m:r>
                  </m:e>
                  <m:sub>
                    <m:r>
                      <m:t>23</m:t>
                    </m:r>
                  </m:sub>
                  <m:sup>
                    <m:r>
                      <m:t>2</m:t>
                    </m:r>
                  </m:sup>
                </m:sSubSup>
              </m:den>
            </m:f>
          </m:e>
        </m:rad>
      </m:oMath>
      <w:r>
        <w:t xml:space="preserve">.</w:t>
      </w:r>
    </w:p>
    <w:p>
      <w:pPr>
        <w:pStyle w:val="Compact"/>
        <w:numPr>
          <w:ilvl w:val="0"/>
          <w:numId w:val="1401"/>
        </w:numPr>
      </w:pPr>
      <w:r>
        <w:rPr>
          <w:bCs/>
          <w:b/>
        </w:rPr>
        <w:t xml:space="preserve">Auto-correlation / serial correlation</w:t>
      </w:r>
      <w:r>
        <w:t xml:space="preserve"> </w:t>
      </w:r>
      <w:r>
        <w:t xml:space="preserve">(time series persistence; Durbin–Watson statistic for residuals),</w:t>
      </w:r>
      <w:r>
        <w:t xml:space="preserve"> </w:t>
      </w:r>
      <w:r>
        <w:rPr>
          <w:bCs/>
          <w:b/>
        </w:rPr>
        <w:t xml:space="preserve">cross-correlation</w:t>
      </w:r>
      <w:r>
        <w:t xml:space="preserve"> </w:t>
      </w:r>
      <w:r>
        <w:t xml:space="preserve">with lag (rainfall leading NDVI by ~1 month),</w:t>
      </w:r>
      <w:r>
        <w:t xml:space="preserve"> </w:t>
      </w:r>
      <w:r>
        <w:rPr>
          <w:bCs/>
          <w:b/>
        </w:rPr>
        <w:t xml:space="preserve">spatial autocorrelation</w:t>
      </w:r>
      <w:r>
        <w:t xml:space="preserve"> </w:t>
      </w:r>
      <w:r>
        <w:t xml:space="preserve">(Moran’s I).</w:t>
      </w:r>
    </w:p>
    <w:p>
      <w:pPr>
        <w:pStyle w:val="Compact"/>
        <w:numPr>
          <w:ilvl w:val="0"/>
          <w:numId w:val="1401"/>
        </w:numPr>
      </w:pPr>
      <w:r>
        <w:rPr>
          <w:bCs/>
          <w:b/>
        </w:rPr>
        <w:t xml:space="preserve">Intra-class correlation</w:t>
      </w:r>
      <w:r>
        <w:t xml:space="preserve">,</w:t>
      </w:r>
      <w:r>
        <w:t xml:space="preserve"> </w:t>
      </w:r>
      <w:r>
        <w:rPr>
          <w:bCs/>
          <w:b/>
        </w:rPr>
        <w:t xml:space="preserve">canonical correlation</w:t>
      </w:r>
      <w:r>
        <w:t xml:space="preserve"> </w:t>
      </w:r>
      <w:r>
        <w:t xml:space="preserve">(sets of variables).</w:t>
      </w:r>
    </w:p>
    <w:p>
      <w:pPr>
        <w:pStyle w:val="Heading2"/>
      </w:pPr>
      <w:r>
        <w:t xml:space="preserve">53.2 Simple Linear Regression</w:t>
      </w:r>
    </w:p>
    <w:p>
      <w:pPr>
        <w:pStyle w:val="FirstParagraph"/>
      </w:pPr>
      <w:r>
        <w:t xml:space="preserve">Regression expresses the</w:t>
      </w:r>
      <w:r>
        <w:t xml:space="preserve"> </w:t>
      </w:r>
      <w:r>
        <w:rPr>
          <w:bCs/>
          <w:b/>
        </w:rPr>
        <w:t xml:space="preserve">average functional relationship</w:t>
      </w:r>
      <w:r>
        <w:t xml:space="preserve"> </w:t>
      </w:r>
      <w:r>
        <w:t xml:space="preserve">of a dependent variable on independent variable(s) for</w:t>
      </w:r>
      <w:r>
        <w:t xml:space="preserve"> </w:t>
      </w:r>
      <w:r>
        <w:rPr>
          <w:bCs/>
          <w:b/>
        </w:rPr>
        <w:t xml:space="preserve">prediction</w:t>
      </w:r>
      <w:r>
        <w:t xml:space="preserve">.</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r>
            <m:t>x</m:t>
          </m:r>
          <m:r>
            <m:rPr>
              <m:sty m:val="p"/>
            </m:rPr>
            <m:t>+</m:t>
          </m:r>
          <m:r>
            <m:t>ε</m:t>
          </m:r>
        </m:oMath>
      </m:oMathPara>
    </w:p>
    <w:p>
      <w:pPr>
        <w:pStyle w:val="FirstParagraph"/>
      </w:pPr>
      <w:r>
        <w:rPr>
          <w:bCs/>
          <w:b/>
        </w:rPr>
        <w:t xml:space="preserve">Ordinary least squares (OLS)</w:t>
      </w:r>
      <w:r>
        <w:t xml:space="preserve"> </w:t>
      </w:r>
      <w:r>
        <w:t xml:space="preserve">minimises</w:t>
      </w:r>
      <w:r>
        <w:t xml:space="preserve"> </w:t>
      </w:r>
      <m:oMath>
        <m:r>
          <m:rPr>
            <m:sty m:val="p"/>
          </m:rPr>
          <m:t>∑</m:t>
        </m:r>
        <m:sSubSup>
          <m:e>
            <m:r>
              <m:t>e</m:t>
            </m:r>
          </m:e>
          <m:sub>
            <m:r>
              <m:t>i</m:t>
            </m:r>
          </m:sub>
          <m:sup>
            <m:r>
              <m:t>2</m:t>
            </m:r>
          </m:sup>
        </m:sSubSup>
        <m:r>
          <m:rPr>
            <m:sty m:val="p"/>
          </m:rPr>
          <m:t>=</m:t>
        </m:r>
        <m:r>
          <m:rPr>
            <m:sty m:val="p"/>
          </m:rPr>
          <m:t>∑</m:t>
        </m:r>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oMath>
      <w:r>
        <w:t xml:space="preserve">:</w:t>
      </w:r>
    </w:p>
    <w:p>
      <w:pPr>
        <w:pStyle w:val="BodyText"/>
      </w:pPr>
      <m:oMathPara>
        <m:oMathParaPr>
          <m:jc m:val="center"/>
        </m:oMathParaPr>
        <m:oMath>
          <m:sSub>
            <m:e>
              <m:r>
                <m:t>b</m:t>
              </m:r>
            </m:e>
            <m:sub>
              <m:r>
                <m:t>1</m:t>
              </m:r>
            </m:sub>
          </m:sSub>
          <m:r>
            <m:rPr>
              <m:sty m:val="p"/>
            </m:rPr>
            <m:t>=</m:t>
          </m:r>
          <m:sSub>
            <m:e>
              <m:r>
                <m:t>b</m:t>
              </m:r>
            </m:e>
            <m:sub>
              <m:r>
                <m:t>y</m:t>
              </m:r>
              <m:r>
                <m:t>x</m:t>
              </m:r>
            </m:sub>
          </m:sSub>
          <m:r>
            <m:rPr>
              <m:sty m:val="p"/>
            </m:rPr>
            <m:t>=</m:t>
          </m:r>
          <m:f>
            <m:fPr>
              <m:type m:val="bar"/>
            </m:fPr>
            <m:num>
              <m:r>
                <m:rPr>
                  <m:sty m:val="p"/>
                </m:rPr>
                <m:t>∑</m:t>
              </m:r>
              <m:d>
                <m:dPr>
                  <m:begChr m:val="("/>
                  <m:endChr m:val=")"/>
                  <m:sepChr m:val=""/>
                  <m:grow/>
                </m:dPr>
                <m:e>
                  <m:r>
                    <m:t>x</m:t>
                  </m:r>
                  <m:r>
                    <m:rPr>
                      <m:sty m:val="p"/>
                    </m:rPr>
                    <m:t>−</m:t>
                  </m:r>
                  <m:acc>
                    <m:accPr>
                      <m:chr m:val="‾"/>
                    </m:accPr>
                    <m:e>
                      <m:r>
                        <m:t>x</m:t>
                      </m:r>
                    </m:e>
                  </m:acc>
                </m:e>
              </m:d>
              <m:d>
                <m:dPr>
                  <m:begChr m:val="("/>
                  <m:endChr m:val=")"/>
                  <m:sepChr m:val=""/>
                  <m:grow/>
                </m:dPr>
                <m:e>
                  <m:r>
                    <m:t>y</m:t>
                  </m:r>
                  <m:r>
                    <m:rPr>
                      <m:sty m:val="p"/>
                    </m:rPr>
                    <m:t>−</m:t>
                  </m:r>
                  <m:acc>
                    <m:accPr>
                      <m:chr m:val="‾"/>
                    </m:accPr>
                    <m:e>
                      <m:r>
                        <m:t>y</m:t>
                      </m:r>
                    </m:e>
                  </m:acc>
                </m:e>
              </m:d>
            </m:num>
            <m:den>
              <m:r>
                <m:rPr>
                  <m:sty m:val="p"/>
                </m:rPr>
                <m:t>∑</m:t>
              </m:r>
              <m:sSup>
                <m:e>
                  <m:d>
                    <m:dPr>
                      <m:begChr m:val="("/>
                      <m:endChr m:val=")"/>
                      <m:sepChr m:val=""/>
                      <m:grow/>
                    </m:dPr>
                    <m:e>
                      <m:r>
                        <m:t>x</m:t>
                      </m:r>
                      <m:r>
                        <m:rPr>
                          <m:sty m:val="p"/>
                        </m:rPr>
                        <m:t>−</m:t>
                      </m:r>
                      <m:acc>
                        <m:accPr>
                          <m:chr m:val="‾"/>
                        </m:accPr>
                        <m:e>
                          <m:r>
                            <m:t>x</m:t>
                          </m:r>
                        </m:e>
                      </m:acc>
                    </m:e>
                  </m:d>
                </m:e>
                <m:sup>
                  <m:r>
                    <m:t>2</m:t>
                  </m:r>
                </m:sup>
              </m:sSup>
            </m:den>
          </m:f>
          <m:r>
            <m:rPr>
              <m:sty m:val="p"/>
            </m:rPr>
            <m:t>=</m:t>
          </m:r>
          <m:r>
            <m:t>r</m:t>
          </m:r>
          <m:f>
            <m:fPr>
              <m:type m:val="bar"/>
            </m:fPr>
            <m:num>
              <m:sSub>
                <m:e>
                  <m:r>
                    <m:t>s</m:t>
                  </m:r>
                </m:e>
                <m:sub>
                  <m:r>
                    <m:t>y</m:t>
                  </m:r>
                </m:sub>
              </m:sSub>
            </m:num>
            <m:den>
              <m:sSub>
                <m:e>
                  <m:r>
                    <m:t>s</m:t>
                  </m:r>
                </m:e>
                <m:sub>
                  <m:r>
                    <m:t>x</m:t>
                  </m:r>
                </m:sub>
              </m:sSub>
            </m:den>
          </m:f>
          <m:r>
            <m:rPr>
              <m:sty m:val="p"/>
            </m:rPr>
            <m:t>,</m:t>
          </m:r>
          <m:r>
            <m:t>  </m:t>
          </m:r>
          <m:sSub>
            <m:e>
              <m:r>
                <m:t>b</m:t>
              </m:r>
            </m:e>
            <m:sub>
              <m:r>
                <m:t>0</m:t>
              </m:r>
            </m:sub>
          </m:sSub>
          <m:r>
            <m:rPr>
              <m:sty m:val="p"/>
            </m:rPr>
            <m:t>=</m:t>
          </m:r>
          <m:acc>
            <m:accPr>
              <m:chr m:val="‾"/>
            </m:accPr>
            <m:e>
              <m:r>
                <m:t>y</m:t>
              </m:r>
            </m:e>
          </m:acc>
          <m:r>
            <m:rPr>
              <m:sty m:val="p"/>
            </m:rPr>
            <m:t>−</m:t>
          </m:r>
          <m:sSub>
            <m:e>
              <m:r>
                <m:t>b</m:t>
              </m:r>
            </m:e>
            <m:sub>
              <m:r>
                <m:t>1</m:t>
              </m:r>
            </m:sub>
          </m:sSub>
          <m:acc>
            <m:accPr>
              <m:chr m:val="‾"/>
            </m:accPr>
            <m:e>
              <m:r>
                <m:t>x</m:t>
              </m:r>
            </m:e>
          </m:acc>
        </m:oMath>
      </m:oMathPara>
    </w:p>
    <w:p>
      <w:pPr>
        <w:pStyle w:val="FirstParagraph"/>
      </w:pPr>
      <w:r>
        <w:t xml:space="preserve">The fitted line passes through</w:t>
      </w:r>
      <w:r>
        <w:t xml:space="preserve"> </w:t>
      </w:r>
      <m:oMath>
        <m:d>
          <m:dPr>
            <m:begChr m:val="("/>
            <m:endChr m:val=")"/>
            <m:sepChr m:val=""/>
            <m:grow/>
          </m:dPr>
          <m:e>
            <m:acc>
              <m:accPr>
                <m:chr m:val="‾"/>
              </m:accPr>
              <m:e>
                <m:r>
                  <m:t>x</m:t>
                </m:r>
              </m:e>
            </m:acc>
            <m:r>
              <m:rPr>
                <m:sty m:val="p"/>
              </m:rPr>
              <m:t>,</m:t>
            </m:r>
            <m:acc>
              <m:accPr>
                <m:chr m:val="‾"/>
              </m:accPr>
              <m:e>
                <m:r>
                  <m:t>y</m:t>
                </m:r>
              </m:e>
            </m:acc>
          </m:e>
        </m:d>
      </m:oMath>
      <w:r>
        <w:t xml:space="preserve">. The two regression lines (y on x and x on y) coincide only if r = ±1 and intersect at the means;</w:t>
      </w:r>
      <w:r>
        <w:t xml:space="preserve"> </w:t>
      </w:r>
      <m:oMath>
        <m:sSub>
          <m:e>
            <m:r>
              <m:t>b</m:t>
            </m:r>
          </m:e>
          <m:sub>
            <m:r>
              <m:t>y</m:t>
            </m:r>
            <m:r>
              <m:t>x</m:t>
            </m:r>
          </m:sub>
        </m:sSub>
        <m:sSub>
          <m:e>
            <m:r>
              <m:t>b</m:t>
            </m:r>
          </m:e>
          <m:sub>
            <m:r>
              <m:t>x</m:t>
            </m:r>
            <m:r>
              <m:t>y</m:t>
            </m:r>
          </m:sub>
        </m:sSub>
        <m:r>
          <m:rPr>
            <m:sty m:val="p"/>
          </m:rPr>
          <m:t>=</m:t>
        </m:r>
        <m:sSup>
          <m:e>
            <m:r>
              <m:t>r</m:t>
            </m:r>
          </m:e>
          <m:sup>
            <m:r>
              <m:t>2</m:t>
            </m:r>
          </m:sup>
        </m:sSup>
      </m:oMath>
      <w:r>
        <w:t xml:space="preserve">.</w:t>
      </w:r>
    </w:p>
    <w:p>
      <w:pPr>
        <w:pStyle w:val="Heading3"/>
      </w:pPr>
      <w:r>
        <w:t xml:space="preserve">53.2.1 Assumptions (Gauss–Markov; for inference)</w:t>
      </w:r>
    </w:p>
    <w:p>
      <w:pPr>
        <w:pStyle w:val="FirstParagraph"/>
      </w:pPr>
      <w:r>
        <w:t xml:space="preserve">Linearity; independence of errors;</w:t>
      </w:r>
      <w:r>
        <w:t xml:space="preserve"> </w:t>
      </w:r>
      <w:r>
        <w:rPr>
          <w:bCs/>
          <w:b/>
        </w:rPr>
        <w:t xml:space="preserve">homoscedasticity</w:t>
      </w:r>
      <w:r>
        <w:t xml:space="preserve"> </w:t>
      </w:r>
      <w:r>
        <w:t xml:space="preserve">(constant error variance); normality of errors; no (perfect) multicollinearity among predictors; x measured without error. OLS estimates are then</w:t>
      </w:r>
      <w:r>
        <w:t xml:space="preserve"> </w:t>
      </w:r>
      <w:r>
        <w:rPr>
          <w:bCs/>
          <w:b/>
        </w:rPr>
        <w:t xml:space="preserve">BLUE</w:t>
      </w:r>
      <w:r>
        <w:t xml:space="preserve"> </w:t>
      </w:r>
      <w:r>
        <w:t xml:space="preserve">(best linear unbiased estimators). Diagnostics: residual plots, Q–Q plot, Durbin–Watson, Breusch–Pagan test, leverage and Cook’s distance for influential points.</w:t>
      </w:r>
    </w:p>
    <w:p>
      <w:pPr>
        <w:pStyle w:val="Heading3"/>
      </w:pPr>
      <w:r>
        <w:t xml:space="preserve">53.2.2 Goodness of fit and inference</w:t>
      </w:r>
    </w:p>
    <w:p>
      <w:pPr>
        <w:pStyle w:val="Compact"/>
        <w:numPr>
          <w:ilvl w:val="0"/>
          <w:numId w:val="1402"/>
        </w:numPr>
      </w:pPr>
      <w:r>
        <w:t xml:space="preserve">Partition:</w:t>
      </w:r>
      <w:r>
        <w:t xml:space="preserve"> </w:t>
      </w:r>
      <m:oMath>
        <m:r>
          <m:t>S</m:t>
        </m:r>
        <m:r>
          <m:t>S</m:t>
        </m:r>
        <m:r>
          <m:t>T</m:t>
        </m:r>
        <m:r>
          <m:rPr>
            <m:sty m:val="p"/>
          </m:rPr>
          <m:t>=</m:t>
        </m:r>
        <m:r>
          <m:t>S</m:t>
        </m:r>
        <m:r>
          <m:t>S</m:t>
        </m:r>
        <m:r>
          <m:t>R</m:t>
        </m:r>
        <m:r>
          <m:rPr>
            <m:sty m:val="p"/>
          </m:rPr>
          <m:t>+</m:t>
        </m:r>
        <m:r>
          <m:t>S</m:t>
        </m:r>
        <m:r>
          <m:t>S</m:t>
        </m:r>
        <m:r>
          <m:t>E</m:t>
        </m:r>
      </m:oMath>
      <w:r>
        <w:t xml:space="preserve">, i.e.,</w:t>
      </w:r>
      <w:r>
        <w:t xml:space="preserve"> </w:t>
      </w:r>
      <m:oMath>
        <m:r>
          <m:rPr>
            <m:sty m:val="p"/>
          </m:rPr>
          <m:t>∑</m:t>
        </m:r>
        <m:sSup>
          <m:e>
            <m:d>
              <m:dPr>
                <m:begChr m:val="("/>
                <m:endChr m:val=")"/>
                <m:sepChr m:val=""/>
                <m:grow/>
              </m:dPr>
              <m:e>
                <m:r>
                  <m:t>y</m:t>
                </m:r>
                <m:r>
                  <m:rPr>
                    <m:sty m:val="p"/>
                  </m:rPr>
                  <m:t>−</m:t>
                </m:r>
                <m:acc>
                  <m:accPr>
                    <m:chr m:val="‾"/>
                  </m:accPr>
                  <m:e>
                    <m:r>
                      <m:t>y</m:t>
                    </m:r>
                  </m:e>
                </m:acc>
              </m:e>
            </m:d>
          </m:e>
          <m:sup>
            <m:r>
              <m:t>2</m:t>
            </m:r>
          </m:sup>
        </m:sSup>
        <m:r>
          <m:rPr>
            <m:sty m:val="p"/>
          </m:rPr>
          <m:t>=</m:t>
        </m:r>
        <m:r>
          <m:rPr>
            <m:sty m:val="p"/>
          </m:rPr>
          <m:t>∑</m:t>
        </m:r>
        <m:sSup>
          <m:e>
            <m:d>
              <m:dPr>
                <m:begChr m:val="("/>
                <m:endChr m:val=")"/>
                <m:sepChr m:val=""/>
                <m:grow/>
              </m:dPr>
              <m:e>
                <m:acc>
                  <m:accPr>
                    <m:chr m:val="̂"/>
                  </m:accPr>
                  <m:e>
                    <m:r>
                      <m:t>y</m:t>
                    </m:r>
                  </m:e>
                </m:acc>
                <m:r>
                  <m:rPr>
                    <m:sty m:val="p"/>
                  </m:rPr>
                  <m:t>−</m:t>
                </m:r>
                <m:acc>
                  <m:accPr>
                    <m:chr m:val="‾"/>
                  </m:accPr>
                  <m:e>
                    <m:r>
                      <m:t>y</m:t>
                    </m:r>
                  </m:e>
                </m:acc>
              </m:e>
            </m:d>
          </m:e>
          <m:sup>
            <m:r>
              <m:t>2</m:t>
            </m:r>
          </m:sup>
        </m:sSup>
        <m:r>
          <m:rPr>
            <m:sty m:val="p"/>
          </m:rPr>
          <m:t>+</m:t>
        </m:r>
        <m:r>
          <m:rPr>
            <m:sty m:val="p"/>
          </m:rPr>
          <m:t>∑</m:t>
        </m:r>
        <m:sSup>
          <m:e>
            <m:d>
              <m:dPr>
                <m:begChr m:val="("/>
                <m:endChr m:val=")"/>
                <m:sepChr m:val=""/>
                <m:grow/>
              </m:dPr>
              <m:e>
                <m:r>
                  <m:t>y</m:t>
                </m:r>
                <m:r>
                  <m:rPr>
                    <m:sty m:val="p"/>
                  </m:rPr>
                  <m:t>−</m:t>
                </m:r>
                <m:acc>
                  <m:accPr>
                    <m:chr m:val="̂"/>
                  </m:accPr>
                  <m:e>
                    <m:r>
                      <m:t>y</m:t>
                    </m:r>
                  </m:e>
                </m:acc>
              </m:e>
            </m:d>
          </m:e>
          <m:sup>
            <m:r>
              <m:t>2</m:t>
            </m:r>
          </m:sup>
        </m:sSup>
      </m:oMath>
      <w:r>
        <w:t xml:space="preserve">.</w:t>
      </w:r>
    </w:p>
    <w:p>
      <w:pPr>
        <w:pStyle w:val="Compact"/>
        <w:numPr>
          <w:ilvl w:val="0"/>
          <w:numId w:val="1402"/>
        </w:numPr>
      </w:pPr>
      <m:oMath>
        <m:sSup>
          <m:e>
            <m:r>
              <m:t>R</m:t>
            </m:r>
          </m:e>
          <m:sup>
            <m:r>
              <m:t>2</m:t>
            </m:r>
          </m:sup>
        </m:sSup>
        <m:r>
          <m:rPr>
            <m:sty m:val="p"/>
          </m:rPr>
          <m:t>=</m:t>
        </m:r>
        <m:f>
          <m:fPr>
            <m:type m:val="bar"/>
          </m:fPr>
          <m:num>
            <m:r>
              <m:t>S</m:t>
            </m:r>
            <m:r>
              <m:t>S</m:t>
            </m:r>
            <m:r>
              <m:t>R</m:t>
            </m:r>
          </m:num>
          <m:den>
            <m:r>
              <m:t>S</m:t>
            </m:r>
            <m:r>
              <m:t>S</m:t>
            </m:r>
            <m:r>
              <m:t>T</m:t>
            </m:r>
          </m:den>
        </m:f>
        <m:r>
          <m:rPr>
            <m:sty m:val="p"/>
          </m:rPr>
          <m:t>=</m:t>
        </m:r>
        <m:r>
          <m:t>1</m:t>
        </m:r>
        <m:r>
          <m:rPr>
            <m:sty m:val="p"/>
          </m:rPr>
          <m:t>−</m:t>
        </m:r>
        <m:f>
          <m:fPr>
            <m:type m:val="bar"/>
          </m:fPr>
          <m:num>
            <m:r>
              <m:t>S</m:t>
            </m:r>
            <m:r>
              <m:t>S</m:t>
            </m:r>
            <m:r>
              <m:t>E</m:t>
            </m:r>
          </m:num>
          <m:den>
            <m:r>
              <m:t>S</m:t>
            </m:r>
            <m:r>
              <m:t>S</m:t>
            </m:r>
            <m:r>
              <m:t>T</m:t>
            </m:r>
          </m:den>
        </m:f>
      </m:oMath>
      <w:r>
        <w:t xml:space="preserve">;</w:t>
      </w:r>
      <w:r>
        <w:t xml:space="preserve"> </w:t>
      </w:r>
      <w:r>
        <w:rPr>
          <w:bCs/>
          <w:b/>
        </w:rPr>
        <w:t xml:space="preserve">adjusted</w:t>
      </w:r>
      <w:r>
        <w:t xml:space="preserve"> </w:t>
      </w:r>
      <m:oMath>
        <m:sSup>
          <m:e>
            <m:acc>
              <m:accPr>
                <m:chr m:val="‾"/>
              </m:accPr>
              <m:e>
                <m:r>
                  <m:t>R</m:t>
                </m:r>
              </m:e>
            </m:acc>
          </m:e>
          <m:sup>
            <m:r>
              <m:t>2</m:t>
            </m:r>
          </m:sup>
        </m:sSup>
        <m:r>
          <m:rPr>
            <m:sty m:val="p"/>
          </m:rPr>
          <m:t>=</m:t>
        </m:r>
        <m:r>
          <m:t>1</m:t>
        </m:r>
        <m:r>
          <m:rPr>
            <m:sty m:val="p"/>
          </m:rPr>
          <m:t>−</m:t>
        </m:r>
        <m:d>
          <m:dPr>
            <m:begChr m:val="("/>
            <m:endChr m:val=")"/>
            <m:sepChr m:val=""/>
            <m:grow/>
          </m:dPr>
          <m:e>
            <m:r>
              <m:t>1</m:t>
            </m:r>
            <m:r>
              <m:rPr>
                <m:sty m:val="p"/>
              </m:rPr>
              <m:t>−</m:t>
            </m:r>
            <m:sSup>
              <m:e>
                <m:r>
                  <m:t>R</m:t>
                </m:r>
              </m:e>
              <m:sup>
                <m:r>
                  <m:t>2</m:t>
                </m:r>
              </m:sup>
            </m:sSup>
          </m:e>
        </m:d>
        <m:f>
          <m:fPr>
            <m:type m:val="bar"/>
          </m:fPr>
          <m:num>
            <m:r>
              <m:t>n</m:t>
            </m:r>
            <m:r>
              <m:rPr>
                <m:sty m:val="p"/>
              </m:rPr>
              <m:t>−</m:t>
            </m:r>
            <m:r>
              <m:t>1</m:t>
            </m:r>
          </m:num>
          <m:den>
            <m:r>
              <m:t>n</m:t>
            </m:r>
            <m:r>
              <m:rPr>
                <m:sty m:val="p"/>
              </m:rPr>
              <m:t>−</m:t>
            </m:r>
            <m:r>
              <m:t>k</m:t>
            </m:r>
            <m:r>
              <m:rPr>
                <m:sty m:val="p"/>
              </m:rPr>
              <m:t>−</m:t>
            </m:r>
            <m:r>
              <m:t>1</m:t>
            </m:r>
          </m:den>
        </m:f>
      </m:oMath>
      <w:r>
        <w:t xml:space="preserve"> </w:t>
      </w:r>
      <w:r>
        <w:t xml:space="preserve">(penalises extra predictors).</w:t>
      </w:r>
    </w:p>
    <w:p>
      <w:pPr>
        <w:pStyle w:val="Compact"/>
        <w:numPr>
          <w:ilvl w:val="0"/>
          <w:numId w:val="1402"/>
        </w:numPr>
      </w:pPr>
      <w:r>
        <w:t xml:space="preserve">Standard error of estimate</w:t>
      </w:r>
      <w:r>
        <w:t xml:space="preserve"> </w:t>
      </w:r>
      <m:oMath>
        <m:sSub>
          <m:e>
            <m:r>
              <m:t>s</m:t>
            </m:r>
          </m:e>
          <m:sub>
            <m:r>
              <m:t>e</m:t>
            </m:r>
          </m:sub>
        </m:sSub>
        <m:r>
          <m:rPr>
            <m:sty m:val="p"/>
          </m:rPr>
          <m:t>=</m:t>
        </m:r>
        <m:rad>
          <m:radPr>
            <m:degHide m:val="on"/>
          </m:radPr>
          <m:deg/>
          <m:e>
            <m:r>
              <m:t>S</m:t>
            </m:r>
            <m:r>
              <m:t>S</m:t>
            </m:r>
            <m:r>
              <m:t>E</m:t>
            </m:r>
            <m:r>
              <m:rPr>
                <m:sty m:val="p"/>
              </m:rPr>
              <m:t>/</m:t>
            </m:r>
            <m:d>
              <m:dPr>
                <m:begChr m:val="("/>
                <m:endChr m:val=")"/>
                <m:sepChr m:val=""/>
                <m:grow/>
              </m:dPr>
              <m:e>
                <m:r>
                  <m:t>n</m:t>
                </m:r>
                <m:r>
                  <m:rPr>
                    <m:sty m:val="p"/>
                  </m:rPr>
                  <m:t>−</m:t>
                </m:r>
                <m:r>
                  <m:t>2</m:t>
                </m:r>
              </m:e>
            </m:d>
          </m:e>
        </m:rad>
      </m:oMath>
      <w:r>
        <w:t xml:space="preserve">;</w:t>
      </w:r>
      <w:r>
        <w:t xml:space="preserve"> </w:t>
      </w:r>
      <m:oMath>
        <m:r>
          <m:t>S</m:t>
        </m:r>
        <m:r>
          <m:t>E</m:t>
        </m:r>
        <m:d>
          <m:dPr>
            <m:begChr m:val="("/>
            <m:endChr m:val=")"/>
            <m:sepChr m:val=""/>
            <m:grow/>
          </m:dPr>
          <m:e>
            <m:sSub>
              <m:e>
                <m:r>
                  <m:t>b</m:t>
                </m:r>
              </m:e>
              <m:sub>
                <m:r>
                  <m:t>1</m:t>
                </m:r>
              </m:sub>
            </m:sSub>
          </m:e>
        </m:d>
        <m:r>
          <m:rPr>
            <m:sty m:val="p"/>
          </m:rPr>
          <m:t>=</m:t>
        </m:r>
        <m:sSub>
          <m:e>
            <m:r>
              <m:t>s</m:t>
            </m:r>
          </m:e>
          <m:sub>
            <m:r>
              <m:t>e</m:t>
            </m:r>
          </m:sub>
        </m:sSub>
        <m:r>
          <m:rPr>
            <m:sty m:val="p"/>
          </m:rPr>
          <m:t>/</m:t>
        </m:r>
        <m:rad>
          <m:radPr>
            <m:degHide m:val="on"/>
          </m:radPr>
          <m:deg/>
          <m:e>
            <m:r>
              <m:rPr>
                <m:sty m:val="p"/>
              </m:rPr>
              <m:t>∑</m:t>
            </m:r>
            <m:sSup>
              <m:e>
                <m:d>
                  <m:dPr>
                    <m:begChr m:val="("/>
                    <m:endChr m:val=")"/>
                    <m:sepChr m:val=""/>
                    <m:grow/>
                  </m:dPr>
                  <m:e>
                    <m:r>
                      <m:t>x</m:t>
                    </m:r>
                    <m:r>
                      <m:rPr>
                        <m:sty m:val="p"/>
                      </m:rPr>
                      <m:t>−</m:t>
                    </m:r>
                    <m:acc>
                      <m:accPr>
                        <m:chr m:val="‾"/>
                      </m:accPr>
                      <m:e>
                        <m:r>
                          <m:t>x</m:t>
                        </m:r>
                      </m:e>
                    </m:acc>
                  </m:e>
                </m:d>
              </m:e>
              <m:sup>
                <m:r>
                  <m:t>2</m:t>
                </m:r>
              </m:sup>
            </m:sSup>
          </m:e>
        </m:rad>
      </m:oMath>
      <w:r>
        <w:t xml:space="preserve">; t-test</w:t>
      </w:r>
      <w:r>
        <w:t xml:space="preserve"> </w:t>
      </w:r>
      <m:oMath>
        <m:r>
          <m:t>t</m:t>
        </m:r>
        <m:r>
          <m:rPr>
            <m:sty m:val="p"/>
          </m:rPr>
          <m:t>=</m:t>
        </m:r>
        <m:sSub>
          <m:e>
            <m:r>
              <m:t>b</m:t>
            </m:r>
          </m:e>
          <m:sub>
            <m:r>
              <m:t>1</m:t>
            </m:r>
          </m:sub>
        </m:sSub>
        <m:r>
          <m:rPr>
            <m:sty m:val="p"/>
          </m:rPr>
          <m:t>/</m:t>
        </m:r>
        <m:r>
          <m:t>S</m:t>
        </m:r>
        <m:r>
          <m:t>E</m:t>
        </m:r>
        <m:d>
          <m:dPr>
            <m:begChr m:val="("/>
            <m:endChr m:val=")"/>
            <m:sepChr m:val=""/>
            <m:grow/>
          </m:dPr>
          <m:e>
            <m:sSub>
              <m:e>
                <m:r>
                  <m:t>b</m:t>
                </m:r>
              </m:e>
              <m:sub>
                <m:r>
                  <m:t>1</m:t>
                </m:r>
              </m:sub>
            </m:sSub>
          </m:e>
        </m:d>
      </m:oMath>
      <w:r>
        <w:t xml:space="preserve">; overall F = MSR/MSE.</w:t>
      </w:r>
    </w:p>
    <w:p>
      <w:pPr>
        <w:pStyle w:val="Compact"/>
        <w:numPr>
          <w:ilvl w:val="0"/>
          <w:numId w:val="1402"/>
        </w:numPr>
      </w:pPr>
      <w:r>
        <w:t xml:space="preserve">Confidence interval for mean response vs. wider</w:t>
      </w:r>
      <w:r>
        <w:t xml:space="preserve"> </w:t>
      </w:r>
      <w:r>
        <w:rPr>
          <w:bCs/>
          <w:b/>
        </w:rPr>
        <w:t xml:space="preserve">prediction interval</w:t>
      </w:r>
      <w:r>
        <w:t xml:space="preserve"> </w:t>
      </w:r>
      <w:r>
        <w:t xml:space="preserve">for a new observation.</w:t>
      </w:r>
    </w:p>
    <w:p>
      <w:pPr>
        <w:pStyle w:val="Compact"/>
        <w:numPr>
          <w:ilvl w:val="0"/>
          <w:numId w:val="1402"/>
        </w:numPr>
      </w:pPr>
      <w:r>
        <w:t xml:space="preserve">Validation metrics: RMSE</w:t>
      </w:r>
      <w:r>
        <w:t xml:space="preserve"> </w:t>
      </w:r>
      <m:oMath>
        <m:r>
          <m:rPr>
            <m:sty m:val="p"/>
          </m:rPr>
          <m:t>=</m:t>
        </m:r>
        <m:rad>
          <m:radPr>
            <m:degHide m:val="on"/>
          </m:radPr>
          <m:deg/>
          <m:e>
            <m:r>
              <m:rPr>
                <m:sty m:val="p"/>
              </m:rPr>
              <m:t>∑</m:t>
            </m:r>
            <m:sSup>
              <m:e>
                <m:d>
                  <m:dPr>
                    <m:begChr m:val="("/>
                    <m:endChr m:val=")"/>
                    <m:sepChr m:val=""/>
                    <m:grow/>
                  </m:dPr>
                  <m:e>
                    <m:acc>
                      <m:accPr>
                        <m:chr m:val="̂"/>
                      </m:accPr>
                      <m:e>
                        <m:r>
                          <m:t>y</m:t>
                        </m:r>
                      </m:e>
                    </m:acc>
                    <m:r>
                      <m:rPr>
                        <m:sty m:val="p"/>
                      </m:rPr>
                      <m:t>−</m:t>
                    </m:r>
                    <m:r>
                      <m:t>y</m:t>
                    </m:r>
                  </m:e>
                </m:d>
              </m:e>
              <m:sup>
                <m:r>
                  <m:t>2</m:t>
                </m:r>
              </m:sup>
            </m:sSup>
            <m:r>
              <m:rPr>
                <m:sty m:val="p"/>
              </m:rPr>
              <m:t>/</m:t>
            </m:r>
            <m:r>
              <m:t>n</m:t>
            </m:r>
          </m:e>
        </m:rad>
      </m:oMath>
      <w:r>
        <w:t xml:space="preserve">, MAE, bias (mean error), relative RMSE (%),</w:t>
      </w:r>
      <w:r>
        <w:t xml:space="preserve"> </w:t>
      </w:r>
      <w:r>
        <w:rPr>
          <w:bCs/>
          <w:b/>
        </w:rPr>
        <w:t xml:space="preserve">Nash–Sutcliffe efficiency</w:t>
      </w:r>
      <w:r>
        <w:t xml:space="preserve"> </w:t>
      </w:r>
      <m:oMath>
        <m:r>
          <m:t>N</m:t>
        </m:r>
        <m:r>
          <m:t>S</m:t>
        </m:r>
        <m:r>
          <m:t>E</m:t>
        </m:r>
        <m:r>
          <m:rPr>
            <m:sty m:val="p"/>
          </m:rPr>
          <m:t>=</m:t>
        </m:r>
        <m:r>
          <m:t>1</m:t>
        </m:r>
        <m:r>
          <m:rPr>
            <m:sty m:val="p"/>
          </m:rPr>
          <m:t>−</m:t>
        </m:r>
        <m:f>
          <m:fPr>
            <m:type m:val="bar"/>
          </m:fPr>
          <m:num>
            <m:r>
              <m:rPr>
                <m:sty m:val="p"/>
              </m:rPr>
              <m:t>∑</m:t>
            </m:r>
            <m:sSup>
              <m:e>
                <m:d>
                  <m:dPr>
                    <m:begChr m:val="("/>
                    <m:endChr m:val=")"/>
                    <m:sepChr m:val=""/>
                    <m:grow/>
                  </m:dPr>
                  <m:e>
                    <m:r>
                      <m:t>y</m:t>
                    </m:r>
                    <m:r>
                      <m:rPr>
                        <m:sty m:val="p"/>
                      </m:rPr>
                      <m:t>−</m:t>
                    </m:r>
                    <m:acc>
                      <m:accPr>
                        <m:chr m:val="̂"/>
                      </m:accPr>
                      <m:e>
                        <m:r>
                          <m:t>y</m:t>
                        </m:r>
                      </m:e>
                    </m:acc>
                  </m:e>
                </m:d>
              </m:e>
              <m:sup>
                <m:r>
                  <m:t>2</m:t>
                </m:r>
              </m:sup>
            </m:sSup>
          </m:num>
          <m:den>
            <m:r>
              <m:rPr>
                <m:sty m:val="p"/>
              </m:rPr>
              <m:t>∑</m:t>
            </m:r>
            <m:sSup>
              <m:e>
                <m:d>
                  <m:dPr>
                    <m:begChr m:val="("/>
                    <m:endChr m:val=")"/>
                    <m:sepChr m:val=""/>
                    <m:grow/>
                  </m:dPr>
                  <m:e>
                    <m:r>
                      <m:t>y</m:t>
                    </m:r>
                    <m:r>
                      <m:rPr>
                        <m:sty m:val="p"/>
                      </m:rPr>
                      <m:t>−</m:t>
                    </m:r>
                    <m:acc>
                      <m:accPr>
                        <m:chr m:val="‾"/>
                      </m:accPr>
                      <m:e>
                        <m:r>
                          <m:t>y</m:t>
                        </m:r>
                      </m:e>
                    </m:acc>
                  </m:e>
                </m:d>
              </m:e>
              <m:sup>
                <m:r>
                  <m:t>2</m:t>
                </m:r>
              </m:sup>
            </m:sSup>
          </m:den>
        </m:f>
      </m:oMath>
      <w:r>
        <w:t xml:space="preserve">,</w:t>
      </w:r>
      <w:r>
        <w:t xml:space="preserve"> </w:t>
      </w:r>
      <w:r>
        <w:rPr>
          <w:bCs/>
          <w:b/>
        </w:rPr>
        <w:t xml:space="preserve">Willmott’s index of agreement</w:t>
      </w:r>
      <w:r>
        <w:t xml:space="preserve"> </w:t>
      </w:r>
      <w:r>
        <w:t xml:space="preserve">d — with an</w:t>
      </w:r>
      <w:r>
        <w:t xml:space="preserve"> </w:t>
      </w:r>
      <w:r>
        <w:rPr>
          <w:iCs/>
          <w:i/>
        </w:rPr>
        <w:t xml:space="preserve">independent</w:t>
      </w:r>
      <w:r>
        <w:t xml:space="preserve"> </w:t>
      </w:r>
      <w:r>
        <w:t xml:space="preserve">validation data set (or cross-validation).</w:t>
      </w:r>
    </w:p>
    <w:p>
      <w:pPr>
        <w:pStyle w:val="Heading2"/>
      </w:pPr>
      <w:r>
        <w:t xml:space="preserve">53.3 Multiple Linear Regression</w:t>
      </w:r>
    </w:p>
    <w:p>
      <w:pPr>
        <w:pStyle w:val="FirstParagraph"/>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r>
            <m:rPr>
              <m:sty m:val="p"/>
            </m:rPr>
            <m:t>+</m:t>
          </m:r>
          <m:r>
            <m:rPr>
              <m:sty m:val="p"/>
            </m:rPr>
            <m:t>…</m:t>
          </m:r>
          <m:r>
            <m:rPr>
              <m:sty m:val="p"/>
            </m:rPr>
            <m:t>+</m:t>
          </m:r>
          <m:sSub>
            <m:e>
              <m:r>
                <m:t>β</m:t>
              </m:r>
            </m:e>
            <m:sub>
              <m:r>
                <m:t>k</m:t>
              </m:r>
            </m:sub>
          </m:sSub>
          <m:sSub>
            <m:e>
              <m:r>
                <m:t>x</m:t>
              </m:r>
            </m:e>
            <m:sub>
              <m:r>
                <m:t>k</m:t>
              </m:r>
            </m:sub>
          </m:sSub>
          <m:r>
            <m:rPr>
              <m:sty m:val="p"/>
            </m:rPr>
            <m:t>+</m:t>
          </m:r>
          <m:r>
            <m:t>ε</m:t>
          </m:r>
          <m:r>
            <m:rPr>
              <m:sty m:val="p"/>
            </m:rPr>
            <m:t>,</m:t>
          </m:r>
          <m:r>
            <m:t>  </m:t>
          </m:r>
          <m:acc>
            <m:accPr>
              <m:chr m:val="̂"/>
            </m:accPr>
            <m:e>
              <m:r>
                <m:rPr>
                  <m:sty m:val="b"/>
                </m:rPr>
                <m:t>β</m:t>
              </m:r>
            </m:e>
          </m:acc>
          <m:r>
            <m:rPr>
              <m:sty m:val="p"/>
            </m:rPr>
            <m:t>=</m:t>
          </m:r>
          <m:sSup>
            <m:e>
              <m:d>
                <m:dPr>
                  <m:begChr m:val="("/>
                  <m:endChr m:val=")"/>
                  <m:sepChr m:val=""/>
                  <m:grow/>
                </m:dPr>
                <m:e>
                  <m:sSup>
                    <m:e>
                      <m:r>
                        <m:t>X</m:t>
                      </m:r>
                    </m:e>
                    <m:sup>
                      <m:r>
                        <m:t>T</m:t>
                      </m:r>
                    </m:sup>
                  </m:sSup>
                  <m:r>
                    <m:t>X</m:t>
                  </m:r>
                </m:e>
              </m:d>
            </m:e>
            <m:sup>
              <m:r>
                <m:rPr>
                  <m:sty m:val="p"/>
                </m:rPr>
                <m:t>−</m:t>
              </m:r>
              <m:r>
                <m:t>1</m:t>
              </m:r>
            </m:sup>
          </m:sSup>
          <m:sSup>
            <m:e>
              <m:r>
                <m:t>X</m:t>
              </m:r>
            </m:e>
            <m:sup>
              <m:r>
                <m:t>T</m:t>
              </m:r>
            </m:sup>
          </m:sSup>
          <m:r>
            <m:rPr>
              <m:sty m:val="b"/>
            </m:rPr>
            <m:t>y</m:t>
          </m:r>
        </m:oMath>
      </m:oMathPara>
    </w:p>
    <w:p>
      <w:pPr>
        <w:pStyle w:val="Compact"/>
        <w:numPr>
          <w:ilvl w:val="0"/>
          <w:numId w:val="1403"/>
        </w:numPr>
      </w:pPr>
      <w:r>
        <w:t xml:space="preserve">Each</w:t>
      </w:r>
      <w:r>
        <w:t xml:space="preserve"> </w:t>
      </w:r>
      <m:oMath>
        <m:sSub>
          <m:e>
            <m:r>
              <m:t>β</m:t>
            </m:r>
          </m:e>
          <m:sub>
            <m:r>
              <m:t>j</m:t>
            </m:r>
          </m:sub>
        </m:sSub>
      </m:oMath>
      <w:r>
        <w:t xml:space="preserve"> </w:t>
      </w:r>
      <w:r>
        <w:t xml:space="preserve">= change in y per unit</w:t>
      </w:r>
      <w:r>
        <w:t xml:space="preserve"> </w:t>
      </w:r>
      <m:oMath>
        <m:sSub>
          <m:e>
            <m:r>
              <m:t>x</m:t>
            </m:r>
          </m:e>
          <m:sub>
            <m:r>
              <m:t>j</m:t>
            </m:r>
          </m:sub>
        </m:sSub>
      </m:oMath>
      <w:r>
        <w:t xml:space="preserve"> </w:t>
      </w:r>
      <w:r>
        <w:rPr>
          <w:bCs/>
          <w:b/>
        </w:rPr>
        <w:t xml:space="preserve">holding other predictors constant</w:t>
      </w:r>
      <w:r>
        <w:t xml:space="preserve"> </w:t>
      </w:r>
      <w:r>
        <w:t xml:space="preserve">(partial regression coefficient);</w:t>
      </w:r>
      <w:r>
        <w:t xml:space="preserve"> </w:t>
      </w:r>
      <w:r>
        <w:rPr>
          <w:bCs/>
          <w:b/>
        </w:rPr>
        <w:t xml:space="preserve">standardised (beta) coefficients</w:t>
      </w:r>
      <w:r>
        <w:t xml:space="preserve"> </w:t>
      </w:r>
      <w:r>
        <w:t xml:space="preserve">compare relative importance.</w:t>
      </w:r>
    </w:p>
    <w:p>
      <w:pPr>
        <w:pStyle w:val="Compact"/>
        <w:numPr>
          <w:ilvl w:val="0"/>
          <w:numId w:val="1403"/>
        </w:numPr>
      </w:pPr>
      <w:r>
        <w:rPr>
          <w:bCs/>
          <w:b/>
        </w:rPr>
        <w:t xml:space="preserve">Multicollinearity</w:t>
      </w:r>
      <w:r>
        <w:t xml:space="preserve"> </w:t>
      </w:r>
      <w:r>
        <w:t xml:space="preserve">(correlated predictors, e.g., NDVI and EVI, or Tmax and VPD) inflates coefficient variances and may flip signs; detected by</w:t>
      </w:r>
      <w:r>
        <w:t xml:space="preserve"> </w:t>
      </w:r>
      <w:r>
        <w:rPr>
          <w:bCs/>
          <w:b/>
        </w:rPr>
        <w:t xml:space="preserve">Variance Inflation Factor</w:t>
      </w:r>
      <w:r>
        <w:t xml:space="preserve"> </w:t>
      </w:r>
      <m:oMath>
        <m:r>
          <m:t>V</m:t>
        </m:r>
        <m:r>
          <m:t>I</m:t>
        </m:r>
        <m:sSub>
          <m:e>
            <m:r>
              <m:t>F</m:t>
            </m:r>
          </m:e>
          <m:sub>
            <m:r>
              <m:t>j</m:t>
            </m:r>
          </m:sub>
        </m:sSub>
        <m:r>
          <m:rPr>
            <m:sty m:val="p"/>
          </m:rPr>
          <m:t>=</m:t>
        </m:r>
        <m:f>
          <m:fPr>
            <m:type m:val="bar"/>
          </m:fPr>
          <m:num>
            <m:r>
              <m:t>1</m:t>
            </m:r>
          </m:num>
          <m:den>
            <m:r>
              <m:t>1</m:t>
            </m:r>
            <m:r>
              <m:rPr>
                <m:sty m:val="p"/>
              </m:rPr>
              <m:t>−</m:t>
            </m:r>
            <m:sSubSup>
              <m:e>
                <m:r>
                  <m:t>R</m:t>
                </m:r>
              </m:e>
              <m:sub>
                <m:r>
                  <m:t>j</m:t>
                </m:r>
              </m:sub>
              <m:sup>
                <m:r>
                  <m:t>2</m:t>
                </m:r>
              </m:sup>
            </m:sSubSup>
          </m:den>
        </m:f>
      </m:oMath>
      <w:r>
        <w:t xml:space="preserve"> </w:t>
      </w:r>
      <w:r>
        <w:t xml:space="preserve">(&gt; 5–10 problematic); remedies — drop/combine variables, PCA regression, ridge/LASSO (regularisation), partial least squares.</w:t>
      </w:r>
    </w:p>
    <w:p>
      <w:pPr>
        <w:pStyle w:val="Compact"/>
        <w:numPr>
          <w:ilvl w:val="0"/>
          <w:numId w:val="1403"/>
        </w:numPr>
      </w:pPr>
      <w:r>
        <w:rPr>
          <w:bCs/>
          <w:b/>
        </w:rPr>
        <w:t xml:space="preserve">Dummy variables</w:t>
      </w:r>
      <w:r>
        <w:t xml:space="preserve"> </w:t>
      </w:r>
      <w:r>
        <w:t xml:space="preserve">for categorical predictors (irrigated/rainfed, year) and</w:t>
      </w:r>
      <w:r>
        <w:t xml:space="preserve"> </w:t>
      </w:r>
      <w:r>
        <w:rPr>
          <w:bCs/>
          <w:b/>
        </w:rPr>
        <w:t xml:space="preserve">interaction terms</w:t>
      </w:r>
      <w:r>
        <w:t xml:space="preserve"> </w:t>
      </w:r>
      <w:r>
        <w:t xml:space="preserve">(</w:t>
      </w:r>
      <m:oMath>
        <m:sSub>
          <m:e>
            <m:r>
              <m:t>x</m:t>
            </m:r>
          </m:e>
          <m:sub>
            <m:r>
              <m:t>1</m:t>
            </m:r>
          </m:sub>
        </m:sSub>
        <m:sSub>
          <m:e>
            <m:r>
              <m:t>x</m:t>
            </m:r>
          </m:e>
          <m:sub>
            <m:r>
              <m:t>2</m:t>
            </m:r>
          </m:sub>
        </m:sSub>
      </m:oMath>
      <w:r>
        <w:t xml:space="preserve">).</w:t>
      </w:r>
    </w:p>
    <w:p>
      <w:pPr>
        <w:pStyle w:val="Heading2"/>
      </w:pPr>
      <w:r>
        <w:t xml:space="preserve">53.4 Nonlinear and Special Regression Models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Form</w:t>
            </w:r>
          </w:p>
        </w:tc>
        <w:tc>
          <w:tcPr/>
          <w:p>
            <w:pPr>
              <w:pStyle w:val="Compact"/>
              <w:jc w:val="left"/>
            </w:pPr>
            <w:r>
              <w:t xml:space="preserve">Linearisation / use</w:t>
            </w:r>
          </w:p>
        </w:tc>
      </w:tr>
      <w:tr>
        <w:tc>
          <w:tcPr/>
          <w:p>
            <w:pPr>
              <w:pStyle w:val="Compact"/>
              <w:jc w:val="left"/>
            </w:pPr>
            <w:r>
              <w:t xml:space="preserve">Polynomial (quadratic)</w:t>
            </w:r>
          </w:p>
        </w:tc>
        <w:tc>
          <w:tcPr/>
          <w:p>
            <w:pPr>
              <w:pStyle w:val="Compact"/>
              <w:jc w:val="left"/>
            </w:pPr>
            <m:oMath>
              <m:r>
                <m:t>y</m:t>
              </m:r>
              <m:r>
                <m:rPr>
                  <m:sty m:val="p"/>
                </m:rPr>
                <m:t>=</m:t>
              </m:r>
              <m:r>
                <m:t>a</m:t>
              </m:r>
              <m:r>
                <m:rPr>
                  <m:sty m:val="p"/>
                </m:rPr>
                <m:t>+</m:t>
              </m:r>
              <m:r>
                <m:t>b</m:t>
              </m:r>
              <m:r>
                <m:t>x</m:t>
              </m:r>
              <m:r>
                <m:rPr>
                  <m:sty m:val="p"/>
                </m:rPr>
                <m:t>+</m:t>
              </m:r>
              <m:r>
                <m:t>c</m:t>
              </m:r>
              <m:sSup>
                <m:e>
                  <m:r>
                    <m:t>x</m:t>
                  </m:r>
                </m:e>
                <m:sup>
                  <m:r>
                    <m:t>2</m:t>
                  </m:r>
                </m:sup>
              </m:sSup>
            </m:oMath>
          </w:p>
        </w:tc>
        <w:tc>
          <w:tcPr/>
          <w:p>
            <w:pPr>
              <w:pStyle w:val="Compact"/>
              <w:jc w:val="left"/>
            </w:pPr>
            <w:r>
              <w:t xml:space="preserve">Fertiliser response, temperature response with optimum</w:t>
            </w:r>
          </w:p>
        </w:tc>
      </w:tr>
      <w:tr>
        <w:tc>
          <w:tcPr/>
          <w:p>
            <w:pPr>
              <w:pStyle w:val="Compact"/>
              <w:jc w:val="left"/>
            </w:pPr>
            <w:r>
              <w:t xml:space="preserve">Exponential</w:t>
            </w:r>
          </w:p>
        </w:tc>
        <w:tc>
          <w:tcPr/>
          <w:p>
            <w:pPr>
              <w:pStyle w:val="Compact"/>
              <w:jc w:val="left"/>
            </w:pPr>
            <m:oMath>
              <m:r>
                <m:t>y</m:t>
              </m:r>
              <m:r>
                <m:rPr>
                  <m:sty m:val="p"/>
                </m:rPr>
                <m:t>=</m:t>
              </m:r>
              <m:r>
                <m:t>a</m:t>
              </m:r>
              <m:sSup>
                <m:e>
                  <m:r>
                    <m:t>e</m:t>
                  </m:r>
                </m:e>
                <m:sup>
                  <m:r>
                    <m:t>b</m:t>
                  </m:r>
                  <m:r>
                    <m:t>x</m:t>
                  </m:r>
                </m:sup>
              </m:sSup>
            </m:oMath>
          </w:p>
        </w:tc>
        <w:tc>
          <w:tcPr/>
          <w:p>
            <w:pPr>
              <w:pStyle w:val="Compact"/>
              <w:jc w:val="left"/>
            </w:pPr>
            <m:oMath>
              <m:r>
                <m:rPr>
                  <m:sty m:val="p"/>
                </m:rPr>
                <m:t>ln</m:t>
              </m:r>
              <m:r>
                <m:t>y</m:t>
              </m:r>
              <m:r>
                <m:rPr>
                  <m:sty m:val="p"/>
                </m:rPr>
                <m:t>=</m:t>
              </m:r>
              <m:r>
                <m:rPr>
                  <m:sty m:val="p"/>
                </m:rPr>
                <m:t>ln</m:t>
              </m:r>
              <m:r>
                <m:t>a</m:t>
              </m:r>
              <m:r>
                <m:rPr>
                  <m:sty m:val="p"/>
                </m:rPr>
                <m:t>+</m:t>
              </m:r>
              <m:r>
                <m:t>b</m:t>
              </m:r>
              <m:r>
                <m:t>x</m:t>
              </m:r>
            </m:oMath>
            <w:r>
              <w:t xml:space="preserve">; NDVI–LAI, growth</w:t>
            </w:r>
          </w:p>
        </w:tc>
      </w:tr>
      <w:tr>
        <w:tc>
          <w:tcPr/>
          <w:p>
            <w:pPr>
              <w:pStyle w:val="Compact"/>
              <w:jc w:val="left"/>
            </w:pPr>
            <w:r>
              <w:t xml:space="preserve">Power</w:t>
            </w:r>
          </w:p>
        </w:tc>
        <w:tc>
          <w:tcPr/>
          <w:p>
            <w:pPr>
              <w:pStyle w:val="Compact"/>
              <w:jc w:val="left"/>
            </w:pPr>
            <m:oMath>
              <m:r>
                <m:t>y</m:t>
              </m:r>
              <m:r>
                <m:rPr>
                  <m:sty m:val="p"/>
                </m:rPr>
                <m:t>=</m:t>
              </m:r>
              <m:r>
                <m:t>a</m:t>
              </m:r>
              <m:sSup>
                <m:e>
                  <m:r>
                    <m:t>x</m:t>
                  </m:r>
                </m:e>
                <m:sup>
                  <m:r>
                    <m:t>b</m:t>
                  </m:r>
                </m:sup>
              </m:sSup>
            </m:oMath>
          </w:p>
        </w:tc>
        <w:tc>
          <w:tcPr/>
          <w:p>
            <w:pPr>
              <w:pStyle w:val="Compact"/>
              <w:jc w:val="left"/>
            </w:pPr>
            <m:oMath>
              <m:r>
                <m:rPr>
                  <m:sty m:val="p"/>
                </m:rPr>
                <m:t>log</m:t>
              </m:r>
              <m:r>
                <m:t>y</m:t>
              </m:r>
              <m:r>
                <m:rPr>
                  <m:sty m:val="p"/>
                </m:rPr>
                <m:t>=</m:t>
              </m:r>
              <m:r>
                <m:rPr>
                  <m:sty m:val="p"/>
                </m:rPr>
                <m:t>log</m:t>
              </m:r>
              <m:r>
                <m:t>a</m:t>
              </m:r>
              <m:r>
                <m:rPr>
                  <m:sty m:val="p"/>
                </m:rPr>
                <m:t>+</m:t>
              </m:r>
              <m:r>
                <m:t>b</m:t>
              </m:r>
              <m:r>
                <m:rPr>
                  <m:sty m:val="p"/>
                </m:rPr>
                <m:t>log</m:t>
              </m:r>
              <m:r>
                <m:t>x</m:t>
              </m:r>
            </m:oMath>
            <w:r>
              <w:t xml:space="preserve">; allometric biomass equations (biomass = a·DBH^b), radar backscatter–biomass</w:t>
            </w:r>
          </w:p>
        </w:tc>
      </w:tr>
      <w:tr>
        <w:tc>
          <w:tcPr/>
          <w:p>
            <w:pPr>
              <w:pStyle w:val="Compact"/>
              <w:jc w:val="left"/>
            </w:pPr>
            <w:r>
              <w:t xml:space="preserve">Logarithmic</w:t>
            </w:r>
          </w:p>
        </w:tc>
        <w:tc>
          <w:tcPr/>
          <w:p>
            <w:pPr>
              <w:pStyle w:val="Compact"/>
              <w:jc w:val="left"/>
            </w:pPr>
            <m:oMath>
              <m:r>
                <m:t>y</m:t>
              </m:r>
              <m:r>
                <m:rPr>
                  <m:sty m:val="p"/>
                </m:rPr>
                <m:t>=</m:t>
              </m:r>
              <m:r>
                <m:t>a</m:t>
              </m:r>
              <m:r>
                <m:rPr>
                  <m:sty m:val="p"/>
                </m:rPr>
                <m:t>+</m:t>
              </m:r>
              <m:r>
                <m:t>b</m:t>
              </m:r>
              <m:r>
                <m:rPr>
                  <m:sty m:val="p"/>
                </m:rPr>
                <m:t>ln</m:t>
              </m:r>
              <m:r>
                <m:t>x</m:t>
              </m:r>
            </m:oMath>
          </w:p>
        </w:tc>
        <w:tc>
          <w:tcPr/>
          <w:p>
            <w:pPr>
              <w:pStyle w:val="Compact"/>
              <w:jc w:val="left"/>
            </w:pPr>
            <w:r>
              <w:t xml:space="preserve">Diminishing response; LAI–yield (corrective approach)</w:t>
            </w:r>
          </w:p>
        </w:tc>
      </w:tr>
      <w:tr>
        <w:tc>
          <w:tcPr/>
          <w:p>
            <w:pPr>
              <w:pStyle w:val="Compact"/>
              <w:jc w:val="left"/>
            </w:pPr>
            <w:r>
              <w:t xml:space="preserve">Logistic</w:t>
            </w:r>
          </w:p>
        </w:tc>
        <w:tc>
          <w:tcPr/>
          <w:p>
            <w:pPr>
              <w:pStyle w:val="Compact"/>
              <w:jc w:val="left"/>
            </w:pPr>
            <m:oMath>
              <m:r>
                <m:t>y</m:t>
              </m:r>
              <m:r>
                <m:rPr>
                  <m:sty m:val="p"/>
                </m:rPr>
                <m:t>=</m:t>
              </m:r>
              <m:f>
                <m:fPr>
                  <m:type m:val="bar"/>
                </m:fPr>
                <m:num>
                  <m:r>
                    <m:t>K</m:t>
                  </m:r>
                </m:num>
                <m:den>
                  <m:r>
                    <m:t>1</m:t>
                  </m:r>
                  <m:r>
                    <m:rPr>
                      <m:sty m:val="p"/>
                    </m:rPr>
                    <m:t>+</m:t>
                  </m:r>
                  <m:sSup>
                    <m:e>
                      <m:r>
                        <m:t>e</m:t>
                      </m:r>
                    </m:e>
                    <m:sup>
                      <m:r>
                        <m:rPr>
                          <m:sty m:val="p"/>
                        </m:rPr>
                        <m:t>−</m:t>
                      </m:r>
                      <m:d>
                        <m:dPr>
                          <m:begChr m:val="("/>
                          <m:endChr m:val=")"/>
                          <m:sepChr m:val=""/>
                          <m:grow/>
                        </m:dPr>
                        <m:e>
                          <m:r>
                            <m:t>a</m:t>
                          </m:r>
                          <m:r>
                            <m:rPr>
                              <m:sty m:val="p"/>
                            </m:rPr>
                            <m:t>+</m:t>
                          </m:r>
                          <m:r>
                            <m:t>b</m:t>
                          </m:r>
                          <m:r>
                            <m:t>x</m:t>
                          </m:r>
                        </m:e>
                      </m:d>
                    </m:sup>
                  </m:sSup>
                </m:den>
              </m:f>
            </m:oMath>
          </w:p>
        </w:tc>
        <w:tc>
          <w:tcPr/>
          <w:p>
            <w:pPr>
              <w:pStyle w:val="Compact"/>
              <w:jc w:val="left"/>
            </w:pPr>
            <w:r>
              <w:t xml:space="preserve">Growth curves;</w:t>
            </w:r>
            <w:r>
              <w:t xml:space="preserve"> </w:t>
            </w:r>
            <w:r>
              <w:rPr>
                <w:bCs/>
                <w:b/>
              </w:rPr>
              <w:t xml:space="preserve">logistic regression</w:t>
            </w:r>
            <w:r>
              <w:t xml:space="preserve"> </w:t>
            </w:r>
            <w:r>
              <w:t xml:space="preserve">for binary outcomes (crop/no-crop, fire/no-fire, pest presence):</w:t>
            </w:r>
            <w:r>
              <w:t xml:space="preserve"> </w:t>
            </w:r>
            <m:oMath>
              <m:r>
                <m:rPr>
                  <m:sty m:val="p"/>
                </m:rPr>
                <m:t>ln</m:t>
              </m:r>
              <m:f>
                <m:fPr>
                  <m:type m:val="bar"/>
                </m:fPr>
                <m:num>
                  <m:r>
                    <m:t>p</m:t>
                  </m:r>
                </m:num>
                <m:den>
                  <m:r>
                    <m:t>1</m:t>
                  </m:r>
                  <m:r>
                    <m:rPr>
                      <m:sty m:val="p"/>
                    </m:rPr>
                    <m:t>−</m:t>
                  </m:r>
                  <m:r>
                    <m:t>p</m:t>
                  </m:r>
                </m:den>
              </m:f>
              <m:r>
                <m:rPr>
                  <m:sty m:val="p"/>
                </m:rPr>
                <m:t>=</m:t>
              </m:r>
              <m:sSub>
                <m:e>
                  <m:r>
                    <m:t>β</m:t>
                  </m:r>
                </m:e>
                <m:sub>
                  <m:r>
                    <m:t>0</m:t>
                  </m:r>
                </m:sub>
              </m:sSub>
              <m:r>
                <m:rPr>
                  <m:sty m:val="p"/>
                </m:rPr>
                <m:t>+</m:t>
              </m:r>
              <m:sSub>
                <m:e>
                  <m:r>
                    <m:t>β</m:t>
                  </m:r>
                </m:e>
                <m:sub>
                  <m:r>
                    <m:t>1</m:t>
                  </m:r>
                </m:sub>
              </m:sSub>
              <m:r>
                <m:t>x</m:t>
              </m:r>
            </m:oMath>
          </w:p>
        </w:tc>
      </w:tr>
      <w:tr>
        <w:tc>
          <w:tcPr/>
          <w:p>
            <w:pPr>
              <w:pStyle w:val="Compact"/>
              <w:jc w:val="left"/>
            </w:pPr>
            <w:r>
              <w:t xml:space="preserve">Time-trend + weather</w:t>
            </w:r>
          </w:p>
        </w:tc>
        <w:tc>
          <w:tcPr/>
          <w:p>
            <w:pPr>
              <w:pStyle w:val="Compact"/>
              <w:jc w:val="left"/>
            </w:pPr>
            <m:oMath>
              <m:sSub>
                <m:e>
                  <m:r>
                    <m:t>Y</m:t>
                  </m:r>
                </m:e>
                <m:sub>
                  <m:r>
                    <m:t>t</m:t>
                  </m:r>
                </m:sub>
              </m:sSub>
              <m:r>
                <m:rPr>
                  <m:sty m:val="p"/>
                </m:rPr>
                <m:t>=</m:t>
              </m:r>
              <m:r>
                <m:t>a</m:t>
              </m:r>
              <m:r>
                <m:rPr>
                  <m:sty m:val="p"/>
                </m:rPr>
                <m:t>+</m:t>
              </m:r>
              <m:r>
                <m:t>b</m:t>
              </m:r>
              <m:r>
                <m:t>t</m:t>
              </m:r>
              <m:r>
                <m:rPr>
                  <m:sty m:val="p"/>
                </m:rPr>
                <m:t>+</m:t>
              </m:r>
              <m:r>
                <m:rPr>
                  <m:sty m:val="p"/>
                </m:rPr>
                <m:t>∑</m:t>
              </m:r>
              <m:sSub>
                <m:e>
                  <m:r>
                    <m:t>c</m:t>
                  </m:r>
                </m:e>
                <m:sub>
                  <m:r>
                    <m:t>i</m:t>
                  </m:r>
                </m:sub>
              </m:sSub>
              <m:sSub>
                <m:e>
                  <m:r>
                    <m:t>W</m:t>
                  </m:r>
                </m:e>
                <m:sub>
                  <m:r>
                    <m:t>i</m:t>
                  </m:r>
                </m:sub>
              </m:sSub>
            </m:oMath>
          </w:p>
        </w:tc>
        <w:tc>
          <w:tcPr/>
          <w:p>
            <w:pPr>
              <w:pStyle w:val="Compact"/>
              <w:jc w:val="left"/>
            </w:pPr>
            <w:r>
              <w:t xml:space="preserve">Crop yield forecasting: technology trend + weather/spectral indices (IMD/IASRI composite weather indices; FASAL spectral-agromet models)</w:t>
            </w:r>
          </w:p>
        </w:tc>
      </w:tr>
    </w:tbl>
    <w:p>
      <w:pPr>
        <w:pStyle w:val="BodyText"/>
      </w:pPr>
      <w:r>
        <w:t xml:space="preserve">Other approaches:</w:t>
      </w:r>
      <w:r>
        <w:t xml:space="preserve"> </w:t>
      </w:r>
      <w:r>
        <w:rPr>
          <w:bCs/>
          <w:b/>
        </w:rPr>
        <w:t xml:space="preserve">weighted least squares</w:t>
      </w:r>
      <w:r>
        <w:t xml:space="preserve"> </w:t>
      </w:r>
      <w:r>
        <w:t xml:space="preserve">(heteroscedasticity),</w:t>
      </w:r>
      <w:r>
        <w:t xml:space="preserve"> </w:t>
      </w:r>
      <w:r>
        <w:rPr>
          <w:bCs/>
          <w:b/>
        </w:rPr>
        <w:t xml:space="preserve">robust regression</w:t>
      </w:r>
      <w:r>
        <w:t xml:space="preserve">,</w:t>
      </w:r>
      <w:r>
        <w:t xml:space="preserve"> </w:t>
      </w:r>
      <w:r>
        <w:rPr>
          <w:bCs/>
          <w:b/>
        </w:rPr>
        <w:t xml:space="preserve">geographically weighted regression</w:t>
      </w:r>
      <w:r>
        <w:t xml:space="preserve"> </w:t>
      </w:r>
      <w:r>
        <w:t xml:space="preserve">(coefficients vary in space),</w:t>
      </w:r>
      <w:r>
        <w:t xml:space="preserve"> </w:t>
      </w:r>
      <w:r>
        <w:rPr>
          <w:bCs/>
          <w:b/>
        </w:rPr>
        <w:t xml:space="preserve">orthogonal/reduced major axis</w:t>
      </w:r>
      <w:r>
        <w:t xml:space="preserve"> </w:t>
      </w:r>
      <w:r>
        <w:t xml:space="preserve">regression (when both variables have errors, e.g., comparing two sensors),</w:t>
      </w:r>
      <w:r>
        <w:t xml:space="preserve"> </w:t>
      </w:r>
      <w:r>
        <w:rPr>
          <w:bCs/>
          <w:b/>
        </w:rPr>
        <w:t xml:space="preserve">Deming regression</w:t>
      </w:r>
      <w:r>
        <w:t xml:space="preserve">, Poisson regression for counts.</w:t>
      </w:r>
    </w:p>
    <w:p>
      <w:pPr>
        <w:pStyle w:val="CaptionedFigure"/>
      </w:pPr>
      <w:r>
        <w:drawing>
          <wp:inline>
            <wp:extent cx="5334000" cy="2747010"/>
            <wp:effectExtent b="0" l="0" r="0" t="0"/>
            <wp:docPr descr="Building an RS–agromet yield regression model" title="" id="165" name="Picture"/>
            <a:graphic>
              <a:graphicData uri="http://schemas.openxmlformats.org/drawingml/2006/picture">
                <pic:pic>
                  <pic:nvPicPr>
                    <pic:cNvPr descr="/tmp/claude-0/-home-user-sonu/ab07c29a-21cd-5a4a-9d2d-68ad72d07153/scratchpad/build/../flows/flow_036.png" id="166" name="Picture"/>
                    <pic:cNvPicPr>
                      <a:picLocks noChangeArrowheads="1" noChangeAspect="1"/>
                    </pic:cNvPicPr>
                  </pic:nvPicPr>
                  <pic:blipFill>
                    <a:blip r:embed="rId164"/>
                    <a:stretch>
                      <a:fillRect/>
                    </a:stretch>
                  </pic:blipFill>
                  <pic:spPr bwMode="auto">
                    <a:xfrm>
                      <a:off x="0" y="0"/>
                      <a:ext cx="5334000" cy="2747010"/>
                    </a:xfrm>
                    <a:prstGeom prst="rect">
                      <a:avLst/>
                    </a:prstGeom>
                    <a:noFill/>
                    <a:ln w="9525">
                      <a:noFill/>
                      <a:headEnd/>
                      <a:tailEnd/>
                    </a:ln>
                  </pic:spPr>
                </pic:pic>
              </a:graphicData>
            </a:graphic>
          </wp:inline>
        </w:drawing>
      </w:r>
    </w:p>
    <w:p>
      <w:pPr>
        <w:pStyle w:val="ImageCaption"/>
      </w:pPr>
      <w:r>
        <w:t xml:space="preserve">Building an RS–agromet yield regression model</w:t>
      </w:r>
    </w:p>
    <w:p>
      <w:pPr>
        <w:pStyle w:val="Heading3"/>
      </w:pPr>
      <w:r>
        <w:t xml:space="preserve">53.4.1 Correlation versus regression</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Correlation</w:t>
            </w:r>
          </w:p>
        </w:tc>
        <w:tc>
          <w:tcPr/>
          <w:p>
            <w:pPr>
              <w:pStyle w:val="Compact"/>
              <w:jc w:val="left"/>
            </w:pPr>
            <w:r>
              <w:t xml:space="preserve">Regression</w:t>
            </w:r>
          </w:p>
        </w:tc>
      </w:tr>
      <w:tr>
        <w:tc>
          <w:tcPr/>
          <w:p>
            <w:pPr>
              <w:pStyle w:val="Compact"/>
              <w:jc w:val="left"/>
            </w:pPr>
            <w:r>
              <w:t xml:space="preserve">Degree of association</w:t>
            </w:r>
          </w:p>
        </w:tc>
        <w:tc>
          <w:tcPr/>
          <w:p>
            <w:pPr>
              <w:pStyle w:val="Compact"/>
              <w:jc w:val="left"/>
            </w:pPr>
            <w:r>
              <w:t xml:space="preserve">Nature of relationship, prediction</w:t>
            </w:r>
          </w:p>
        </w:tc>
      </w:tr>
      <w:tr>
        <w:tc>
          <w:tcPr/>
          <w:p>
            <w:pPr>
              <w:pStyle w:val="Compact"/>
              <w:jc w:val="left"/>
            </w:pPr>
            <w:r>
              <w:t xml:space="preserve">Symmetric (r_xy = r_yx)</w:t>
            </w:r>
          </w:p>
        </w:tc>
        <w:tc>
          <w:tcPr/>
          <w:p>
            <w:pPr>
              <w:pStyle w:val="Compact"/>
              <w:jc w:val="left"/>
            </w:pPr>
            <w:r>
              <w:t xml:space="preserve">Asymmetric (y on x ≠ x on y)</w:t>
            </w:r>
          </w:p>
        </w:tc>
      </w:tr>
      <w:tr>
        <w:tc>
          <w:tcPr/>
          <w:p>
            <w:pPr>
              <w:pStyle w:val="Compact"/>
              <w:jc w:val="left"/>
            </w:pPr>
            <w:r>
              <w:t xml:space="preserve">Unit-free, −1 to +1</w:t>
            </w:r>
          </w:p>
        </w:tc>
        <w:tc>
          <w:tcPr/>
          <w:p>
            <w:pPr>
              <w:pStyle w:val="Compact"/>
              <w:jc w:val="left"/>
            </w:pPr>
            <w:r>
              <w:t xml:space="preserve">Coefficient has units of y per unit x, any value</w:t>
            </w:r>
          </w:p>
        </w:tc>
      </w:tr>
      <w:tr>
        <w:tc>
          <w:tcPr/>
          <w:p>
            <w:pPr>
              <w:pStyle w:val="Compact"/>
              <w:jc w:val="left"/>
            </w:pPr>
            <w:r>
              <w:t xml:space="preserve">No distinction between dependent/independent</w:t>
            </w:r>
          </w:p>
        </w:tc>
        <w:tc>
          <w:tcPr/>
          <w:p>
            <w:pPr>
              <w:pStyle w:val="Compact"/>
              <w:jc w:val="left"/>
            </w:pPr>
            <w:r>
              <w:t xml:space="preserve">Requires defining dependent and independent variables</w:t>
            </w:r>
          </w:p>
        </w:tc>
      </w:tr>
    </w:tbl>
    <w:p>
      <w:pPr>
        <w:pStyle w:val="Heading3"/>
      </w:pPr>
      <w:r>
        <w:t xml:space="preserve">53.4.2 Likely interview questions</w:t>
      </w:r>
    </w:p>
    <w:p>
      <w:pPr>
        <w:pStyle w:val="FirstParagraph"/>
      </w:pPr>
      <w:r>
        <w:rPr>
          <w:bCs/>
          <w:b/>
        </w:rPr>
        <w:t xml:space="preserve">Q. If r = 0.9 between NDVI and yield, does NDVI cause yield?</w:t>
      </w:r>
      <w:r>
        <w:t xml:space="preserve"> </w:t>
      </w:r>
      <w:r>
        <w:t xml:space="preserve">No — it indicates a strong linear association; causation requires mechanism/experiment.</w:t>
      </w:r>
    </w:p>
    <w:p>
      <w:pPr>
        <w:pStyle w:val="BodyText"/>
      </w:pPr>
      <w:r>
        <w:rPr>
          <w:bCs/>
          <w:b/>
        </w:rPr>
        <w:t xml:space="preserve">Q. Why use adjusted R²?</w:t>
      </w:r>
      <w:r>
        <w:t xml:space="preserve"> </w:t>
      </w:r>
      <w:r>
        <w:t xml:space="preserve">R² never decreases when predictors are added; adjusted R² penalises unnecessary predictors.</w:t>
      </w:r>
    </w:p>
    <w:p>
      <w:pPr>
        <w:pStyle w:val="BodyText"/>
      </w:pPr>
      <w:r>
        <w:rPr>
          <w:bCs/>
          <w:b/>
        </w:rPr>
        <w:t xml:space="preserve">Q. What is multicollinearity and how do you detect it?</w:t>
      </w:r>
      <w:r>
        <w:t xml:space="preserve"> </w:t>
      </w:r>
      <w:r>
        <w:t xml:space="preserve">High correlation among predictors; VIF &gt; 5–10, unstable coefficients.</w:t>
      </w:r>
    </w:p>
    <w:p>
      <w:pPr>
        <w:pStyle w:val="BodyText"/>
      </w:pPr>
      <w:r>
        <w:rPr>
          <w:bCs/>
          <w:b/>
        </w:rPr>
        <w:t xml:space="preserve">Q. When do you use Spearman rather than Pearson?</w:t>
      </w:r>
      <w:r>
        <w:t xml:space="preserve"> </w:t>
      </w:r>
      <w:r>
        <w:t xml:space="preserve">Ordinal data, outliers or monotonic non-linear relations.</w:t>
      </w:r>
    </w:p>
    <w:p>
      <w:pPr>
        <w:pStyle w:val="BodyText"/>
      </w:pPr>
      <w:r>
        <w:rPr>
          <w:bCs/>
          <w:b/>
        </w:rPr>
        <w:t xml:space="preserve">Q. Why validate with independent data?</w:t>
      </w:r>
      <w:r>
        <w:t xml:space="preserve"> </w:t>
      </w:r>
      <w:r>
        <w:t xml:space="preserve">Fit statistics on training data overstate accuracy; independent or cross-validated RMSE reflects true predictive skill.</w:t>
      </w:r>
    </w:p>
    <w:p>
      <w:pPr>
        <w:pStyle w:val="Heading2"/>
      </w:pPr>
      <w:r>
        <w:t xml:space="preserve">53.5 Stepwise Regression: Detailed Methodology</w:t>
      </w:r>
    </w:p>
    <w:p>
      <w:pPr>
        <w:pStyle w:val="FirstParagraph"/>
      </w:pPr>
      <w:r>
        <w:t xml:space="preserve">Stepwise regression deserves separate, detailed treatment because it plays a specific and recurring role in the SQI workflow beyond simple validation: it is used, after an MDS has already been statistically reduced via PCA, as a second, independent filter that identifies which of the surviving MDS indicators actually carry genuine, standalone statistical power to explain variation in an outcome of interest (typically crop yield). In effect, PCA answers the question 'which indicators best represent the independent axes of variability in the soil data itself?', while stepwise regression answers a different question: 'of those indicators, which ones actually, individually, explain variation in the outcome we care about, once the others are accounted for?' The two questions can have different answers, because an indicator can be statistically prominent within the soil dataset's own variance structure while still being a weak or redundant predictor of the outcome — stepwise regression is the tool used to catch that distinction.</w:t>
      </w:r>
    </w:p>
    <w:p>
      <w:pPr>
        <w:pStyle w:val="Heading3"/>
      </w:pPr>
      <w:r>
        <w:t xml:space="preserve">53.5.1 Purpose and Rationale</w:t>
      </w:r>
    </w:p>
    <w:p>
      <w:pPr>
        <w:pStyle w:val="FirstParagraph"/>
      </w:pPr>
      <w:r>
        <w:t xml:space="preserve">In an ordinary ('forced entry' or 'Enter') multiple regression, all candidate predictor variables are entered into the model simultaneously, and the model reports a coefficient, standard error, and significance test for every predictor regardless of whether that predictor, on its own, contributes meaningfully to explaining the outcome. This is problematic for two reasons relevant to SQI work: first, with a modest number of soil samples and several correlated indicators, forcing all indicators into one model risks overfitting — the model's raw R² may look reasonable, but much of that fit can be attributable to noise or to multicollinearity between predictors rather than genuine explanatory power; second, and more importantly for interpretation, a forced-entry model does not, by itself, tell the analyst which indicators are the most sensitive (i.e., which ones matter most to the outcome) — it treats all predictors as co-equal members of one model. Stepwise regression addresses both concerns by building the model incrementally, admitting only those predictors that pass an explicit statistical bar at each step, and this progressive, criterion-driven construction is exactly what allows the analyst to rank indicators by sensitivity and to identify a smaller, more defensible 'best' subset of predictors.</w:t>
      </w:r>
    </w:p>
    <w:p>
      <w:pPr>
        <w:pStyle w:val="Heading3"/>
      </w:pPr>
      <w:r>
        <w:t xml:space="preserve">53.5.2 The Algorithm — Iterative Forward Selection with Backward Elimination Checks</w:t>
      </w:r>
    </w:p>
    <w:p>
      <w:pPr>
        <w:pStyle w:val="FirstParagraph"/>
      </w:pPr>
      <w:r>
        <w:t xml:space="preserve">Stepwise regression, as standardly implemented (for example, in SPSS's REGRESSION procedure with METHOD=STEPWISE), proceeds as follows:</w:t>
      </w:r>
    </w:p>
    <w:p>
      <w:pPr>
        <w:numPr>
          <w:ilvl w:val="0"/>
          <w:numId w:val="1404"/>
        </w:numPr>
      </w:pPr>
      <w:r>
        <w:t xml:space="preserve">Step 0: begin with no predictors in the model (only the constant/intercept).</w:t>
      </w:r>
    </w:p>
    <w:p>
      <w:pPr>
        <w:numPr>
          <w:ilvl w:val="0"/>
          <w:numId w:val="1404"/>
        </w:numPr>
      </w:pPr>
      <w:r>
        <w:t xml:space="preserve">Step 1 (entry check): for every candidate predictor not yet in the model, compute the partial F-statistic (equivalently, the t-statistic on its standardized regression coefficient) that would result if that variable were added next, given whatever is already in the model. Identify the candidate with the smallest associated significance value (p-value) for this partial F-test. If that p-value is less than or equal to the chosen entry threshold, add that variable to the model.</w:t>
      </w:r>
    </w:p>
    <w:p>
      <w:pPr>
        <w:numPr>
          <w:ilvl w:val="0"/>
          <w:numId w:val="1404"/>
        </w:numPr>
      </w:pPr>
      <w:r>
        <w:t xml:space="preserve">Step 2 (removal check): immediately after any variable is added, re-examine every variable currently in the model (including ones added in earlier steps) for its partial F-to-remove significance — i.e., how much the model's fit would worsen if that variable were dropped, given everything else currently in the model. Any variable whose removal p-value exceeds the chosen removal threshold (which is deliberately set looser than the entry threshold, see the relevant chapter) is removed from the model. This check exists because a variable that was significant on its own, or in combination with fewer other predictors, can become statistically redundant once a later, correlated variable has entered — the removal step catches and discards it.</w:t>
      </w:r>
    </w:p>
    <w:p>
      <w:pPr>
        <w:numPr>
          <w:ilvl w:val="0"/>
          <w:numId w:val="1404"/>
        </w:numPr>
      </w:pPr>
      <w:r>
        <w:t xml:space="preserve">Repeat: alternate between entry checks and removal checks, re-evaluating all candidate and included variables at every step, until no excluded variable qualifies for entry and no included variable qualifies for removal. At that point the algorithm terminates and the current set of included variables is the final stepwise model.</w:t>
      </w:r>
    </w:p>
    <w:p>
      <w:pPr>
        <w:pStyle w:val="FirstParagraph"/>
      </w:pPr>
      <w:r>
        <w:t xml:space="preserve">Because entry and removal are both re-evaluated at every step (not just once), stepwise regression is more thorough than a simple 'forward selection' procedure (which only ever adds variables and never reconsiders earlier additions) — it can and does drop a previously entered variable later in the process if a subsequent addition renders it redundant.</w:t>
      </w:r>
    </w:p>
    <w:p>
      <w:pPr>
        <w:pStyle w:val="Heading3"/>
      </w:pPr>
      <w:r>
        <w:t xml:space="preserve">53.5.3 Entry and Removal Criteria (PIN / POUT Thresholds)</w:t>
      </w:r>
    </w:p>
    <w:p>
      <w:pPr>
        <w:pStyle w:val="FirstParagraph"/>
      </w:pPr>
      <w:r>
        <w:t xml:space="preserve">The two governing thresholds are conventionally denoted PIN (probability-to-enter) and POUT (probability-to-remove):</w:t>
      </w:r>
    </w:p>
    <w:p>
      <w:pPr>
        <w:pStyle w:val="BlockText"/>
      </w:pPr>
      <w:r>
        <w:t xml:space="preserve">PIN = 0.05 POUT = 0.10 (typical default values)</w:t>
      </w:r>
    </w:p>
    <w:p>
      <w:pPr>
        <w:pStyle w:val="FirstParagraph"/>
      </w:pPr>
      <w:r>
        <w:t xml:space="preserve">A candidate variable is admitted to the model only if its entry significance value is less than or equal to PIN (commonly 0.05, i.e., the standard 5% significance level); a variable already in the model is dropped only if its removal significance value is greater than or equal to POUT (commonly 0.10, i.e., a looser 10% threshold). This deliberate asymmetry — a stricter bar to enter than to leave — is a standard safeguard against the algorithm oscillating, i.e., admitting a borderline variable only to immediately remove it again at the very next step; setting POUT looser than PIN ensures a variable, once admitted, has some margin before it is reconsidered for removal, giving the algorithm numerical stability.</w:t>
      </w:r>
    </w:p>
    <w:p>
      <w:pPr>
        <w:pStyle w:val="Heading3"/>
      </w:pPr>
      <w:r>
        <w:t xml:space="preserve">53.5.4 Key Statistics Reported at Each Step</w:t>
      </w:r>
    </w:p>
    <w:p>
      <w:pPr>
        <w:pStyle w:val="FirstParagraph"/>
      </w:pPr>
      <w:r>
        <w:t xml:space="preserve">Because stepwise regression builds the model incrementally, results are conventionally reported as a sequence of nested models (Model 1 with one predictor, Model 2 with two predictors, and so on, corresponding to each successful entry), each accompanied by:</w:t>
      </w:r>
    </w:p>
    <w:p>
      <w:pPr>
        <w:numPr>
          <w:ilvl w:val="0"/>
          <w:numId w:val="1405"/>
        </w:numPr>
      </w:pPr>
      <w:r>
        <w:t xml:space="preserve">R and R² for that step's model, showing how much of the outcome's variance is explained cumulatively as each new predictor is added.</w:t>
      </w:r>
    </w:p>
    <w:p>
      <w:pPr>
        <w:numPr>
          <w:ilvl w:val="0"/>
          <w:numId w:val="1405"/>
        </w:numPr>
      </w:pPr>
      <w:r>
        <w:t xml:space="preserve">Adjusted R², to assess whether each additional predictor is contributing genuine explanatory power net of the complexity it adds.</w:t>
      </w:r>
    </w:p>
    <w:p>
      <w:pPr>
        <w:numPr>
          <w:ilvl w:val="0"/>
          <w:numId w:val="1405"/>
        </w:numPr>
      </w:pPr>
      <w:r>
        <w:t xml:space="preserve">The standard error of the estimate, reflecting the model's residual predictive precision at that step.</w:t>
      </w:r>
    </w:p>
    <w:p>
      <w:pPr>
        <w:numPr>
          <w:ilvl w:val="0"/>
          <w:numId w:val="1405"/>
        </w:numPr>
      </w:pPr>
      <w:r>
        <w:t xml:space="preserve">An ANOVA table (sum of squares, degrees of freedom, mean square, F-statistic, and significance) for the model as a whole at that step.</w:t>
      </w:r>
    </w:p>
    <w:p>
      <w:pPr>
        <w:numPr>
          <w:ilvl w:val="0"/>
          <w:numId w:val="1405"/>
        </w:numPr>
      </w:pPr>
      <w:r>
        <w:t xml:space="preserve">A coefficients table giving, for every predictor currently in the model: the unstandardized coefficient (B) and its standard error, the standardized coefficient (Beta), and a t-statistic with its significance — the standardized Beta coefficients are particularly useful because, unlike the unstandardized B, they are directly comparable across predictors measured in different units, giving an immediate sense of each retained predictor's relative importance.</w:t>
      </w:r>
    </w:p>
    <w:p>
      <w:pPr>
        <w:numPr>
          <w:ilvl w:val="0"/>
          <w:numId w:val="1405"/>
        </w:numPr>
      </w:pPr>
      <w:r>
        <w:t xml:space="preserve">An 'excluded variables' table listing every candidate not currently in the model, along with the 'Beta In' value it would take if entered next, its associated t-statistic and significance, and its tolerance — allowing the analyst to see, at a glance, exactly how close each excluded variable came to qualifying for entry, and why it did not.</w:t>
      </w:r>
    </w:p>
    <w:p>
      <w:pPr>
        <w:pStyle w:val="Heading3"/>
      </w:pPr>
      <w:r>
        <w:t xml:space="preserve">53.5.5 Comparing Stepwise (Reduced) versus Enter (Forced, Full) Regression</w:t>
      </w:r>
    </w:p>
    <w:p>
      <w:pPr>
        <w:pStyle w:val="FirstParagraph"/>
      </w:pPr>
      <w:r>
        <w:t xml:space="preserve">A central interpretive practice in SQI validation work is to run both a forced-entry ('Enter') regression, using every MDS indicator simultaneously, and a stepwise regression on the same indicators and outcome, and then to compare the two directly. Two comparisons are diagnostic:</w:t>
      </w:r>
    </w:p>
    <w:p>
      <w:pPr>
        <w:numPr>
          <w:ilvl w:val="0"/>
          <w:numId w:val="1406"/>
        </w:numPr>
      </w:pPr>
      <w:r>
        <w:t xml:space="preserve">Comparing raw R² is not by itself sufficient, because raw R² can never decrease when more predictors are forced into a model, even if those extra predictors are pure noise — a full Enter model will therefore often show a nominally higher R² than a reduced stepwise model purely as an artifact of having more predictors, not because those predictors are genuinely useful.</w:t>
      </w:r>
    </w:p>
    <w:p>
      <w:pPr>
        <w:numPr>
          <w:ilvl w:val="0"/>
          <w:numId w:val="1406"/>
        </w:numPr>
      </w:pPr>
      <w:r>
        <w:t xml:space="preserve">Comparing Adjusted R² is the more informative test: because Adjusted R² penalizes additional, non-contributory predictors, it is entirely possible — and is taken as important evidence — for the full Enter model to have a lower Adjusted R² than the smaller stepwise model, despite the Enter model's higher raw R². When this occurs, it demonstrates that the additional predictors retained by force in the Enter model were not earning their keep statistically; they were inflating the raw fit through overfitting/noise rather than through genuine explanatory contribution, and the stepwise procedure's more parsimonious model is the better-supported one.</w:t>
      </w:r>
    </w:p>
    <w:p>
      <w:pPr>
        <w:pStyle w:val="FirstParagraph"/>
      </w:pPr>
      <w:r>
        <w:t xml:space="preserve">The overall statistical significance of the two models (their ANOVA F-test p-values) is also compared: it is common for the smaller, stepwise-selected model to return a considerably more significant overall F-test than the larger Enter model, precisely because concentrating the same explained variance into fewer degrees of freedom (fewer predictors) increases the model's statistical power per predictor.</w:t>
      </w:r>
    </w:p>
    <w:p>
      <w:pPr>
        <w:pStyle w:val="Heading3"/>
      </w:pPr>
      <w:r>
        <w:t xml:space="preserve">53.5.6 Diagnostics: Multicollinearity and Tolerance</w:t>
      </w:r>
    </w:p>
    <w:p>
      <w:pPr>
        <w:pStyle w:val="FirstParagraph"/>
      </w:pPr>
      <w:r>
        <w:t xml:space="preserve">Because stepwise regression's entry/removal logic is sensitive to correlation among candidate predictors, it is standard practice to report a collinearity diagnostic — most commonly tolerance (and its reciprocal, the Variance Inflation Factor, VIF) — for the excluded variables, in order to distinguish two different reasons a variable might fail to enter the model: (a) it may simply have no meaningful relationship with the outcome variable at all, or (b) it may have a real relationship with the outcome, but that relationship is already adequately captured by a different, correlated predictor already in the model, so it is redundant rather than irrelevant. Tolerance values close to 1.0 for the excluded variables indicate low multicollinearity with the variables already in the model, supporting interpretation (a) — that the excluded indicator's failure to enter genuinely reflects a lack of standalone relationship with the outcome, rather than being an artifact of redundancy with an indicator already retained.</w:t>
      </w:r>
    </w:p>
    <w:p>
      <w:pPr>
        <w:pStyle w:val="Heading3"/>
      </w:pPr>
      <w:r>
        <w:t xml:space="preserve">53.5.7 Interpreting Results: Identifying the Most Sensitive Indicators</w:t>
      </w:r>
    </w:p>
    <w:p>
      <w:pPr>
        <w:pStyle w:val="FirstParagraph"/>
      </w:pPr>
      <w:r>
        <w:t xml:space="preserve">The final, practical output of this comparison is a ranked, statistically defensible identification of which MDS indicators are the 'most sensitive' — i.e., most strongly and independently predictive of the outcome variable, typically crop yield — among the (already PCA-reduced) candidate set. The indicator(s) retained by the stepwise procedure, in the order they entered the model, are interpreted as the most sensitive; indicators from the MDS that fail to enter at any step, despite having survived the earlier PCA-based reduction, are interpreted as either non-sensitive to the specific outcome being tested, or redundant with an indicator that was retained (distinguished via the tolerance diagnostic of the relevant chapter). This progressive-entry structure also naturally yields a ranking: a variable that enters at Step 1 (i.e., that alone produces the single best one-predictor model among all candidates) is generally interpreted as the single most sensitive indicator, with subsequently entering variables interpreted as providing the next-largest independent (incremental) improvement in explanatory power once the higher-ranked variable(s) are already accounted for — and the increase in R² from one step to the next quantifies the marginal contribution of each newly entered variable.</w:t>
      </w:r>
    </w:p>
    <w:p>
      <w:pPr>
        <w:pStyle w:val="Heading3"/>
      </w:pPr>
      <w:r>
        <w:t xml:space="preserve">53.5.8 Worked Conceptual Example (Illustrative Structure, No Study-Specific Data)</w:t>
      </w:r>
    </w:p>
    <w:p>
      <w:pPr>
        <w:pStyle w:val="FirstParagraph"/>
      </w:pPr>
      <w:r>
        <w:t xml:space="preserve">To illustrate the overall logic in the abstract: suppose a PCA-based MDS selection has already reduced a larger physical-indicator pool down to four surviving MDS candidates — call them indicators A, B, C, and D — each representing a different retained principal component. A stepwise regression of crop yield on A, B, C, and D might proceed as follows. At Step 1, indicator C shows the smallest entry p-value among the four and is added; the resulting one-predictor model already achieves a statistically significant overall F-test. At Step 2, none of the remaining candidates (A, B, D) achieves an entry p-value at or below the PIN threshold once C is already in the model — meaning that, net of what C already explains, none of the others adds a further statistically distinguishable improvement — so the algorithm terminates with C as the sole retained predictor. A parallel forced-entry ('Enter') regression using all four indicators (A, B, C, D) simultaneously would likely show a nominally higher raw R² than the one-predictor stepwise model (because forcing in extra predictors mechanically cannot lower R²), but a lower Adjusted R² (because A, B, and D are not individually significant once entered, so their inclusion is penalized). Comparing the two models — the stepwise model's higher Adjusted R², more significant overall F-test, and single clearly significant coefficient, against the Enter model's inflated but less-efficient raw R² and mostly non-significant individual coefficients — leads to the conclusion that indicator C is the most sensitive physical indicator to crop yield in this (illustrative) MDS, while A, B, and D, though retained by the earlier PCA-based reduction as representative of independent axes of soil variability, do not independently or significantly predict yield once C is accounted for, and are treated as non-sensitive (or redundant) for the specific purpose of yield prediction — a conclusion supported by inspecting the tolerance values of A, B, and D to confirm their exclusion reflects genuine lack of relationship with yield rather than collinearity with C.</w:t>
      </w:r>
    </w:p>
    <w:p>
      <w:pPr>
        <w:pStyle w:val="Heading1"/>
      </w:pPr>
      <w:r>
        <w:t xml:space="preserve">Chapter 54. Artificial Intelligence and Machine Learning</w:t>
      </w:r>
    </w:p>
    <w:p>
      <w:pPr>
        <w:pStyle w:val="Heading2"/>
      </w:pPr>
      <w:r>
        <w:t xml:space="preserve">54.1 AI, Machine Learning and Deep Learning — the Hierarchy</w:t>
      </w:r>
    </w:p>
    <w:p>
      <w:pPr>
        <w:pStyle w:val="Compact"/>
        <w:numPr>
          <w:ilvl w:val="0"/>
          <w:numId w:val="1407"/>
        </w:numPr>
      </w:pPr>
      <w:r>
        <w:rPr>
          <w:bCs/>
          <w:b/>
        </w:rPr>
        <w:t xml:space="preserve">Artificial Intelligence (AI):</w:t>
      </w:r>
      <w:r>
        <w:t xml:space="preserve"> </w:t>
      </w:r>
      <w:r>
        <w:t xml:space="preserve">systems performing tasks that normally require human intelligence (perception, reasoning, decision-making) — includes rule-based expert systems (e.g., crop-protection expert systems), knowledge graphs, and learning systems.</w:t>
      </w:r>
    </w:p>
    <w:p>
      <w:pPr>
        <w:pStyle w:val="Compact"/>
        <w:numPr>
          <w:ilvl w:val="0"/>
          <w:numId w:val="1407"/>
        </w:numPr>
      </w:pPr>
      <w:r>
        <w:rPr>
          <w:bCs/>
          <w:b/>
        </w:rPr>
        <w:t xml:space="preserve">Machine Learning (ML):</w:t>
      </w:r>
      <w:r>
        <w:t xml:space="preserve"> </w:t>
      </w:r>
      <w:r>
        <w:t xml:space="preserve">algorithms that</w:t>
      </w:r>
      <w:r>
        <w:t xml:space="preserve"> </w:t>
      </w:r>
      <w:r>
        <w:rPr>
          <w:bCs/>
          <w:b/>
        </w:rPr>
        <w:t xml:space="preserve">learn patterns from data</w:t>
      </w:r>
      <w:r>
        <w:t xml:space="preserve"> </w:t>
      </w:r>
      <w:r>
        <w:t xml:space="preserve">rather than being explicitly programmed (Arthur Samuel); improve performance with experience (Mitchell: task T, performance P, experience E).</w:t>
      </w:r>
    </w:p>
    <w:p>
      <w:pPr>
        <w:pStyle w:val="Compact"/>
        <w:numPr>
          <w:ilvl w:val="0"/>
          <w:numId w:val="1407"/>
        </w:numPr>
      </w:pPr>
      <w:r>
        <w:rPr>
          <w:bCs/>
          <w:b/>
        </w:rPr>
        <w:t xml:space="preserve">Deep Learning (DL):</w:t>
      </w:r>
      <w:r>
        <w:t xml:space="preserve"> </w:t>
      </w:r>
      <w:r>
        <w:t xml:space="preserve">ML using multi-layer neural networks that learn hierarchical features directly from raw data (images, time series).</w:t>
      </w:r>
    </w:p>
    <w:p>
      <w:pPr>
        <w:pStyle w:val="FirstParagraph"/>
      </w:pPr>
      <w:r>
        <w:rPr>
          <w:bCs/>
          <w:b/>
        </w:rPr>
        <w:t xml:space="preserve">Why ML in agriculture/RS:</w:t>
      </w:r>
      <w:r>
        <w:t xml:space="preserve"> </w:t>
      </w:r>
      <w:r>
        <w:t xml:space="preserve">huge, multi-source data (satellite, weather, IoT, surveys), non-linear interactions, need for automation and speed (national crop maps every season), and ability to fuse heterogeneous inputs.</w:t>
      </w:r>
    </w:p>
    <w:p>
      <w:pPr>
        <w:pStyle w:val="Heading2"/>
      </w:pPr>
      <w:r>
        <w:t xml:space="preserve">54.2 Learning Paradigms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Paradigm</w:t>
            </w:r>
          </w:p>
        </w:tc>
        <w:tc>
          <w:tcPr/>
          <w:p>
            <w:pPr>
              <w:pStyle w:val="Compact"/>
              <w:jc w:val="left"/>
            </w:pPr>
            <w:r>
              <w:t xml:space="preserve">Data</w:t>
            </w:r>
          </w:p>
        </w:tc>
        <w:tc>
          <w:tcPr/>
          <w:p>
            <w:pPr>
              <w:pStyle w:val="Compact"/>
              <w:jc w:val="left"/>
            </w:pPr>
            <w:r>
              <w:t xml:space="preserve">Goal</w:t>
            </w:r>
          </w:p>
        </w:tc>
        <w:tc>
          <w:tcPr/>
          <w:p>
            <w:pPr>
              <w:pStyle w:val="Compact"/>
              <w:jc w:val="left"/>
            </w:pPr>
            <w:r>
              <w:t xml:space="preserve">Examples in agriculture/RS</w:t>
            </w:r>
          </w:p>
        </w:tc>
      </w:tr>
      <w:tr>
        <w:tc>
          <w:tcPr/>
          <w:p>
            <w:pPr>
              <w:pStyle w:val="Compact"/>
              <w:jc w:val="left"/>
            </w:pPr>
            <w:r>
              <w:rPr>
                <w:bCs/>
                <w:b/>
              </w:rPr>
              <w:t xml:space="preserve">Supervised</w:t>
            </w:r>
          </w:p>
        </w:tc>
        <w:tc>
          <w:tcPr/>
          <w:p>
            <w:pPr>
              <w:pStyle w:val="Compact"/>
              <w:jc w:val="left"/>
            </w:pPr>
            <w:r>
              <w:t xml:space="preserve">Labelled input–output pairs</w:t>
            </w:r>
          </w:p>
        </w:tc>
        <w:tc>
          <w:tcPr/>
          <w:p>
            <w:pPr>
              <w:pStyle w:val="Compact"/>
              <w:jc w:val="left"/>
            </w:pPr>
            <w:r>
              <w:t xml:space="preserve">Learn mapping</w:t>
            </w:r>
            <w:r>
              <w:t xml:space="preserve"> </w:t>
            </w:r>
            <m:oMath>
              <m:r>
                <m:t>f</m:t>
              </m:r>
              <m:r>
                <m:rPr>
                  <m:sty m:val="p"/>
                </m:rPr>
                <m:t>:</m:t>
              </m:r>
              <m:r>
                <m:t>X</m:t>
              </m:r>
              <m:r>
                <m:rPr>
                  <m:sty m:val="p"/>
                </m:rPr>
                <m:t>→</m:t>
              </m:r>
              <m:r>
                <m:t>y</m:t>
              </m:r>
            </m:oMath>
            <w:r>
              <w:t xml:space="preserve"> </w:t>
            </w:r>
            <w:r>
              <w:t xml:space="preserve">—</w:t>
            </w:r>
            <w:r>
              <w:t xml:space="preserve"> </w:t>
            </w:r>
            <w:r>
              <w:rPr>
                <w:bCs/>
                <w:b/>
              </w:rPr>
              <w:t xml:space="preserve">classification</w:t>
            </w:r>
            <w:r>
              <w:t xml:space="preserve"> </w:t>
            </w:r>
            <w:r>
              <w:t xml:space="preserve">(discrete y) or</w:t>
            </w:r>
            <w:r>
              <w:t xml:space="preserve"> </w:t>
            </w:r>
            <w:r>
              <w:rPr>
                <w:bCs/>
                <w:b/>
              </w:rPr>
              <w:t xml:space="preserve">regression</w:t>
            </w:r>
            <w:r>
              <w:t xml:space="preserve"> </w:t>
            </w:r>
            <w:r>
              <w:t xml:space="preserve">(continuous y)</w:t>
            </w:r>
          </w:p>
        </w:tc>
        <w:tc>
          <w:tcPr/>
          <w:p>
            <w:pPr>
              <w:pStyle w:val="Compact"/>
              <w:jc w:val="left"/>
            </w:pPr>
            <w:r>
              <w:t xml:space="preserve">Crop-type mapping from ground truth; yield prediction; LAI/soil-moisture retrieval; disease detection from leaf images</w:t>
            </w:r>
          </w:p>
        </w:tc>
      </w:tr>
      <w:tr>
        <w:tc>
          <w:tcPr/>
          <w:p>
            <w:pPr>
              <w:pStyle w:val="Compact"/>
              <w:jc w:val="left"/>
            </w:pPr>
            <w:r>
              <w:rPr>
                <w:bCs/>
                <w:b/>
              </w:rPr>
              <w:t xml:space="preserve">Unsupervised</w:t>
            </w:r>
          </w:p>
        </w:tc>
        <w:tc>
          <w:tcPr/>
          <w:p>
            <w:pPr>
              <w:pStyle w:val="Compact"/>
              <w:jc w:val="left"/>
            </w:pPr>
            <w:r>
              <w:t xml:space="preserve">Unlabelled</w:t>
            </w:r>
          </w:p>
        </w:tc>
        <w:tc>
          <w:tcPr/>
          <w:p>
            <w:pPr>
              <w:pStyle w:val="Compact"/>
              <w:jc w:val="left"/>
            </w:pPr>
            <w:r>
              <w:t xml:space="preserve">Discover structure —</w:t>
            </w:r>
            <w:r>
              <w:t xml:space="preserve"> </w:t>
            </w:r>
            <w:r>
              <w:rPr>
                <w:bCs/>
                <w:b/>
              </w:rPr>
              <w:t xml:space="preserve">clustering</w:t>
            </w:r>
            <w:r>
              <w:t xml:space="preserve">,</w:t>
            </w:r>
            <w:r>
              <w:t xml:space="preserve"> </w:t>
            </w:r>
            <w:r>
              <w:rPr>
                <w:bCs/>
                <w:b/>
              </w:rPr>
              <w:t xml:space="preserve">dimensionality reduction</w:t>
            </w:r>
            <w:r>
              <w:t xml:space="preserve">, anomaly detection</w:t>
            </w:r>
          </w:p>
        </w:tc>
        <w:tc>
          <w:tcPr/>
          <w:p>
            <w:pPr>
              <w:pStyle w:val="Compact"/>
              <w:jc w:val="left"/>
            </w:pPr>
            <w:r>
              <w:t xml:space="preserve">ISODATA/k-means spectral clustering; PCA; agro-ecological or management-zone delineation; anomaly detection in NDVI</w:t>
            </w:r>
          </w:p>
        </w:tc>
      </w:tr>
      <w:tr>
        <w:tc>
          <w:tcPr/>
          <w:p>
            <w:pPr>
              <w:pStyle w:val="Compact"/>
              <w:jc w:val="left"/>
            </w:pPr>
            <w:r>
              <w:rPr>
                <w:bCs/>
                <w:b/>
              </w:rPr>
              <w:t xml:space="preserve">Semi-supervised</w:t>
            </w:r>
          </w:p>
        </w:tc>
        <w:tc>
          <w:tcPr/>
          <w:p>
            <w:pPr>
              <w:pStyle w:val="Compact"/>
              <w:jc w:val="left"/>
            </w:pPr>
            <w:r>
              <w:t xml:space="preserve">Few labels + many unlabelled</w:t>
            </w:r>
          </w:p>
        </w:tc>
        <w:tc>
          <w:tcPr/>
          <w:p>
            <w:pPr>
              <w:pStyle w:val="Compact"/>
              <w:jc w:val="left"/>
            </w:pPr>
            <w:r>
              <w:t xml:space="preserve">Leverage unlabelled data</w:t>
            </w:r>
          </w:p>
        </w:tc>
        <w:tc>
          <w:tcPr/>
          <w:p>
            <w:pPr>
              <w:pStyle w:val="Compact"/>
              <w:jc w:val="left"/>
            </w:pPr>
            <w:r>
              <w:t xml:space="preserve">Crop mapping with sparse ground truth</w:t>
            </w:r>
          </w:p>
        </w:tc>
      </w:tr>
      <w:tr>
        <w:tc>
          <w:tcPr/>
          <w:p>
            <w:pPr>
              <w:pStyle w:val="Compact"/>
              <w:jc w:val="left"/>
            </w:pPr>
            <w:r>
              <w:rPr>
                <w:bCs/>
                <w:b/>
              </w:rPr>
              <w:t xml:space="preserve">Reinforcement learning</w:t>
            </w:r>
          </w:p>
        </w:tc>
        <w:tc>
          <w:tcPr/>
          <w:p>
            <w:pPr>
              <w:pStyle w:val="Compact"/>
              <w:jc w:val="left"/>
            </w:pPr>
            <w:r>
              <w:t xml:space="preserve">Agent–environment rewards</w:t>
            </w:r>
          </w:p>
        </w:tc>
        <w:tc>
          <w:tcPr/>
          <w:p>
            <w:pPr>
              <w:pStyle w:val="Compact"/>
              <w:jc w:val="left"/>
            </w:pPr>
            <w:r>
              <w:t xml:space="preserve">Learn optimal policy by trial and reward</w:t>
            </w:r>
          </w:p>
        </w:tc>
        <w:tc>
          <w:tcPr/>
          <w:p>
            <w:pPr>
              <w:pStyle w:val="Compact"/>
              <w:jc w:val="left"/>
            </w:pPr>
            <w:r>
              <w:t xml:space="preserve">Irrigation scheduling, greenhouse climate control, robot navigation</w:t>
            </w:r>
          </w:p>
        </w:tc>
      </w:tr>
      <w:tr>
        <w:tc>
          <w:tcPr/>
          <w:p>
            <w:pPr>
              <w:pStyle w:val="Compact"/>
              <w:jc w:val="left"/>
            </w:pPr>
            <w:r>
              <w:rPr>
                <w:bCs/>
                <w:b/>
              </w:rPr>
              <w:t xml:space="preserve">Self-supervised / foundation models</w:t>
            </w:r>
          </w:p>
        </w:tc>
        <w:tc>
          <w:tcPr/>
          <w:p>
            <w:pPr>
              <w:pStyle w:val="Compact"/>
              <w:jc w:val="left"/>
            </w:pPr>
            <w:r>
              <w:t xml:space="preserve">Pretext tasks on massive unlabelled data</w:t>
            </w:r>
          </w:p>
        </w:tc>
        <w:tc>
          <w:tcPr/>
          <w:p>
            <w:pPr>
              <w:pStyle w:val="Compact"/>
              <w:jc w:val="left"/>
            </w:pPr>
            <w:r>
              <w:t xml:space="preserve">Pre-trained general representations, fine-tuned for tasks</w:t>
            </w:r>
          </w:p>
        </w:tc>
        <w:tc>
          <w:tcPr/>
          <w:p>
            <w:pPr>
              <w:pStyle w:val="Compact"/>
              <w:jc w:val="left"/>
            </w:pPr>
            <w:r>
              <w:t xml:space="preserve">Geospatial foundation models (e.g., NASA–IBM Prithvi), SAM for segmentation</w:t>
            </w:r>
          </w:p>
        </w:tc>
      </w:tr>
      <w:tr>
        <w:tc>
          <w:tcPr/>
          <w:p>
            <w:pPr>
              <w:pStyle w:val="Compact"/>
              <w:jc w:val="left"/>
            </w:pPr>
            <w:r>
              <w:rPr>
                <w:bCs/>
                <w:b/>
              </w:rPr>
              <w:t xml:space="preserve">Transfer learning</w:t>
            </w:r>
          </w:p>
        </w:tc>
        <w:tc>
          <w:tcPr/>
          <w:p>
            <w:pPr>
              <w:pStyle w:val="Compact"/>
              <w:jc w:val="left"/>
            </w:pPr>
            <w:r>
              <w:t xml:space="preserve">Model pretrained on one domain</w:t>
            </w:r>
          </w:p>
        </w:tc>
        <w:tc>
          <w:tcPr/>
          <w:p>
            <w:pPr>
              <w:pStyle w:val="Compact"/>
              <w:jc w:val="left"/>
            </w:pPr>
            <w:r>
              <w:t xml:space="preserve">Fine-tune on another with little data</w:t>
            </w:r>
          </w:p>
        </w:tc>
        <w:tc>
          <w:tcPr/>
          <w:p>
            <w:pPr>
              <w:pStyle w:val="Compact"/>
              <w:jc w:val="left"/>
            </w:pPr>
            <w:r>
              <w:t xml:space="preserve">ImageNet CNNs adapted to UAV crop images</w:t>
            </w:r>
          </w:p>
        </w:tc>
      </w:tr>
    </w:tbl>
    <w:p>
      <w:pPr>
        <w:pStyle w:val="Heading2"/>
      </w:pPr>
      <w:r>
        <w:t xml:space="preserve">54.3 Supervised Algorithms</w:t>
      </w:r>
    </w:p>
    <w:p>
      <w:pPr>
        <w:pStyle w:val="Heading3"/>
      </w:pPr>
      <w:r>
        <w:t xml:space="preserve">54.3.1 Classical (statistical) classifiers in RS</w:t>
      </w:r>
    </w:p>
    <w:p>
      <w:pPr>
        <w:pStyle w:val="Compact"/>
        <w:numPr>
          <w:ilvl w:val="0"/>
          <w:numId w:val="1408"/>
        </w:numPr>
      </w:pPr>
      <w:r>
        <w:rPr>
          <w:bCs/>
          <w:b/>
        </w:rPr>
        <w:t xml:space="preserve">Parallelepiped</w:t>
      </w:r>
      <w:r>
        <w:t xml:space="preserve"> </w:t>
      </w:r>
      <w:r>
        <w:t xml:space="preserve">(box decision rule using min–max per band) — fast, overlap/unclassified issues.</w:t>
      </w:r>
    </w:p>
    <w:p>
      <w:pPr>
        <w:pStyle w:val="Compact"/>
        <w:numPr>
          <w:ilvl w:val="0"/>
          <w:numId w:val="1408"/>
        </w:numPr>
      </w:pPr>
      <w:r>
        <w:rPr>
          <w:bCs/>
          <w:b/>
        </w:rPr>
        <w:t xml:space="preserve">Minimum distance to means</w:t>
      </w:r>
      <w:r>
        <w:t xml:space="preserve"> </w:t>
      </w:r>
      <w:r>
        <w:t xml:space="preserve">— assigns to nearest class mean (Euclidean).</w:t>
      </w:r>
    </w:p>
    <w:p>
      <w:pPr>
        <w:pStyle w:val="Compact"/>
        <w:numPr>
          <w:ilvl w:val="0"/>
          <w:numId w:val="1408"/>
        </w:numPr>
      </w:pPr>
      <w:r>
        <w:rPr>
          <w:bCs/>
          <w:b/>
        </w:rPr>
        <w:t xml:space="preserve">Maximum likelihood classifier (MLC):</w:t>
      </w:r>
      <w:r>
        <w:t xml:space="preserve"> </w:t>
      </w:r>
      <w:r>
        <w:t xml:space="preserve">assumes multivariate normal class distributions; discriminant</w:t>
      </w:r>
      <w:r>
        <w:t xml:space="preserve"> </w:t>
      </w:r>
      <m:oMath>
        <m:sSub>
          <m:e>
            <m:r>
              <m:t>g</m:t>
            </m:r>
          </m:e>
          <m:sub>
            <m:r>
              <m:t>i</m:t>
            </m:r>
          </m:sub>
        </m:sSub>
        <m:d>
          <m:dPr>
            <m:begChr m:val="("/>
            <m:endChr m:val=")"/>
            <m:sepChr m:val=""/>
            <m:grow/>
          </m:dPr>
          <m:e>
            <m:r>
              <m:rPr>
                <m:sty m:val="b"/>
              </m:rPr>
              <m:t>x</m:t>
            </m:r>
          </m:e>
        </m:d>
        <m:r>
          <m:rPr>
            <m:sty m:val="p"/>
          </m:rPr>
          <m:t>=</m:t>
        </m:r>
        <m:r>
          <m:rPr>
            <m:sty m:val="p"/>
          </m:rPr>
          <m:t>ln</m:t>
        </m:r>
        <m:r>
          <m:t>p</m:t>
        </m:r>
        <m:d>
          <m:dPr>
            <m:begChr m:val="("/>
            <m:endChr m:val=")"/>
            <m:sepChr m:val=""/>
            <m:grow/>
          </m:dPr>
          <m:e>
            <m:sSub>
              <m:e>
                <m:r>
                  <m:t>ω</m:t>
                </m:r>
              </m:e>
              <m:sub>
                <m:r>
                  <m:t>i</m:t>
                </m:r>
              </m:sub>
            </m:sSub>
          </m:e>
        </m:d>
        <m:r>
          <m:rPr>
            <m:sty m:val="p"/>
          </m:rPr>
          <m:t>−</m:t>
        </m:r>
        <m:f>
          <m:fPr>
            <m:type m:val="lin"/>
          </m:fPr>
          <m:num>
            <m:r>
              <m:t>1</m:t>
            </m:r>
          </m:num>
          <m:den>
            <m:r>
              <m:t>2</m:t>
            </m:r>
          </m:den>
        </m:f>
        <m:r>
          <m:rPr>
            <m:sty m:val="p"/>
          </m:rPr>
          <m:t>ln</m:t>
        </m:r>
        <m:d>
          <m:dPr>
            <m:begChr m:val="|"/>
            <m:endChr m:val="|"/>
            <m:sepChr m:val=""/>
            <m:grow/>
          </m:dPr>
          <m:e>
            <m:sSub>
              <m:e>
                <m:r>
                  <m:t>Σ</m:t>
                </m:r>
              </m:e>
              <m:sub>
                <m:r>
                  <m:t>i</m:t>
                </m:r>
              </m:sub>
            </m:sSub>
          </m:e>
        </m:d>
        <m:r>
          <m:rPr>
            <m:sty m:val="p"/>
          </m:rPr>
          <m:t>−</m:t>
        </m:r>
        <m:f>
          <m:fPr>
            <m:type m:val="lin"/>
          </m:fPr>
          <m:num>
            <m:r>
              <m:t>1</m:t>
            </m:r>
          </m:num>
          <m:den>
            <m:r>
              <m:t>2</m:t>
            </m:r>
          </m:den>
        </m:f>
        <m:sSup>
          <m:e>
            <m:d>
              <m:dPr>
                <m:begChr m:val="("/>
                <m:endChr m:val=")"/>
                <m:sepChr m:val=""/>
                <m:grow/>
              </m:dPr>
              <m:e>
                <m:r>
                  <m:rPr>
                    <m:sty m:val="b"/>
                  </m:rPr>
                  <m:t>x</m:t>
                </m:r>
                <m:r>
                  <m:rPr>
                    <m:sty m:val="p"/>
                  </m:rPr>
                  <m:t>−</m:t>
                </m:r>
                <m:sSub>
                  <m:e>
                    <m:r>
                      <m:rPr>
                        <m:sty m:val="b"/>
                      </m:rPr>
                      <m:t>μ</m:t>
                    </m:r>
                  </m:e>
                  <m:sub>
                    <m:r>
                      <m:t>i</m:t>
                    </m:r>
                  </m:sub>
                </m:sSub>
              </m:e>
            </m:d>
          </m:e>
          <m:sup>
            <m:r>
              <m:t>T</m:t>
            </m:r>
          </m:sup>
        </m:sSup>
        <m:sSubSup>
          <m:e>
            <m:r>
              <m:t>Σ</m:t>
            </m:r>
          </m:e>
          <m:sub>
            <m:r>
              <m:t>i</m:t>
            </m:r>
          </m:sub>
          <m:sup>
            <m:r>
              <m:rPr>
                <m:sty m:val="p"/>
              </m:rPr>
              <m:t>−</m:t>
            </m:r>
            <m:r>
              <m:t>1</m:t>
            </m:r>
          </m:sup>
        </m:sSubSup>
        <m:d>
          <m:dPr>
            <m:begChr m:val="("/>
            <m:endChr m:val=")"/>
            <m:sepChr m:val=""/>
            <m:grow/>
          </m:dPr>
          <m:e>
            <m:r>
              <m:rPr>
                <m:sty m:val="b"/>
              </m:rPr>
              <m:t>x</m:t>
            </m:r>
            <m:r>
              <m:rPr>
                <m:sty m:val="p"/>
              </m:rPr>
              <m:t>−</m:t>
            </m:r>
            <m:sSub>
              <m:e>
                <m:r>
                  <m:rPr>
                    <m:sty m:val="b"/>
                  </m:rPr>
                  <m:t>μ</m:t>
                </m:r>
              </m:e>
              <m:sub>
                <m:r>
                  <m:t>i</m:t>
                </m:r>
              </m:sub>
            </m:sSub>
          </m:e>
        </m:d>
      </m:oMath>
      <w:r>
        <w:t xml:space="preserve"> </w:t>
      </w:r>
      <w:r>
        <w:t xml:space="preserve">— needs ≥ (n + 1) and ideally 10n–100n training pixels per class (n = bands).</w:t>
      </w:r>
    </w:p>
    <w:p>
      <w:pPr>
        <w:pStyle w:val="Compact"/>
        <w:numPr>
          <w:ilvl w:val="0"/>
          <w:numId w:val="1408"/>
        </w:numPr>
      </w:pPr>
      <w:r>
        <w:rPr>
          <w:bCs/>
          <w:b/>
        </w:rPr>
        <w:t xml:space="preserve">Linear discriminant analysis, logistic regression, naive Bayes.</w:t>
      </w:r>
    </w:p>
    <w:p>
      <w:pPr>
        <w:pStyle w:val="Heading3"/>
      </w:pPr>
      <w:r>
        <w:t xml:space="preserve">54.3.2 Machine-learning classifiers/regressors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Algorithm</w:t>
            </w:r>
          </w:p>
        </w:tc>
        <w:tc>
          <w:tcPr/>
          <w:p>
            <w:pPr>
              <w:pStyle w:val="Compact"/>
              <w:jc w:val="left"/>
            </w:pPr>
            <w:r>
              <w:t xml:space="preserve">Principle</w:t>
            </w:r>
          </w:p>
        </w:tc>
        <w:tc>
          <w:tcPr/>
          <w:p>
            <w:pPr>
              <w:pStyle w:val="Compact"/>
              <w:jc w:val="left"/>
            </w:pPr>
            <w:r>
              <w:t xml:space="preserve">Strengths / weaknesses</w:t>
            </w:r>
          </w:p>
        </w:tc>
      </w:tr>
      <w:tr>
        <w:tc>
          <w:tcPr/>
          <w:p>
            <w:pPr>
              <w:pStyle w:val="Compact"/>
              <w:jc w:val="left"/>
            </w:pPr>
            <w:r>
              <w:rPr>
                <w:bCs/>
                <w:b/>
              </w:rPr>
              <w:t xml:space="preserve">k-Nearest Neighbour (kNN)</w:t>
            </w:r>
          </w:p>
        </w:tc>
        <w:tc>
          <w:tcPr/>
          <w:p>
            <w:pPr>
              <w:pStyle w:val="Compact"/>
              <w:jc w:val="left"/>
            </w:pPr>
            <w:r>
              <w:t xml:space="preserve">Majority vote (or average) of k closest training samples</w:t>
            </w:r>
          </w:p>
        </w:tc>
        <w:tc>
          <w:tcPr/>
          <w:p>
            <w:pPr>
              <w:pStyle w:val="Compact"/>
              <w:jc w:val="left"/>
            </w:pPr>
            <w:r>
              <w:t xml:space="preserve">Simple, non-parametric; slow for big data, sensitive to scaling; used in forest inventory (kNN biomass)</w:t>
            </w:r>
          </w:p>
        </w:tc>
      </w:tr>
      <w:tr>
        <w:tc>
          <w:tcPr/>
          <w:p>
            <w:pPr>
              <w:pStyle w:val="Compact"/>
              <w:jc w:val="left"/>
            </w:pPr>
            <w:r>
              <w:rPr>
                <w:bCs/>
                <w:b/>
              </w:rPr>
              <w:t xml:space="preserve">Decision tree (CART, C4.5)</w:t>
            </w:r>
          </w:p>
        </w:tc>
        <w:tc>
          <w:tcPr/>
          <w:p>
            <w:pPr>
              <w:pStyle w:val="Compact"/>
              <w:jc w:val="left"/>
            </w:pPr>
            <w:r>
              <w:t xml:space="preserve">Recursive binary splits maximising purity (Gini</w:t>
            </w:r>
            <w:r>
              <w:t xml:space="preserve"> </w:t>
            </w:r>
            <m:oMath>
              <m:r>
                <m:t>1</m:t>
              </m:r>
              <m:r>
                <m:rPr>
                  <m:sty m:val="p"/>
                </m:rPr>
                <m:t>−</m:t>
              </m:r>
              <m:r>
                <m:rPr>
                  <m:sty m:val="p"/>
                </m:rPr>
                <m:t>∑</m:t>
              </m:r>
              <m:sSubSup>
                <m:e>
                  <m:r>
                    <m:t>p</m:t>
                  </m:r>
                </m:e>
                <m:sub>
                  <m:r>
                    <m:t>i</m:t>
                  </m:r>
                </m:sub>
                <m:sup>
                  <m:r>
                    <m:t>2</m:t>
                  </m:r>
                </m:sup>
              </m:sSubSup>
            </m:oMath>
            <w:r>
              <w:t xml:space="preserve"> </w:t>
            </w:r>
            <w:r>
              <w:t xml:space="preserve">or entropy</w:t>
            </w:r>
            <w:r>
              <w:t xml:space="preserve"> </w:t>
            </w:r>
            <m:oMath>
              <m:r>
                <m:rPr>
                  <m:sty m:val="p"/>
                </m:rPr>
                <m:t>−</m:t>
              </m:r>
              <m:r>
                <m:rPr>
                  <m:sty m:val="p"/>
                </m:rPr>
                <m:t>∑</m:t>
              </m:r>
              <m:sSub>
                <m:e>
                  <m:r>
                    <m:t>p</m:t>
                  </m:r>
                </m:e>
                <m:sub>
                  <m:r>
                    <m:t>i</m:t>
                  </m:r>
                </m:sub>
              </m:sSub>
              <m:sSub>
                <m:e>
                  <m:r>
                    <m:rPr>
                      <m:sty m:val="p"/>
                    </m:rPr>
                    <m:t>log</m:t>
                  </m:r>
                </m:e>
                <m:sub>
                  <m:r>
                    <m:t>2</m:t>
                  </m:r>
                </m:sub>
              </m:sSub>
              <m:sSub>
                <m:e>
                  <m:r>
                    <m:t>p</m:t>
                  </m:r>
                </m:e>
                <m:sub>
                  <m:r>
                    <m:t>i</m:t>
                  </m:r>
                </m:sub>
              </m:sSub>
            </m:oMath>
            <w:r>
              <w:t xml:space="preserve"> </w:t>
            </w:r>
            <w:r>
              <w:t xml:space="preserve">→ information gain)</w:t>
            </w:r>
          </w:p>
        </w:tc>
        <w:tc>
          <w:tcPr/>
          <w:p>
            <w:pPr>
              <w:pStyle w:val="Compact"/>
              <w:jc w:val="left"/>
            </w:pPr>
            <w:r>
              <w:t xml:space="preserve">Interpretable rules; overfits; basis of hierarchical classification (e.g., NDVI threshold rules)</w:t>
            </w:r>
          </w:p>
        </w:tc>
      </w:tr>
      <w:tr>
        <w:tc>
          <w:tcPr/>
          <w:p>
            <w:pPr>
              <w:pStyle w:val="Compact"/>
              <w:jc w:val="left"/>
            </w:pPr>
            <w:r>
              <w:rPr>
                <w:bCs/>
                <w:b/>
              </w:rPr>
              <w:t xml:space="preserve">Random Forest (RF; Breiman 2001)</w:t>
            </w:r>
          </w:p>
        </w:tc>
        <w:tc>
          <w:tcPr/>
          <w:p>
            <w:pPr>
              <w:pStyle w:val="Compact"/>
              <w:jc w:val="left"/>
            </w:pPr>
            <w:r>
              <w:t xml:space="preserve">Ensemble of trees on bootstrap samples (</w:t>
            </w:r>
            <w:r>
              <w:rPr>
                <w:bCs/>
                <w:b/>
              </w:rPr>
              <w:t xml:space="preserve">bagging</w:t>
            </w:r>
            <w:r>
              <w:t xml:space="preserve">) with random feature subsets at each split; majority vote/average</w:t>
            </w:r>
          </w:p>
        </w:tc>
        <w:tc>
          <w:tcPr/>
          <w:p>
            <w:pPr>
              <w:pStyle w:val="Compact"/>
              <w:jc w:val="left"/>
            </w:pPr>
            <w:r>
              <w:t xml:space="preserve">Robust, handles many features, out-of-bag (OOB) error, variable importance; workhorse of GEE crop mapping</w:t>
            </w:r>
          </w:p>
        </w:tc>
      </w:tr>
      <w:tr>
        <w:tc>
          <w:tcPr/>
          <w:p>
            <w:pPr>
              <w:pStyle w:val="Compact"/>
              <w:jc w:val="left"/>
            </w:pPr>
            <w:r>
              <w:rPr>
                <w:bCs/>
                <w:b/>
              </w:rPr>
              <w:t xml:space="preserve">Gradient boosting (GBM, XGBoost, LightGBM)</w:t>
            </w:r>
          </w:p>
        </w:tc>
        <w:tc>
          <w:tcPr/>
          <w:p>
            <w:pPr>
              <w:pStyle w:val="Compact"/>
              <w:jc w:val="left"/>
            </w:pPr>
            <w:r>
              <w:t xml:space="preserve">Trees added sequentially, each fitting residual errors of the previous (</w:t>
            </w:r>
            <w:r>
              <w:rPr>
                <w:bCs/>
                <w:b/>
              </w:rPr>
              <w:t xml:space="preserve">boosting</w:t>
            </w:r>
            <w:r>
              <w:t xml:space="preserve">)</w:t>
            </w:r>
          </w:p>
        </w:tc>
        <w:tc>
          <w:tcPr/>
          <w:p>
            <w:pPr>
              <w:pStyle w:val="Compact"/>
              <w:jc w:val="left"/>
            </w:pPr>
            <w:r>
              <w:t xml:space="preserve">Often highest tabular accuracy (yield prediction); needs tuning</w:t>
            </w:r>
          </w:p>
        </w:tc>
      </w:tr>
      <w:tr>
        <w:tc>
          <w:tcPr/>
          <w:p>
            <w:pPr>
              <w:pStyle w:val="Compact"/>
              <w:jc w:val="left"/>
            </w:pPr>
            <w:r>
              <w:rPr>
                <w:bCs/>
                <w:b/>
              </w:rPr>
              <w:t xml:space="preserve">Support Vector Machine (SVM)</w:t>
            </w:r>
          </w:p>
        </w:tc>
        <w:tc>
          <w:tcPr/>
          <w:p>
            <w:pPr>
              <w:pStyle w:val="Compact"/>
              <w:jc w:val="left"/>
            </w:pPr>
            <w:r>
              <w:t xml:space="preserve">Maximum-margin hyperplane</w:t>
            </w:r>
            <w:r>
              <w:t xml:space="preserve"> </w:t>
            </w:r>
            <m:oMath>
              <m:r>
                <m:rPr>
                  <m:sty m:val="b"/>
                </m:rPr>
                <m:t>w</m:t>
              </m:r>
              <m:r>
                <m:rPr>
                  <m:sty m:val="p"/>
                </m:rPr>
                <m:t>⋅</m:t>
              </m:r>
              <m:r>
                <m:rPr>
                  <m:sty m:val="b"/>
                </m:rPr>
                <m:t>x</m:t>
              </m:r>
              <m:r>
                <m:rPr>
                  <m:sty m:val="p"/>
                </m:rPr>
                <m:t>+</m:t>
              </m:r>
              <m:r>
                <m:t>b</m:t>
              </m:r>
              <m:r>
                <m:rPr>
                  <m:sty m:val="p"/>
                </m:rPr>
                <m:t>=</m:t>
              </m:r>
              <m:r>
                <m:t>0</m:t>
              </m:r>
            </m:oMath>
            <w:r>
              <w:t xml:space="preserve">; maximise margin 2/‖w‖;</w:t>
            </w:r>
            <w:r>
              <w:t xml:space="preserve"> </w:t>
            </w:r>
            <w:r>
              <w:rPr>
                <w:bCs/>
                <w:b/>
              </w:rPr>
              <w:t xml:space="preserve">kernel trick</w:t>
            </w:r>
            <w:r>
              <w:t xml:space="preserve"> </w:t>
            </w:r>
            <w:r>
              <w:t xml:space="preserve">(RBF, polynomial) for non-linear boundaries; soft margin (C)</w:t>
            </w:r>
          </w:p>
        </w:tc>
        <w:tc>
          <w:tcPr/>
          <w:p>
            <w:pPr>
              <w:pStyle w:val="Compact"/>
              <w:jc w:val="left"/>
            </w:pPr>
            <w:r>
              <w:t xml:space="preserve">Works with small training sets, high dimensions (hyperspectral); SVR for regression</w:t>
            </w:r>
          </w:p>
        </w:tc>
      </w:tr>
      <w:tr>
        <w:tc>
          <w:tcPr/>
          <w:p>
            <w:pPr>
              <w:pStyle w:val="Compact"/>
              <w:jc w:val="left"/>
            </w:pPr>
            <w:r>
              <w:rPr>
                <w:bCs/>
                <w:b/>
              </w:rPr>
              <w:t xml:space="preserve">Artificial Neural Network (MLP)</w:t>
            </w:r>
          </w:p>
        </w:tc>
        <w:tc>
          <w:tcPr/>
          <w:p>
            <w:pPr>
              <w:pStyle w:val="Compact"/>
              <w:jc w:val="left"/>
            </w:pPr>
            <w:r>
              <w:t xml:space="preserve">Layers of neurons</w:t>
            </w:r>
            <w:r>
              <w:t xml:space="preserve"> </w:t>
            </w:r>
            <m:oMath>
              <m:r>
                <m:t>a</m:t>
              </m:r>
              <m:r>
                <m:rPr>
                  <m:sty m:val="p"/>
                </m:rPr>
                <m:t>=</m:t>
              </m:r>
              <m:r>
                <m:t>f</m:t>
              </m:r>
              <m:d>
                <m:dPr>
                  <m:begChr m:val="("/>
                  <m:endChr m:val=")"/>
                  <m:sepChr m:val=""/>
                  <m:grow/>
                </m:dPr>
                <m:e>
                  <m:r>
                    <m:rPr>
                      <m:sty m:val="p"/>
                    </m:rPr>
                    <m:t>∑</m:t>
                  </m:r>
                  <m:sSub>
                    <m:e>
                      <m:r>
                        <m:t>w</m:t>
                      </m:r>
                    </m:e>
                    <m:sub>
                      <m:r>
                        <m:t>i</m:t>
                      </m:r>
                    </m:sub>
                  </m:sSub>
                  <m:sSub>
                    <m:e>
                      <m:r>
                        <m:t>x</m:t>
                      </m:r>
                    </m:e>
                    <m:sub>
                      <m:r>
                        <m:t>i</m:t>
                      </m:r>
                    </m:sub>
                  </m:sSub>
                  <m:r>
                    <m:rPr>
                      <m:sty m:val="p"/>
                    </m:rPr>
                    <m:t>+</m:t>
                  </m:r>
                  <m:r>
                    <m:t>b</m:t>
                  </m:r>
                </m:e>
              </m:d>
            </m:oMath>
            <w:r>
              <w:t xml:space="preserve">, trained by</w:t>
            </w:r>
            <w:r>
              <w:t xml:space="preserve"> </w:t>
            </w:r>
            <w:r>
              <w:rPr>
                <w:bCs/>
                <w:b/>
              </w:rPr>
              <w:t xml:space="preserve">back-propagation</w:t>
            </w:r>
            <w:r>
              <w:t xml:space="preserve"> </w:t>
            </w:r>
            <w:r>
              <w:t xml:space="preserve">(gradient descent on loss)</w:t>
            </w:r>
          </w:p>
        </w:tc>
        <w:tc>
          <w:tcPr/>
          <w:p>
            <w:pPr>
              <w:pStyle w:val="Compact"/>
              <w:jc w:val="left"/>
            </w:pPr>
            <w:r>
              <w:t xml:space="preserve">Universal approximator; used for LAI/biophysical retrieval (inverting PROSAIL), rainfall estimation</w:t>
            </w:r>
          </w:p>
        </w:tc>
      </w:tr>
      <w:tr>
        <w:tc>
          <w:tcPr/>
          <w:p>
            <w:pPr>
              <w:pStyle w:val="Compact"/>
              <w:jc w:val="left"/>
            </w:pPr>
            <w:r>
              <w:rPr>
                <w:bCs/>
                <w:b/>
              </w:rPr>
              <w:t xml:space="preserve">Gaussian process regression</w:t>
            </w:r>
          </w:p>
        </w:tc>
        <w:tc>
          <w:tcPr/>
          <w:p>
            <w:pPr>
              <w:pStyle w:val="Compact"/>
              <w:jc w:val="left"/>
            </w:pPr>
            <w:r>
              <w:t xml:space="preserve">Bayesian kernel regression with uncertainty</w:t>
            </w:r>
          </w:p>
        </w:tc>
        <w:tc>
          <w:tcPr/>
          <w:p>
            <w:pPr>
              <w:pStyle w:val="Compact"/>
              <w:jc w:val="left"/>
            </w:pPr>
            <w:r>
              <w:t xml:space="preserve">Biophysical retrieval with confidence intervals</w:t>
            </w:r>
          </w:p>
        </w:tc>
      </w:tr>
    </w:tbl>
    <w:p>
      <w:pPr>
        <w:pStyle w:val="Heading3"/>
      </w:pPr>
      <w:r>
        <w:t xml:space="preserve">54.3.3 Deep learning architectures</w:t>
      </w:r>
    </w:p>
    <w:p>
      <w:pPr>
        <w:pStyle w:val="Compact"/>
        <w:numPr>
          <w:ilvl w:val="0"/>
          <w:numId w:val="1409"/>
        </w:numPr>
      </w:pPr>
      <w:r>
        <w:rPr>
          <w:bCs/>
          <w:b/>
        </w:rPr>
        <w:t xml:space="preserve">Activation functions:</w:t>
      </w:r>
      <w:r>
        <w:t xml:space="preserve"> </w:t>
      </w:r>
      <w:r>
        <w:t xml:space="preserve">sigmoid, tanh,</w:t>
      </w:r>
      <w:r>
        <w:t xml:space="preserve"> </w:t>
      </w:r>
      <w:r>
        <w:rPr>
          <w:bCs/>
          <w:b/>
        </w:rPr>
        <w:t xml:space="preserve">ReLU</w:t>
      </w:r>
      <w:r>
        <w:t xml:space="preserve"> </w:t>
      </w:r>
      <w:r>
        <w:t xml:space="preserve">max(0, x), softmax (multi-class output probabilities).</w:t>
      </w:r>
    </w:p>
    <w:p>
      <w:pPr>
        <w:pStyle w:val="Compact"/>
        <w:numPr>
          <w:ilvl w:val="0"/>
          <w:numId w:val="1409"/>
        </w:numPr>
      </w:pPr>
      <w:r>
        <w:rPr>
          <w:bCs/>
          <w:b/>
        </w:rPr>
        <w:t xml:space="preserve">Loss functions:</w:t>
      </w:r>
      <w:r>
        <w:t xml:space="preserve"> </w:t>
      </w:r>
      <w:r>
        <w:t xml:space="preserve">mean squared error (regression), cross-entropy</w:t>
      </w:r>
      <w:r>
        <w:t xml:space="preserve"> </w:t>
      </w:r>
      <m:oMath>
        <m:r>
          <m:rPr>
            <m:sty m:val="p"/>
          </m:rPr>
          <m:t>−</m:t>
        </m:r>
        <m:r>
          <m:rPr>
            <m:sty m:val="p"/>
          </m:rPr>
          <m:t>∑</m:t>
        </m:r>
        <m:r>
          <m:t>y</m:t>
        </m:r>
        <m:r>
          <m:rPr>
            <m:sty m:val="p"/>
          </m:rPr>
          <m:t>log</m:t>
        </m:r>
        <m:acc>
          <m:accPr>
            <m:chr m:val="̂"/>
          </m:accPr>
          <m:e>
            <m:r>
              <m:t>y</m:t>
            </m:r>
          </m:e>
        </m:acc>
      </m:oMath>
      <w:r>
        <w:t xml:space="preserve"> </w:t>
      </w:r>
      <w:r>
        <w:t xml:space="preserve">(classification); optimisers SGD,</w:t>
      </w:r>
      <w:r>
        <w:t xml:space="preserve"> </w:t>
      </w:r>
      <w:r>
        <w:rPr>
          <w:bCs/>
          <w:b/>
        </w:rPr>
        <w:t xml:space="preserve">Adam</w:t>
      </w:r>
      <w:r>
        <w:t xml:space="preserve">; learning rate, epochs, batch size.</w:t>
      </w:r>
    </w:p>
    <w:p>
      <w:pPr>
        <w:pStyle w:val="Compact"/>
        <w:numPr>
          <w:ilvl w:val="0"/>
          <w:numId w:val="1409"/>
        </w:numPr>
      </w:pPr>
      <w:r>
        <w:rPr>
          <w:bCs/>
          <w:b/>
        </w:rPr>
        <w:t xml:space="preserve">Convolutional Neural Networks (CNN):</w:t>
      </w:r>
      <w:r>
        <w:t xml:space="preserve"> </w:t>
      </w:r>
      <w:r>
        <w:t xml:space="preserve">convolution layers (learnable kernels extract edges → textures → objects), pooling (down-sampling), fully connected layers. Architectures: LeNet, AlexNet, VGG,</w:t>
      </w:r>
      <w:r>
        <w:t xml:space="preserve"> </w:t>
      </w:r>
      <w:r>
        <w:rPr>
          <w:bCs/>
          <w:b/>
        </w:rPr>
        <w:t xml:space="preserve">ResNet</w:t>
      </w:r>
      <w:r>
        <w:t xml:space="preserve"> </w:t>
      </w:r>
      <w:r>
        <w:t xml:space="preserve">(skip connections), Inception, EfficientNet. Applications: plant disease identification from leaf photos (PlantVillage), weed detection, crop/field-boundary mapping, tree counting.</w:t>
      </w:r>
    </w:p>
    <w:p>
      <w:pPr>
        <w:pStyle w:val="Compact"/>
        <w:numPr>
          <w:ilvl w:val="0"/>
          <w:numId w:val="1409"/>
        </w:numPr>
      </w:pPr>
      <w:r>
        <w:rPr>
          <w:bCs/>
          <w:b/>
        </w:rPr>
        <w:t xml:space="preserve">Semantic segmentation:</w:t>
      </w:r>
      <w:r>
        <w:t xml:space="preserve"> </w:t>
      </w:r>
      <w:r>
        <w:rPr>
          <w:bCs/>
          <w:b/>
        </w:rPr>
        <w:t xml:space="preserve">U-Net</w:t>
      </w:r>
      <w:r>
        <w:t xml:space="preserve"> </w:t>
      </w:r>
      <w:r>
        <w:t xml:space="preserve">(encoder–decoder with skip connections), SegNet, DeepLab — pixel-wise crop maps, field boundaries, flood extent from SAR.</w:t>
      </w:r>
      <w:r>
        <w:t xml:space="preserve"> </w:t>
      </w:r>
      <w:r>
        <w:rPr>
          <w:bCs/>
          <w:b/>
        </w:rPr>
        <w:t xml:space="preserve">Object detection:</w:t>
      </w:r>
      <w:r>
        <w:t xml:space="preserve"> </w:t>
      </w:r>
      <w:r>
        <w:t xml:space="preserve">YOLO, Faster R-CNN (fruit counting, locust swarm/animal detection).</w:t>
      </w:r>
    </w:p>
    <w:p>
      <w:pPr>
        <w:pStyle w:val="Compact"/>
        <w:numPr>
          <w:ilvl w:val="0"/>
          <w:numId w:val="1409"/>
        </w:numPr>
      </w:pPr>
      <w:r>
        <w:rPr>
          <w:bCs/>
          <w:b/>
        </w:rPr>
        <w:t xml:space="preserve">Recurrent networks for time series:</w:t>
      </w:r>
      <w:r>
        <w:t xml:space="preserve"> </w:t>
      </w:r>
      <w:r>
        <w:t xml:space="preserve">RNN,</w:t>
      </w:r>
      <w:r>
        <w:t xml:space="preserve"> </w:t>
      </w:r>
      <w:r>
        <w:rPr>
          <w:bCs/>
          <w:b/>
        </w:rPr>
        <w:t xml:space="preserve">LSTM</w:t>
      </w:r>
      <w:r>
        <w:t xml:space="preserve"> </w:t>
      </w:r>
      <w:r>
        <w:t xml:space="preserve">(input, forget, output gates retain long-term memory; avoid vanishing gradients), GRU — crop classification from Sentinel-1/2 time series, yield forecasting from weather sequences, rainfall/streamflow prediction.</w:t>
      </w:r>
      <w:r>
        <w:t xml:space="preserve"> </w:t>
      </w:r>
      <w:r>
        <w:rPr>
          <w:bCs/>
          <w:b/>
        </w:rPr>
        <w:t xml:space="preserve">Temporal CNN (1D-CNN)</w:t>
      </w:r>
      <w:r>
        <w:t xml:space="preserve">,</w:t>
      </w:r>
      <w:r>
        <w:t xml:space="preserve"> </w:t>
      </w:r>
      <w:r>
        <w:rPr>
          <w:bCs/>
          <w:b/>
        </w:rPr>
        <w:t xml:space="preserve">Transformers</w:t>
      </w:r>
      <w:r>
        <w:t xml:space="preserve"> </w:t>
      </w:r>
      <w:r>
        <w:t xml:space="preserve">(self-attention; Vision Transformers, temporal attention encoders) increasingly state of the art.</w:t>
      </w:r>
    </w:p>
    <w:p>
      <w:pPr>
        <w:pStyle w:val="Compact"/>
        <w:numPr>
          <w:ilvl w:val="0"/>
          <w:numId w:val="1409"/>
        </w:numPr>
      </w:pPr>
      <w:r>
        <w:rPr>
          <w:bCs/>
          <w:b/>
        </w:rPr>
        <w:t xml:space="preserve">Autoencoders</w:t>
      </w:r>
      <w:r>
        <w:t xml:space="preserve"> </w:t>
      </w:r>
      <w:r>
        <w:t xml:space="preserve">(compression, denoising, anomaly detection),</w:t>
      </w:r>
      <w:r>
        <w:t xml:space="preserve"> </w:t>
      </w:r>
      <w:r>
        <w:rPr>
          <w:bCs/>
          <w:b/>
        </w:rPr>
        <w:t xml:space="preserve">GANs</w:t>
      </w:r>
      <w:r>
        <w:t xml:space="preserve"> </w:t>
      </w:r>
      <w:r>
        <w:t xml:space="preserve">(generator vs discriminator — SAR-to-optical translation, cloud removal, super-resolution),</w:t>
      </w:r>
      <w:r>
        <w:t xml:space="preserve"> </w:t>
      </w:r>
      <w:r>
        <w:rPr>
          <w:bCs/>
          <w:b/>
        </w:rPr>
        <w:t xml:space="preserve">physics-informed/hybrid</w:t>
      </w:r>
      <w:r>
        <w:t xml:space="preserve"> </w:t>
      </w:r>
      <w:r>
        <w:t xml:space="preserve">networks (embedding energy-balance or crop-model constraints).</w:t>
      </w:r>
    </w:p>
    <w:p>
      <w:pPr>
        <w:pStyle w:val="Heading2"/>
      </w:pPr>
      <w:r>
        <w:t xml:space="preserve">54.4 Unsupervised Algorithms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Algorithm</w:t>
            </w:r>
          </w:p>
        </w:tc>
        <w:tc>
          <w:tcPr/>
          <w:p>
            <w:pPr>
              <w:pStyle w:val="Compact"/>
              <w:jc w:val="left"/>
            </w:pPr>
            <w:r>
              <w:t xml:space="preserve">Principle</w:t>
            </w:r>
          </w:p>
        </w:tc>
        <w:tc>
          <w:tcPr/>
          <w:p>
            <w:pPr>
              <w:pStyle w:val="Compact"/>
              <w:jc w:val="left"/>
            </w:pPr>
            <w:r>
              <w:t xml:space="preserve">Use</w:t>
            </w:r>
          </w:p>
        </w:tc>
      </w:tr>
      <w:tr>
        <w:tc>
          <w:tcPr/>
          <w:p>
            <w:pPr>
              <w:pStyle w:val="Compact"/>
              <w:jc w:val="left"/>
            </w:pPr>
            <w:r>
              <w:rPr>
                <w:bCs/>
                <w:b/>
              </w:rPr>
              <w:t xml:space="preserve">k-means</w:t>
            </w:r>
          </w:p>
        </w:tc>
        <w:tc>
          <w:tcPr/>
          <w:p>
            <w:pPr>
              <w:pStyle w:val="Compact"/>
              <w:jc w:val="left"/>
            </w:pPr>
            <w:r>
              <w:t xml:space="preserve">Minimise within-cluster sum of squares</w:t>
            </w:r>
            <w:r>
              <w:t xml:space="preserve"> </w:t>
            </w:r>
            <m:oMath>
              <m:nary>
                <m:naryPr>
                  <m:chr m:val="∑"/>
                  <m:limLoc m:val="undOvr"/>
                  <m:subHide m:val="off"/>
                  <m:supHide m:val="on"/>
                </m:naryPr>
                <m:sub>
                  <m:r>
                    <m:t>k</m:t>
                  </m:r>
                </m:sub>
                <m:sup>
                  <m:r>
                    <m:t>​</m:t>
                  </m:r>
                </m:sup>
                <m:e>
                  <m:nary>
                    <m:naryPr>
                      <m:chr m:val="∑"/>
                      <m:limLoc m:val="undOvr"/>
                      <m:subHide m:val="off"/>
                      <m:supHide m:val="on"/>
                    </m:naryPr>
                    <m:sub>
                      <m:r>
                        <m:t>x</m:t>
                      </m:r>
                      <m:r>
                        <m:rPr>
                          <m:sty m:val="p"/>
                        </m:rPr>
                        <m:t>∈</m:t>
                      </m:r>
                      <m:sSub>
                        <m:e>
                          <m:r>
                            <m:t>C</m:t>
                          </m:r>
                        </m:e>
                        <m:sub>
                          <m:r>
                            <m:t>k</m:t>
                          </m:r>
                        </m:sub>
                      </m:sSub>
                    </m:sub>
                    <m:sup>
                      <m:r>
                        <m:t>​</m:t>
                      </m:r>
                    </m:sup>
                    <m:e>
                      <m:r>
                        <m:rPr>
                          <m:sty m:val="p"/>
                        </m:rPr>
                        <m:t>∥</m:t>
                      </m:r>
                    </m:e>
                  </m:nary>
                </m:e>
              </m:nary>
              <m:r>
                <m:t>x</m:t>
              </m:r>
              <m:r>
                <m:rPr>
                  <m:sty m:val="p"/>
                </m:rPr>
                <m:t>−</m:t>
              </m:r>
              <m:sSub>
                <m:e>
                  <m:r>
                    <m:t>μ</m:t>
                  </m:r>
                </m:e>
                <m:sub>
                  <m:r>
                    <m:t>k</m:t>
                  </m:r>
                </m:sub>
              </m:sSub>
              <m:sSup>
                <m:e>
                  <m:r>
                    <m:rPr>
                      <m:sty m:val="p"/>
                    </m:rPr>
                    <m:t>∥</m:t>
                  </m:r>
                </m:e>
                <m:sup>
                  <m:r>
                    <m:t>2</m:t>
                  </m:r>
                </m:sup>
              </m:sSup>
            </m:oMath>
            <w:r>
              <w:t xml:space="preserve">; iterative assignment and centroid update; k fixed</w:t>
            </w:r>
          </w:p>
        </w:tc>
        <w:tc>
          <w:tcPr/>
          <w:p>
            <w:pPr>
              <w:pStyle w:val="Compact"/>
              <w:jc w:val="left"/>
            </w:pPr>
            <w:r>
              <w:t xml:space="preserve">Spectral clustering, management zones from soil/yield data</w:t>
            </w:r>
          </w:p>
        </w:tc>
      </w:tr>
      <w:tr>
        <w:tc>
          <w:tcPr/>
          <w:p>
            <w:pPr>
              <w:pStyle w:val="Compact"/>
              <w:jc w:val="left"/>
            </w:pPr>
            <w:r>
              <w:rPr>
                <w:bCs/>
                <w:b/>
              </w:rPr>
              <w:t xml:space="preserve">ISODATA</w:t>
            </w:r>
          </w:p>
        </w:tc>
        <w:tc>
          <w:tcPr/>
          <w:p>
            <w:pPr>
              <w:pStyle w:val="Compact"/>
              <w:jc w:val="left"/>
            </w:pPr>
            <w:r>
              <w:t xml:space="preserve">k-means with merging/splitting of clusters using thresholds (std dev, min size, distance)</w:t>
            </w:r>
          </w:p>
        </w:tc>
        <w:tc>
          <w:tcPr/>
          <w:p>
            <w:pPr>
              <w:pStyle w:val="Compact"/>
              <w:jc w:val="left"/>
            </w:pPr>
            <w:r>
              <w:t xml:space="preserve">Standard unsupervised image classification</w:t>
            </w:r>
          </w:p>
        </w:tc>
      </w:tr>
      <w:tr>
        <w:tc>
          <w:tcPr/>
          <w:p>
            <w:pPr>
              <w:pStyle w:val="Compact"/>
              <w:jc w:val="left"/>
            </w:pPr>
            <w:r>
              <w:rPr>
                <w:bCs/>
                <w:b/>
              </w:rPr>
              <w:t xml:space="preserve">Hierarchical clustering</w:t>
            </w:r>
          </w:p>
        </w:tc>
        <w:tc>
          <w:tcPr/>
          <w:p>
            <w:pPr>
              <w:pStyle w:val="Compact"/>
              <w:jc w:val="left"/>
            </w:pPr>
            <w:r>
              <w:t xml:space="preserve">Agglomerative merging (single, complete, average, Ward linkage) → dendrogram</w:t>
            </w:r>
          </w:p>
        </w:tc>
        <w:tc>
          <w:tcPr/>
          <w:p>
            <w:pPr>
              <w:pStyle w:val="Compact"/>
              <w:jc w:val="left"/>
            </w:pPr>
            <w:r>
              <w:t xml:space="preserve">Grouping districts/agro-climatic similarity</w:t>
            </w:r>
          </w:p>
        </w:tc>
      </w:tr>
      <w:tr>
        <w:tc>
          <w:tcPr/>
          <w:p>
            <w:pPr>
              <w:pStyle w:val="Compact"/>
              <w:jc w:val="left"/>
            </w:pPr>
            <w:r>
              <w:rPr>
                <w:bCs/>
                <w:b/>
              </w:rPr>
              <w:t xml:space="preserve">Fuzzy c-means</w:t>
            </w:r>
          </w:p>
        </w:tc>
        <w:tc>
          <w:tcPr/>
          <w:p>
            <w:pPr>
              <w:pStyle w:val="Compact"/>
              <w:jc w:val="left"/>
            </w:pPr>
            <w:r>
              <w:t xml:space="preserve">Soft membership (0–1) to clusters</w:t>
            </w:r>
          </w:p>
        </w:tc>
        <w:tc>
          <w:tcPr/>
          <w:p>
            <w:pPr>
              <w:pStyle w:val="Compact"/>
              <w:jc w:val="left"/>
            </w:pPr>
            <w:r>
              <w:t xml:space="preserve">Mixed pixels, soil class transitions</w:t>
            </w:r>
          </w:p>
        </w:tc>
      </w:tr>
      <w:tr>
        <w:tc>
          <w:tcPr/>
          <w:p>
            <w:pPr>
              <w:pStyle w:val="Compact"/>
              <w:jc w:val="left"/>
            </w:pPr>
            <w:r>
              <w:rPr>
                <w:bCs/>
                <w:b/>
              </w:rPr>
              <w:t xml:space="preserve">DBSCAN</w:t>
            </w:r>
          </w:p>
        </w:tc>
        <w:tc>
          <w:tcPr/>
          <w:p>
            <w:pPr>
              <w:pStyle w:val="Compact"/>
              <w:jc w:val="left"/>
            </w:pPr>
            <w:r>
              <w:t xml:space="preserve">Density-based clusters, noise points</w:t>
            </w:r>
          </w:p>
        </w:tc>
        <w:tc>
          <w:tcPr/>
          <w:p>
            <w:pPr>
              <w:pStyle w:val="Compact"/>
              <w:jc w:val="left"/>
            </w:pPr>
            <w:r>
              <w:t xml:space="preserve">Spatial hotspot detection (fire points)</w:t>
            </w:r>
          </w:p>
        </w:tc>
      </w:tr>
      <w:tr>
        <w:tc>
          <w:tcPr/>
          <w:p>
            <w:pPr>
              <w:pStyle w:val="Compact"/>
              <w:jc w:val="left"/>
            </w:pPr>
            <w:r>
              <w:rPr>
                <w:bCs/>
                <w:b/>
              </w:rPr>
              <w:t xml:space="preserve">Gaussian mixture models (EM)</w:t>
            </w:r>
          </w:p>
        </w:tc>
        <w:tc>
          <w:tcPr/>
          <w:p>
            <w:pPr>
              <w:pStyle w:val="Compact"/>
              <w:jc w:val="left"/>
            </w:pPr>
            <w:r>
              <w:t xml:space="preserve">Probabilistic clusters</w:t>
            </w:r>
          </w:p>
        </w:tc>
        <w:tc>
          <w:tcPr/>
          <w:p>
            <w:pPr>
              <w:pStyle w:val="Compact"/>
              <w:jc w:val="left"/>
            </w:pPr>
            <w:r>
              <w:t xml:space="preserve">Soft classification</w:t>
            </w:r>
          </w:p>
        </w:tc>
      </w:tr>
      <w:tr>
        <w:tc>
          <w:tcPr/>
          <w:p>
            <w:pPr>
              <w:pStyle w:val="Compact"/>
              <w:jc w:val="left"/>
            </w:pPr>
            <w:r>
              <w:rPr>
                <w:bCs/>
                <w:b/>
              </w:rPr>
              <w:t xml:space="preserve">PCA, t-SNE, UMAP</w:t>
            </w:r>
          </w:p>
        </w:tc>
        <w:tc>
          <w:tcPr/>
          <w:p>
            <w:pPr>
              <w:pStyle w:val="Compact"/>
              <w:jc w:val="left"/>
            </w:pPr>
            <w:r>
              <w:t xml:space="preserve">Dimensionality reduction / visualisation</w:t>
            </w:r>
          </w:p>
        </w:tc>
        <w:tc>
          <w:tcPr/>
          <w:p>
            <w:pPr>
              <w:pStyle w:val="Compact"/>
              <w:jc w:val="left"/>
            </w:pPr>
            <w:r>
              <w:t xml:space="preserve">Hyperspectral compression, feature exploration</w:t>
            </w:r>
          </w:p>
        </w:tc>
      </w:tr>
      <w:tr>
        <w:tc>
          <w:tcPr/>
          <w:p>
            <w:pPr>
              <w:pStyle w:val="Compact"/>
              <w:jc w:val="left"/>
            </w:pPr>
            <w:r>
              <w:rPr>
                <w:bCs/>
                <w:b/>
              </w:rPr>
              <w:t xml:space="preserve">Self-organising maps (Kohonen)</w:t>
            </w:r>
          </w:p>
        </w:tc>
        <w:tc>
          <w:tcPr/>
          <w:p>
            <w:pPr>
              <w:pStyle w:val="Compact"/>
              <w:jc w:val="left"/>
            </w:pPr>
            <w:r>
              <w:t xml:space="preserve">Neural clustering preserving topology</w:t>
            </w:r>
          </w:p>
        </w:tc>
        <w:tc>
          <w:tcPr/>
          <w:p>
            <w:pPr>
              <w:pStyle w:val="Compact"/>
              <w:jc w:val="left"/>
            </w:pPr>
            <w:r>
              <w:t xml:space="preserve">Climate pattern classification</w:t>
            </w:r>
          </w:p>
        </w:tc>
      </w:tr>
      <w:tr>
        <w:tc>
          <w:tcPr/>
          <w:p>
            <w:pPr>
              <w:pStyle w:val="Compact"/>
              <w:jc w:val="left"/>
            </w:pPr>
            <w:r>
              <w:rPr>
                <w:bCs/>
                <w:b/>
              </w:rPr>
              <w:t xml:space="preserve">Association rules (Apriori)</w:t>
            </w:r>
          </w:p>
        </w:tc>
        <w:tc>
          <w:tcPr/>
          <w:p>
            <w:pPr>
              <w:pStyle w:val="Compact"/>
              <w:jc w:val="left"/>
            </w:pPr>
            <w:r>
              <w:t xml:space="preserve">Frequent co-occurrence</w:t>
            </w:r>
          </w:p>
        </w:tc>
        <w:tc>
          <w:tcPr/>
          <w:p>
            <w:pPr>
              <w:pStyle w:val="Compact"/>
              <w:jc w:val="left"/>
            </w:pPr>
            <w:r>
              <w:t xml:space="preserve">Market-basket, pest–weather patterns</w:t>
            </w:r>
          </w:p>
        </w:tc>
      </w:tr>
    </w:tbl>
    <w:p>
      <w:pPr>
        <w:pStyle w:val="BodyText"/>
      </w:pPr>
      <w:r>
        <w:rPr>
          <w:bCs/>
          <w:b/>
        </w:rPr>
        <w:t xml:space="preserve">Cluster validity:</w:t>
      </w:r>
      <w:r>
        <w:t xml:space="preserve"> </w:t>
      </w:r>
      <w:r>
        <w:t xml:space="preserve">elbow method (WCSS vs k), silhouette coefficient, Davies–Bouldin index. Unsupervised spectral classes must be</w:t>
      </w:r>
      <w:r>
        <w:t xml:space="preserve"> </w:t>
      </w:r>
      <w:r>
        <w:rPr>
          <w:bCs/>
          <w:b/>
        </w:rPr>
        <w:t xml:space="preserve">labelled</w:t>
      </w:r>
      <w:r>
        <w:t xml:space="preserve"> </w:t>
      </w:r>
      <w:r>
        <w:t xml:space="preserve">by the analyst using ground truth.</w:t>
      </w:r>
    </w:p>
    <w:p>
      <w:pPr>
        <w:pStyle w:val="Heading2"/>
      </w:pPr>
      <w:r>
        <w:t xml:space="preserve">54.5 The ML Workflow</w:t>
      </w:r>
    </w:p>
    <w:p>
      <w:pPr>
        <w:pStyle w:val="CaptionedFigure"/>
      </w:pPr>
      <w:r>
        <w:drawing>
          <wp:inline>
            <wp:extent cx="5334000" cy="3587114"/>
            <wp:effectExtent b="0" l="0" r="0" t="0"/>
            <wp:docPr descr="Machine-learning workflow for a crop-mapping / yield project" title="" id="168" name="Picture"/>
            <a:graphic>
              <a:graphicData uri="http://schemas.openxmlformats.org/drawingml/2006/picture">
                <pic:pic>
                  <pic:nvPicPr>
                    <pic:cNvPr descr="/tmp/claude-0/-home-user-sonu/ab07c29a-21cd-5a4a-9d2d-68ad72d07153/scratchpad/build/../flows/flow_037.png" id="169" name="Picture"/>
                    <pic:cNvPicPr>
                      <a:picLocks noChangeArrowheads="1" noChangeAspect="1"/>
                    </pic:cNvPicPr>
                  </pic:nvPicPr>
                  <pic:blipFill>
                    <a:blip r:embed="rId167"/>
                    <a:stretch>
                      <a:fillRect/>
                    </a:stretch>
                  </pic:blipFill>
                  <pic:spPr bwMode="auto">
                    <a:xfrm>
                      <a:off x="0" y="0"/>
                      <a:ext cx="5334000" cy="3587114"/>
                    </a:xfrm>
                    <a:prstGeom prst="rect">
                      <a:avLst/>
                    </a:prstGeom>
                    <a:noFill/>
                    <a:ln w="9525">
                      <a:noFill/>
                      <a:headEnd/>
                      <a:tailEnd/>
                    </a:ln>
                  </pic:spPr>
                </pic:pic>
              </a:graphicData>
            </a:graphic>
          </wp:inline>
        </w:drawing>
      </w:r>
    </w:p>
    <w:p>
      <w:pPr>
        <w:pStyle w:val="ImageCaption"/>
      </w:pPr>
      <w:r>
        <w:t xml:space="preserve">Machine-learning workflow for a crop-mapping / yield project</w:t>
      </w:r>
    </w:p>
    <w:p>
      <w:pPr>
        <w:pStyle w:val="BodyText"/>
      </w:pPr>
      <w:r>
        <w:rPr>
          <w:bCs/>
          <w:b/>
        </w:rPr>
        <w:t xml:space="preserve">Classification metrics</w:t>
      </w:r>
      <w:r>
        <w:t xml:space="preserve"> </w:t>
      </w:r>
      <w:r>
        <w:t xml:space="preserve">(from the confusion matrix): precision = TP/(TP + FP) (user’s accuracy), recall = TP/(TP + FN) (producer’s accuracy),</w:t>
      </w:r>
      <w:r>
        <w:t xml:space="preserve"> </w:t>
      </w:r>
      <m:oMath>
        <m:sSub>
          <m:e>
            <m:r>
              <m:t>F</m:t>
            </m:r>
          </m:e>
          <m:sub>
            <m:r>
              <m:t>1</m:t>
            </m:r>
          </m:sub>
        </m:sSub>
        <m:r>
          <m:rPr>
            <m:sty m:val="p"/>
          </m:rPr>
          <m:t>=</m:t>
        </m:r>
        <m:f>
          <m:fPr>
            <m:type m:val="bar"/>
          </m:fPr>
          <m:num>
            <m:r>
              <m:t>2</m:t>
            </m:r>
            <m:r>
              <m:t>P</m:t>
            </m:r>
            <m:r>
              <m:t>R</m:t>
            </m:r>
          </m:num>
          <m:den>
            <m:r>
              <m:t>P</m:t>
            </m:r>
            <m:r>
              <m:rPr>
                <m:sty m:val="p"/>
              </m:rPr>
              <m:t>+</m:t>
            </m:r>
            <m:r>
              <m:t>R</m:t>
            </m:r>
          </m:den>
        </m:f>
      </m:oMath>
      <w:r>
        <w:t xml:space="preserve">, overall accuracy, kappa, ROC–AUC.</w:t>
      </w:r>
      <w:r>
        <w:t xml:space="preserve"> </w:t>
      </w:r>
      <w:r>
        <w:rPr>
          <w:bCs/>
          <w:b/>
        </w:rPr>
        <w:t xml:space="preserve">Data issues:</w:t>
      </w:r>
      <w:r>
        <w:t xml:space="preserve"> </w:t>
      </w:r>
      <w:r>
        <w:t xml:space="preserve">class imbalance (oversampling, SMOTE, class weights), label noise,</w:t>
      </w:r>
      <w:r>
        <w:t xml:space="preserve"> </w:t>
      </w:r>
      <w:r>
        <w:rPr>
          <w:bCs/>
          <w:b/>
        </w:rPr>
        <w:t xml:space="preserve">spatial autocorrelation</w:t>
      </w:r>
      <w:r>
        <w:t xml:space="preserve"> </w:t>
      </w:r>
      <w:r>
        <w:t xml:space="preserve">(random splits leak information — use spatial block cross-validation), domain shift across regions/years.</w:t>
      </w:r>
      <w:r>
        <w:t xml:space="preserve"> </w:t>
      </w:r>
      <w:r>
        <w:rPr>
          <w:bCs/>
          <w:b/>
        </w:rPr>
        <w:t xml:space="preserve">Explainable AI (XAI):</w:t>
      </w:r>
      <w:r>
        <w:t xml:space="preserve"> </w:t>
      </w:r>
      <w:r>
        <w:t xml:space="preserve">SHAP values, LIME, saliency/Grad-CAM — needed for trust in advisories and insurance decisions.</w:t>
      </w:r>
    </w:p>
    <w:p>
      <w:pPr>
        <w:pStyle w:val="Heading2"/>
      </w:pPr>
      <w:r>
        <w:t xml:space="preserve">54.6 Applications in Indian Agriculture and ISRO</w:t>
      </w:r>
    </w:p>
    <w:p>
      <w:pPr>
        <w:pStyle w:val="Compact"/>
        <w:numPr>
          <w:ilvl w:val="0"/>
          <w:numId w:val="1410"/>
        </w:numPr>
      </w:pPr>
      <w:r>
        <w:t xml:space="preserve">Crop-type mapping and acreage (FASAL, CHAMAN horticulture, rice with SAR + RF/DL), crop-health and yield (YES-TECH technology-based yield estimation with ML, PMFBY smart sampling), soil-moisture and ET downscaling, drought early warning, flood mapping from SAR (U-Net), cyclone/rainfall nowcasting from INSAT-3D/3DS, pest-outbreak prediction from weather (e.g., ML for locust/fall armyworm risk), crop-disease diagnosis apps, price forecasting (Agmarknet), chatbot advisory (Kisan e-Mitra, multilingual LLMs), precision agriculture with UAVs and robotics, and land-use/land-cover mapping.</w:t>
      </w:r>
    </w:p>
    <w:p>
      <w:pPr>
        <w:pStyle w:val="Compact"/>
        <w:numPr>
          <w:ilvl w:val="0"/>
          <w:numId w:val="1410"/>
        </w:numPr>
      </w:pPr>
      <w:r>
        <w:t xml:space="preserve">Challenges: limited quality ground truth, small fragmented fields (&lt; 1 ha) and mixed pixels, cloud cover during kharif, model transferability, compute infrastructure, digital literacy, data-sharing policy (Agristack, India Digital Ecosystem of Agriculture — IDEA) and ethics/privacy.</w:t>
      </w:r>
    </w:p>
    <w:p>
      <w:pPr>
        <w:pStyle w:val="Heading3"/>
      </w:pPr>
      <w:r>
        <w:t xml:space="preserve">54.6.1 Likely interview questions</w:t>
      </w:r>
    </w:p>
    <w:p>
      <w:pPr>
        <w:pStyle w:val="FirstParagraph"/>
      </w:pPr>
      <w:r>
        <w:rPr>
          <w:bCs/>
          <w:b/>
        </w:rPr>
        <w:t xml:space="preserve">Q. Differentiate supervised and unsupervised classification.</w:t>
      </w:r>
      <w:r>
        <w:t xml:space="preserve"> </w:t>
      </w:r>
      <w:r>
        <w:t xml:space="preserve">Supervised uses labelled training samples to train a classifier (MLC, RF, SVM); unsupervised clusters pixels into spectral classes (k-means/ISODATA) labelled afterwards.</w:t>
      </w:r>
    </w:p>
    <w:p>
      <w:pPr>
        <w:pStyle w:val="BodyText"/>
      </w:pPr>
      <w:r>
        <w:rPr>
          <w:bCs/>
          <w:b/>
        </w:rPr>
        <w:t xml:space="preserve">Q. Why does random forest work well for crop mapping?</w:t>
      </w:r>
      <w:r>
        <w:t xml:space="preserve"> </w:t>
      </w:r>
      <w:r>
        <w:t xml:space="preserve">Ensemble averaging reduces variance; handles many correlated features and non-linearity; gives OOB error and variable importance.</w:t>
      </w:r>
    </w:p>
    <w:p>
      <w:pPr>
        <w:pStyle w:val="BodyText"/>
      </w:pPr>
      <w:r>
        <w:rPr>
          <w:bCs/>
          <w:b/>
        </w:rPr>
        <w:t xml:space="preserve">Q. What is the kernel trick in SVM?</w:t>
      </w:r>
      <w:r>
        <w:t xml:space="preserve"> </w:t>
      </w:r>
      <w:r>
        <w:t xml:space="preserve">Implicitly mapping data into higher-dimensional space through kernel functions so non-linear class boundaries become linearly separable.</w:t>
      </w:r>
    </w:p>
    <w:p>
      <w:pPr>
        <w:pStyle w:val="BodyText"/>
      </w:pPr>
      <w:r>
        <w:rPr>
          <w:bCs/>
          <w:b/>
        </w:rPr>
        <w:t xml:space="preserve">Q. Why LSTM for crop time series?</w:t>
      </w:r>
      <w:r>
        <w:t xml:space="preserve"> </w:t>
      </w:r>
      <w:r>
        <w:t xml:space="preserve">It captures temporal dependencies and phenological sequence via gated memory cells.</w:t>
      </w:r>
    </w:p>
    <w:p>
      <w:pPr>
        <w:pStyle w:val="BodyText"/>
      </w:pPr>
      <w:r>
        <w:rPr>
          <w:bCs/>
          <w:b/>
        </w:rPr>
        <w:t xml:space="preserve">Q. What is the difference between bagging and boosting?</w:t>
      </w:r>
      <w:r>
        <w:t xml:space="preserve"> </w:t>
      </w:r>
      <w:r>
        <w:t xml:space="preserve">Bagging trains models independently on bootstrap samples and averages (RF); boosting trains sequentially, each correcting predecessors’ errors (XGBoost).</w:t>
      </w:r>
    </w:p>
    <w:p>
      <w:pPr>
        <w:pStyle w:val="Heading2"/>
      </w:pPr>
      <w:r>
        <w:t xml:space="preserve">54.7 Machine-Learning Model Evaluation Concepts (Beyond R²/RMSE)</w:t>
      </w:r>
    </w:p>
    <w:p>
      <w:pPr>
        <w:pStyle w:val="FirstParagraph"/>
      </w:pPr>
      <w:r>
        <w:t xml:space="preserve">Given the increasing role of machine-learning models in FASAL/YES-TECH/SASYA, a few additional evaluation concepts are worth being interview-ready on:</w:t>
      </w:r>
    </w:p>
    <w:p>
      <w:pPr>
        <w:pStyle w:val="BodyText"/>
      </w:pPr>
      <w:r>
        <w:rPr>
          <w:bCs/>
          <w:b/>
        </w:rPr>
        <w:t xml:space="preserve">Overfitting and the bias-variance trade-off:</w:t>
      </w:r>
      <w:r>
        <w:t xml:space="preserve"> </w:t>
      </w:r>
      <w:r>
        <w:t xml:space="preserve">a model with too much flexibility relative to the available training data (e.g., a very deep decision tree, or too many stepwise-selected predictors, Chapter 4, Section 4.3.5) fits the training data’s noise as well as its true signal, producing excellent training-set accuracy but poor generalisation to new (test/independent) data — the reason cross-validation (below) and independent test sets are essential, not optional, evaluation practice.</w:t>
      </w:r>
    </w:p>
    <w:p>
      <w:pPr>
        <w:pStyle w:val="BodyText"/>
      </w:pPr>
      <w:r>
        <w:rPr>
          <w:bCs/>
          <w:b/>
        </w:rPr>
        <w:t xml:space="preserve">K-fold cross-validation:</w:t>
      </w:r>
      <w:r>
        <w:t xml:space="preserve"> </w:t>
      </w:r>
      <w:r>
        <w:t xml:space="preserve">the training data are split into k roughly equal subsets (</w:t>
      </w:r>
      <w:r>
        <w:t xml:space="preserve">“</w:t>
      </w:r>
      <w:r>
        <w:t xml:space="preserve">folds</w:t>
      </w:r>
      <w:r>
        <w:t xml:space="preserve">”</w:t>
      </w:r>
      <w:r>
        <w:t xml:space="preserve">); the model is trained k times, each time using k−1 folds for training and the remaining fold for validation, and the k validation-fold performance estimates are averaged — providing a more robust estimate of true out-of-sample performance than a single train/test split, particularly valuable when total labelled/ground-truth data (e.g., CCE records, field-verified crop-type samples) are limited, as is routinely the case in operational agricultural remote sensing.</w:t>
      </w:r>
    </w:p>
    <w:p>
      <w:pPr>
        <w:pStyle w:val="BodyText"/>
      </w:pPr>
      <w:r>
        <w:rPr>
          <w:bCs/>
          <w:b/>
        </w:rPr>
        <w:t xml:space="preserve">Feature importance:</w:t>
      </w:r>
      <w:r>
        <w:t xml:space="preserve"> </w:t>
      </w:r>
      <w:r>
        <w:t xml:space="preserve">ensemble machine-learning methods (random forest, gradient boosting) naturally provide a feature-importance ranking (e.g., by how much each predictor’s inclusion reduces prediction error across the ensemble), providing an interpretability check analogous in purpose to examining stepwise-regression-selected variables or PCA loadings — useful, for example, to verify that a crop-yield model’s most important predictors are agronomically sensible (e.g., peak-season NDVI and cumulative GDD) rather than spurious correlations.</w:t>
      </w:r>
    </w:p>
    <w:p>
      <w:pPr>
        <w:pStyle w:val="Heading1"/>
      </w:pPr>
      <w:r>
        <w:t xml:space="preserve">Chapter 55. Computer Applications, IoT, Geospatial and Big Data Analytics</w:t>
      </w:r>
    </w:p>
    <w:p>
      <w:pPr>
        <w:pStyle w:val="Heading2"/>
      </w:pPr>
      <w:r>
        <w:t xml:space="preserve">55.1 Computer Applications in Agriculture</w:t>
      </w:r>
    </w:p>
    <w:p>
      <w:pPr>
        <w:pStyle w:val="Heading3"/>
      </w:pPr>
      <w:r>
        <w:t xml:space="preserve">55.1.1 Computer fundamentals (quick recap)</w:t>
      </w:r>
    </w:p>
    <w:p>
      <w:pPr>
        <w:pStyle w:val="Compact"/>
        <w:numPr>
          <w:ilvl w:val="0"/>
          <w:numId w:val="1411"/>
        </w:numPr>
      </w:pPr>
      <w:r>
        <w:rPr>
          <w:bCs/>
          <w:b/>
        </w:rPr>
        <w:t xml:space="preserve">Hardware:</w:t>
      </w:r>
      <w:r>
        <w:t xml:space="preserve"> </w:t>
      </w:r>
      <w:r>
        <w:t xml:space="preserve">CPU (ALU + control unit), memory (RAM volatile; ROM; cache), storage (HDD, SSD), input/output devices;</w:t>
      </w:r>
      <w:r>
        <w:t xml:space="preserve"> </w:t>
      </w:r>
      <w:r>
        <w:rPr>
          <w:bCs/>
          <w:b/>
        </w:rPr>
        <w:t xml:space="preserve">GPU</w:t>
      </w:r>
      <w:r>
        <w:t xml:space="preserve"> </w:t>
      </w:r>
      <w:r>
        <w:t xml:space="preserve">for parallel image processing and deep learning; HPC clusters for NWP and national-scale RS processing.</w:t>
      </w:r>
    </w:p>
    <w:p>
      <w:pPr>
        <w:pStyle w:val="Compact"/>
        <w:numPr>
          <w:ilvl w:val="0"/>
          <w:numId w:val="1411"/>
        </w:numPr>
      </w:pPr>
      <w:r>
        <w:rPr>
          <w:bCs/>
          <w:b/>
        </w:rPr>
        <w:t xml:space="preserve">Software:</w:t>
      </w:r>
      <w:r>
        <w:t xml:space="preserve"> </w:t>
      </w:r>
      <w:r>
        <w:t xml:space="preserve">system software (operating systems — Windows, Linux), application software, programming languages (Python, R, C/Fortran for models, JavaScript for GEE), compilers/interpreters.</w:t>
      </w:r>
    </w:p>
    <w:p>
      <w:pPr>
        <w:pStyle w:val="Compact"/>
        <w:numPr>
          <w:ilvl w:val="0"/>
          <w:numId w:val="1411"/>
        </w:numPr>
      </w:pPr>
      <w:r>
        <w:rPr>
          <w:bCs/>
          <w:b/>
        </w:rPr>
        <w:t xml:space="preserve">Number systems:</w:t>
      </w:r>
      <w:r>
        <w:t xml:space="preserve"> </w:t>
      </w:r>
      <w:r>
        <w:t xml:space="preserve">binary, octal, hexadecimal; bit, byte;</w:t>
      </w:r>
      <w:r>
        <w:t xml:space="preserve"> </w:t>
      </w:r>
      <w:r>
        <w:rPr>
          <w:bCs/>
          <w:b/>
        </w:rPr>
        <w:t xml:space="preserve">radiometric resolution</w:t>
      </w:r>
      <w:r>
        <w:t xml:space="preserve"> </w:t>
      </w:r>
      <w:r>
        <w:t xml:space="preserve">of 8 bit = 256 levels, 10 bit = 1024, 12 bit = 4096 (LISS-IV 10 bit; AWiFS 12 bit).</w:t>
      </w:r>
    </w:p>
    <w:p>
      <w:pPr>
        <w:pStyle w:val="Compact"/>
        <w:numPr>
          <w:ilvl w:val="0"/>
          <w:numId w:val="1411"/>
        </w:numPr>
      </w:pPr>
      <w:r>
        <w:rPr>
          <w:bCs/>
          <w:b/>
        </w:rPr>
        <w:t xml:space="preserve">Data structures and databases:</w:t>
      </w:r>
      <w:r>
        <w:t xml:space="preserve"> </w:t>
      </w:r>
      <w:r>
        <w:t xml:space="preserve">DBMS/RDBMS (tables, keys, SQL queries</w:t>
      </w:r>
      <w:r>
        <w:t xml:space="preserve"> </w:t>
      </w:r>
      <w:r>
        <w:rPr>
          <w:rStyle w:val="VerbatimChar"/>
        </w:rPr>
        <w:t xml:space="preserve">SELECT … FROM … WHERE</w:t>
      </w:r>
      <w:r>
        <w:t xml:space="preserve">), spatial databases (PostGIS), NoSQL for big data; data formats (CSV, NetCDF, HDF5, GeoTIFF, Cloud-Optimised GeoTIFF, Zarr, shapefile, GeoJSON, KML).</w:t>
      </w:r>
    </w:p>
    <w:p>
      <w:pPr>
        <w:pStyle w:val="Compact"/>
        <w:numPr>
          <w:ilvl w:val="0"/>
          <w:numId w:val="1411"/>
        </w:numPr>
      </w:pPr>
      <w:r>
        <w:rPr>
          <w:bCs/>
          <w:b/>
        </w:rPr>
        <w:t xml:space="preserve">Networks:</w:t>
      </w:r>
      <w:r>
        <w:t xml:space="preserve"> </w:t>
      </w:r>
      <w:r>
        <w:t xml:space="preserve">LAN, WAN, Internet, client–server, web GIS (OGC standards WMS/WFS/WCS), APIs.</w:t>
      </w:r>
    </w:p>
    <w:p>
      <w:pPr>
        <w:pStyle w:val="Heading3"/>
      </w:pPr>
      <w:r>
        <w:t xml:space="preserve">55.1.2 Applications</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Area</w:t>
            </w:r>
          </w:p>
        </w:tc>
        <w:tc>
          <w:tcPr/>
          <w:p>
            <w:pPr>
              <w:pStyle w:val="Compact"/>
              <w:jc w:val="left"/>
            </w:pPr>
            <w:r>
              <w:t xml:space="preserve">Application</w:t>
            </w:r>
          </w:p>
        </w:tc>
      </w:tr>
      <w:tr>
        <w:tc>
          <w:tcPr/>
          <w:p>
            <w:pPr>
              <w:pStyle w:val="Compact"/>
              <w:jc w:val="left"/>
            </w:pPr>
            <w:r>
              <w:t xml:space="preserve">Data management</w:t>
            </w:r>
          </w:p>
        </w:tc>
        <w:tc>
          <w:tcPr/>
          <w:p>
            <w:pPr>
              <w:pStyle w:val="Compact"/>
              <w:jc w:val="left"/>
            </w:pPr>
            <w:r>
              <w:t xml:space="preserve">Agricultural census, soil health card database, land records digitisation (DILRMP), Agristack farmer registry</w:t>
            </w:r>
          </w:p>
        </w:tc>
      </w:tr>
      <w:tr>
        <w:tc>
          <w:tcPr/>
          <w:p>
            <w:pPr>
              <w:pStyle w:val="Compact"/>
              <w:jc w:val="left"/>
            </w:pPr>
            <w:r>
              <w:t xml:space="preserve">Spreadsheets &amp; statistics</w:t>
            </w:r>
          </w:p>
        </w:tc>
        <w:tc>
          <w:tcPr/>
          <w:p>
            <w:pPr>
              <w:pStyle w:val="Compact"/>
              <w:jc w:val="left"/>
            </w:pPr>
            <w:r>
              <w:t xml:space="preserve">Excel, SPSS, SAS, R, OPSTAT/IASRI tools — ANOVA, regression</w:t>
            </w:r>
          </w:p>
        </w:tc>
      </w:tr>
      <w:tr>
        <w:tc>
          <w:tcPr/>
          <w:p>
            <w:pPr>
              <w:pStyle w:val="Compact"/>
              <w:jc w:val="left"/>
            </w:pPr>
            <w:r>
              <w:t xml:space="preserve">Modelling</w:t>
            </w:r>
          </w:p>
        </w:tc>
        <w:tc>
          <w:tcPr/>
          <w:p>
            <w:pPr>
              <w:pStyle w:val="Compact"/>
              <w:jc w:val="left"/>
            </w:pPr>
            <w:r>
              <w:t xml:space="preserve">Crop simulation (DSSAT, InfoCrop), hydrological (SWAT), NWP (WRF)</w:t>
            </w:r>
          </w:p>
        </w:tc>
      </w:tr>
      <w:tr>
        <w:tc>
          <w:tcPr/>
          <w:p>
            <w:pPr>
              <w:pStyle w:val="Compact"/>
              <w:jc w:val="left"/>
            </w:pPr>
            <w:r>
              <w:t xml:space="preserve">RS &amp; GIS</w:t>
            </w:r>
          </w:p>
        </w:tc>
        <w:tc>
          <w:tcPr/>
          <w:p>
            <w:pPr>
              <w:pStyle w:val="Compact"/>
              <w:jc w:val="left"/>
            </w:pPr>
            <w:r>
              <w:t xml:space="preserve">ERDAS, ENVI, QGIS, ArcGIS, SNAP; GEE; Bhuvan; VEDAS (SAC)</w:t>
            </w:r>
          </w:p>
        </w:tc>
      </w:tr>
      <w:tr>
        <w:tc>
          <w:tcPr/>
          <w:p>
            <w:pPr>
              <w:pStyle w:val="Compact"/>
              <w:jc w:val="left"/>
            </w:pPr>
            <w:r>
              <w:t xml:space="preserve">Decision support systems</w:t>
            </w:r>
          </w:p>
        </w:tc>
        <w:tc>
          <w:tcPr/>
          <w:p>
            <w:pPr>
              <w:pStyle w:val="Compact"/>
              <w:jc w:val="left"/>
            </w:pPr>
            <w:r>
              <w:t xml:space="preserve">Fertiliser recommendation, irrigation scheduling, pest forecasting, crop contingency planning</w:t>
            </w:r>
          </w:p>
        </w:tc>
      </w:tr>
      <w:tr>
        <w:tc>
          <w:tcPr/>
          <w:p>
            <w:pPr>
              <w:pStyle w:val="Compact"/>
              <w:jc w:val="left"/>
            </w:pPr>
            <w:r>
              <w:t xml:space="preserve">Expert systems</w:t>
            </w:r>
          </w:p>
        </w:tc>
        <w:tc>
          <w:tcPr/>
          <w:p>
            <w:pPr>
              <w:pStyle w:val="Compact"/>
              <w:jc w:val="left"/>
            </w:pPr>
            <w:r>
              <w:t xml:space="preserve">Knowledge base + inference engine + user interface (rule-based diagnosis — e.g., rice/wheat expert systems, AgriDaksh)</w:t>
            </w:r>
          </w:p>
        </w:tc>
      </w:tr>
      <w:tr>
        <w:tc>
          <w:tcPr/>
          <w:p>
            <w:pPr>
              <w:pStyle w:val="Compact"/>
              <w:jc w:val="left"/>
            </w:pPr>
            <w:r>
              <w:t xml:space="preserve">E-governance &amp; markets</w:t>
            </w:r>
          </w:p>
        </w:tc>
        <w:tc>
          <w:tcPr/>
          <w:p>
            <w:pPr>
              <w:pStyle w:val="Compact"/>
              <w:jc w:val="left"/>
            </w:pPr>
            <w:r>
              <w:t xml:space="preserve">e-NAM, DBT (PM-KISAN), PMFBY portal, Agmarknet prices</w:t>
            </w:r>
          </w:p>
        </w:tc>
      </w:tr>
      <w:tr>
        <w:tc>
          <w:tcPr/>
          <w:p>
            <w:pPr>
              <w:pStyle w:val="Compact"/>
              <w:jc w:val="left"/>
            </w:pPr>
            <w:r>
              <w:t xml:space="preserve">Automation</w:t>
            </w:r>
          </w:p>
        </w:tc>
        <w:tc>
          <w:tcPr/>
          <w:p>
            <w:pPr>
              <w:pStyle w:val="Compact"/>
              <w:jc w:val="left"/>
            </w:pPr>
            <w:r>
              <w:t xml:space="preserve">Precision farming, robotics, drones, greenhouse controllers</w:t>
            </w:r>
          </w:p>
        </w:tc>
      </w:tr>
    </w:tbl>
    <w:p>
      <w:pPr>
        <w:pStyle w:val="BodyText"/>
      </w:pPr>
      <w:r>
        <w:rPr>
          <w:bCs/>
          <w:b/>
        </w:rPr>
        <w:t xml:space="preserve">Decision support system (DSS)</w:t>
      </w:r>
      <w:r>
        <w:t xml:space="preserve"> </w:t>
      </w:r>
      <w:r>
        <w:t xml:space="preserve">components: database (weather, soil, crop), model base (simulation/statistical models), knowledge base, user interface and output (maps, advisories). Unlike an expert system that mimics an expert’s reasoning, a DSS supports the human decision-maker with models and data.</w:t>
      </w:r>
    </w:p>
    <w:p>
      <w:pPr>
        <w:pStyle w:val="Heading2"/>
      </w:pPr>
      <w:r>
        <w:t xml:space="preserve">55.2 Internet of Things (IoT) in Agriculture</w:t>
      </w:r>
    </w:p>
    <w:p>
      <w:pPr>
        <w:pStyle w:val="FirstParagraph"/>
      </w:pPr>
      <w:r>
        <w:rPr>
          <w:bCs/>
          <w:b/>
        </w:rPr>
        <w:t xml:space="preserve">IoT</w:t>
      </w:r>
      <w:r>
        <w:t xml:space="preserve"> </w:t>
      </w:r>
      <w:r>
        <w:t xml:space="preserve">= network of physical devices (</w:t>
      </w:r>
      <w:r>
        <w:t xml:space="preserve">“</w:t>
      </w:r>
      <w:r>
        <w:t xml:space="preserve">things</w:t>
      </w:r>
      <w:r>
        <w:t xml:space="preserve">”</w:t>
      </w:r>
      <w:r>
        <w:t xml:space="preserve">) with sensors, processors and connectivity that collect and exchange data automatically, enabling remote monitoring and control — the backbone of</w:t>
      </w:r>
      <w:r>
        <w:t xml:space="preserve"> </w:t>
      </w:r>
      <w:r>
        <w:rPr>
          <w:bCs/>
          <w:b/>
        </w:rPr>
        <w:t xml:space="preserve">smart/precision farming</w:t>
      </w:r>
      <w:r>
        <w:t xml:space="preserve">.</w:t>
      </w:r>
    </w:p>
    <w:p>
      <w:pPr>
        <w:pStyle w:val="Heading3"/>
      </w:pPr>
      <w:r>
        <w:t xml:space="preserve">55.2.1 Architecture (layers)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Components</w:t>
            </w:r>
          </w:p>
        </w:tc>
        <w:tc>
          <w:tcPr/>
          <w:p>
            <w:pPr>
              <w:pStyle w:val="Compact"/>
              <w:jc w:val="left"/>
            </w:pPr>
            <w:r>
              <w:t xml:space="preserve">Agriculture examples</w:t>
            </w:r>
          </w:p>
        </w:tc>
      </w:tr>
      <w:tr>
        <w:tc>
          <w:tcPr/>
          <w:p>
            <w:pPr>
              <w:pStyle w:val="Compact"/>
              <w:jc w:val="left"/>
            </w:pPr>
            <w:r>
              <w:rPr>
                <w:bCs/>
                <w:b/>
              </w:rPr>
              <w:t xml:space="preserve">Perception (sensing) layer</w:t>
            </w:r>
          </w:p>
        </w:tc>
        <w:tc>
          <w:tcPr/>
          <w:p>
            <w:pPr>
              <w:pStyle w:val="Compact"/>
              <w:jc w:val="left"/>
            </w:pPr>
            <w:r>
              <w:t xml:space="preserve">Sensors &amp; actuators</w:t>
            </w:r>
          </w:p>
        </w:tc>
        <w:tc>
          <w:tcPr/>
          <w:p>
            <w:pPr>
              <w:pStyle w:val="Compact"/>
              <w:jc w:val="left"/>
            </w:pPr>
            <w:r>
              <w:t xml:space="preserve">Soil moisture (capacitance/FDR, TDR, tensiometer), soil temperature, EC, pH, NPK sensors; air temperature/RH, rain gauge, anemometer, pyranometer, leaf wetness; canopy IR thermometers; cameras; water level; actuators — solenoid valves, pumps, foggers</w:t>
            </w:r>
          </w:p>
        </w:tc>
      </w:tr>
      <w:tr>
        <w:tc>
          <w:tcPr/>
          <w:p>
            <w:pPr>
              <w:pStyle w:val="Compact"/>
              <w:jc w:val="left"/>
            </w:pPr>
            <w:r>
              <w:rPr>
                <w:bCs/>
                <w:b/>
              </w:rPr>
              <w:t xml:space="preserve">Network (transport) layer</w:t>
            </w:r>
          </w:p>
        </w:tc>
        <w:tc>
          <w:tcPr/>
          <w:p>
            <w:pPr>
              <w:pStyle w:val="Compact"/>
              <w:jc w:val="left"/>
            </w:pPr>
            <w:r>
              <w:t xml:space="preserve">Communication protocols</w:t>
            </w:r>
          </w:p>
        </w:tc>
        <w:tc>
          <w:tcPr/>
          <w:p>
            <w:pPr>
              <w:pStyle w:val="Compact"/>
              <w:jc w:val="left"/>
            </w:pPr>
            <w:r>
              <w:t xml:space="preserve">Short range: Bluetooth/BLE, ZigBee (IEEE 802.15.4, mesh), Wi-Fi; long range low power (</w:t>
            </w:r>
            <w:r>
              <w:rPr>
                <w:bCs/>
                <w:b/>
              </w:rPr>
              <w:t xml:space="preserve">LPWAN</w:t>
            </w:r>
            <w:r>
              <w:t xml:space="preserve">):</w:t>
            </w:r>
            <w:r>
              <w:t xml:space="preserve"> </w:t>
            </w:r>
            <w:r>
              <w:rPr>
                <w:bCs/>
                <w:b/>
              </w:rPr>
              <w:t xml:space="preserve">LoRa/LoRaWAN</w:t>
            </w:r>
            <w:r>
              <w:t xml:space="preserve">, NB-IoT, Sigfox; cellular 4G/5G; satellite IoT (NavIC messaging, Iridium) for remote areas</w:t>
            </w:r>
          </w:p>
        </w:tc>
      </w:tr>
      <w:tr>
        <w:tc>
          <w:tcPr/>
          <w:p>
            <w:pPr>
              <w:pStyle w:val="Compact"/>
              <w:jc w:val="left"/>
            </w:pPr>
            <w:r>
              <w:rPr>
                <w:bCs/>
                <w:b/>
              </w:rPr>
              <w:t xml:space="preserve">Middleware / processing layer</w:t>
            </w:r>
          </w:p>
        </w:tc>
        <w:tc>
          <w:tcPr/>
          <w:p>
            <w:pPr>
              <w:pStyle w:val="Compact"/>
              <w:jc w:val="left"/>
            </w:pPr>
            <w:r>
              <w:t xml:space="preserve">Gateways, edge computing, cloud platforms, databases</w:t>
            </w:r>
          </w:p>
        </w:tc>
        <w:tc>
          <w:tcPr/>
          <w:p>
            <w:pPr>
              <w:pStyle w:val="Compact"/>
              <w:jc w:val="left"/>
            </w:pPr>
            <w:r>
              <w:t xml:space="preserve">Data cleaning, storage, analytics (AWS IoT, Azure, ThingSpeak); edge AI on micro-controllers</w:t>
            </w:r>
          </w:p>
        </w:tc>
      </w:tr>
      <w:tr>
        <w:tc>
          <w:tcPr/>
          <w:p>
            <w:pPr>
              <w:pStyle w:val="Compact"/>
              <w:jc w:val="left"/>
            </w:pPr>
            <w:r>
              <w:rPr>
                <w:bCs/>
                <w:b/>
              </w:rPr>
              <w:t xml:space="preserve">Application layer</w:t>
            </w:r>
          </w:p>
        </w:tc>
        <w:tc>
          <w:tcPr/>
          <w:p>
            <w:pPr>
              <w:pStyle w:val="Compact"/>
              <w:jc w:val="left"/>
            </w:pPr>
            <w:r>
              <w:t xml:space="preserve">Dashboards, mobile apps, alerts, automation</w:t>
            </w:r>
          </w:p>
        </w:tc>
        <w:tc>
          <w:tcPr/>
          <w:p>
            <w:pPr>
              <w:pStyle w:val="Compact"/>
              <w:jc w:val="left"/>
            </w:pPr>
            <w:r>
              <w:t xml:space="preserve">Automated irrigation, frost alerts, disease-risk warnings, livestock tracking</w:t>
            </w:r>
          </w:p>
        </w:tc>
      </w:tr>
    </w:tbl>
    <w:p>
      <w:pPr>
        <w:pStyle w:val="BodyText"/>
      </w:pPr>
      <w:r>
        <w:rPr>
          <w:bCs/>
          <w:b/>
        </w:rPr>
        <w:t xml:space="preserve">Hardware platforms:</w:t>
      </w:r>
      <w:r>
        <w:t xml:space="preserve"> </w:t>
      </w:r>
      <w:r>
        <w:t xml:space="preserve">micro-controllers (Arduino, ESP32/ESP8266), single-board computers (Raspberry Pi), wireless sensor network (WSN) nodes; power via solar + batteries; messaging protocols</w:t>
      </w:r>
      <w:r>
        <w:t xml:space="preserve"> </w:t>
      </w:r>
      <w:r>
        <w:rPr>
          <w:bCs/>
          <w:b/>
        </w:rPr>
        <w:t xml:space="preserve">MQTT</w:t>
      </w:r>
      <w:r>
        <w:t xml:space="preserve"> </w:t>
      </w:r>
      <w:r>
        <w:t xml:space="preserve">(lightweight publish–subscribe), CoAP, HTTP/REST.</w:t>
      </w:r>
    </w:p>
    <w:p>
      <w:pPr>
        <w:pStyle w:val="CaptionedFigure"/>
      </w:pPr>
      <w:r>
        <w:drawing>
          <wp:inline>
            <wp:extent cx="5334000" cy="2747010"/>
            <wp:effectExtent b="0" l="0" r="0" t="0"/>
            <wp:docPr descr="IoT-based smart irrigation system" title="" id="171" name="Picture"/>
            <a:graphic>
              <a:graphicData uri="http://schemas.openxmlformats.org/drawingml/2006/picture">
                <pic:pic>
                  <pic:nvPicPr>
                    <pic:cNvPr descr="/tmp/claude-0/-home-user-sonu/ab07c29a-21cd-5a4a-9d2d-68ad72d07153/scratchpad/build/../flows/flow_038.png" id="172" name="Picture"/>
                    <pic:cNvPicPr>
                      <a:picLocks noChangeArrowheads="1" noChangeAspect="1"/>
                    </pic:cNvPicPr>
                  </pic:nvPicPr>
                  <pic:blipFill>
                    <a:blip r:embed="rId170"/>
                    <a:stretch>
                      <a:fillRect/>
                    </a:stretch>
                  </pic:blipFill>
                  <pic:spPr bwMode="auto">
                    <a:xfrm>
                      <a:off x="0" y="0"/>
                      <a:ext cx="5334000" cy="2747010"/>
                    </a:xfrm>
                    <a:prstGeom prst="rect">
                      <a:avLst/>
                    </a:prstGeom>
                    <a:noFill/>
                    <a:ln w="9525">
                      <a:noFill/>
                      <a:headEnd/>
                      <a:tailEnd/>
                    </a:ln>
                  </pic:spPr>
                </pic:pic>
              </a:graphicData>
            </a:graphic>
          </wp:inline>
        </w:drawing>
      </w:r>
    </w:p>
    <w:p>
      <w:pPr>
        <w:pStyle w:val="ImageCaption"/>
      </w:pPr>
      <w:r>
        <w:t xml:space="preserve">IoT-based smart irrigation system</w:t>
      </w:r>
    </w:p>
    <w:p>
      <w:pPr>
        <w:pStyle w:val="Heading3"/>
      </w:pPr>
      <w:r>
        <w:t xml:space="preserve">55.2.2 Applications</w:t>
      </w:r>
    </w:p>
    <w:p>
      <w:pPr>
        <w:pStyle w:val="FirstParagraph"/>
      </w:pPr>
      <w:r>
        <w:t xml:space="preserve">Precision irrigation (sensor- or ET-based; water savings 20–50%), fertigation, greenhouse/polyhouse climate control,</w:t>
      </w:r>
      <w:r>
        <w:t xml:space="preserve"> </w:t>
      </w:r>
      <w:r>
        <w:rPr>
          <w:bCs/>
          <w:b/>
        </w:rPr>
        <w:t xml:space="preserve">micro-climate monitoring and disease forecasting</w:t>
      </w:r>
      <w:r>
        <w:t xml:space="preserve"> </w:t>
      </w:r>
      <w:r>
        <w:t xml:space="preserve">(leaf wetness + temperature → late blight/downy mildew risk), livestock monitoring (collars — health, oestrus, location), cold-chain and storage monitoring (grain temperature, CO₂), pest traps with cameras (automatic counting), farm machinery telematics, water-level monitoring in paddy (AWD irrigation),</w:t>
      </w:r>
      <w:r>
        <w:t xml:space="preserve"> </w:t>
      </w:r>
      <w:r>
        <w:rPr>
          <w:bCs/>
          <w:b/>
        </w:rPr>
        <w:t xml:space="preserve">Automatic Weather Stations (AWS)</w:t>
      </w:r>
      <w:r>
        <w:t xml:space="preserve"> </w:t>
      </w:r>
      <w:r>
        <w:t xml:space="preserve">and</w:t>
      </w:r>
      <w:r>
        <w:t xml:space="preserve"> </w:t>
      </w:r>
      <w:r>
        <w:rPr>
          <w:bCs/>
          <w:b/>
        </w:rPr>
        <w:t xml:space="preserve">Automatic Rain Gauges</w:t>
      </w:r>
      <w:r>
        <w:t xml:space="preserve"> </w:t>
      </w:r>
      <w:r>
        <w:t xml:space="preserve">networks (ISRO-MOSDAC AWS, IMD), validation of satellite products (soil moisture, LST) with dense sensor networks.</w:t>
      </w:r>
    </w:p>
    <w:p>
      <w:pPr>
        <w:pStyle w:val="BodyText"/>
      </w:pPr>
      <w:r>
        <w:rPr>
          <w:bCs/>
          <w:b/>
        </w:rPr>
        <w:t xml:space="preserve">Challenges:</w:t>
      </w:r>
      <w:r>
        <w:t xml:space="preserve"> </w:t>
      </w:r>
      <w:r>
        <w:t xml:space="preserve">cost and maintenance, power supply, connectivity in rural areas, sensor calibration and drift, data interoperability, cyber-security and data ownership, farmer skills; solutions — low-cost sensors, community/FPO-level deployment, government programmes (Digital Agriculture Mission).</w:t>
      </w:r>
    </w:p>
    <w:p>
      <w:pPr>
        <w:pStyle w:val="Heading2"/>
      </w:pPr>
      <w:r>
        <w:t xml:space="preserve">55.3 Geospatial Analytics</w:t>
      </w:r>
    </w:p>
    <w:p>
      <w:pPr>
        <w:pStyle w:val="FirstParagraph"/>
      </w:pPr>
      <w:r>
        <w:rPr>
          <w:bCs/>
          <w:b/>
        </w:rPr>
        <w:t xml:space="preserve">Geospatial analytics</w:t>
      </w:r>
      <w:r>
        <w:t xml:space="preserve"> </w:t>
      </w:r>
      <w:r>
        <w:t xml:space="preserve">= gathering, displaying and analysing location-based data (RS images, GNSS, GIS layers, IoT, mobile data) to find spatial patterns and support decisions. Building blocks:</w:t>
      </w:r>
    </w:p>
    <w:p>
      <w:pPr>
        <w:pStyle w:val="Compact"/>
        <w:numPr>
          <w:ilvl w:val="0"/>
          <w:numId w:val="1412"/>
        </w:numPr>
      </w:pPr>
      <w:r>
        <w:rPr>
          <w:bCs/>
          <w:b/>
        </w:rPr>
        <w:t xml:space="preserve">Spatial data infrastructure:</w:t>
      </w:r>
      <w:r>
        <w:t xml:space="preserve"> </w:t>
      </w:r>
      <w:r>
        <w:t xml:space="preserve">National Spatial Data Infrastructure,</w:t>
      </w:r>
      <w:r>
        <w:t xml:space="preserve"> </w:t>
      </w:r>
      <w:r>
        <w:rPr>
          <w:bCs/>
          <w:b/>
        </w:rPr>
        <w:t xml:space="preserve">Bhuvan</w:t>
      </w:r>
      <w:r>
        <w:t xml:space="preserve"> </w:t>
      </w:r>
      <w:r>
        <w:t xml:space="preserve">(NRSC geoportal),</w:t>
      </w:r>
      <w:r>
        <w:t xml:space="preserve"> </w:t>
      </w:r>
      <w:r>
        <w:rPr>
          <w:bCs/>
          <w:b/>
        </w:rPr>
        <w:t xml:space="preserve">Bhoonidhi</w:t>
      </w:r>
      <w:r>
        <w:t xml:space="preserve"> </w:t>
      </w:r>
      <w:r>
        <w:t xml:space="preserve">(EO data hub),</w:t>
      </w:r>
      <w:r>
        <w:t xml:space="preserve"> </w:t>
      </w:r>
      <w:r>
        <w:rPr>
          <w:bCs/>
          <w:b/>
        </w:rPr>
        <w:t xml:space="preserve">MOSDAC</w:t>
      </w:r>
      <w:r>
        <w:t xml:space="preserve"> </w:t>
      </w:r>
      <w:r>
        <w:t xml:space="preserve">(meteorological/oceanographic),</w:t>
      </w:r>
      <w:r>
        <w:t xml:space="preserve"> </w:t>
      </w:r>
      <w:r>
        <w:rPr>
          <w:bCs/>
          <w:b/>
        </w:rPr>
        <w:t xml:space="preserve">VEDAS</w:t>
      </w:r>
      <w:r>
        <w:t xml:space="preserve"> </w:t>
      </w:r>
      <w:r>
        <w:t xml:space="preserve">(SAC visualisation and analysis), India-WRIS, Survey of India, National Geospatial Policy 2022 (liberalised access to geospatial data).</w:t>
      </w:r>
    </w:p>
    <w:p>
      <w:pPr>
        <w:pStyle w:val="Compact"/>
        <w:numPr>
          <w:ilvl w:val="0"/>
          <w:numId w:val="1412"/>
        </w:numPr>
      </w:pPr>
      <w:r>
        <w:rPr>
          <w:bCs/>
          <w:b/>
        </w:rPr>
        <w:t xml:space="preserve">Analytics types:</w:t>
      </w:r>
      <w:r>
        <w:t xml:space="preserve"> </w:t>
      </w:r>
      <w:r>
        <w:t xml:space="preserve">descriptive (mapping crop area), diagnostic (why yield fell — overlay of drought, pest, soil), predictive (yield, pest risk, flood forecast), prescriptive (variable-rate input maps, optimal crop allocation).</w:t>
      </w:r>
    </w:p>
    <w:p>
      <w:pPr>
        <w:pStyle w:val="Compact"/>
        <w:numPr>
          <w:ilvl w:val="0"/>
          <w:numId w:val="1412"/>
        </w:numPr>
      </w:pPr>
      <w:r>
        <w:rPr>
          <w:bCs/>
          <w:b/>
        </w:rPr>
        <w:t xml:space="preserve">Techniques:</w:t>
      </w:r>
      <w:r>
        <w:t xml:space="preserve"> </w:t>
      </w:r>
      <w:r>
        <w:t xml:space="preserve">overlay, buffering, network analysis, spatial statistics (hotspot Getis-Ord Gi*, Moran’s I), geostatistics, spatio-temporal data cubes, ML on raster stacks, web-mapping and dashboards.</w:t>
      </w:r>
    </w:p>
    <w:p>
      <w:pPr>
        <w:pStyle w:val="Compact"/>
        <w:numPr>
          <w:ilvl w:val="0"/>
          <w:numId w:val="1412"/>
        </w:numPr>
      </w:pPr>
      <w:r>
        <w:rPr>
          <w:bCs/>
          <w:b/>
        </w:rPr>
        <w:t xml:space="preserve">Field data collection:</w:t>
      </w:r>
      <w:r>
        <w:t xml:space="preserve"> </w:t>
      </w:r>
      <w:r>
        <w:t xml:space="preserve">mobile apps with geotagged photos (Bhuvan apps, CROP survey apps, PMFBY CCE-Agri app, digital crop survey under Agristack), UAV surveys (Kisan drones).</w:t>
      </w:r>
    </w:p>
    <w:p>
      <w:pPr>
        <w:pStyle w:val="Heading2"/>
      </w:pPr>
      <w:r>
        <w:t xml:space="preserve">55.4 Big Data Analytics</w:t>
      </w:r>
    </w:p>
    <w:p>
      <w:pPr>
        <w:pStyle w:val="FirstParagraph"/>
      </w:pPr>
      <w:r>
        <w:rPr>
          <w:bCs/>
          <w:b/>
        </w:rPr>
        <w:t xml:space="preserve">Big data</w:t>
      </w:r>
      <w:r>
        <w:t xml:space="preserve"> </w:t>
      </w:r>
      <w:r>
        <w:t xml:space="preserve">— data sets too large/complex for traditional processing, characterised by the</w:t>
      </w:r>
      <w:r>
        <w:t xml:space="preserve"> </w:t>
      </w:r>
      <w:r>
        <w:rPr>
          <w:bCs/>
          <w:b/>
        </w:rPr>
        <w:t xml:space="preserve">5 Vs</w:t>
      </w:r>
      <w:r>
        <w:t xml:space="preserv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V</w:t>
            </w:r>
          </w:p>
        </w:tc>
        <w:tc>
          <w:tcPr/>
          <w:p>
            <w:pPr>
              <w:pStyle w:val="Compact"/>
              <w:jc w:val="left"/>
            </w:pPr>
            <w:r>
              <w:t xml:space="preserve">Meaning</w:t>
            </w:r>
          </w:p>
        </w:tc>
        <w:tc>
          <w:tcPr/>
          <w:p>
            <w:pPr>
              <w:pStyle w:val="Compact"/>
              <w:jc w:val="left"/>
            </w:pPr>
            <w:r>
              <w:t xml:space="preserve">EO/agriculture example</w:t>
            </w:r>
          </w:p>
        </w:tc>
      </w:tr>
      <w:tr>
        <w:tc>
          <w:tcPr/>
          <w:p>
            <w:pPr>
              <w:pStyle w:val="Compact"/>
              <w:jc w:val="left"/>
            </w:pPr>
            <w:r>
              <w:rPr>
                <w:bCs/>
                <w:b/>
              </w:rPr>
              <w:t xml:space="preserve">Volume</w:t>
            </w:r>
          </w:p>
        </w:tc>
        <w:tc>
          <w:tcPr/>
          <w:p>
            <w:pPr>
              <w:pStyle w:val="Compact"/>
              <w:jc w:val="left"/>
            </w:pPr>
            <w:r>
              <w:t xml:space="preserve">Petabytes</w:t>
            </w:r>
          </w:p>
        </w:tc>
        <w:tc>
          <w:tcPr/>
          <w:p>
            <w:pPr>
              <w:pStyle w:val="Compact"/>
              <w:jc w:val="left"/>
            </w:pPr>
            <w:r>
              <w:t xml:space="preserve">Sentinel archive &gt; 10s of PB; ISRO archives; daily NWP outputs</w:t>
            </w:r>
          </w:p>
        </w:tc>
      </w:tr>
      <w:tr>
        <w:tc>
          <w:tcPr/>
          <w:p>
            <w:pPr>
              <w:pStyle w:val="Compact"/>
              <w:jc w:val="left"/>
            </w:pPr>
            <w:r>
              <w:rPr>
                <w:bCs/>
                <w:b/>
              </w:rPr>
              <w:t xml:space="preserve">Velocity</w:t>
            </w:r>
          </w:p>
        </w:tc>
        <w:tc>
          <w:tcPr/>
          <w:p>
            <w:pPr>
              <w:pStyle w:val="Compact"/>
              <w:jc w:val="left"/>
            </w:pPr>
            <w:r>
              <w:t xml:space="preserve">Speed of generation/streaming</w:t>
            </w:r>
          </w:p>
        </w:tc>
        <w:tc>
          <w:tcPr/>
          <w:p>
            <w:pPr>
              <w:pStyle w:val="Compact"/>
              <w:jc w:val="left"/>
            </w:pPr>
            <w:r>
              <w:t xml:space="preserve">Geostationary images every 15–30 min; IoT streams; social media</w:t>
            </w:r>
          </w:p>
        </w:tc>
      </w:tr>
      <w:tr>
        <w:tc>
          <w:tcPr/>
          <w:p>
            <w:pPr>
              <w:pStyle w:val="Compact"/>
              <w:jc w:val="left"/>
            </w:pPr>
            <w:r>
              <w:rPr>
                <w:bCs/>
                <w:b/>
              </w:rPr>
              <w:t xml:space="preserve">Variety</w:t>
            </w:r>
          </w:p>
        </w:tc>
        <w:tc>
          <w:tcPr/>
          <w:p>
            <w:pPr>
              <w:pStyle w:val="Compact"/>
              <w:jc w:val="left"/>
            </w:pPr>
            <w:r>
              <w:t xml:space="preserve">Structured, semi-, unstructured</w:t>
            </w:r>
          </w:p>
        </w:tc>
        <w:tc>
          <w:tcPr/>
          <w:p>
            <w:pPr>
              <w:pStyle w:val="Compact"/>
              <w:jc w:val="left"/>
            </w:pPr>
            <w:r>
              <w:t xml:space="preserve">Images, SAR, LiDAR point clouds, tables, text advisories, audio calls</w:t>
            </w:r>
          </w:p>
        </w:tc>
      </w:tr>
      <w:tr>
        <w:tc>
          <w:tcPr/>
          <w:p>
            <w:pPr>
              <w:pStyle w:val="Compact"/>
              <w:jc w:val="left"/>
            </w:pPr>
            <w:r>
              <w:rPr>
                <w:bCs/>
                <w:b/>
              </w:rPr>
              <w:t xml:space="preserve">Veracity</w:t>
            </w:r>
          </w:p>
        </w:tc>
        <w:tc>
          <w:tcPr/>
          <w:p>
            <w:pPr>
              <w:pStyle w:val="Compact"/>
              <w:jc w:val="left"/>
            </w:pPr>
            <w:r>
              <w:t xml:space="preserve">Quality/uncertainty</w:t>
            </w:r>
          </w:p>
        </w:tc>
        <w:tc>
          <w:tcPr/>
          <w:p>
            <w:pPr>
              <w:pStyle w:val="Compact"/>
              <w:jc w:val="left"/>
            </w:pPr>
            <w:r>
              <w:t xml:space="preserve">Cloud contamination, sensor noise, crowd-sourced errors</w:t>
            </w:r>
          </w:p>
        </w:tc>
      </w:tr>
      <w:tr>
        <w:tc>
          <w:tcPr/>
          <w:p>
            <w:pPr>
              <w:pStyle w:val="Compact"/>
              <w:jc w:val="left"/>
            </w:pPr>
            <w:r>
              <w:rPr>
                <w:bCs/>
                <w:b/>
              </w:rPr>
              <w:t xml:space="preserve">Value</w:t>
            </w:r>
          </w:p>
        </w:tc>
        <w:tc>
          <w:tcPr/>
          <w:p>
            <w:pPr>
              <w:pStyle w:val="Compact"/>
              <w:jc w:val="left"/>
            </w:pPr>
            <w:r>
              <w:t xml:space="preserve">Useful insight</w:t>
            </w:r>
          </w:p>
        </w:tc>
        <w:tc>
          <w:tcPr/>
          <w:p>
            <w:pPr>
              <w:pStyle w:val="Compact"/>
              <w:jc w:val="left"/>
            </w:pPr>
            <w:r>
              <w:t xml:space="preserve">Yield forecasts, insurance, advisories</w:t>
            </w:r>
          </w:p>
        </w:tc>
      </w:tr>
    </w:tbl>
    <w:p>
      <w:pPr>
        <w:pStyle w:val="BodyText"/>
      </w:pPr>
      <w:r>
        <w:t xml:space="preserve">(Additional Vs sometimes listed: variability, visualisation.)</w:t>
      </w:r>
    </w:p>
    <w:p>
      <w:pPr>
        <w:pStyle w:val="Heading3"/>
      </w:pPr>
      <w:r>
        <w:t xml:space="preserve">55.4.1 Technologies</w:t>
      </w:r>
    </w:p>
    <w:p>
      <w:pPr>
        <w:pStyle w:val="Compact"/>
        <w:numPr>
          <w:ilvl w:val="0"/>
          <w:numId w:val="1413"/>
        </w:numPr>
      </w:pPr>
      <w:r>
        <w:rPr>
          <w:bCs/>
          <w:b/>
        </w:rPr>
        <w:t xml:space="preserve">Distributed storage &amp; computing:</w:t>
      </w:r>
      <w:r>
        <w:t xml:space="preserve"> </w:t>
      </w:r>
      <w:r>
        <w:t xml:space="preserve">Hadoop (HDFS + MapReduce),</w:t>
      </w:r>
      <w:r>
        <w:t xml:space="preserve"> </w:t>
      </w:r>
      <w:r>
        <w:rPr>
          <w:bCs/>
          <w:b/>
        </w:rPr>
        <w:t xml:space="preserve">Apache Spark</w:t>
      </w:r>
      <w:r>
        <w:t xml:space="preserve"> </w:t>
      </w:r>
      <w:r>
        <w:t xml:space="preserve">(in-memory), Dask, Kubernetes; cloud object storage.</w:t>
      </w:r>
    </w:p>
    <w:p>
      <w:pPr>
        <w:pStyle w:val="Compact"/>
        <w:numPr>
          <w:ilvl w:val="0"/>
          <w:numId w:val="1413"/>
        </w:numPr>
      </w:pPr>
      <w:r>
        <w:rPr>
          <w:bCs/>
          <w:b/>
        </w:rPr>
        <w:t xml:space="preserve">Cloud EO platforms:</w:t>
      </w:r>
      <w:r>
        <w:t xml:space="preserve"> </w:t>
      </w:r>
      <w:r>
        <w:rPr>
          <w:bCs/>
          <w:b/>
        </w:rPr>
        <w:t xml:space="preserve">Google Earth Engine</w:t>
      </w:r>
      <w:r>
        <w:t xml:space="preserve"> </w:t>
      </w:r>
      <w:r>
        <w:t xml:space="preserve">(planetary-scale catalogue and parallel processing, JavaScript/Python API), Microsoft Planetary Computer, AWS Open Data, Sentinel Hub, Open Data Cube (Digital Earth Africa/Australia), ISRO’s VEDAS and Bhoonidhi services;</w:t>
      </w:r>
      <w:r>
        <w:t xml:space="preserve"> </w:t>
      </w:r>
      <w:r>
        <w:rPr>
          <w:bCs/>
          <w:b/>
        </w:rPr>
        <w:t xml:space="preserve">Analysis-Ready Data (ARD)</w:t>
      </w:r>
      <w:r>
        <w:t xml:space="preserve"> </w:t>
      </w:r>
      <w:r>
        <w:t xml:space="preserve">and data cubes (x, y, time, band).</w:t>
      </w:r>
    </w:p>
    <w:p>
      <w:pPr>
        <w:pStyle w:val="Compact"/>
        <w:numPr>
          <w:ilvl w:val="0"/>
          <w:numId w:val="1413"/>
        </w:numPr>
      </w:pPr>
      <w:r>
        <w:rPr>
          <w:bCs/>
          <w:b/>
        </w:rPr>
        <w:t xml:space="preserve">Data pipelines:</w:t>
      </w:r>
      <w:r>
        <w:t xml:space="preserve"> </w:t>
      </w:r>
      <w:r>
        <w:t xml:space="preserve">ingestion → pre-processing (calibration, cloud masking, compositing) → analytics/ML → visualisation and API delivery.</w:t>
      </w:r>
    </w:p>
    <w:p>
      <w:pPr>
        <w:pStyle w:val="Compact"/>
        <w:numPr>
          <w:ilvl w:val="0"/>
          <w:numId w:val="1413"/>
        </w:numPr>
      </w:pPr>
      <w:r>
        <w:rPr>
          <w:bCs/>
          <w:b/>
        </w:rPr>
        <w:t xml:space="preserve">Data lakes and warehouses</w:t>
      </w:r>
      <w:r>
        <w:t xml:space="preserve">, metadata catalogues (STAC — SpatioTemporal Asset Catalog).</w:t>
      </w:r>
    </w:p>
    <w:p>
      <w:pPr>
        <w:pStyle w:val="Heading3"/>
      </w:pPr>
      <w:r>
        <w:t xml:space="preserve">55.4.2 Big data in Indian agriculture</w:t>
      </w:r>
    </w:p>
    <w:p>
      <w:pPr>
        <w:pStyle w:val="FirstParagraph"/>
      </w:pPr>
      <w:r>
        <w:rPr>
          <w:bCs/>
          <w:b/>
        </w:rPr>
        <w:t xml:space="preserve">Agristack / IDEA</w:t>
      </w:r>
      <w:r>
        <w:t xml:space="preserve"> </w:t>
      </w:r>
      <w:r>
        <w:t xml:space="preserve">(farmers’ registry, geo-referenced village maps, crop-sown registry through Digital Crop Survey),</w:t>
      </w:r>
      <w:r>
        <w:t xml:space="preserve"> </w:t>
      </w:r>
      <w:r>
        <w:rPr>
          <w:bCs/>
          <w:b/>
        </w:rPr>
        <w:t xml:space="preserve">Soil Health Card</w:t>
      </w:r>
      <w:r>
        <w:t xml:space="preserve"> </w:t>
      </w:r>
      <w:r>
        <w:t xml:space="preserve">database,</w:t>
      </w:r>
      <w:r>
        <w:t xml:space="preserve"> </w:t>
      </w:r>
      <w:r>
        <w:rPr>
          <w:bCs/>
          <w:b/>
        </w:rPr>
        <w:t xml:space="preserve">Kisan Rin</w:t>
      </w:r>
      <w:r>
        <w:t xml:space="preserve">, PMFBY data with YES-TECH,</w:t>
      </w:r>
      <w:r>
        <w:t xml:space="preserve"> </w:t>
      </w:r>
      <w:r>
        <w:rPr>
          <w:bCs/>
          <w:b/>
        </w:rPr>
        <w:t xml:space="preserve">Krishi Decision Support System (Krishi-DSS)</w:t>
      </w:r>
      <w:r>
        <w:t xml:space="preserve"> </w:t>
      </w:r>
      <w:r>
        <w:t xml:space="preserve">— the national geospatial platform for agriculture integrating weather, soil, crop and satellite data for drought, crop mapping and advisories,</w:t>
      </w:r>
      <w:r>
        <w:t xml:space="preserve"> </w:t>
      </w:r>
      <w:r>
        <w:rPr>
          <w:bCs/>
          <w:b/>
        </w:rPr>
        <w:t xml:space="preserve">Unified Farmer Service Interface (UFSI)</w:t>
      </w:r>
      <w:r>
        <w:t xml:space="preserve">, weather data from IMD and ISRO, market data (e-NAM, Agmarknet).</w:t>
      </w:r>
    </w:p>
    <w:p>
      <w:pPr>
        <w:pStyle w:val="Heading3"/>
      </w:pPr>
      <w:r>
        <w:t xml:space="preserve">55.4.3 Likely interview questions</w:t>
      </w:r>
    </w:p>
    <w:p>
      <w:pPr>
        <w:pStyle w:val="FirstParagraph"/>
      </w:pPr>
      <w:r>
        <w:rPr>
          <w:bCs/>
          <w:b/>
        </w:rPr>
        <w:t xml:space="preserve">Q. Describe the IoT architecture for smart agriculture.</w:t>
      </w:r>
      <w:r>
        <w:t xml:space="preserve"> </w:t>
      </w:r>
      <w:r>
        <w:t xml:space="preserve">Perception (sensors/actuators) → network (LoRa, NB-IoT, cellular) → processing (gateway/cloud/edge) → application (apps, automation).</w:t>
      </w:r>
    </w:p>
    <w:p>
      <w:pPr>
        <w:pStyle w:val="BodyText"/>
      </w:pPr>
      <w:r>
        <w:rPr>
          <w:bCs/>
          <w:b/>
        </w:rPr>
        <w:t xml:space="preserve">Q. Why LoRaWAN for farms?</w:t>
      </w:r>
      <w:r>
        <w:t xml:space="preserve"> </w:t>
      </w:r>
      <w:r>
        <w:t xml:space="preserve">Long range (several km), very low power (years on battery), low data rate adequate for sensor readings.</w:t>
      </w:r>
    </w:p>
    <w:p>
      <w:pPr>
        <w:pStyle w:val="BodyText"/>
      </w:pPr>
      <w:r>
        <w:rPr>
          <w:bCs/>
          <w:b/>
        </w:rPr>
        <w:t xml:space="preserve">Q. What are the 5 Vs of big data?</w:t>
      </w:r>
      <w:r>
        <w:t xml:space="preserve"> </w:t>
      </w:r>
      <w:r>
        <w:t xml:space="preserve">Volume, velocity, variety, veracity, value.</w:t>
      </w:r>
    </w:p>
    <w:p>
      <w:pPr>
        <w:pStyle w:val="BodyText"/>
      </w:pPr>
      <w:r>
        <w:rPr>
          <w:bCs/>
          <w:b/>
        </w:rPr>
        <w:t xml:space="preserve">Q. How does Google Earth Engine change RS analysis?</w:t>
      </w:r>
      <w:r>
        <w:t xml:space="preserve"> </w:t>
      </w:r>
      <w:r>
        <w:t xml:space="preserve">Brings computation to the data — petabyte archives processed in parallel in the cloud without downloads.</w:t>
      </w:r>
    </w:p>
    <w:p>
      <w:pPr>
        <w:pStyle w:val="BodyText"/>
      </w:pPr>
      <w:r>
        <w:rPr>
          <w:bCs/>
          <w:b/>
        </w:rPr>
        <w:t xml:space="preserve">Q. Distinguish DSS and expert system.</w:t>
      </w:r>
      <w:r>
        <w:t xml:space="preserve"> </w:t>
      </w:r>
      <w:r>
        <w:t xml:space="preserve">DSS combines data and models to support decisions; an expert system encodes expert knowledge as rules with an inference engine.</w:t>
      </w:r>
    </w:p>
    <w:p>
      <w:pPr>
        <w:pStyle w:val="Heading2"/>
      </w:pPr>
      <w:r>
        <w:t xml:space="preserve">55.5 Cloud Computing, Big Data and Analysis-Ready Data in Earth Observation</w:t>
      </w:r>
    </w:p>
    <w:p>
      <w:pPr>
        <w:pStyle w:val="FirstParagraph"/>
      </w:pPr>
      <w:r>
        <w:t xml:space="preserve">The automated multi-temporal/multi-sensor processing pipelines mentioned in the relevant chapter rest on a broader infrastructural shift in how Earth-observation data is stored, processed and delivered — a shift worth being able to discuss explicitly, since it directly explains how compressed operational timelines (e.g., national rice-area mapping completed by end-August, Chapter 6, Section 6.6) are technically achieved at all.</w:t>
      </w:r>
    </w:p>
    <w:p>
      <w:pPr>
        <w:pStyle w:val="Heading3"/>
      </w:pPr>
      <w:r>
        <w:t xml:space="preserve">55.5.1 The Big-Data Problem in Modern Earth Observation</w:t>
      </w:r>
    </w:p>
    <w:p>
      <w:pPr>
        <w:pStyle w:val="FirstParagraph"/>
      </w:pPr>
      <w:r>
        <w:t xml:space="preserve">A single ResourceSat AWiFS or Sentinel-1 SAR scene is tens to hundreds of megabytes; a national-scale, multi-date archive spanning the several-decade IRS/ResourceSat/RISAT record runs to many petabytes. Traditional</w:t>
      </w:r>
      <w:r>
        <w:t xml:space="preserve"> </w:t>
      </w:r>
      <w:r>
        <w:t xml:space="preserve">“</w:t>
      </w:r>
      <w:r>
        <w:t xml:space="preserve">download-then-process</w:t>
      </w:r>
      <w:r>
        <w:t xml:space="preserve">”</w:t>
      </w:r>
      <w:r>
        <w:t xml:space="preserve"> </w:t>
      </w:r>
      <w:r>
        <w:t xml:space="preserve">workflows (in which an analyst downloads full scenes to local storage before any processing begins) become impractical at this scale — download bandwidth, local storage capacity and local processing power all become binding constraints long before the underlying algorithmic/scientific processing itself does — the specific problem cloud-based Earth-observation platforms are architected to solve.</w:t>
      </w:r>
    </w:p>
    <w:p>
      <w:pPr>
        <w:pStyle w:val="Heading3"/>
      </w:pPr>
      <w:r>
        <w:t xml:space="preserve">55.5.2 The</w:t>
      </w:r>
      <w:r>
        <w:t xml:space="preserve"> </w:t>
      </w:r>
      <w:r>
        <w:t xml:space="preserve">“</w:t>
      </w:r>
      <w:r>
        <w:t xml:space="preserve">Analysis-Ready Data</w:t>
      </w:r>
      <w:r>
        <w:t xml:space="preserve">”</w:t>
      </w:r>
      <w:r>
        <w:t xml:space="preserve"> </w:t>
      </w:r>
      <w:r>
        <w:t xml:space="preserve">(ARD) Concept</w:t>
      </w:r>
    </w:p>
    <w:p>
      <w:pPr>
        <w:pStyle w:val="FirstParagraph"/>
      </w:pPr>
      <w:r>
        <w:t xml:space="preserve">Rather than distributing raw or minimally processed (L1) data and expecting every user to independently perform atmospheric correction, cloud/shadow masking, and geometric co-registration before any analysis can begin, an</w:t>
      </w:r>
      <w:r>
        <w:t xml:space="preserve"> </w:t>
      </w:r>
      <w:r>
        <w:rPr>
          <w:bCs/>
          <w:b/>
        </w:rPr>
        <w:t xml:space="preserve">Analysis-Ready Data</w:t>
      </w:r>
      <w:r>
        <w:t xml:space="preserve"> </w:t>
      </w:r>
      <w:r>
        <w:t xml:space="preserve">archive pre-processes the full data holding once, centrally, to a consistent, standardised, already-corrected (L2/L3-class) format — a specific, formalised instance of the general L0→L4 processing-level hierarchy of the relevant chapter, now organised as a systematically maintained, queryable archive rather than a one-off per-scene product — dramatically reducing the redundant, repeated per-user processing burden that would otherwise be incurred every time a different analyst needed the same underlying correction applied to the same underlying scene.</w:t>
      </w:r>
    </w:p>
    <w:p>
      <w:pPr>
        <w:pStyle w:val="Heading3"/>
      </w:pPr>
      <w:r>
        <w:t xml:space="preserve">55.5.3 Cloud-Native (</w:t>
      </w:r>
      <w:r>
        <w:t xml:space="preserve">“</w:t>
      </w:r>
      <w:r>
        <w:t xml:space="preserve">Bring the Algorithm to the Data</w:t>
      </w:r>
      <w:r>
        <w:t xml:space="preserve">”</w:t>
      </w:r>
      <w:r>
        <w:t xml:space="preserve">) Processing Architecture</w:t>
      </w:r>
    </w:p>
    <w:p>
      <w:pPr>
        <w:pStyle w:val="FirstParagraph"/>
      </w:pPr>
      <w:r>
        <w:t xml:space="preserve">The defining architectural principle of platforms such as</w:t>
      </w:r>
      <w:r>
        <w:t xml:space="preserve"> </w:t>
      </w:r>
      <w:r>
        <w:rPr>
          <w:bCs/>
          <w:b/>
        </w:rPr>
        <w:t xml:space="preserve">Google Earth Engine</w:t>
      </w:r>
      <w:r>
        <w:t xml:space="preserve">, and, in the Indian context, the cloud-processing capability increasingly built into</w:t>
      </w:r>
      <w:r>
        <w:t xml:space="preserve"> </w:t>
      </w:r>
      <w:r>
        <w:rPr>
          <w:bCs/>
          <w:b/>
        </w:rPr>
        <w:t xml:space="preserve">BHOONIDHI</w:t>
      </w:r>
      <w:r>
        <w:t xml:space="preserve">, is to</w:t>
      </w:r>
      <w:r>
        <w:t xml:space="preserve"> </w:t>
      </w:r>
      <w:r>
        <w:rPr>
          <w:bCs/>
          <w:b/>
        </w:rPr>
        <w:t xml:space="preserve">move the analysis algorithm to where the data already resides</w:t>
      </w:r>
      <w:r>
        <w:t xml:space="preserve"> </w:t>
      </w:r>
      <w:r>
        <w:t xml:space="preserve">(a co-located cloud data centre holding the full ARD archive) rather than moving the data to the user — a user submits a processing request (e.g.,</w:t>
      </w:r>
      <w:r>
        <w:t xml:space="preserve"> </w:t>
      </w:r>
      <w:r>
        <w:t xml:space="preserve">“</w:t>
      </w:r>
      <w:r>
        <w:t xml:space="preserve">compute the multi-temporal SAR backscatter trajectory for every rice-suspected pixel in this district, this kharif season</w:t>
      </w:r>
      <w:r>
        <w:t xml:space="preserve">”</w:t>
      </w:r>
      <w:r>
        <w:t xml:space="preserve">) that executes on the cloud platform’s own compute infrastructure, directly against the co-located archive, and only the (typically much smaller) final result — a classified map, a summary statistic, a time-series chart — is transferred back to the user, inverting the traditional download-then-process workflow and making truly national/continental-scale, full-archive time-series analysis (exactly what SASYA-class operational rice mapping, Chapter 6, requires) computationally tractable for an individual analyst or agency without requiring them to independently maintain petabyte-scale local storage and high-performance-computing infrastructure.</w:t>
      </w:r>
    </w:p>
    <w:p>
      <w:pPr>
        <w:pStyle w:val="Heading3"/>
      </w:pPr>
      <w:r>
        <w:t xml:space="preserve">55.5.4 Parallel/Distributed Processing and Automated Pipelines</w:t>
      </w:r>
    </w:p>
    <w:p>
      <w:pPr>
        <w:pStyle w:val="FirstParagraph"/>
      </w:pPr>
      <w:r>
        <w:t xml:space="preserve">Cloud Earth-observation platforms typically distribute a processing request automatically across many parallel compute nodes (a</w:t>
      </w:r>
      <w:r>
        <w:t xml:space="preserve"> </w:t>
      </w:r>
      <w:r>
        <w:t xml:space="preserve">“</w:t>
      </w:r>
      <w:r>
        <w:t xml:space="preserve">MapReduce</w:t>
      </w:r>
      <w:r>
        <w:t xml:space="preserve">”</w:t>
      </w:r>
      <w:r>
        <w:t xml:space="preserve">-type or similar distributed-computing pattern — the overall task is decomposed into many independent smaller sub-tasks, e.g., one per scene/tile/time-step, each processed on a separate node, with results subsequently combined/aggregated), allowing a computation that would take days on a single machine to complete in minutes to hours at cloud scale — the concrete computational mechanism underlying the</w:t>
      </w:r>
      <w:r>
        <w:t xml:space="preserve"> </w:t>
      </w:r>
      <w:r>
        <w:t xml:space="preserve">“</w:t>
      </w:r>
      <w:r>
        <w:t xml:space="preserve">automated processing of multi-temporal and multi-sensor data</w:t>
      </w:r>
      <w:r>
        <w:t xml:space="preserve">”</w:t>
      </w:r>
      <w:r>
        <w:t xml:space="preserve"> </w:t>
      </w:r>
      <w:r>
        <w:t xml:space="preserve">capability described more briefly in the relevant chapter, and the specific reason a compressed national-mapping deadline (end-of-August rice-area completion) is achievable only with this kind of infrastructure, not with traditional per-scene manual/semi-automated processing at national scale.</w:t>
      </w:r>
    </w:p>
    <w:p>
      <w:pPr>
        <w:pStyle w:val="Heading3"/>
      </w:pPr>
      <w:r>
        <w:t xml:space="preserve">55.5.5 Implications for Algorithm Design</w:t>
      </w:r>
    </w:p>
    <w:p>
      <w:pPr>
        <w:pStyle w:val="FirstParagraph"/>
      </w:pPr>
      <w:r>
        <w:t xml:space="preserve">Cloud-native processing favours algorithms that can be</w:t>
      </w:r>
      <w:r>
        <w:t xml:space="preserve"> </w:t>
      </w:r>
      <w:r>
        <w:rPr>
          <w:bCs/>
          <w:b/>
        </w:rPr>
        <w:t xml:space="preserve">naturally decomposed into independent, parallelisable per-pixel or per-tile operations</w:t>
      </w:r>
      <w:r>
        <w:t xml:space="preserve"> </w:t>
      </w:r>
      <w:r>
        <w:t xml:space="preserve">(e.g., a per-pixel SAR backscatter-threshold classification, or a per-pixel multi-temporal-trajectory feature extraction feeding a machine-learning classifier, Chapter 18, Section 18.1) over algorithms requiring extensive, computationally expensive global/iterative optimisation across the full scene or dataset simultaneously (e.g., certain full-scene variational atmospheric-correction schemes, or the iterative LAS retrieval of the relevant chapter, Section 1.5.2, which — while itself only a small, point-based iterative loop, not a scene-wide one — illustrates the general class of</w:t>
      </w:r>
      <w:r>
        <w:t xml:space="preserve"> </w:t>
      </w:r>
      <w:r>
        <w:t xml:space="preserve">“</w:t>
      </w:r>
      <w:r>
        <w:t xml:space="preserve">must converge before moving on</w:t>
      </w:r>
      <w:r>
        <w:t xml:space="preserve">”</w:t>
      </w:r>
      <w:r>
        <w:t xml:space="preserve"> </w:t>
      </w:r>
      <w:r>
        <w:t xml:space="preserve">algorithm that scales less naturally to embarrassingly-parallel cloud execution than a straightforward per-pixel classifier does) — a genuine algorithm-design consideration increasingly factored into how new operational remote-sensing products (like SASYA) are engineered from the outset, rather than a purely academic distinction.</w:t>
      </w:r>
    </w:p>
    <w:p>
      <w:pPr>
        <w:pStyle w:val="Heading1"/>
      </w:pPr>
      <w:r>
        <w:t xml:space="preserve">Chapter 56. Communication of Agricultural Information to Farmers</w:t>
      </w:r>
    </w:p>
    <w:p>
      <w:pPr>
        <w:pStyle w:val="Heading2"/>
      </w:pPr>
      <w:r>
        <w:t xml:space="preserve">56.1 Communication — Concept and Models</w:t>
      </w:r>
    </w:p>
    <w:p>
      <w:pPr>
        <w:pStyle w:val="FirstParagraph"/>
      </w:pPr>
      <w:r>
        <w:rPr>
          <w:bCs/>
          <w:b/>
        </w:rPr>
        <w:t xml:space="preserve">Communication</w:t>
      </w:r>
      <w:r>
        <w:t xml:space="preserve"> </w:t>
      </w:r>
      <w:r>
        <w:t xml:space="preserve">is the process by which information, ideas and skills are transmitted from a source to a receiver to produce understanding and change (knowledge, attitude, practice). Agromet advisories and RS-based information are useful only when they reach farmers in</w:t>
      </w:r>
      <w:r>
        <w:t xml:space="preserve"> </w:t>
      </w:r>
      <w:r>
        <w:rPr>
          <w:bCs/>
          <w:b/>
        </w:rPr>
        <w:t xml:space="preserve">time, in their language, and in actionable form</w:t>
      </w:r>
      <w:r>
        <w:t xml:space="preserve"> </w:t>
      </w:r>
      <w:r>
        <w:t xml:space="preserve">— the</w:t>
      </w:r>
      <w:r>
        <w:t xml:space="preserve"> </w:t>
      </w:r>
      <w:r>
        <w:t xml:space="preserve">“</w:t>
      </w:r>
      <w:r>
        <w:t xml:space="preserve">last-mile</w:t>
      </w:r>
      <w:r>
        <w:t xml:space="preserve">”</w:t>
      </w:r>
      <w:r>
        <w:t xml:space="preserve"> </w:t>
      </w:r>
      <w:r>
        <w:t xml:space="preserve">problem.</w:t>
      </w:r>
    </w:p>
    <w:p>
      <w:pPr>
        <w:pStyle w:val="Heading3"/>
      </w:pPr>
      <w:r>
        <w:t xml:space="preserve">56.1.1 Elements</w:t>
      </w:r>
    </w:p>
    <w:p>
      <w:pPr>
        <w:pStyle w:val="FirstParagraph"/>
      </w:pPr>
      <w:r>
        <w:t xml:space="preserve">Communicator (source) → message → channel → receiver (audience) → treatment of message →</w:t>
      </w:r>
      <w:r>
        <w:t xml:space="preserve"> </w:t>
      </w:r>
      <w:r>
        <w:rPr>
          <w:bCs/>
          <w:b/>
        </w:rPr>
        <w:t xml:space="preserve">feedback</w:t>
      </w:r>
      <w:r>
        <w:t xml:space="preserve"> </w:t>
      </w:r>
      <w:r>
        <w:t xml:space="preserve">→ effect; with</w:t>
      </w:r>
      <w:r>
        <w:t xml:space="preserve"> </w:t>
      </w:r>
      <w:r>
        <w:rPr>
          <w:bCs/>
          <w:b/>
        </w:rPr>
        <w:t xml:space="preserve">noise</w:t>
      </w:r>
      <w:r>
        <w:t xml:space="preserve"> </w:t>
      </w:r>
      <w:r>
        <w:t xml:space="preserve">(physical or semantic) interfering. Effective communication: credibility of source, clarity, relevance, timeliness, appropriate channel, two-way interaction.</w:t>
      </w:r>
    </w:p>
    <w:p>
      <w:pPr>
        <w:pStyle w:val="Heading3"/>
      </w:pPr>
      <w:r>
        <w:t xml:space="preserve">56.1.2 Classic models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Elements</w:t>
            </w:r>
          </w:p>
        </w:tc>
        <w:tc>
          <w:tcPr/>
          <w:p>
            <w:pPr>
              <w:pStyle w:val="Compact"/>
              <w:jc w:val="left"/>
            </w:pPr>
            <w:r>
              <w:t xml:space="preserve">Insight</w:t>
            </w:r>
          </w:p>
        </w:tc>
      </w:tr>
      <w:tr>
        <w:tc>
          <w:tcPr/>
          <w:p>
            <w:pPr>
              <w:pStyle w:val="Compact"/>
              <w:jc w:val="left"/>
            </w:pPr>
            <w:r>
              <w:rPr>
                <w:bCs/>
                <w:b/>
              </w:rPr>
              <w:t xml:space="preserve">Aristotle</w:t>
            </w:r>
          </w:p>
        </w:tc>
        <w:tc>
          <w:tcPr/>
          <w:p>
            <w:pPr>
              <w:pStyle w:val="Compact"/>
              <w:jc w:val="left"/>
            </w:pPr>
            <w:r>
              <w:t xml:space="preserve">Speaker – speech – audience</w:t>
            </w:r>
          </w:p>
        </w:tc>
        <w:tc>
          <w:tcPr/>
          <w:p>
            <w:pPr>
              <w:pStyle w:val="Compact"/>
              <w:jc w:val="left"/>
            </w:pPr>
            <w:r>
              <w:t xml:space="preserve">Rhetoric; persuasion</w:t>
            </w:r>
          </w:p>
        </w:tc>
      </w:tr>
      <w:tr>
        <w:tc>
          <w:tcPr/>
          <w:p>
            <w:pPr>
              <w:pStyle w:val="Compact"/>
              <w:jc w:val="left"/>
            </w:pPr>
            <w:r>
              <w:rPr>
                <w:bCs/>
                <w:b/>
              </w:rPr>
              <w:t xml:space="preserve">Lasswell (1948)</w:t>
            </w:r>
          </w:p>
        </w:tc>
        <w:tc>
          <w:tcPr/>
          <w:p>
            <w:pPr>
              <w:pStyle w:val="Compact"/>
              <w:jc w:val="left"/>
            </w:pPr>
            <w:r>
              <w:t xml:space="preserve">Who says What in Which channel to Whom with What effect</w:t>
            </w:r>
          </w:p>
        </w:tc>
        <w:tc>
          <w:tcPr/>
          <w:p>
            <w:pPr>
              <w:pStyle w:val="Compact"/>
              <w:jc w:val="left"/>
            </w:pPr>
            <w:r>
              <w:t xml:space="preserve">Linear checklist for campaign planning</w:t>
            </w:r>
          </w:p>
        </w:tc>
      </w:tr>
      <w:tr>
        <w:tc>
          <w:tcPr/>
          <w:p>
            <w:pPr>
              <w:pStyle w:val="Compact"/>
              <w:jc w:val="left"/>
            </w:pPr>
            <w:r>
              <w:rPr>
                <w:bCs/>
                <w:b/>
              </w:rPr>
              <w:t xml:space="preserve">Shannon–Weaver (1949)</w:t>
            </w:r>
          </w:p>
        </w:tc>
        <w:tc>
          <w:tcPr/>
          <w:p>
            <w:pPr>
              <w:pStyle w:val="Compact"/>
              <w:jc w:val="left"/>
            </w:pPr>
            <w:r>
              <w:t xml:space="preserve">Information source → transmitter (encoder) → channel (+ noise) → receiver (decoder) → destination</w:t>
            </w:r>
          </w:p>
        </w:tc>
        <w:tc>
          <w:tcPr/>
          <w:p>
            <w:pPr>
              <w:pStyle w:val="Compact"/>
              <w:jc w:val="left"/>
            </w:pPr>
            <w:r>
              <w:t xml:space="preserve">Noise and encoding/decoding; mathematical information theory</w:t>
            </w:r>
          </w:p>
        </w:tc>
      </w:tr>
      <w:tr>
        <w:tc>
          <w:tcPr/>
          <w:p>
            <w:pPr>
              <w:pStyle w:val="Compact"/>
              <w:jc w:val="left"/>
            </w:pPr>
            <w:r>
              <w:rPr>
                <w:bCs/>
                <w:b/>
              </w:rPr>
              <w:t xml:space="preserve">Berlo’s SMCR (1960)</w:t>
            </w:r>
          </w:p>
        </w:tc>
        <w:tc>
          <w:tcPr/>
          <w:p>
            <w:pPr>
              <w:pStyle w:val="Compact"/>
              <w:jc w:val="left"/>
            </w:pPr>
            <w:r>
              <w:rPr>
                <w:bCs/>
                <w:b/>
              </w:rPr>
              <w:t xml:space="preserve">S</w:t>
            </w:r>
            <w:r>
              <w:t xml:space="preserve">ource (communication skills, attitudes, knowledge, social system, culture) –</w:t>
            </w:r>
            <w:r>
              <w:t xml:space="preserve"> </w:t>
            </w:r>
            <w:r>
              <w:rPr>
                <w:bCs/>
                <w:b/>
              </w:rPr>
              <w:t xml:space="preserve">M</w:t>
            </w:r>
            <w:r>
              <w:t xml:space="preserve">essage (content, elements, treatment, structure, code) –</w:t>
            </w:r>
            <w:r>
              <w:t xml:space="preserve"> </w:t>
            </w:r>
            <w:r>
              <w:rPr>
                <w:bCs/>
                <w:b/>
              </w:rPr>
              <w:t xml:space="preserve">C</w:t>
            </w:r>
            <w:r>
              <w:t xml:space="preserve">hannel (five senses) –</w:t>
            </w:r>
            <w:r>
              <w:t xml:space="preserve"> </w:t>
            </w:r>
            <w:r>
              <w:rPr>
                <w:bCs/>
                <w:b/>
              </w:rPr>
              <w:t xml:space="preserve">R</w:t>
            </w:r>
            <w:r>
              <w:t xml:space="preserve">eceiver (same attributes as source)</w:t>
            </w:r>
          </w:p>
        </w:tc>
        <w:tc>
          <w:tcPr/>
          <w:p>
            <w:pPr>
              <w:pStyle w:val="Compact"/>
              <w:jc w:val="left"/>
            </w:pPr>
            <w:r>
              <w:t xml:space="preserve">Communication works when source and receiver share skills, attitudes and culture</w:t>
            </w:r>
          </w:p>
        </w:tc>
      </w:tr>
      <w:tr>
        <w:tc>
          <w:tcPr/>
          <w:p>
            <w:pPr>
              <w:pStyle w:val="Compact"/>
              <w:jc w:val="left"/>
            </w:pPr>
            <w:r>
              <w:rPr>
                <w:bCs/>
                <w:b/>
              </w:rPr>
              <w:t xml:space="preserve">Osgood–Schramm (circular)</w:t>
            </w:r>
          </w:p>
        </w:tc>
        <w:tc>
          <w:tcPr/>
          <w:p>
            <w:pPr>
              <w:pStyle w:val="Compact"/>
              <w:jc w:val="left"/>
            </w:pPr>
            <w:r>
              <w:t xml:space="preserve">Both parties encode, interpret and decode; overlapping</w:t>
            </w:r>
            <w:r>
              <w:t xml:space="preserve"> </w:t>
            </w:r>
            <w:r>
              <w:t xml:space="preserve">“</w:t>
            </w:r>
            <w:r>
              <w:t xml:space="preserve">field of experience</w:t>
            </w:r>
            <w:r>
              <w:t xml:space="preserve">”</w:t>
            </w:r>
          </w:p>
        </w:tc>
        <w:tc>
          <w:tcPr/>
          <w:p>
            <w:pPr>
              <w:pStyle w:val="Compact"/>
              <w:jc w:val="left"/>
            </w:pPr>
            <w:r>
              <w:t xml:space="preserve">Two-way, interactive</w:t>
            </w:r>
          </w:p>
        </w:tc>
      </w:tr>
      <w:tr>
        <w:tc>
          <w:tcPr/>
          <w:p>
            <w:pPr>
              <w:pStyle w:val="Compact"/>
              <w:jc w:val="left"/>
            </w:pPr>
            <w:r>
              <w:rPr>
                <w:bCs/>
                <w:b/>
              </w:rPr>
              <w:t xml:space="preserve">Leagans’ model</w:t>
            </w:r>
          </w:p>
        </w:tc>
        <w:tc>
          <w:tcPr/>
          <w:p>
            <w:pPr>
              <w:pStyle w:val="Compact"/>
              <w:jc w:val="left"/>
            </w:pPr>
            <w:r>
              <w:t xml:space="preserve">Communicator, message, channel, treatment, audience, response</w:t>
            </w:r>
          </w:p>
        </w:tc>
        <w:tc>
          <w:tcPr/>
          <w:p>
            <w:pPr>
              <w:pStyle w:val="Compact"/>
              <w:jc w:val="left"/>
            </w:pPr>
            <w:r>
              <w:t xml:space="preserve">Extension-specific</w:t>
            </w:r>
          </w:p>
        </w:tc>
      </w:tr>
    </w:tbl>
    <w:p>
      <w:pPr>
        <w:pStyle w:val="Heading2"/>
      </w:pPr>
      <w:r>
        <w:t xml:space="preserve">56.2 Extension Teaching Methods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Methods</w:t>
            </w:r>
          </w:p>
        </w:tc>
        <w:tc>
          <w:tcPr/>
          <w:p>
            <w:pPr>
              <w:pStyle w:val="Compact"/>
              <w:jc w:val="left"/>
            </w:pPr>
            <w:r>
              <w:t xml:space="preserve">Strengths</w:t>
            </w:r>
          </w:p>
        </w:tc>
      </w:tr>
      <w:tr>
        <w:tc>
          <w:tcPr/>
          <w:p>
            <w:pPr>
              <w:pStyle w:val="Compact"/>
              <w:jc w:val="left"/>
            </w:pPr>
            <w:r>
              <w:rPr>
                <w:bCs/>
                <w:b/>
              </w:rPr>
              <w:t xml:space="preserve">Individual contact</w:t>
            </w:r>
          </w:p>
        </w:tc>
        <w:tc>
          <w:tcPr/>
          <w:p>
            <w:pPr>
              <w:pStyle w:val="Compact"/>
              <w:jc w:val="left"/>
            </w:pPr>
            <w:r>
              <w:t xml:space="preserve">Farm and home visits, office calls, personal letters, telephone/Kisan Call Centre, WhatsApp chats</w:t>
            </w:r>
          </w:p>
        </w:tc>
        <w:tc>
          <w:tcPr/>
          <w:p>
            <w:pPr>
              <w:pStyle w:val="Compact"/>
              <w:jc w:val="left"/>
            </w:pPr>
            <w:r>
              <w:t xml:space="preserve">Personal trust, specific problems; costly per farmer</w:t>
            </w:r>
          </w:p>
        </w:tc>
      </w:tr>
      <w:tr>
        <w:tc>
          <w:tcPr/>
          <w:p>
            <w:pPr>
              <w:pStyle w:val="Compact"/>
              <w:jc w:val="left"/>
            </w:pPr>
            <w:r>
              <w:rPr>
                <w:bCs/>
                <w:b/>
              </w:rPr>
              <w:t xml:space="preserve">Group contact</w:t>
            </w:r>
          </w:p>
        </w:tc>
        <w:tc>
          <w:tcPr/>
          <w:p>
            <w:pPr>
              <w:pStyle w:val="Compact"/>
              <w:jc w:val="left"/>
            </w:pPr>
            <w:r>
              <w:t xml:space="preserve">Method demonstration (how to do),</w:t>
            </w:r>
            <w:r>
              <w:t xml:space="preserve"> </w:t>
            </w:r>
            <w:r>
              <w:rPr>
                <w:bCs/>
                <w:b/>
              </w:rPr>
              <w:t xml:space="preserve">result demonstration</w:t>
            </w:r>
            <w:r>
              <w:t xml:space="preserve"> </w:t>
            </w:r>
            <w:r>
              <w:t xml:space="preserve">(shows outcome),</w:t>
            </w:r>
            <w:r>
              <w:t xml:space="preserve"> </w:t>
            </w:r>
            <w:r>
              <w:rPr>
                <w:bCs/>
                <w:b/>
              </w:rPr>
              <w:t xml:space="preserve">Front Line Demonstrations (FLD)</w:t>
            </w:r>
            <w:r>
              <w:t xml:space="preserve">, group discussions, field days,</w:t>
            </w:r>
            <w:r>
              <w:t xml:space="preserve"> </w:t>
            </w:r>
            <w:r>
              <w:rPr>
                <w:bCs/>
                <w:b/>
              </w:rPr>
              <w:t xml:space="preserve">Farmer Field Schools (FFS — learning by doing, IPM)</w:t>
            </w:r>
            <w:r>
              <w:t xml:space="preserve">, training, study tours, Kisan Gosthis</w:t>
            </w:r>
          </w:p>
        </w:tc>
        <w:tc>
          <w:tcPr/>
          <w:p>
            <w:pPr>
              <w:pStyle w:val="Compact"/>
              <w:jc w:val="left"/>
            </w:pPr>
            <w:r>
              <w:t xml:space="preserve">Peer learning, discussion</w:t>
            </w:r>
          </w:p>
        </w:tc>
      </w:tr>
      <w:tr>
        <w:tc>
          <w:tcPr/>
          <w:p>
            <w:pPr>
              <w:pStyle w:val="Compact"/>
              <w:jc w:val="left"/>
            </w:pPr>
            <w:r>
              <w:rPr>
                <w:bCs/>
                <w:b/>
              </w:rPr>
              <w:t xml:space="preserve">Mass contact</w:t>
            </w:r>
          </w:p>
        </w:tc>
        <w:tc>
          <w:tcPr/>
          <w:p>
            <w:pPr>
              <w:pStyle w:val="Compact"/>
              <w:jc w:val="left"/>
            </w:pPr>
            <w:r>
              <w:t xml:space="preserve">Radio (Kisan Vani, community radio), television (DD Kisan, Krishi Darshan), newspapers, farm magazines, posters, exhibitions, Kisan Melas, campaigns, SMS, social media, YouTube</w:t>
            </w:r>
          </w:p>
        </w:tc>
        <w:tc>
          <w:tcPr/>
          <w:p>
            <w:pPr>
              <w:pStyle w:val="Compact"/>
              <w:jc w:val="left"/>
            </w:pPr>
            <w:r>
              <w:t xml:space="preserve">Wide reach, speed, awareness creation</w:t>
            </w:r>
          </w:p>
        </w:tc>
      </w:tr>
    </w:tbl>
    <w:p>
      <w:pPr>
        <w:pStyle w:val="BodyText"/>
      </w:pPr>
      <w:r>
        <w:rPr>
          <w:bCs/>
          <w:b/>
        </w:rPr>
        <w:t xml:space="preserve">Cone of experience (Edgar Dale):</w:t>
      </w:r>
      <w:r>
        <w:t xml:space="preserve"> </w:t>
      </w:r>
      <w:r>
        <w:t xml:space="preserve">learning retention increases from verbal symbols → visual symbols → recordings, films → exhibits → demonstrations → dramatised →</w:t>
      </w:r>
      <w:r>
        <w:t xml:space="preserve"> </w:t>
      </w:r>
      <w:r>
        <w:rPr>
          <w:bCs/>
          <w:b/>
        </w:rPr>
        <w:t xml:space="preserve">direct purposeful experience</w:t>
      </w:r>
      <w:r>
        <w:t xml:space="preserve"> </w:t>
      </w:r>
      <w:r>
        <w:t xml:space="preserve">(most effective). Hence</w:t>
      </w:r>
      <w:r>
        <w:t xml:space="preserve"> </w:t>
      </w:r>
      <w:r>
        <w:t xml:space="preserve">“</w:t>
      </w:r>
      <w:r>
        <w:t xml:space="preserve">seeing is believing</w:t>
      </w:r>
      <w:r>
        <w:t xml:space="preserve">”</w:t>
      </w:r>
      <w:r>
        <w:t xml:space="preserve"> </w:t>
      </w:r>
      <w:r>
        <w:t xml:space="preserve">— demonstrations and FFS.</w:t>
      </w:r>
    </w:p>
    <w:p>
      <w:pPr>
        <w:pStyle w:val="Heading2"/>
      </w:pPr>
      <w:r>
        <w:t xml:space="preserve">56.3 Diffusion of Innovations (Everett Rogers)</w:t>
      </w:r>
    </w:p>
    <w:p>
      <w:pPr>
        <w:pStyle w:val="Heading3"/>
      </w:pPr>
      <w:r>
        <w:t xml:space="preserve">56.3.1 Elements of diffusion</w:t>
      </w:r>
    </w:p>
    <w:p>
      <w:pPr>
        <w:pStyle w:val="FirstParagraph"/>
      </w:pPr>
      <w:r>
        <w:t xml:space="preserve">Innovation, communication channels, time, social system.</w:t>
      </w:r>
    </w:p>
    <w:p>
      <w:pPr>
        <w:pStyle w:val="Heading3"/>
      </w:pPr>
      <w:r>
        <w:t xml:space="preserve">56.3.2 Adoption process (stages)</w:t>
      </w:r>
    </w:p>
    <w:p>
      <w:pPr>
        <w:pStyle w:val="FirstParagraph"/>
      </w:pPr>
      <w:r>
        <w:t xml:space="preserve">Awareness → Interest → Evaluation → Trial → Adoption (classic five-stage model); revised as</w:t>
      </w:r>
      <w:r>
        <w:t xml:space="preserve"> </w:t>
      </w:r>
      <w:r>
        <w:rPr>
          <w:bCs/>
          <w:b/>
        </w:rPr>
        <w:t xml:space="preserve">Knowledge → Persuasion → Decision → Implementation → Confirmation</w:t>
      </w:r>
      <w:r>
        <w:t xml:space="preserve">.</w:t>
      </w:r>
    </w:p>
    <w:p>
      <w:pPr>
        <w:pStyle w:val="Heading3"/>
      </w:pPr>
      <w:r>
        <w:t xml:space="preserve">56.3.3 Adopter categories (normal distribution of adoption time)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Share</w:t>
            </w:r>
          </w:p>
        </w:tc>
        <w:tc>
          <w:tcPr/>
          <w:p>
            <w:pPr>
              <w:pStyle w:val="Compact"/>
              <w:jc w:val="left"/>
            </w:pPr>
            <w:r>
              <w:t xml:space="preserve">Traits</w:t>
            </w:r>
          </w:p>
        </w:tc>
      </w:tr>
      <w:tr>
        <w:tc>
          <w:tcPr/>
          <w:p>
            <w:pPr>
              <w:pStyle w:val="Compact"/>
              <w:jc w:val="left"/>
            </w:pPr>
            <w:r>
              <w:t xml:space="preserve">Innovators</w:t>
            </w:r>
          </w:p>
        </w:tc>
        <w:tc>
          <w:tcPr/>
          <w:p>
            <w:pPr>
              <w:pStyle w:val="Compact"/>
              <w:jc w:val="left"/>
            </w:pPr>
            <w:r>
              <w:t xml:space="preserve">2.5%</w:t>
            </w:r>
          </w:p>
        </w:tc>
        <w:tc>
          <w:tcPr/>
          <w:p>
            <w:pPr>
              <w:pStyle w:val="Compact"/>
              <w:jc w:val="left"/>
            </w:pPr>
            <w:r>
              <w:t xml:space="preserve">Venturesome, cosmopolite, risk-takers</w:t>
            </w:r>
          </w:p>
        </w:tc>
      </w:tr>
      <w:tr>
        <w:tc>
          <w:tcPr/>
          <w:p>
            <w:pPr>
              <w:pStyle w:val="Compact"/>
              <w:jc w:val="left"/>
            </w:pPr>
            <w:r>
              <w:t xml:space="preserve">Early adopters</w:t>
            </w:r>
          </w:p>
        </w:tc>
        <w:tc>
          <w:tcPr/>
          <w:p>
            <w:pPr>
              <w:pStyle w:val="Compact"/>
              <w:jc w:val="left"/>
            </w:pPr>
            <w:r>
              <w:t xml:space="preserve">13.5%</w:t>
            </w:r>
          </w:p>
        </w:tc>
        <w:tc>
          <w:tcPr/>
          <w:p>
            <w:pPr>
              <w:pStyle w:val="Compact"/>
              <w:jc w:val="left"/>
            </w:pPr>
            <w:r>
              <w:t xml:space="preserve">Respected opinion leaders — key targets for extension</w:t>
            </w:r>
          </w:p>
        </w:tc>
      </w:tr>
      <w:tr>
        <w:tc>
          <w:tcPr/>
          <w:p>
            <w:pPr>
              <w:pStyle w:val="Compact"/>
              <w:jc w:val="left"/>
            </w:pPr>
            <w:r>
              <w:t xml:space="preserve">Early majority</w:t>
            </w:r>
          </w:p>
        </w:tc>
        <w:tc>
          <w:tcPr/>
          <w:p>
            <w:pPr>
              <w:pStyle w:val="Compact"/>
              <w:jc w:val="left"/>
            </w:pPr>
            <w:r>
              <w:t xml:space="preserve">34%</w:t>
            </w:r>
          </w:p>
        </w:tc>
        <w:tc>
          <w:tcPr/>
          <w:p>
            <w:pPr>
              <w:pStyle w:val="Compact"/>
              <w:jc w:val="left"/>
            </w:pPr>
            <w:r>
              <w:t xml:space="preserve">Deliberate</w:t>
            </w:r>
          </w:p>
        </w:tc>
      </w:tr>
      <w:tr>
        <w:tc>
          <w:tcPr/>
          <w:p>
            <w:pPr>
              <w:pStyle w:val="Compact"/>
              <w:jc w:val="left"/>
            </w:pPr>
            <w:r>
              <w:t xml:space="preserve">Late majority</w:t>
            </w:r>
          </w:p>
        </w:tc>
        <w:tc>
          <w:tcPr/>
          <w:p>
            <w:pPr>
              <w:pStyle w:val="Compact"/>
              <w:jc w:val="left"/>
            </w:pPr>
            <w:r>
              <w:t xml:space="preserve">34%</w:t>
            </w:r>
          </w:p>
        </w:tc>
        <w:tc>
          <w:tcPr/>
          <w:p>
            <w:pPr>
              <w:pStyle w:val="Compact"/>
              <w:jc w:val="left"/>
            </w:pPr>
            <w:r>
              <w:t xml:space="preserve">Sceptical, adopt under peer/economic pressure</w:t>
            </w:r>
          </w:p>
        </w:tc>
      </w:tr>
      <w:tr>
        <w:tc>
          <w:tcPr/>
          <w:p>
            <w:pPr>
              <w:pStyle w:val="Compact"/>
              <w:jc w:val="left"/>
            </w:pPr>
            <w:r>
              <w:t xml:space="preserve">Laggards</w:t>
            </w:r>
          </w:p>
        </w:tc>
        <w:tc>
          <w:tcPr/>
          <w:p>
            <w:pPr>
              <w:pStyle w:val="Compact"/>
              <w:jc w:val="left"/>
            </w:pPr>
            <w:r>
              <w:t xml:space="preserve">16%</w:t>
            </w:r>
          </w:p>
        </w:tc>
        <w:tc>
          <w:tcPr/>
          <w:p>
            <w:pPr>
              <w:pStyle w:val="Compact"/>
              <w:jc w:val="left"/>
            </w:pPr>
            <w:r>
              <w:t xml:space="preserve">Traditional, local</w:t>
            </w:r>
          </w:p>
        </w:tc>
      </w:tr>
    </w:tbl>
    <w:p>
      <w:pPr>
        <w:pStyle w:val="BodyText"/>
      </w:pPr>
      <w:r>
        <w:t xml:space="preserve">Cumulative adoption follows an</w:t>
      </w:r>
      <w:r>
        <w:t xml:space="preserve"> </w:t>
      </w:r>
      <w:r>
        <w:rPr>
          <w:bCs/>
          <w:b/>
        </w:rPr>
        <w:t xml:space="preserve">S-curve</w:t>
      </w:r>
      <w:r>
        <w:t xml:space="preserve">.</w:t>
      </w:r>
      <w:r>
        <w:t xml:space="preserve"> </w:t>
      </w:r>
      <w:r>
        <w:rPr>
          <w:bCs/>
          <w:b/>
        </w:rPr>
        <w:t xml:space="preserve">Attributes influencing adoption rate:</w:t>
      </w:r>
      <w:r>
        <w:t xml:space="preserve"> </w:t>
      </w:r>
      <w:r>
        <w:t xml:space="preserve">relative advantage, compatibility, complexity (−), trialability, observability. Hence agromet advisories gain adoption when they demonstrably save inputs (relative advantage), fit local practice, and are simple and visible.</w:t>
      </w:r>
    </w:p>
    <w:p>
      <w:pPr>
        <w:pStyle w:val="CaptionedFigure"/>
      </w:pPr>
      <w:r>
        <w:drawing>
          <wp:inline>
            <wp:extent cx="5334000" cy="2987039"/>
            <wp:effectExtent b="0" l="0" r="0" t="0"/>
            <wp:docPr descr="From satellite data to farmer action — the information chain" title="" id="174" name="Picture"/>
            <a:graphic>
              <a:graphicData uri="http://schemas.openxmlformats.org/drawingml/2006/picture">
                <pic:pic>
                  <pic:nvPicPr>
                    <pic:cNvPr descr="/tmp/claude-0/-home-user-sonu/ab07c29a-21cd-5a4a-9d2d-68ad72d07153/scratchpad/build/../flows/flow_039.png" id="175" name="Picture"/>
                    <pic:cNvPicPr>
                      <a:picLocks noChangeArrowheads="1" noChangeAspect="1"/>
                    </pic:cNvPicPr>
                  </pic:nvPicPr>
                  <pic:blipFill>
                    <a:blip r:embed="rId173"/>
                    <a:stretch>
                      <a:fillRect/>
                    </a:stretch>
                  </pic:blipFill>
                  <pic:spPr bwMode="auto">
                    <a:xfrm>
                      <a:off x="0" y="0"/>
                      <a:ext cx="5334000" cy="2987039"/>
                    </a:xfrm>
                    <a:prstGeom prst="rect">
                      <a:avLst/>
                    </a:prstGeom>
                    <a:noFill/>
                    <a:ln w="9525">
                      <a:noFill/>
                      <a:headEnd/>
                      <a:tailEnd/>
                    </a:ln>
                  </pic:spPr>
                </pic:pic>
              </a:graphicData>
            </a:graphic>
          </wp:inline>
        </w:drawing>
      </w:r>
    </w:p>
    <w:p>
      <w:pPr>
        <w:pStyle w:val="ImageCaption"/>
      </w:pPr>
      <w:r>
        <w:t xml:space="preserve">From satellite data to farmer action — the information chain</w:t>
      </w:r>
    </w:p>
    <w:p>
      <w:pPr>
        <w:pStyle w:val="Heading2"/>
      </w:pPr>
      <w:r>
        <w:t xml:space="preserve">56.4 Extension System and Institutions in India</w:t>
      </w:r>
    </w:p>
    <w:p>
      <w:pPr>
        <w:pStyle w:val="Compact"/>
        <w:numPr>
          <w:ilvl w:val="0"/>
          <w:numId w:val="1414"/>
        </w:numPr>
      </w:pPr>
      <w:r>
        <w:rPr>
          <w:bCs/>
          <w:b/>
        </w:rPr>
        <w:t xml:space="preserve">Historical:</w:t>
      </w:r>
      <w:r>
        <w:t xml:space="preserve"> </w:t>
      </w:r>
      <w:r>
        <w:t xml:space="preserve">Sriniketan (Tagore, 1921), Gurgaon experiment (F.L. Brayne), Marthandam (Spencer Hatch, YMCA), Firka development,</w:t>
      </w:r>
      <w:r>
        <w:t xml:space="preserve"> </w:t>
      </w:r>
      <w:r>
        <w:rPr>
          <w:bCs/>
          <w:b/>
        </w:rPr>
        <w:t xml:space="preserve">Etawah Pilot Project</w:t>
      </w:r>
      <w:r>
        <w:t xml:space="preserve"> </w:t>
      </w:r>
      <w:r>
        <w:t xml:space="preserve">(Albert Mayer, 1948), Nilokheri,</w:t>
      </w:r>
      <w:r>
        <w:t xml:space="preserve"> </w:t>
      </w:r>
      <w:r>
        <w:rPr>
          <w:bCs/>
          <w:b/>
        </w:rPr>
        <w:t xml:space="preserve">Community Development Programme</w:t>
      </w:r>
      <w:r>
        <w:t xml:space="preserve"> </w:t>
      </w:r>
      <w:r>
        <w:t xml:space="preserve">(1952) and National Extension Service (1953), IADP (1960), IAAP, HYVP (1966),</w:t>
      </w:r>
      <w:r>
        <w:t xml:space="preserve"> </w:t>
      </w:r>
      <w:r>
        <w:rPr>
          <w:bCs/>
          <w:b/>
        </w:rPr>
        <w:t xml:space="preserve">Training &amp; Visit (T&amp;V) system</w:t>
      </w:r>
      <w:r>
        <w:t xml:space="preserve"> </w:t>
      </w:r>
      <w:r>
        <w:t xml:space="preserve">(Benor, World Bank, 1974),</w:t>
      </w:r>
      <w:r>
        <w:t xml:space="preserve"> </w:t>
      </w:r>
      <w:r>
        <w:rPr>
          <w:bCs/>
          <w:b/>
        </w:rPr>
        <w:t xml:space="preserve">Lab-to-Land</w:t>
      </w:r>
      <w:r>
        <w:t xml:space="preserve"> </w:t>
      </w:r>
      <w:r>
        <w:t xml:space="preserve">(1979),</w:t>
      </w:r>
      <w:r>
        <w:t xml:space="preserve"> </w:t>
      </w:r>
      <w:r>
        <w:rPr>
          <w:bCs/>
          <w:b/>
        </w:rPr>
        <w:t xml:space="preserve">ICAR National Demonstration (1964)</w:t>
      </w:r>
      <w:r>
        <w:t xml:space="preserve">, NATP and</w:t>
      </w:r>
      <w:r>
        <w:t xml:space="preserve"> </w:t>
      </w:r>
      <w:r>
        <w:rPr>
          <w:bCs/>
          <w:b/>
        </w:rPr>
        <w:t xml:space="preserve">ATMA</w:t>
      </w:r>
      <w:r>
        <w:t xml:space="preserve"> </w:t>
      </w:r>
      <w:r>
        <w:t xml:space="preserve">(Agricultural Technology Management Agency, 1998/2005 — decentralised, demand-driven, district-level; Strategic Research and Extension Plan, Farmer Interest Groups).</w:t>
      </w:r>
    </w:p>
    <w:p>
      <w:pPr>
        <w:pStyle w:val="Compact"/>
        <w:numPr>
          <w:ilvl w:val="0"/>
          <w:numId w:val="1414"/>
        </w:numPr>
      </w:pPr>
      <w:r>
        <w:rPr>
          <w:bCs/>
          <w:b/>
        </w:rPr>
        <w:t xml:space="preserve">Krishi Vigyan Kendras (KVKs)</w:t>
      </w:r>
      <w:r>
        <w:t xml:space="preserve"> </w:t>
      </w:r>
      <w:r>
        <w:t xml:space="preserve">(first at Puducherry, 1974; ~730+ now under ICAR ATARIs): on-farm testing, FLDs, training, seed/planting material, and</w:t>
      </w:r>
      <w:r>
        <w:t xml:space="preserve"> </w:t>
      </w:r>
      <w:r>
        <w:rPr>
          <w:bCs/>
          <w:b/>
        </w:rPr>
        <w:t xml:space="preserve">District Agromet Units (DAMUs)</w:t>
      </w:r>
      <w:r>
        <w:t xml:space="preserve"> </w:t>
      </w:r>
      <w:r>
        <w:t xml:space="preserve">co-located at KVKs for block-level advisories under GKMS.</w:t>
      </w:r>
    </w:p>
    <w:p>
      <w:pPr>
        <w:pStyle w:val="Compact"/>
        <w:numPr>
          <w:ilvl w:val="0"/>
          <w:numId w:val="1414"/>
        </w:numPr>
      </w:pPr>
      <w:r>
        <w:rPr>
          <w:bCs/>
          <w:b/>
        </w:rPr>
        <w:t xml:space="preserve">Public–private and ICT models:</w:t>
      </w:r>
      <w:r>
        <w:t xml:space="preserve"> </w:t>
      </w:r>
      <w:r>
        <w:t xml:space="preserve">ITC</w:t>
      </w:r>
      <w:r>
        <w:t xml:space="preserve"> </w:t>
      </w:r>
      <w:r>
        <w:rPr>
          <w:bCs/>
          <w:b/>
        </w:rPr>
        <w:t xml:space="preserve">e-Choupal</w:t>
      </w:r>
      <w:r>
        <w:t xml:space="preserve"> </w:t>
      </w:r>
      <w:r>
        <w:t xml:space="preserve">(village internet kiosks), Common Service Centres (CSCs), FPOs, agri-clinics and agri-business centres, Digital Green (farmer-made videos), Reliance Foundation information services.</w:t>
      </w:r>
    </w:p>
    <w:p>
      <w:pPr>
        <w:pStyle w:val="Heading2"/>
      </w:pPr>
      <w:r>
        <w:t xml:space="preserve">56.5 ICT Services for Farmers</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Service</w:t>
            </w:r>
          </w:p>
        </w:tc>
        <w:tc>
          <w:tcPr/>
          <w:p>
            <w:pPr>
              <w:pStyle w:val="Compact"/>
              <w:jc w:val="left"/>
            </w:pPr>
            <w:r>
              <w:t xml:space="preserve">Description</w:t>
            </w:r>
          </w:p>
        </w:tc>
      </w:tr>
      <w:tr>
        <w:tc>
          <w:tcPr/>
          <w:p>
            <w:pPr>
              <w:pStyle w:val="Compact"/>
              <w:jc w:val="left"/>
            </w:pPr>
            <w:r>
              <w:rPr>
                <w:bCs/>
                <w:b/>
              </w:rPr>
              <w:t xml:space="preserve">Kisan Call Centre</w:t>
            </w:r>
            <w:r>
              <w:t xml:space="preserve"> </w:t>
            </w:r>
            <w:r>
              <w:t xml:space="preserve">(2004; toll-free 1800-180-1551)</w:t>
            </w:r>
          </w:p>
        </w:tc>
        <w:tc>
          <w:tcPr/>
          <w:p>
            <w:pPr>
              <w:pStyle w:val="Compact"/>
              <w:jc w:val="left"/>
            </w:pPr>
            <w:r>
              <w:t xml:space="preserve">Farmers’ queries answered in local languages by agricultural graduates; escalation to experts</w:t>
            </w:r>
          </w:p>
        </w:tc>
      </w:tr>
      <w:tr>
        <w:tc>
          <w:tcPr/>
          <w:p>
            <w:pPr>
              <w:pStyle w:val="Compact"/>
              <w:jc w:val="left"/>
            </w:pPr>
            <w:r>
              <w:rPr>
                <w:bCs/>
                <w:b/>
              </w:rPr>
              <w:t xml:space="preserve">mKisan portal</w:t>
            </w:r>
            <w:r>
              <w:t xml:space="preserve"> </w:t>
            </w:r>
            <w:r>
              <w:t xml:space="preserve">(2013)</w:t>
            </w:r>
          </w:p>
        </w:tc>
        <w:tc>
          <w:tcPr/>
          <w:p>
            <w:pPr>
              <w:pStyle w:val="Compact"/>
              <w:jc w:val="left"/>
            </w:pPr>
            <w:r>
              <w:t xml:space="preserve">Bulk SMS/voice advisories (weather, crop, market, schemes) from government agencies</w:t>
            </w:r>
          </w:p>
        </w:tc>
      </w:tr>
      <w:tr>
        <w:tc>
          <w:tcPr/>
          <w:p>
            <w:pPr>
              <w:pStyle w:val="Compact"/>
              <w:jc w:val="left"/>
            </w:pPr>
            <w:r>
              <w:rPr>
                <w:bCs/>
                <w:b/>
              </w:rPr>
              <w:t xml:space="preserve">Kisan Suvidha app</w:t>
            </w:r>
            <w:r>
              <w:t xml:space="preserve"> </w:t>
            </w:r>
            <w:r>
              <w:t xml:space="preserve">(2016)</w:t>
            </w:r>
          </w:p>
        </w:tc>
        <w:tc>
          <w:tcPr/>
          <w:p>
            <w:pPr>
              <w:pStyle w:val="Compact"/>
              <w:jc w:val="left"/>
            </w:pPr>
            <w:r>
              <w:t xml:space="preserve">Weather (5-day), dealers, market prices, plant protection, agro-advisories</w:t>
            </w:r>
          </w:p>
        </w:tc>
      </w:tr>
      <w:tr>
        <w:tc>
          <w:tcPr/>
          <w:p>
            <w:pPr>
              <w:pStyle w:val="Compact"/>
              <w:jc w:val="left"/>
            </w:pPr>
            <w:r>
              <w:rPr>
                <w:bCs/>
                <w:b/>
              </w:rPr>
              <w:t xml:space="preserve">Meghdoot app</w:t>
            </w:r>
            <w:r>
              <w:t xml:space="preserve"> </w:t>
            </w:r>
            <w:r>
              <w:t xml:space="preserve">(IMD–ICAR–IITM)</w:t>
            </w:r>
          </w:p>
        </w:tc>
        <w:tc>
          <w:tcPr/>
          <w:p>
            <w:pPr>
              <w:pStyle w:val="Compact"/>
              <w:jc w:val="left"/>
            </w:pPr>
            <w:r>
              <w:t xml:space="preserve">District/block agromet advisories, weather forecasts in local languages</w:t>
            </w:r>
          </w:p>
        </w:tc>
      </w:tr>
      <w:tr>
        <w:tc>
          <w:tcPr/>
          <w:p>
            <w:pPr>
              <w:pStyle w:val="Compact"/>
              <w:jc w:val="left"/>
            </w:pPr>
            <w:r>
              <w:rPr>
                <w:bCs/>
                <w:b/>
              </w:rPr>
              <w:t xml:space="preserve">Mausam, Damini (lightning), Mausamgram</w:t>
            </w:r>
          </w:p>
        </w:tc>
        <w:tc>
          <w:tcPr/>
          <w:p>
            <w:pPr>
              <w:pStyle w:val="Compact"/>
              <w:jc w:val="left"/>
            </w:pPr>
            <w:r>
              <w:t xml:space="preserve">Weather, lightning warnings, location-specific forecasts</w:t>
            </w:r>
          </w:p>
        </w:tc>
      </w:tr>
      <w:tr>
        <w:tc>
          <w:tcPr/>
          <w:p>
            <w:pPr>
              <w:pStyle w:val="Compact"/>
              <w:jc w:val="left"/>
            </w:pPr>
            <w:r>
              <w:rPr>
                <w:bCs/>
                <w:b/>
              </w:rPr>
              <w:t xml:space="preserve">e-NAM</w:t>
            </w:r>
            <w:r>
              <w:t xml:space="preserve"> </w:t>
            </w:r>
            <w:r>
              <w:t xml:space="preserve">(2016)</w:t>
            </w:r>
          </w:p>
        </w:tc>
        <w:tc>
          <w:tcPr/>
          <w:p>
            <w:pPr>
              <w:pStyle w:val="Compact"/>
              <w:jc w:val="left"/>
            </w:pPr>
            <w:r>
              <w:t xml:space="preserve">National online agricultural market linking APMC mandis</w:t>
            </w:r>
          </w:p>
        </w:tc>
      </w:tr>
      <w:tr>
        <w:tc>
          <w:tcPr/>
          <w:p>
            <w:pPr>
              <w:pStyle w:val="Compact"/>
              <w:jc w:val="left"/>
            </w:pPr>
            <w:r>
              <w:rPr>
                <w:bCs/>
                <w:b/>
              </w:rPr>
              <w:t xml:space="preserve">PM-KISAN, PMFBY, Soil Health Card portals/apps</w:t>
            </w:r>
          </w:p>
        </w:tc>
        <w:tc>
          <w:tcPr/>
          <w:p>
            <w:pPr>
              <w:pStyle w:val="Compact"/>
              <w:jc w:val="left"/>
            </w:pPr>
            <w:r>
              <w:t xml:space="preserve">Scheme delivery, claims, soil-test-based recommendations</w:t>
            </w:r>
          </w:p>
        </w:tc>
      </w:tr>
      <w:tr>
        <w:tc>
          <w:tcPr/>
          <w:p>
            <w:pPr>
              <w:pStyle w:val="Compact"/>
              <w:jc w:val="left"/>
            </w:pPr>
            <w:r>
              <w:rPr>
                <w:bCs/>
                <w:b/>
              </w:rPr>
              <w:t xml:space="preserve">Kisan e-Mitra, Kisan Sarathi</w:t>
            </w:r>
          </w:p>
        </w:tc>
        <w:tc>
          <w:tcPr/>
          <w:p>
            <w:pPr>
              <w:pStyle w:val="Compact"/>
              <w:jc w:val="left"/>
            </w:pPr>
            <w:r>
              <w:t xml:space="preserve">AI chatbot/multilingual voice assistance and expert connection</w:t>
            </w:r>
          </w:p>
        </w:tc>
      </w:tr>
      <w:tr>
        <w:tc>
          <w:tcPr/>
          <w:p>
            <w:pPr>
              <w:pStyle w:val="Compact"/>
              <w:jc w:val="left"/>
            </w:pPr>
            <w:r>
              <w:rPr>
                <w:bCs/>
                <w:b/>
              </w:rPr>
              <w:t xml:space="preserve">DD Kisan, Kisan Vani, community radio</w:t>
            </w:r>
          </w:p>
        </w:tc>
        <w:tc>
          <w:tcPr/>
          <w:p>
            <w:pPr>
              <w:pStyle w:val="Compact"/>
              <w:jc w:val="left"/>
            </w:pPr>
            <w:r>
              <w:t xml:space="preserve">Broadcast advisories</w:t>
            </w:r>
          </w:p>
        </w:tc>
      </w:tr>
      <w:tr>
        <w:tc>
          <w:tcPr/>
          <w:p>
            <w:pPr>
              <w:pStyle w:val="Compact"/>
              <w:jc w:val="left"/>
            </w:pPr>
            <w:r>
              <w:rPr>
                <w:bCs/>
                <w:b/>
              </w:rPr>
              <w:t xml:space="preserve">Bhuvan, VEDAS, Krishi-DSS portals</w:t>
            </w:r>
          </w:p>
        </w:tc>
        <w:tc>
          <w:tcPr/>
          <w:p>
            <w:pPr>
              <w:pStyle w:val="Compact"/>
              <w:jc w:val="left"/>
            </w:pPr>
            <w:r>
              <w:t xml:space="preserve">Geospatial information on crops, drought and weather</w:t>
            </w:r>
          </w:p>
        </w:tc>
      </w:tr>
    </w:tbl>
    <w:p>
      <w:pPr>
        <w:pStyle w:val="Heading3"/>
      </w:pPr>
      <w:r>
        <w:t xml:space="preserve">56.5.1 ISRO’s role in rural communication</w:t>
      </w:r>
    </w:p>
    <w:p>
      <w:pPr>
        <w:pStyle w:val="Compact"/>
        <w:numPr>
          <w:ilvl w:val="0"/>
          <w:numId w:val="1415"/>
        </w:numPr>
      </w:pPr>
      <w:r>
        <w:rPr>
          <w:bCs/>
          <w:b/>
        </w:rPr>
        <w:t xml:space="preserve">SITE (Satellite Instructional Television Experiment, 1975–76):</w:t>
      </w:r>
      <w:r>
        <w:t xml:space="preserve"> </w:t>
      </w:r>
      <w:r>
        <w:t xml:space="preserve">with NASA’s ATS-6; educational TV to ~2400 villages in six states (agriculture, health, family planning) — a landmark in using satellites for development communication; followed by Kheda Communication Project (Gujarat).</w:t>
      </w:r>
    </w:p>
    <w:p>
      <w:pPr>
        <w:pStyle w:val="Compact"/>
        <w:numPr>
          <w:ilvl w:val="0"/>
          <w:numId w:val="1415"/>
        </w:numPr>
      </w:pPr>
      <w:r>
        <w:rPr>
          <w:bCs/>
          <w:b/>
        </w:rPr>
        <w:t xml:space="preserve">INSAT-based services:</w:t>
      </w:r>
      <w:r>
        <w:t xml:space="preserve"> </w:t>
      </w:r>
      <w:r>
        <w:t xml:space="preserve">Doordarshan and radio reach,</w:t>
      </w:r>
      <w:r>
        <w:t xml:space="preserve"> </w:t>
      </w:r>
      <w:r>
        <w:rPr>
          <w:bCs/>
          <w:b/>
        </w:rPr>
        <w:t xml:space="preserve">EDUSAT</w:t>
      </w:r>
      <w:r>
        <w:t xml:space="preserve"> </w:t>
      </w:r>
      <w:r>
        <w:t xml:space="preserve">(2004, dedicated education satellite),</w:t>
      </w:r>
      <w:r>
        <w:t xml:space="preserve"> </w:t>
      </w:r>
      <w:r>
        <w:rPr>
          <w:bCs/>
          <w:b/>
        </w:rPr>
        <w:t xml:space="preserve">Village Resource Centres (VRCs, 2004 onwards with NGOs)</w:t>
      </w:r>
      <w:r>
        <w:t xml:space="preserve"> </w:t>
      </w:r>
      <w:r>
        <w:t xml:space="preserve">— single-window delivery of tele-education, tele-medicine, and advisories on agriculture, fisheries, land and water resources using satellite connectivity and RS-derived information.</w:t>
      </w:r>
    </w:p>
    <w:p>
      <w:pPr>
        <w:pStyle w:val="Compact"/>
        <w:numPr>
          <w:ilvl w:val="0"/>
          <w:numId w:val="1415"/>
        </w:numPr>
      </w:pPr>
      <w:r>
        <w:rPr>
          <w:bCs/>
          <w:b/>
        </w:rPr>
        <w:t xml:space="preserve">Potential Fishing Zone (PFZ) advisories</w:t>
      </w:r>
      <w:r>
        <w:t xml:space="preserve"> </w:t>
      </w:r>
      <w:r>
        <w:t xml:space="preserve">(INCOIS using satellite SST and chlorophyll) disseminated via SMS, radio, display boards and NavIC/GAGAN-based messaging — a model of RS-to-user communication.</w:t>
      </w:r>
    </w:p>
    <w:p>
      <w:pPr>
        <w:pStyle w:val="Compact"/>
        <w:numPr>
          <w:ilvl w:val="0"/>
          <w:numId w:val="1415"/>
        </w:numPr>
      </w:pPr>
      <w:r>
        <w:rPr>
          <w:bCs/>
          <w:b/>
        </w:rPr>
        <w:t xml:space="preserve">NavIC messaging</w:t>
      </w:r>
      <w:r>
        <w:t xml:space="preserve"> </w:t>
      </w:r>
      <w:r>
        <w:t xml:space="preserve">for warnings to fishermen beyond mobile coverage;</w:t>
      </w:r>
      <w:r>
        <w:t xml:space="preserve"> </w:t>
      </w:r>
      <w:r>
        <w:rPr>
          <w:bCs/>
          <w:b/>
        </w:rPr>
        <w:t xml:space="preserve">GAGAN Message Service</w:t>
      </w:r>
      <w:r>
        <w:t xml:space="preserve">.</w:t>
      </w:r>
    </w:p>
    <w:p>
      <w:pPr>
        <w:pStyle w:val="Heading2"/>
      </w:pPr>
      <w:r>
        <w:t xml:space="preserve">56.6 Communicating Agromet Advisories Effectively</w:t>
      </w:r>
    </w:p>
    <w:p>
      <w:pPr>
        <w:pStyle w:val="Compact"/>
        <w:numPr>
          <w:ilvl w:val="0"/>
          <w:numId w:val="1416"/>
        </w:numPr>
      </w:pPr>
      <w:r>
        <w:rPr>
          <w:bCs/>
          <w:b/>
        </w:rPr>
        <w:t xml:space="preserve">Content:</w:t>
      </w:r>
      <w:r>
        <w:t xml:space="preserve"> </w:t>
      </w:r>
      <w:r>
        <w:t xml:space="preserve">crop- and stage-specific, based on weather forecast + current crop condition; quantitative (rainfall amount, irrigation depth, spray timing).</w:t>
      </w:r>
    </w:p>
    <w:p>
      <w:pPr>
        <w:pStyle w:val="Compact"/>
        <w:numPr>
          <w:ilvl w:val="0"/>
          <w:numId w:val="1416"/>
        </w:numPr>
      </w:pPr>
      <w:r>
        <w:rPr>
          <w:bCs/>
          <w:b/>
        </w:rPr>
        <w:t xml:space="preserve">Language and format:</w:t>
      </w:r>
      <w:r>
        <w:t xml:space="preserve"> </w:t>
      </w:r>
      <w:r>
        <w:t xml:space="preserve">local language, simple words, icons, voice messages for low-literacy users; impact-based warnings (what the weather will</w:t>
      </w:r>
      <w:r>
        <w:t xml:space="preserve"> </w:t>
      </w:r>
      <w:r>
        <w:rPr>
          <w:iCs/>
          <w:i/>
        </w:rPr>
        <w:t xml:space="preserve">do</w:t>
      </w:r>
      <w:r>
        <w:t xml:space="preserve">).</w:t>
      </w:r>
    </w:p>
    <w:p>
      <w:pPr>
        <w:pStyle w:val="Compact"/>
        <w:numPr>
          <w:ilvl w:val="0"/>
          <w:numId w:val="1416"/>
        </w:numPr>
      </w:pPr>
      <w:r>
        <w:rPr>
          <w:bCs/>
          <w:b/>
        </w:rPr>
        <w:t xml:space="preserve">Timeliness:</w:t>
      </w:r>
      <w:r>
        <w:t xml:space="preserve"> </w:t>
      </w:r>
      <w:r>
        <w:t xml:space="preserve">issued twice weekly (Tuesday and Friday under GKMS), lead time sufficient for action.</w:t>
      </w:r>
    </w:p>
    <w:p>
      <w:pPr>
        <w:pStyle w:val="Compact"/>
        <w:numPr>
          <w:ilvl w:val="0"/>
          <w:numId w:val="1416"/>
        </w:numPr>
      </w:pPr>
      <w:r>
        <w:rPr>
          <w:bCs/>
          <w:b/>
        </w:rPr>
        <w:t xml:space="preserve">Two-way feedback:</w:t>
      </w:r>
      <w:r>
        <w:t xml:space="preserve"> </w:t>
      </w:r>
      <w:r>
        <w:t xml:space="preserve">farmer feedback, KVK verification, surveys measuring economic benefit (studies show GKMS users gain through reduced input costs and losses).</w:t>
      </w:r>
    </w:p>
    <w:p>
      <w:pPr>
        <w:pStyle w:val="Compact"/>
        <w:numPr>
          <w:ilvl w:val="0"/>
          <w:numId w:val="1416"/>
        </w:numPr>
      </w:pPr>
      <w:r>
        <w:rPr>
          <w:bCs/>
          <w:b/>
        </w:rPr>
        <w:t xml:space="preserve">Trust and credibility:</w:t>
      </w:r>
      <w:r>
        <w:t xml:space="preserve"> </w:t>
      </w:r>
      <w:r>
        <w:t xml:space="preserve">consistent accuracy, verification of forecasts, involving local leaders, women’s groups and FPOs.</w:t>
      </w:r>
    </w:p>
    <w:p>
      <w:pPr>
        <w:pStyle w:val="Compact"/>
        <w:numPr>
          <w:ilvl w:val="0"/>
          <w:numId w:val="1416"/>
        </w:numPr>
      </w:pPr>
      <w:r>
        <w:rPr>
          <w:bCs/>
          <w:b/>
        </w:rPr>
        <w:t xml:space="preserve">Convergence:</w:t>
      </w:r>
      <w:r>
        <w:t xml:space="preserve"> </w:t>
      </w:r>
      <w:r>
        <w:t xml:space="preserve">integration of multiple channels and institutions (IMD, ICAR, SAUs, state agriculture departments, ISRO).</w:t>
      </w:r>
    </w:p>
    <w:p>
      <w:pPr>
        <w:pStyle w:val="Heading3"/>
      </w:pPr>
      <w:r>
        <w:t xml:space="preserve">56.6.1 Likely interview questions</w:t>
      </w:r>
    </w:p>
    <w:p>
      <w:pPr>
        <w:pStyle w:val="FirstParagraph"/>
      </w:pPr>
      <w:r>
        <w:rPr>
          <w:bCs/>
          <w:b/>
        </w:rPr>
        <w:t xml:space="preserve">Q. Explain Berlo’s SMCR model.</w:t>
      </w:r>
      <w:r>
        <w:t xml:space="preserve"> </w:t>
      </w:r>
      <w:r>
        <w:t xml:space="preserve">Source, message, channel, receiver — effectiveness depends on matching communication skills, attitudes, knowledge, social system and culture of source and receiver.</w:t>
      </w:r>
    </w:p>
    <w:p>
      <w:pPr>
        <w:pStyle w:val="BodyText"/>
      </w:pPr>
      <w:r>
        <w:rPr>
          <w:bCs/>
          <w:b/>
        </w:rPr>
        <w:t xml:space="preserve">Q. What are Rogers’ adopter categories?</w:t>
      </w:r>
      <w:r>
        <w:t xml:space="preserve"> </w:t>
      </w:r>
      <w:r>
        <w:t xml:space="preserve">Innovators 2.5%, early adopters 13.5%, early majority 34%, late majority 34%, laggards 16%.</w:t>
      </w:r>
    </w:p>
    <w:p>
      <w:pPr>
        <w:pStyle w:val="BodyText"/>
      </w:pPr>
      <w:r>
        <w:rPr>
          <w:bCs/>
          <w:b/>
        </w:rPr>
        <w:t xml:space="preserve">Q. How can ISRO information reach farmers?</w:t>
      </w:r>
      <w:r>
        <w:t xml:space="preserve"> </w:t>
      </w:r>
      <w:r>
        <w:t xml:space="preserve">Through IMD/ICAR agromet advisories, apps and SMS, KVKs/DAMUs, VRCs, Bhuvan/Krishi-DSS portals, and NavIC messaging for remote areas.</w:t>
      </w:r>
    </w:p>
    <w:p>
      <w:pPr>
        <w:pStyle w:val="BodyText"/>
      </w:pPr>
      <w:r>
        <w:rPr>
          <w:bCs/>
          <w:b/>
        </w:rPr>
        <w:t xml:space="preserve">Q. What was SITE?</w:t>
      </w:r>
      <w:r>
        <w:t xml:space="preserve"> </w:t>
      </w:r>
      <w:r>
        <w:t xml:space="preserve">The 1975–76 Satellite Instructional Television Experiment, using ATS-6 to broadcast educational programmes on agriculture and health to Indian villages.</w:t>
      </w:r>
    </w:p>
    <w:p>
      <w:pPr>
        <w:pStyle w:val="BodyText"/>
      </w:pPr>
      <w:r>
        <w:rPr>
          <w:bCs/>
          <w:b/>
        </w:rPr>
        <w:t xml:space="preserve">Q. Why are result demonstrations effective?</w:t>
      </w:r>
      <w:r>
        <w:t xml:space="preserve"> </w:t>
      </w:r>
      <w:r>
        <w:t xml:space="preserve">They show visible, local evidence of benefit — high observability and trialability, building trust.</w:t>
      </w:r>
    </w:p>
    <w:p>
      <w:pPr>
        <w:pStyle w:val="PartTitle"/>
      </w:pPr>
      <w:r>
        <w:t xml:space="preserve">Part VII</w:t>
      </w:r>
      <w:r>
        <w:br/>
      </w:r>
      <w:r>
        <w:t xml:space="preserve">Interview Revision</w:t>
      </w:r>
    </w:p>
    <w:p>
      <w:pPr>
        <w:pStyle w:val="PartSub"/>
      </w:pPr>
      <w:r>
        <w:t xml:space="preserve">Worked numericals, model answers and glossary</w:t>
      </w:r>
    </w:p>
    <w:p>
      <w:pPr>
        <w:pStyle w:val="Heading1"/>
      </w:pPr>
      <w:r>
        <w:t xml:space="preserve">Chapter 57. Worked Numerical Problems</w:t>
      </w:r>
    </w:p>
    <w:p>
      <w:pPr>
        <w:pStyle w:val="FirstParagraph"/>
      </w:pPr>
      <w:r>
        <w:t xml:space="preserve">Interviewers often check whether a candidate can</w:t>
      </w:r>
      <w:r>
        <w:t xml:space="preserve"> </w:t>
      </w:r>
      <w:r>
        <w:rPr>
          <w:iCs/>
          <w:i/>
        </w:rPr>
        <w:t xml:space="preserve">use</w:t>
      </w:r>
      <w:r>
        <w:t xml:space="preserve"> </w:t>
      </w:r>
      <w:r>
        <w:t xml:space="preserve">an equation, not just recite it. Each problem below is short enough to solve on a whiteboard; follow the steps rather than memorising the answer.</w:t>
      </w:r>
    </w:p>
    <w:p>
      <w:pPr>
        <w:pStyle w:val="Heading2"/>
      </w:pPr>
      <w:r>
        <w:t xml:space="preserve">57.1 Radiation Physics and Remote Sensing</w:t>
      </w:r>
    </w:p>
    <w:p>
      <w:pPr>
        <w:pStyle w:val="Heading3"/>
      </w:pPr>
      <w:r>
        <w:t xml:space="preserve">57.1.1 Wien’s displacement — wavelength of peak emission</w:t>
      </w:r>
    </w:p>
    <w:p>
      <w:pPr>
        <w:pStyle w:val="FirstParagraph"/>
      </w:pPr>
      <w:r>
        <w:rPr>
          <w:bCs/>
          <w:b/>
        </w:rPr>
        <w:t xml:space="preserve">Problem:</w:t>
      </w:r>
      <w:r>
        <w:t xml:space="preserve"> </w:t>
      </w:r>
      <w:r>
        <w:t xml:space="preserve">At what wavelength does (a) the Sun (≈ 5800 K), (b) a crop canopy (300 K) and (c) a forest fire (1000 K) emit most strongly?</w:t>
      </w:r>
    </w:p>
    <w:p>
      <w:pPr>
        <w:pStyle w:val="BodyText"/>
      </w:pPr>
      <w:r>
        <w:rPr>
          <w:bCs/>
          <w:b/>
        </w:rPr>
        <w:t xml:space="preserve">Steps:</w:t>
      </w:r>
      <w:r>
        <w:t xml:space="preserve"> </w:t>
      </w:r>
      <m:oMath>
        <m:sSub>
          <m:e>
            <m:r>
              <m:t>λ</m:t>
            </m:r>
          </m:e>
          <m:sub>
            <m:r>
              <m:t>m</m:t>
            </m:r>
            <m:r>
              <m:t>a</m:t>
            </m:r>
            <m:r>
              <m:t>x</m:t>
            </m:r>
          </m:sub>
        </m:sSub>
        <m:r>
          <m:rPr>
            <m:sty m:val="p"/>
          </m:rPr>
          <m:t>=</m:t>
        </m:r>
        <m:f>
          <m:fPr>
            <m:type m:val="bar"/>
          </m:fPr>
          <m:num>
            <m:r>
              <m:t>2898</m:t>
            </m:r>
            <m:r>
              <m:t> </m:t>
            </m:r>
            <m:r>
              <m:t>μ</m:t>
            </m:r>
            <m:r>
              <m:t>m</m:t>
            </m:r>
            <m:r>
              <m:t> </m:t>
            </m:r>
            <m:r>
              <m:t>K</m:t>
            </m:r>
          </m:num>
          <m:den>
            <m:r>
              <m:t>T</m:t>
            </m:r>
          </m:den>
        </m:f>
      </m:oMath>
      <w:r>
        <w:t xml:space="preserve">.</w:t>
      </w:r>
      <w:r>
        <w:t xml:space="preserve"> </w:t>
      </w:r>
      <w:r>
        <w:t xml:space="preserve">(a) 2898/5800 =</w:t>
      </w:r>
      <w:r>
        <w:t xml:space="preserve"> </w:t>
      </w:r>
      <w:r>
        <w:rPr>
          <w:bCs/>
          <w:b/>
        </w:rPr>
        <w:t xml:space="preserve">0.50 µm</w:t>
      </w:r>
      <w:r>
        <w:t xml:space="preserve"> </w:t>
      </w:r>
      <w:r>
        <w:t xml:space="preserve">(visible green); (b) 2898/300 =</w:t>
      </w:r>
      <w:r>
        <w:t xml:space="preserve"> </w:t>
      </w:r>
      <w:r>
        <w:rPr>
          <w:bCs/>
          <w:b/>
        </w:rPr>
        <w:t xml:space="preserve">9.66 µm</w:t>
      </w:r>
      <w:r>
        <w:t xml:space="preserve"> </w:t>
      </w:r>
      <w:r>
        <w:t xml:space="preserve">(thermal IR — the reason for 8–14 µm thermal sensors); (c) 2898/1000 =</w:t>
      </w:r>
      <w:r>
        <w:t xml:space="preserve"> </w:t>
      </w:r>
      <w:r>
        <w:rPr>
          <w:bCs/>
          <w:b/>
        </w:rPr>
        <w:t xml:space="preserve">2.9 µm</w:t>
      </w:r>
      <w:r>
        <w:t xml:space="preserve"> </w:t>
      </w:r>
      <w:r>
        <w:t xml:space="preserve">(MIR — why the 3.7–4 µm band detects fires).</w:t>
      </w:r>
    </w:p>
    <w:p>
      <w:pPr>
        <w:pStyle w:val="Heading3"/>
      </w:pPr>
      <w:r>
        <w:t xml:space="preserve">57.1.2 Stefan–Boltzmann — emitted flux</w:t>
      </w:r>
    </w:p>
    <w:p>
      <w:pPr>
        <w:pStyle w:val="FirstParagraph"/>
      </w:pPr>
      <w:r>
        <w:rPr>
          <w:bCs/>
          <w:b/>
        </w:rPr>
        <w:t xml:space="preserve">Problem:</w:t>
      </w:r>
      <w:r>
        <w:t xml:space="preserve"> </w:t>
      </w:r>
      <w:r>
        <w:t xml:space="preserve">A wheat canopy at 25 °C with emissivity 0.98 — how much longwave radiation does it emit?</w:t>
      </w:r>
    </w:p>
    <w:p>
      <w:pPr>
        <w:pStyle w:val="BodyText"/>
      </w:pPr>
      <w:r>
        <w:rPr>
          <w:bCs/>
          <w:b/>
        </w:rPr>
        <w:t xml:space="preserve">Steps:</w:t>
      </w:r>
      <w:r>
        <w:t xml:space="preserve"> </w:t>
      </w:r>
      <m:oMath>
        <m:r>
          <m:t>M</m:t>
        </m:r>
        <m:r>
          <m:rPr>
            <m:sty m:val="p"/>
          </m:rPr>
          <m:t>=</m:t>
        </m:r>
        <m:r>
          <m:t>ε</m:t>
        </m:r>
        <m:r>
          <m:t>σ</m:t>
        </m:r>
        <m:sSup>
          <m:e>
            <m:r>
              <m:t>T</m:t>
            </m:r>
          </m:e>
          <m:sup>
            <m:r>
              <m:t>4</m:t>
            </m:r>
          </m:sup>
        </m:sSup>
        <m:r>
          <m:rPr>
            <m:sty m:val="p"/>
          </m:rPr>
          <m:t>=</m:t>
        </m:r>
        <m:r>
          <m:t>0.98</m:t>
        </m:r>
        <m:r>
          <m:rPr>
            <m:sty m:val="p"/>
          </m:rPr>
          <m:t>×</m:t>
        </m:r>
        <m:r>
          <m:t>5.67</m:t>
        </m:r>
        <m:r>
          <m:rPr>
            <m:sty m:val="p"/>
          </m:rPr>
          <m:t>×</m:t>
        </m:r>
        <m:sSup>
          <m:e>
            <m:r>
              <m:t>10</m:t>
            </m:r>
          </m:e>
          <m:sup>
            <m:r>
              <m:rPr>
                <m:sty m:val="p"/>
              </m:rPr>
              <m:t>−</m:t>
            </m:r>
            <m:r>
              <m:t>8</m:t>
            </m:r>
          </m:sup>
        </m:sSup>
        <m:r>
          <m:rPr>
            <m:sty m:val="p"/>
          </m:rPr>
          <m:t>×</m:t>
        </m:r>
        <m:sSup>
          <m:e>
            <m:d>
              <m:dPr>
                <m:begChr m:val="("/>
                <m:endChr m:val=")"/>
                <m:sepChr m:val=""/>
                <m:grow/>
              </m:dPr>
              <m:e>
                <m:r>
                  <m:t>298.15</m:t>
                </m:r>
              </m:e>
            </m:d>
          </m:e>
          <m:sup>
            <m:r>
              <m:t>4</m:t>
            </m:r>
          </m:sup>
        </m:sSup>
      </m:oMath>
      <w:r>
        <w:t xml:space="preserve">.</w:t>
      </w:r>
      <w:r>
        <w:t xml:space="preserve"> </w:t>
      </w:r>
      <m:oMath>
        <m:sSup>
          <m:e>
            <m:r>
              <m:t>298.15</m:t>
            </m:r>
          </m:e>
          <m:sup>
            <m:r>
              <m:t>4</m:t>
            </m:r>
          </m:sup>
        </m:sSup>
        <m:r>
          <m:rPr>
            <m:sty m:val="p"/>
          </m:rPr>
          <m:t>=</m:t>
        </m:r>
        <m:r>
          <m:t>7.90</m:t>
        </m:r>
        <m:r>
          <m:rPr>
            <m:sty m:val="p"/>
          </m:rPr>
          <m:t>×</m:t>
        </m:r>
        <m:sSup>
          <m:e>
            <m:r>
              <m:t>10</m:t>
            </m:r>
          </m:e>
          <m:sup>
            <m:r>
              <m:t>9</m:t>
            </m:r>
          </m:sup>
        </m:sSup>
      </m:oMath>
      <w:r>
        <w:t xml:space="preserve"> </w:t>
      </w:r>
      <w:r>
        <w:t xml:space="preserve">→ M = 0.98 × 5.67 × 10⁻⁸ × 7.90 × 10⁹ ≈</w:t>
      </w:r>
      <w:r>
        <w:t xml:space="preserve"> </w:t>
      </w:r>
      <w:r>
        <w:rPr>
          <w:bCs/>
          <w:b/>
        </w:rPr>
        <w:t xml:space="preserve">439 W m⁻²</w:t>
      </w:r>
      <w:r>
        <w:t xml:space="preserve">. A 1 K error in T changes M by about</w:t>
      </w:r>
      <w:r>
        <w:t xml:space="preserve"> </w:t>
      </w:r>
      <m:oMath>
        <m:r>
          <m:t>4</m:t>
        </m:r>
        <m:r>
          <m:t>M</m:t>
        </m:r>
        <m:r>
          <m:rPr>
            <m:sty m:val="p"/>
          </m:rPr>
          <m:t>/</m:t>
        </m:r>
        <m:r>
          <m:t>T</m:t>
        </m:r>
      </m:oMath>
      <w:r>
        <w:t xml:space="preserve"> </w:t>
      </w:r>
      <w:r>
        <w:t xml:space="preserve">≈ 5.9 W m⁻².</w:t>
      </w:r>
    </w:p>
    <w:p>
      <w:pPr>
        <w:pStyle w:val="Heading3"/>
      </w:pPr>
      <w:r>
        <w:t xml:space="preserve">57.1.3 Photon energy</w:t>
      </w:r>
    </w:p>
    <w:p>
      <w:pPr>
        <w:pStyle w:val="FirstParagraph"/>
      </w:pPr>
      <w:r>
        <w:rPr>
          <w:bCs/>
          <w:b/>
        </w:rPr>
        <w:t xml:space="preserve">Problem:</w:t>
      </w:r>
      <w:r>
        <w:t xml:space="preserve"> </w:t>
      </w:r>
      <w:r>
        <w:t xml:space="preserve">Compare the energy of a red photon (0.65 µm) and a microwave photon (5.6 cm, C-band).</w:t>
      </w:r>
    </w:p>
    <w:p>
      <w:pPr>
        <w:pStyle w:val="BodyText"/>
      </w:pPr>
      <w:r>
        <w:rPr>
          <w:bCs/>
          <w:b/>
        </w:rPr>
        <w:t xml:space="preserve">Steps:</w:t>
      </w:r>
      <w:r>
        <w:t xml:space="preserve"> </w:t>
      </w:r>
      <m:oMath>
        <m:r>
          <m:t>E</m:t>
        </m:r>
        <m:r>
          <m:rPr>
            <m:sty m:val="p"/>
          </m:rPr>
          <m:t>=</m:t>
        </m:r>
        <m:r>
          <m:t>h</m:t>
        </m:r>
        <m:r>
          <m:t>c</m:t>
        </m:r>
        <m:r>
          <m:rPr>
            <m:sty m:val="p"/>
          </m:rPr>
          <m:t>/</m:t>
        </m:r>
        <m:r>
          <m:t>λ</m:t>
        </m:r>
      </m:oMath>
      <w:r>
        <w:t xml:space="preserve">; hc = 6.626 × 10⁻³⁴ × 3 × 10⁸ = 1.988 × 10⁻²⁵ J m. Red: 1.988 × 10⁻²⁵/0.65 × 10⁻⁶ =</w:t>
      </w:r>
      <w:r>
        <w:t xml:space="preserve"> </w:t>
      </w:r>
      <w:r>
        <w:rPr>
          <w:bCs/>
          <w:b/>
        </w:rPr>
        <w:t xml:space="preserve">3.06 × 10⁻¹⁹ J</w:t>
      </w:r>
      <w:r>
        <w:t xml:space="preserve"> </w:t>
      </w:r>
      <w:r>
        <w:t xml:space="preserve">(≈ 1.9 eV). C-band: 1.988 × 10⁻²⁵/0.056 =</w:t>
      </w:r>
      <w:r>
        <w:t xml:space="preserve"> </w:t>
      </w:r>
      <w:r>
        <w:rPr>
          <w:bCs/>
          <w:b/>
        </w:rPr>
        <w:t xml:space="preserve">3.55 × 10⁻²⁴ J</w:t>
      </w:r>
      <w:r>
        <w:t xml:space="preserve"> </w:t>
      </w:r>
      <w:r>
        <w:t xml:space="preserve">— ~86,000 times weaker, which is why passive microwave signals are weak and need large footprints.</w:t>
      </w:r>
    </w:p>
    <w:p>
      <w:pPr>
        <w:pStyle w:val="Heading3"/>
      </w:pPr>
      <w:r>
        <w:t xml:space="preserve">57.1.4 DN to radiance to reflectance</w:t>
      </w:r>
    </w:p>
    <w:p>
      <w:pPr>
        <w:pStyle w:val="FirstParagraph"/>
      </w:pPr>
      <w:r>
        <w:rPr>
          <w:bCs/>
          <w:b/>
        </w:rPr>
        <w:t xml:space="preserve">Problem:</w:t>
      </w:r>
      <w:r>
        <w:t xml:space="preserve"> </w:t>
      </w:r>
      <w:r>
        <w:t xml:space="preserve">A 10-bit sensor band has gain 0.05 W m⁻² sr⁻¹ µm⁻¹ per DN and offset 0; DN = 600; ESUN = 1550 W m⁻² µm⁻¹; sun elevation 60°; Earth–Sun distance d = 1 AU. Find TOA reflectance.</w:t>
      </w:r>
    </w:p>
    <w:p>
      <w:pPr>
        <w:pStyle w:val="BodyText"/>
      </w:pPr>
      <w:r>
        <w:rPr>
          <w:bCs/>
          <w:b/>
        </w:rPr>
        <w:t xml:space="preserve">Steps:</w:t>
      </w:r>
      <w:r>
        <w:t xml:space="preserve"> </w:t>
      </w:r>
      <m:oMath>
        <m:r>
          <m:t>L</m:t>
        </m:r>
        <m:r>
          <m:rPr>
            <m:sty m:val="p"/>
          </m:rPr>
          <m:t>=</m:t>
        </m:r>
        <m:r>
          <m:t>g</m:t>
        </m:r>
        <m:r>
          <m:t>a</m:t>
        </m:r>
        <m:r>
          <m:t>i</m:t>
        </m:r>
        <m:r>
          <m:t>n</m:t>
        </m:r>
        <m:r>
          <m:rPr>
            <m:sty m:val="p"/>
          </m:rPr>
          <m:t>×</m:t>
        </m:r>
        <m:r>
          <m:t>D</m:t>
        </m:r>
        <m:r>
          <m:t>N</m:t>
        </m:r>
        <m:r>
          <m:rPr>
            <m:sty m:val="p"/>
          </m:rPr>
          <m:t>+</m:t>
        </m:r>
        <m:r>
          <m:t>o</m:t>
        </m:r>
        <m:r>
          <m:t>f</m:t>
        </m:r>
        <m:r>
          <m:t>f</m:t>
        </m:r>
        <m:r>
          <m:t>s</m:t>
        </m:r>
        <m:r>
          <m:t>e</m:t>
        </m:r>
        <m:r>
          <m:t>t</m:t>
        </m:r>
        <m:r>
          <m:rPr>
            <m:sty m:val="p"/>
          </m:rPr>
          <m:t>=</m:t>
        </m:r>
        <m:r>
          <m:t>0.05</m:t>
        </m:r>
        <m:r>
          <m:rPr>
            <m:sty m:val="p"/>
          </m:rPr>
          <m:t>×</m:t>
        </m:r>
        <m:r>
          <m:t>600</m:t>
        </m:r>
        <m:r>
          <m:rPr>
            <m:sty m:val="p"/>
          </m:rPr>
          <m:t>=</m:t>
        </m:r>
        <m:r>
          <m:t>30</m:t>
        </m:r>
      </m:oMath>
      <w:r>
        <w:t xml:space="preserve"> </w:t>
      </w:r>
      <w:r>
        <w:t xml:space="preserve">W m⁻² sr⁻¹ µm⁻¹. Solar zenith θ = 30°, cos θ = 0.866.</w:t>
      </w:r>
    </w:p>
    <w:p>
      <w:pPr>
        <w:pStyle w:val="BodyText"/>
      </w:pPr>
      <m:oMathPara>
        <m:oMathParaPr>
          <m:jc m:val="center"/>
        </m:oMathParaPr>
        <m:oMath>
          <m:sSub>
            <m:e>
              <m:r>
                <m:t>ρ</m:t>
              </m:r>
            </m:e>
            <m:sub>
              <m:r>
                <m:t>T</m:t>
              </m:r>
              <m:r>
                <m:t>O</m:t>
              </m:r>
              <m:r>
                <m:t>A</m:t>
              </m:r>
            </m:sub>
          </m:sSub>
          <m:r>
            <m:rPr>
              <m:sty m:val="p"/>
            </m:rPr>
            <m:t>=</m:t>
          </m:r>
          <m:f>
            <m:fPr>
              <m:type m:val="bar"/>
            </m:fPr>
            <m:num>
              <m:r>
                <m:t>π</m:t>
              </m:r>
              <m:r>
                <m:t>L</m:t>
              </m:r>
              <m:sSup>
                <m:e>
                  <m:r>
                    <m:t>d</m:t>
                  </m:r>
                </m:e>
                <m:sup>
                  <m:r>
                    <m:t>2</m:t>
                  </m:r>
                </m:sup>
              </m:sSup>
            </m:num>
            <m:den>
              <m:r>
                <m:t>E</m:t>
              </m:r>
              <m:r>
                <m:t>S</m:t>
              </m:r>
              <m:r>
                <m:t>U</m:t>
              </m:r>
              <m:r>
                <m:t>N</m:t>
              </m:r>
              <m:r>
                <m:rPr>
                  <m:sty m:val="p"/>
                </m:rPr>
                <m:t>cos</m:t>
              </m:r>
              <m:r>
                <m:t>θ</m:t>
              </m:r>
            </m:den>
          </m:f>
          <m:r>
            <m:rPr>
              <m:sty m:val="p"/>
            </m:rPr>
            <m:t>=</m:t>
          </m:r>
          <m:f>
            <m:fPr>
              <m:type m:val="bar"/>
            </m:fPr>
            <m:num>
              <m:r>
                <m:t>3.1416</m:t>
              </m:r>
              <m:r>
                <m:rPr>
                  <m:sty m:val="p"/>
                </m:rPr>
                <m:t>×</m:t>
              </m:r>
              <m:r>
                <m:t>30</m:t>
              </m:r>
              <m:r>
                <m:rPr>
                  <m:sty m:val="p"/>
                </m:rPr>
                <m:t>×</m:t>
              </m:r>
              <m:r>
                <m:t>1</m:t>
              </m:r>
            </m:num>
            <m:den>
              <m:r>
                <m:t>1550</m:t>
              </m:r>
              <m:r>
                <m:rPr>
                  <m:sty m:val="p"/>
                </m:rPr>
                <m:t>×</m:t>
              </m:r>
              <m:r>
                <m:t>0.866</m:t>
              </m:r>
            </m:den>
          </m:f>
          <m:r>
            <m:rPr>
              <m:sty m:val="p"/>
            </m:rPr>
            <m:t>=</m:t>
          </m:r>
          <m:f>
            <m:fPr>
              <m:type m:val="bar"/>
            </m:fPr>
            <m:num>
              <m:r>
                <m:t>94.25</m:t>
              </m:r>
            </m:num>
            <m:den>
              <m:r>
                <m:t>1342.3</m:t>
              </m:r>
            </m:den>
          </m:f>
          <m:r>
            <m:rPr>
              <m:sty m:val="p"/>
            </m:rPr>
            <m:t>=</m:t>
          </m:r>
          <m:r>
            <m:rPr>
              <m:sty m:val="b"/>
            </m:rPr>
            <m:t>0.070</m:t>
          </m:r>
        </m:oMath>
      </m:oMathPara>
    </w:p>
    <w:p>
      <w:pPr>
        <w:pStyle w:val="Heading3"/>
      </w:pPr>
      <w:r>
        <w:t xml:space="preserve">57.1.5 Brightness temperature from thermal radiance</w:t>
      </w:r>
    </w:p>
    <w:p>
      <w:pPr>
        <w:pStyle w:val="FirstParagraph"/>
      </w:pPr>
      <w:r>
        <w:rPr>
          <w:bCs/>
          <w:b/>
        </w:rPr>
        <w:t xml:space="preserve">Problem:</w:t>
      </w:r>
      <w:r>
        <w:t xml:space="preserve"> </w:t>
      </w:r>
      <w:r>
        <w:t xml:space="preserve">Landsat-8 TIRS band 10 radiance = 10.0 W m⁻² sr⁻¹ µm⁻¹, K1 = 774.89, K2 = 1321.08. Find</w:t>
      </w:r>
      <w:r>
        <w:t xml:space="preserve"> </w:t>
      </w:r>
      <m:oMath>
        <m:sSub>
          <m:e>
            <m:r>
              <m:t>T</m:t>
            </m:r>
          </m:e>
          <m:sub>
            <m:r>
              <m:t>B</m:t>
            </m:r>
          </m:sub>
        </m:sSub>
      </m:oMath>
      <w:r>
        <w:t xml:space="preserve">; then LST with ε = 0.97 (λ = 10.9 µm).</w:t>
      </w:r>
    </w:p>
    <w:p>
      <w:pPr>
        <w:pStyle w:val="BodyText"/>
      </w:pPr>
      <w:r>
        <w:rPr>
          <w:bCs/>
          <w:b/>
        </w:rPr>
        <w:t xml:space="preserve">Steps:</w:t>
      </w:r>
      <w:r>
        <w:t xml:space="preserve"> </w:t>
      </w:r>
      <m:oMath>
        <m:sSub>
          <m:e>
            <m:r>
              <m:t>T</m:t>
            </m:r>
          </m:e>
          <m:sub>
            <m:r>
              <m:t>B</m:t>
            </m:r>
          </m:sub>
        </m:sSub>
        <m:r>
          <m:rPr>
            <m:sty m:val="p"/>
          </m:rPr>
          <m:t>=</m:t>
        </m:r>
        <m:f>
          <m:fPr>
            <m:type m:val="bar"/>
          </m:fPr>
          <m:num>
            <m:sSub>
              <m:e>
                <m:r>
                  <m:t>K</m:t>
                </m:r>
              </m:e>
              <m:sub>
                <m:r>
                  <m:t>2</m:t>
                </m:r>
              </m:sub>
            </m:sSub>
          </m:num>
          <m:den>
            <m:r>
              <m:rPr>
                <m:sty m:val="p"/>
              </m:rPr>
              <m:t>ln</m:t>
            </m:r>
            <m:d>
              <m:dPr>
                <m:begChr m:val="("/>
                <m:endChr m:val=")"/>
                <m:sepChr m:val=""/>
                <m:grow/>
              </m:dPr>
              <m:e>
                <m:sSub>
                  <m:e>
                    <m:r>
                      <m:t>K</m:t>
                    </m:r>
                  </m:e>
                  <m:sub>
                    <m:r>
                      <m:t>1</m:t>
                    </m:r>
                  </m:sub>
                </m:sSub>
                <m:r>
                  <m:rPr>
                    <m:sty m:val="p"/>
                  </m:rPr>
                  <m:t>/</m:t>
                </m:r>
                <m:r>
                  <m:t>L</m:t>
                </m:r>
                <m:r>
                  <m:rPr>
                    <m:sty m:val="p"/>
                  </m:rPr>
                  <m:t>+</m:t>
                </m:r>
                <m:r>
                  <m:t>1</m:t>
                </m:r>
              </m:e>
            </m:d>
          </m:den>
        </m:f>
        <m:r>
          <m:rPr>
            <m:sty m:val="p"/>
          </m:rPr>
          <m:t>=</m:t>
        </m:r>
        <m:f>
          <m:fPr>
            <m:type m:val="bar"/>
          </m:fPr>
          <m:num>
            <m:r>
              <m:t>1321.08</m:t>
            </m:r>
          </m:num>
          <m:den>
            <m:r>
              <m:rPr>
                <m:sty m:val="p"/>
              </m:rPr>
              <m:t>ln</m:t>
            </m:r>
            <m:d>
              <m:dPr>
                <m:begChr m:val="("/>
                <m:endChr m:val=")"/>
                <m:sepChr m:val=""/>
                <m:grow/>
              </m:dPr>
              <m:e>
                <m:r>
                  <m:t>78.489</m:t>
                </m:r>
              </m:e>
            </m:d>
          </m:den>
        </m:f>
        <m:r>
          <m:rPr>
            <m:sty m:val="p"/>
          </m:rPr>
          <m:t>=</m:t>
        </m:r>
        <m:f>
          <m:fPr>
            <m:type m:val="bar"/>
          </m:fPr>
          <m:num>
            <m:r>
              <m:t>1321.08</m:t>
            </m:r>
          </m:num>
          <m:den>
            <m:r>
              <m:t>4.363</m:t>
            </m:r>
          </m:den>
        </m:f>
        <m:r>
          <m:rPr>
            <m:sty m:val="p"/>
          </m:rPr>
          <m:t>=</m:t>
        </m:r>
        <m:r>
          <m:rPr>
            <m:sty m:val="b"/>
          </m:rPr>
          <m:t>302.8</m:t>
        </m:r>
        <m:r>
          <m:rPr>
            <m:sty m:val="b"/>
          </m:rPr>
          <m:t> </m:t>
        </m:r>
        <m:r>
          <m:rPr>
            <m:sty m:val="b"/>
          </m:rPr>
          <m:t>K</m:t>
        </m:r>
      </m:oMath>
      <w:r>
        <w:t xml:space="preserve">.</w:t>
      </w:r>
      <w:r>
        <w:t xml:space="preserve"> </w:t>
      </w:r>
      <w:r>
        <w:t xml:space="preserve">Emissivity correction:</w:t>
      </w:r>
      <w:r>
        <w:t xml:space="preserve"> </w:t>
      </w:r>
      <m:oMath>
        <m:r>
          <m:t>L</m:t>
        </m:r>
        <m:r>
          <m:t>S</m:t>
        </m:r>
        <m:r>
          <m:t>T</m:t>
        </m:r>
        <m:r>
          <m:rPr>
            <m:sty m:val="p"/>
          </m:rPr>
          <m:t>=</m:t>
        </m:r>
        <m:f>
          <m:fPr>
            <m:type m:val="bar"/>
          </m:fPr>
          <m:num>
            <m:sSub>
              <m:e>
                <m:r>
                  <m:t>T</m:t>
                </m:r>
              </m:e>
              <m:sub>
                <m:r>
                  <m:t>B</m:t>
                </m:r>
              </m:sub>
            </m:sSub>
          </m:num>
          <m:den>
            <m:r>
              <m:t>1</m:t>
            </m:r>
            <m:r>
              <m:rPr>
                <m:sty m:val="p"/>
              </m:rPr>
              <m:t>+</m:t>
            </m:r>
            <m:d>
              <m:dPr>
                <m:begChr m:val="("/>
                <m:endChr m:val=")"/>
                <m:sepChr m:val=""/>
                <m:grow/>
              </m:dPr>
              <m:e>
                <m:r>
                  <m:t>λ</m:t>
                </m:r>
                <m:sSub>
                  <m:e>
                    <m:r>
                      <m:t>T</m:t>
                    </m:r>
                  </m:e>
                  <m:sub>
                    <m:r>
                      <m:t>B</m:t>
                    </m:r>
                  </m:sub>
                </m:sSub>
                <m:r>
                  <m:rPr>
                    <m:sty m:val="p"/>
                  </m:rPr>
                  <m:t>/</m:t>
                </m:r>
                <m:r>
                  <m:t>ρ</m:t>
                </m:r>
              </m:e>
            </m:d>
            <m:r>
              <m:rPr>
                <m:sty m:val="p"/>
              </m:rPr>
              <m:t>ln</m:t>
            </m:r>
            <m:r>
              <m:t>ε</m:t>
            </m:r>
          </m:den>
        </m:f>
      </m:oMath>
      <w:r>
        <w:t xml:space="preserve">, ρ = hc/k = 1.438 × 10⁻² m K = 14380 µm K →</w:t>
      </w:r>
      <w:r>
        <w:t xml:space="preserve"> </w:t>
      </w:r>
      <m:oMath>
        <m:r>
          <m:t>λ</m:t>
        </m:r>
        <m:sSub>
          <m:e>
            <m:r>
              <m:t>T</m:t>
            </m:r>
          </m:e>
          <m:sub>
            <m:r>
              <m:t>B</m:t>
            </m:r>
          </m:sub>
        </m:sSub>
        <m:r>
          <m:rPr>
            <m:sty m:val="p"/>
          </m:rPr>
          <m:t>/</m:t>
        </m:r>
        <m:r>
          <m:t>ρ</m:t>
        </m:r>
        <m:r>
          <m:rPr>
            <m:sty m:val="p"/>
          </m:rPr>
          <m:t>=</m:t>
        </m:r>
        <m:r>
          <m:t>10.9</m:t>
        </m:r>
        <m:r>
          <m:rPr>
            <m:sty m:val="p"/>
          </m:rPr>
          <m:t>×</m:t>
        </m:r>
        <m:r>
          <m:t>302.8</m:t>
        </m:r>
        <m:r>
          <m:rPr>
            <m:sty m:val="p"/>
          </m:rPr>
          <m:t>/</m:t>
        </m:r>
        <m:r>
          <m:t>14380</m:t>
        </m:r>
        <m:r>
          <m:rPr>
            <m:sty m:val="p"/>
          </m:rPr>
          <m:t>=</m:t>
        </m:r>
        <m:r>
          <m:t>0.2295</m:t>
        </m:r>
      </m:oMath>
      <w:r>
        <w:t xml:space="preserve">; ln 0.97 = −0.03046 → denominator = 1 − 0.00699 = 0.99301 → LST =</w:t>
      </w:r>
      <w:r>
        <w:t xml:space="preserve"> </w:t>
      </w:r>
      <w:r>
        <w:rPr>
          <w:bCs/>
          <w:b/>
        </w:rPr>
        <w:t xml:space="preserve">304.9 K (31.8 °C)</w:t>
      </w:r>
      <w:r>
        <w:t xml:space="preserve">.</w:t>
      </w:r>
    </w:p>
    <w:p>
      <w:pPr>
        <w:pStyle w:val="Heading3"/>
      </w:pPr>
      <w:r>
        <w:t xml:space="preserve">57.1.6 Spatial resolution and swath</w:t>
      </w:r>
    </w:p>
    <w:p>
      <w:pPr>
        <w:pStyle w:val="FirstParagraph"/>
      </w:pPr>
      <w:r>
        <w:rPr>
          <w:bCs/>
          <w:b/>
        </w:rPr>
        <w:t xml:space="preserve">Problem:</w:t>
      </w:r>
      <w:r>
        <w:t xml:space="preserve"> </w:t>
      </w:r>
      <w:r>
        <w:t xml:space="preserve">A sensor at 817 km altitude has IFOV 30 µrad and total FOV 10°. Find ground resolution and swath.</w:t>
      </w:r>
    </w:p>
    <w:p>
      <w:pPr>
        <w:pStyle w:val="BodyText"/>
      </w:pPr>
      <w:r>
        <w:rPr>
          <w:bCs/>
          <w:b/>
        </w:rPr>
        <w:t xml:space="preserve">Steps:</w:t>
      </w:r>
      <w:r>
        <w:t xml:space="preserve"> </w:t>
      </w:r>
      <w:r>
        <w:t xml:space="preserve">GSD = H × IFOV = 817 × 10³ × 30 × 10⁻⁶ =</w:t>
      </w:r>
      <w:r>
        <w:t xml:space="preserve"> </w:t>
      </w:r>
      <w:r>
        <w:rPr>
          <w:bCs/>
          <w:b/>
        </w:rPr>
        <w:t xml:space="preserve">24.5 m</w:t>
      </w:r>
      <w:r>
        <w:t xml:space="preserve">. Swath = 2H tan(FOV/2) = 2 × 817 × tan 5° = 2 × 817 × 0.0875 =</w:t>
      </w:r>
      <w:r>
        <w:t xml:space="preserve"> </w:t>
      </w:r>
      <w:r>
        <w:rPr>
          <w:bCs/>
          <w:b/>
        </w:rPr>
        <w:t xml:space="preserve">143 km</w:t>
      </w:r>
      <w:r>
        <w:t xml:space="preserve">. (Resourcesat LISS-III: 23.5 m, 141 km.)</w:t>
      </w:r>
    </w:p>
    <w:p>
      <w:pPr>
        <w:pStyle w:val="Heading3"/>
      </w:pPr>
      <w:r>
        <w:t xml:space="preserve">57.1.7 Orbital period</w:t>
      </w:r>
    </w:p>
    <w:p>
      <w:pPr>
        <w:pStyle w:val="FirstParagraph"/>
      </w:pPr>
      <w:r>
        <w:rPr>
          <w:bCs/>
          <w:b/>
        </w:rPr>
        <w:t xml:space="preserve">Problem:</w:t>
      </w:r>
      <w:r>
        <w:t xml:space="preserve"> </w:t>
      </w:r>
      <w:r>
        <w:t xml:space="preserve">Find the period of a satellite at 800 km altitude (R = 6371 km, GM = 3.986 × 10¹⁴ m³ s⁻²).</w:t>
      </w:r>
    </w:p>
    <w:p>
      <w:pPr>
        <w:pStyle w:val="BodyText"/>
      </w:pPr>
      <w:r>
        <w:rPr>
          <w:bCs/>
          <w:b/>
        </w:rPr>
        <w:t xml:space="preserve">Steps:</w:t>
      </w:r>
      <w:r>
        <w:t xml:space="preserve"> </w:t>
      </w:r>
      <m:oMath>
        <m:r>
          <m:t>T</m:t>
        </m:r>
        <m:r>
          <m:rPr>
            <m:sty m:val="p"/>
          </m:rPr>
          <m:t>=</m:t>
        </m:r>
        <m:r>
          <m:t>2</m:t>
        </m:r>
        <m:r>
          <m:t>π</m:t>
        </m:r>
        <m:rad>
          <m:radPr>
            <m:degHide m:val="on"/>
          </m:radPr>
          <m:deg/>
          <m:e>
            <m:f>
              <m:fPr>
                <m:type m:val="bar"/>
              </m:fPr>
              <m:num>
                <m:sSup>
                  <m:e>
                    <m:r>
                      <m:t>r</m:t>
                    </m:r>
                  </m:e>
                  <m:sup>
                    <m:r>
                      <m:t>3</m:t>
                    </m:r>
                  </m:sup>
                </m:sSup>
              </m:num>
              <m:den>
                <m:r>
                  <m:t>G</m:t>
                </m:r>
                <m:r>
                  <m:t>M</m:t>
                </m:r>
              </m:den>
            </m:f>
          </m:e>
        </m:rad>
      </m:oMath>
      <w:r>
        <w:t xml:space="preserve">, r = 7.171 × 10⁶ m; r³ = 3.688 × 10²⁰; r³/GM = 9.252 × 10⁵; √ = 961.9 s; T = 2π × 961.9 =</w:t>
      </w:r>
      <w:r>
        <w:t xml:space="preserve"> </w:t>
      </w:r>
      <w:r>
        <w:rPr>
          <w:bCs/>
          <w:b/>
        </w:rPr>
        <w:t xml:space="preserve">6044 s ≈ 100.7 min</w:t>
      </w:r>
      <w:r>
        <w:t xml:space="preserve"> </w:t>
      </w:r>
      <w:r>
        <w:t xml:space="preserve">(~14.3 orbits/day).</w:t>
      </w:r>
    </w:p>
    <w:p>
      <w:pPr>
        <w:pStyle w:val="Heading3"/>
      </w:pPr>
      <w:r>
        <w:t xml:space="preserve">57.1.8 Radar wavelength and penetration</w:t>
      </w:r>
    </w:p>
    <w:p>
      <w:pPr>
        <w:pStyle w:val="FirstParagraph"/>
      </w:pPr>
      <w:r>
        <w:rPr>
          <w:bCs/>
          <w:b/>
        </w:rPr>
        <w:t xml:space="preserve">Problem:</w:t>
      </w:r>
      <w:r>
        <w:t xml:space="preserve"> </w:t>
      </w:r>
      <w:r>
        <w:t xml:space="preserve">Find the wavelength of an S-band SAR at 3.2 GHz and an L-band SAR at 1.25 GHz (NISAR).</w:t>
      </w:r>
    </w:p>
    <w:p>
      <w:pPr>
        <w:pStyle w:val="BodyText"/>
      </w:pPr>
      <w:r>
        <w:rPr>
          <w:bCs/>
          <w:b/>
        </w:rPr>
        <w:t xml:space="preserve">Steps:</w:t>
      </w:r>
      <w:r>
        <w:t xml:space="preserve"> </w:t>
      </w:r>
      <w:r>
        <w:t xml:space="preserve">λ = c/f. S-band: 3 × 10⁸/3.2 × 10⁹ =</w:t>
      </w:r>
      <w:r>
        <w:t xml:space="preserve"> </w:t>
      </w:r>
      <w:r>
        <w:rPr>
          <w:bCs/>
          <w:b/>
        </w:rPr>
        <w:t xml:space="preserve">9.4 cm</w:t>
      </w:r>
      <w:r>
        <w:t xml:space="preserve">; L-band: 3 × 10⁸/1.25 × 10⁹ =</w:t>
      </w:r>
      <w:r>
        <w:t xml:space="preserve"> </w:t>
      </w:r>
      <w:r>
        <w:rPr>
          <w:bCs/>
          <w:b/>
        </w:rPr>
        <w:t xml:space="preserve">24 cm</w:t>
      </w:r>
      <w:r>
        <w:t xml:space="preserve"> </w:t>
      </w:r>
      <w:r>
        <w:t xml:space="preserve">— longer wavelength penetrates deeper into canopies and dry soils.</w:t>
      </w:r>
    </w:p>
    <w:p>
      <w:pPr>
        <w:pStyle w:val="Heading3"/>
      </w:pPr>
      <w:r>
        <w:t xml:space="preserve">57.1.9 Slant-range resolution</w:t>
      </w:r>
    </w:p>
    <w:p>
      <w:pPr>
        <w:pStyle w:val="FirstParagraph"/>
      </w:pPr>
      <w:r>
        <w:rPr>
          <w:bCs/>
          <w:b/>
        </w:rPr>
        <w:t xml:space="preserve">Problem:</w:t>
      </w:r>
      <w:r>
        <w:t xml:space="preserve"> </w:t>
      </w:r>
      <w:r>
        <w:t xml:space="preserve">A SAR pulse has bandwidth 20 MHz; incidence angle 35°. Find slant- and ground-range resolution.</w:t>
      </w:r>
    </w:p>
    <w:p>
      <w:pPr>
        <w:pStyle w:val="BodyText"/>
      </w:pPr>
      <w:r>
        <w:rPr>
          <w:bCs/>
          <w:b/>
        </w:rPr>
        <w:t xml:space="preserve">Steps:</w:t>
      </w:r>
      <w:r>
        <w:t xml:space="preserve"> </w:t>
      </w:r>
      <m:oMath>
        <m:sSub>
          <m:e>
            <m:r>
              <m:t>δ</m:t>
            </m:r>
          </m:e>
          <m:sub>
            <m:r>
              <m:t>s</m:t>
            </m:r>
            <m:r>
              <m:t>r</m:t>
            </m:r>
          </m:sub>
        </m:sSub>
        <m:r>
          <m:rPr>
            <m:sty m:val="p"/>
          </m:rPr>
          <m:t>=</m:t>
        </m:r>
        <m:f>
          <m:fPr>
            <m:type m:val="bar"/>
          </m:fPr>
          <m:num>
            <m:r>
              <m:t>c</m:t>
            </m:r>
          </m:num>
          <m:den>
            <m:r>
              <m:t>2</m:t>
            </m:r>
            <m:r>
              <m:t>B</m:t>
            </m:r>
          </m:den>
        </m:f>
        <m:r>
          <m:rPr>
            <m:sty m:val="p"/>
          </m:rPr>
          <m:t>=</m:t>
        </m:r>
        <m:f>
          <m:fPr>
            <m:type m:val="bar"/>
          </m:fPr>
          <m:num>
            <m:r>
              <m:t>3</m:t>
            </m:r>
            <m:r>
              <m:rPr>
                <m:sty m:val="p"/>
              </m:rPr>
              <m:t>×</m:t>
            </m:r>
            <m:sSup>
              <m:e>
                <m:r>
                  <m:t>10</m:t>
                </m:r>
              </m:e>
              <m:sup>
                <m:r>
                  <m:t>8</m:t>
                </m:r>
              </m:sup>
            </m:sSup>
          </m:num>
          <m:den>
            <m:r>
              <m:t>4</m:t>
            </m:r>
            <m:r>
              <m:rPr>
                <m:sty m:val="p"/>
              </m:rPr>
              <m:t>×</m:t>
            </m:r>
            <m:sSup>
              <m:e>
                <m:r>
                  <m:t>10</m:t>
                </m:r>
              </m:e>
              <m:sup>
                <m:r>
                  <m:t>7</m:t>
                </m:r>
              </m:sup>
            </m:sSup>
          </m:den>
        </m:f>
        <m:r>
          <m:rPr>
            <m:sty m:val="p"/>
          </m:rPr>
          <m:t>=</m:t>
        </m:r>
        <m:r>
          <m:t>7.5</m:t>
        </m:r>
      </m:oMath>
      <w:r>
        <w:t xml:space="preserve"> </w:t>
      </w:r>
      <w:r>
        <w:t xml:space="preserve">m;</w:t>
      </w:r>
      <w:r>
        <w:t xml:space="preserve"> </w:t>
      </w:r>
      <m:oMath>
        <m:sSub>
          <m:e>
            <m:r>
              <m:t>δ</m:t>
            </m:r>
          </m:e>
          <m:sub>
            <m:r>
              <m:t>g</m:t>
            </m:r>
            <m:r>
              <m:t>r</m:t>
            </m:r>
          </m:sub>
        </m:sSub>
        <m:r>
          <m:rPr>
            <m:sty m:val="p"/>
          </m:rPr>
          <m:t>=</m:t>
        </m:r>
        <m:f>
          <m:fPr>
            <m:type m:val="bar"/>
          </m:fPr>
          <m:num>
            <m:sSub>
              <m:e>
                <m:r>
                  <m:t>δ</m:t>
                </m:r>
              </m:e>
              <m:sub>
                <m:r>
                  <m:t>s</m:t>
                </m:r>
                <m:r>
                  <m:t>r</m:t>
                </m:r>
              </m:sub>
            </m:sSub>
          </m:num>
          <m:den>
            <m:r>
              <m:rPr>
                <m:sty m:val="p"/>
              </m:rPr>
              <m:t>sin</m:t>
            </m:r>
            <m:r>
              <m:t>θ</m:t>
            </m:r>
          </m:den>
        </m:f>
        <m:r>
          <m:rPr>
            <m:sty m:val="p"/>
          </m:rPr>
          <m:t>=</m:t>
        </m:r>
        <m:r>
          <m:t>7.5</m:t>
        </m:r>
        <m:r>
          <m:rPr>
            <m:sty m:val="p"/>
          </m:rPr>
          <m:t>/</m:t>
        </m:r>
        <m:r>
          <m:t>0.574</m:t>
        </m:r>
        <m:r>
          <m:rPr>
            <m:sty m:val="p"/>
          </m:rPr>
          <m:t>=</m:t>
        </m:r>
        <m:r>
          <m:rPr>
            <m:sty m:val="b"/>
          </m:rPr>
          <m:t>13.1</m:t>
        </m:r>
        <m:r>
          <m:rPr>
            <m:sty m:val="b"/>
          </m:rPr>
          <m:t> </m:t>
        </m:r>
        <m:r>
          <m:rPr>
            <m:sty m:val="b"/>
          </m:rPr>
          <m:t>m</m:t>
        </m:r>
      </m:oMath>
      <w:r>
        <w:t xml:space="preserve">. Azimuth resolution of a focused SAR ≈ antenna length/2 (e.g., 12 m antenna → 6 m), independent of range.</w:t>
      </w:r>
    </w:p>
    <w:p>
      <w:pPr>
        <w:pStyle w:val="Heading3"/>
      </w:pPr>
      <w:r>
        <w:t xml:space="preserve">57.1.10 NDVI and related indices</w:t>
      </w:r>
    </w:p>
    <w:p>
      <w:pPr>
        <w:pStyle w:val="FirstParagraph"/>
      </w:pPr>
      <w:r>
        <w:rPr>
          <w:bCs/>
          <w:b/>
        </w:rPr>
        <w:t xml:space="preserve">Problem:</w:t>
      </w:r>
      <w:r>
        <w:t xml:space="preserve"> </w:t>
      </w:r>
      <w:r>
        <w:t xml:space="preserve">Red reflectance 0.06, NIR 0.42, blue 0.04, SWIR 0.18. Compute NDVI, SAVI (L = 0.5), EVI and NDWI (Gao).</w:t>
      </w:r>
    </w:p>
    <w:p>
      <w:pPr>
        <w:pStyle w:val="BodyText"/>
      </w:pPr>
      <w:r>
        <w:rPr>
          <w:bCs/>
          <w:b/>
        </w:rPr>
        <w:t xml:space="preserve">Steps:</w:t>
      </w:r>
      <w:r>
        <w:t xml:space="preserve"> </w:t>
      </w:r>
      <w:r>
        <w:t xml:space="preserve">- NDVI = (0.42 − 0.06)/(0.42 + 0.06) = 0.36/0.48 =</w:t>
      </w:r>
      <w:r>
        <w:t xml:space="preserve"> </w:t>
      </w:r>
      <w:r>
        <w:rPr>
          <w:bCs/>
          <w:b/>
        </w:rPr>
        <w:t xml:space="preserve">0.75</w:t>
      </w:r>
      <w:r>
        <w:t xml:space="preserve">.</w:t>
      </w:r>
      <w:r>
        <w:t xml:space="preserve"> </w:t>
      </w:r>
      <w:r>
        <w:t xml:space="preserve">- SAVI = 1.5 × 0.36/(0.42 + 0.06 + 0.5) = 0.54/0.98 =</w:t>
      </w:r>
      <w:r>
        <w:t xml:space="preserve"> </w:t>
      </w:r>
      <w:r>
        <w:rPr>
          <w:bCs/>
          <w:b/>
        </w:rPr>
        <w:t xml:space="preserve">0.55</w:t>
      </w:r>
      <w:r>
        <w:t xml:space="preserve">.</w:t>
      </w:r>
      <w:r>
        <w:t xml:space="preserve"> </w:t>
      </w:r>
      <w:r>
        <w:t xml:space="preserve">- EVI = 2.5 × 0.36/(0.42 + 6 × 0.06 − 7.5 × 0.04 + 1) = 0.9/(0.42 + 0.36 − 0.30 + 1) = 0.9/1.48 =</w:t>
      </w:r>
      <w:r>
        <w:t xml:space="preserve"> </w:t>
      </w:r>
      <w:r>
        <w:rPr>
          <w:bCs/>
          <w:b/>
        </w:rPr>
        <w:t xml:space="preserve">0.61</w:t>
      </w:r>
      <w:r>
        <w:t xml:space="preserve">.</w:t>
      </w:r>
      <w:r>
        <w:t xml:space="preserve"> </w:t>
      </w:r>
      <w:r>
        <w:t xml:space="preserve">- NDWI = (0.42 − 0.18)/(0.42 + 0.18) = 0.24/0.60 =</w:t>
      </w:r>
      <w:r>
        <w:t xml:space="preserve"> </w:t>
      </w:r>
      <w:r>
        <w:rPr>
          <w:bCs/>
          <w:b/>
        </w:rPr>
        <w:t xml:space="preserve">0.40</w:t>
      </w:r>
      <w:r>
        <w:t xml:space="preserve">.</w:t>
      </w:r>
    </w:p>
    <w:p>
      <w:pPr>
        <w:pStyle w:val="Heading3"/>
      </w:pPr>
      <w:r>
        <w:t xml:space="preserve">57.1.11 Classification accuracy and kappa</w:t>
      </w:r>
    </w:p>
    <w:p>
      <w:pPr>
        <w:pStyle w:val="FirstParagraph"/>
      </w:pPr>
      <w:r>
        <w:rPr>
          <w:bCs/>
          <w:b/>
        </w:rPr>
        <w:t xml:space="preserve">Problem:</w:t>
      </w:r>
      <w:r>
        <w:t xml:space="preserve"> </w:t>
      </w:r>
      <w:r>
        <w:t xml:space="preserve">An error matrix (rows classified, columns reference) for 3 classes: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true"/>
        </w:trPr>
        <w:tc>
          <w:tcPr/>
          <w:p>
            <w:pPr>
              <w:pStyle w:val="Compact"/>
            </w:pPr>
          </w:p>
        </w:tc>
        <w:tc>
          <w:tcPr/>
          <w:p>
            <w:pPr>
              <w:pStyle w:val="Compact"/>
              <w:jc w:val="left"/>
            </w:pPr>
            <w:r>
              <w:t xml:space="preserve">Wheat</w:t>
            </w:r>
          </w:p>
        </w:tc>
        <w:tc>
          <w:tcPr/>
          <w:p>
            <w:pPr>
              <w:pStyle w:val="Compact"/>
              <w:jc w:val="left"/>
            </w:pPr>
            <w:r>
              <w:t xml:space="preserve">Mustard</w:t>
            </w:r>
          </w:p>
        </w:tc>
        <w:tc>
          <w:tcPr/>
          <w:p>
            <w:pPr>
              <w:pStyle w:val="Compact"/>
              <w:jc w:val="left"/>
            </w:pPr>
            <w:r>
              <w:t xml:space="preserve">Others</w:t>
            </w:r>
          </w:p>
        </w:tc>
        <w:tc>
          <w:tcPr/>
          <w:p>
            <w:pPr>
              <w:pStyle w:val="Compact"/>
              <w:jc w:val="left"/>
            </w:pPr>
            <w:r>
              <w:t xml:space="preserve">Row total</w:t>
            </w:r>
          </w:p>
        </w:tc>
      </w:tr>
      <w:tr>
        <w:tc>
          <w:tcPr/>
          <w:p>
            <w:pPr>
              <w:pStyle w:val="Compact"/>
              <w:jc w:val="left"/>
            </w:pPr>
            <w:r>
              <w:t xml:space="preserve">Wheat</w:t>
            </w:r>
          </w:p>
        </w:tc>
        <w:tc>
          <w:tcPr/>
          <w:p>
            <w:pPr>
              <w:pStyle w:val="Compact"/>
              <w:jc w:val="left"/>
            </w:pPr>
            <w:r>
              <w:t xml:space="preserve">45</w:t>
            </w:r>
          </w:p>
        </w:tc>
        <w:tc>
          <w:tcPr/>
          <w:p>
            <w:pPr>
              <w:pStyle w:val="Compact"/>
              <w:jc w:val="left"/>
            </w:pPr>
            <w:r>
              <w:t xml:space="preserve">4</w:t>
            </w:r>
          </w:p>
        </w:tc>
        <w:tc>
          <w:tcPr/>
          <w:p>
            <w:pPr>
              <w:pStyle w:val="Compact"/>
              <w:jc w:val="left"/>
            </w:pPr>
            <w:r>
              <w:t xml:space="preserve">1</w:t>
            </w:r>
          </w:p>
        </w:tc>
        <w:tc>
          <w:tcPr/>
          <w:p>
            <w:pPr>
              <w:pStyle w:val="Compact"/>
              <w:jc w:val="left"/>
            </w:pPr>
            <w:r>
              <w:t xml:space="preserve">50</w:t>
            </w:r>
          </w:p>
        </w:tc>
      </w:tr>
      <w:tr>
        <w:tc>
          <w:tcPr/>
          <w:p>
            <w:pPr>
              <w:pStyle w:val="Compact"/>
              <w:jc w:val="left"/>
            </w:pPr>
            <w:r>
              <w:t xml:space="preserve">Mustard</w:t>
            </w:r>
          </w:p>
        </w:tc>
        <w:tc>
          <w:tcPr/>
          <w:p>
            <w:pPr>
              <w:pStyle w:val="Compact"/>
              <w:jc w:val="left"/>
            </w:pPr>
            <w:r>
              <w:t xml:space="preserve">5</w:t>
            </w:r>
          </w:p>
        </w:tc>
        <w:tc>
          <w:tcPr/>
          <w:p>
            <w:pPr>
              <w:pStyle w:val="Compact"/>
              <w:jc w:val="left"/>
            </w:pPr>
            <w:r>
              <w:t xml:space="preserve">35</w:t>
            </w:r>
          </w:p>
        </w:tc>
        <w:tc>
          <w:tcPr/>
          <w:p>
            <w:pPr>
              <w:pStyle w:val="Compact"/>
              <w:jc w:val="left"/>
            </w:pPr>
            <w:r>
              <w:t xml:space="preserve">0</w:t>
            </w:r>
          </w:p>
        </w:tc>
        <w:tc>
          <w:tcPr/>
          <w:p>
            <w:pPr>
              <w:pStyle w:val="Compact"/>
              <w:jc w:val="left"/>
            </w:pPr>
            <w:r>
              <w:t xml:space="preserve">40</w:t>
            </w:r>
          </w:p>
        </w:tc>
      </w:tr>
      <w:tr>
        <w:tc>
          <w:tcPr/>
          <w:p>
            <w:pPr>
              <w:pStyle w:val="Compact"/>
              <w:jc w:val="left"/>
            </w:pPr>
            <w:r>
              <w:t xml:space="preserve">Others</w:t>
            </w:r>
          </w:p>
        </w:tc>
        <w:tc>
          <w:tcPr/>
          <w:p>
            <w:pPr>
              <w:pStyle w:val="Compact"/>
              <w:jc w:val="left"/>
            </w:pPr>
            <w:r>
              <w:t xml:space="preserve">0</w:t>
            </w:r>
          </w:p>
        </w:tc>
        <w:tc>
          <w:tcPr/>
          <w:p>
            <w:pPr>
              <w:pStyle w:val="Compact"/>
              <w:jc w:val="left"/>
            </w:pPr>
            <w:r>
              <w:t xml:space="preserve">1</w:t>
            </w:r>
          </w:p>
        </w:tc>
        <w:tc>
          <w:tcPr/>
          <w:p>
            <w:pPr>
              <w:pStyle w:val="Compact"/>
              <w:jc w:val="left"/>
            </w:pPr>
            <w:r>
              <w:t xml:space="preserve">9</w:t>
            </w:r>
          </w:p>
        </w:tc>
        <w:tc>
          <w:tcPr/>
          <w:p>
            <w:pPr>
              <w:pStyle w:val="Compact"/>
              <w:jc w:val="left"/>
            </w:pPr>
            <w:r>
              <w:t xml:space="preserve">10</w:t>
            </w:r>
          </w:p>
        </w:tc>
      </w:tr>
      <w:tr>
        <w:tc>
          <w:tcPr/>
          <w:p>
            <w:pPr>
              <w:pStyle w:val="Compact"/>
              <w:jc w:val="left"/>
            </w:pPr>
            <w:r>
              <w:t xml:space="preserve">Column total</w:t>
            </w:r>
          </w:p>
        </w:tc>
        <w:tc>
          <w:tcPr/>
          <w:p>
            <w:pPr>
              <w:pStyle w:val="Compact"/>
              <w:jc w:val="left"/>
            </w:pPr>
            <w:r>
              <w:t xml:space="preserve">50</w:t>
            </w:r>
          </w:p>
        </w:tc>
        <w:tc>
          <w:tcPr/>
          <w:p>
            <w:pPr>
              <w:pStyle w:val="Compact"/>
              <w:jc w:val="left"/>
            </w:pPr>
            <w:r>
              <w:t xml:space="preserve">40</w:t>
            </w:r>
          </w:p>
        </w:tc>
        <w:tc>
          <w:tcPr/>
          <w:p>
            <w:pPr>
              <w:pStyle w:val="Compact"/>
              <w:jc w:val="left"/>
            </w:pPr>
            <w:r>
              <w:t xml:space="preserve">10</w:t>
            </w:r>
          </w:p>
        </w:tc>
        <w:tc>
          <w:tcPr/>
          <w:p>
            <w:pPr>
              <w:pStyle w:val="Compact"/>
              <w:jc w:val="left"/>
            </w:pPr>
            <w:r>
              <w:t xml:space="preserve">100</w:t>
            </w:r>
          </w:p>
        </w:tc>
      </w:tr>
    </w:tbl>
    <w:p>
      <w:pPr>
        <w:pStyle w:val="BodyText"/>
      </w:pPr>
      <w:r>
        <w:rPr>
          <w:bCs/>
          <w:b/>
        </w:rPr>
        <w:t xml:space="preserve">Steps:</w:t>
      </w:r>
      <w:r>
        <w:t xml:space="preserve"> </w:t>
      </w:r>
      <w:r>
        <w:t xml:space="preserve">Overall accuracy = (45 + 35 + 9)/100 =</w:t>
      </w:r>
      <w:r>
        <w:t xml:space="preserve"> </w:t>
      </w:r>
      <w:r>
        <w:rPr>
          <w:bCs/>
          <w:b/>
        </w:rPr>
        <w:t xml:space="preserve">89%</w:t>
      </w:r>
      <w:r>
        <w:t xml:space="preserve">. Producer’s accuracy wheat = 45/50 = 90%; user’s accuracy wheat = 45/50 = 90%; mustard PA = 35/40 = 87.5%, UA = 35/40 = 87.5%; others PA = 9/10, UA = 9/10.</w:t>
      </w:r>
      <w:r>
        <w:t xml:space="preserve"> </w:t>
      </w:r>
      <w:r>
        <w:t xml:space="preserve">Chance agreement</w:t>
      </w:r>
      <w:r>
        <w:t xml:space="preserve"> </w:t>
      </w:r>
      <m:oMath>
        <m:sSub>
          <m:e>
            <m:r>
              <m:t>p</m:t>
            </m:r>
          </m:e>
          <m:sub>
            <m:r>
              <m:t>e</m:t>
            </m:r>
          </m:sub>
        </m:sSub>
        <m:r>
          <m:rPr>
            <m:sty m:val="p"/>
          </m:rPr>
          <m:t>=</m:t>
        </m:r>
        <m:r>
          <m:rPr>
            <m:sty m:val="p"/>
          </m:rPr>
          <m:t>∑</m:t>
        </m:r>
        <m:f>
          <m:fPr>
            <m:type m:val="bar"/>
          </m:fPr>
          <m:num>
            <m:r>
              <m:t>r</m:t>
            </m:r>
            <m:r>
              <m:t>o</m:t>
            </m:r>
            <m:sSub>
              <m:e>
                <m:r>
                  <m:t>w</m:t>
                </m:r>
              </m:e>
              <m:sub>
                <m:r>
                  <m:t>i</m:t>
                </m:r>
              </m:sub>
            </m:sSub>
            <m:r>
              <m:rPr>
                <m:sty m:val="p"/>
              </m:rPr>
              <m:t>×</m:t>
            </m:r>
            <m:r>
              <m:t>c</m:t>
            </m:r>
            <m:r>
              <m:t>o</m:t>
            </m:r>
            <m:sSub>
              <m:e>
                <m:r>
                  <m:t>l</m:t>
                </m:r>
              </m:e>
              <m:sub>
                <m:r>
                  <m:t>i</m:t>
                </m:r>
              </m:sub>
            </m:sSub>
          </m:num>
          <m:den>
            <m:sSup>
              <m:e>
                <m:r>
                  <m:t>N</m:t>
                </m:r>
              </m:e>
              <m:sup>
                <m:r>
                  <m:t>2</m:t>
                </m:r>
              </m:sup>
            </m:sSup>
          </m:den>
        </m:f>
        <m:r>
          <m:rPr>
            <m:sty m:val="p"/>
          </m:rPr>
          <m:t>=</m:t>
        </m:r>
        <m:f>
          <m:fPr>
            <m:type m:val="bar"/>
          </m:fPr>
          <m:num>
            <m:r>
              <m:t>50</m:t>
            </m:r>
            <m:r>
              <m:rPr>
                <m:sty m:val="p"/>
              </m:rPr>
              <m:t>×</m:t>
            </m:r>
            <m:r>
              <m:t>50</m:t>
            </m:r>
            <m:r>
              <m:rPr>
                <m:sty m:val="p"/>
              </m:rPr>
              <m:t>+</m:t>
            </m:r>
            <m:r>
              <m:t>40</m:t>
            </m:r>
            <m:r>
              <m:rPr>
                <m:sty m:val="p"/>
              </m:rPr>
              <m:t>×</m:t>
            </m:r>
            <m:r>
              <m:t>40</m:t>
            </m:r>
            <m:r>
              <m:rPr>
                <m:sty m:val="p"/>
              </m:rPr>
              <m:t>+</m:t>
            </m:r>
            <m:r>
              <m:t>10</m:t>
            </m:r>
            <m:r>
              <m:rPr>
                <m:sty m:val="p"/>
              </m:rPr>
              <m:t>×</m:t>
            </m:r>
            <m:r>
              <m:t>10</m:t>
            </m:r>
          </m:num>
          <m:den>
            <m:r>
              <m:t>10000</m:t>
            </m:r>
          </m:den>
        </m:f>
        <m:r>
          <m:rPr>
            <m:sty m:val="p"/>
          </m:rPr>
          <m:t>=</m:t>
        </m:r>
        <m:f>
          <m:fPr>
            <m:type m:val="bar"/>
          </m:fPr>
          <m:num>
            <m:r>
              <m:t>4200</m:t>
            </m:r>
          </m:num>
          <m:den>
            <m:r>
              <m:t>10000</m:t>
            </m:r>
          </m:den>
        </m:f>
        <m:r>
          <m:rPr>
            <m:sty m:val="p"/>
          </m:rPr>
          <m:t>=</m:t>
        </m:r>
        <m:r>
          <m:t>0.42</m:t>
        </m:r>
      </m:oMath>
      <w:r>
        <w:t xml:space="preserve">.</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r>
            <m:rPr>
              <m:sty m:val="p"/>
            </m:rPr>
            <m:t>=</m:t>
          </m:r>
          <m:f>
            <m:fPr>
              <m:type m:val="bar"/>
            </m:fPr>
            <m:num>
              <m:r>
                <m:t>0.89</m:t>
              </m:r>
              <m:r>
                <m:rPr>
                  <m:sty m:val="p"/>
                </m:rPr>
                <m:t>−</m:t>
              </m:r>
              <m:r>
                <m:t>0.42</m:t>
              </m:r>
            </m:num>
            <m:den>
              <m:r>
                <m:t>0.58</m:t>
              </m:r>
            </m:den>
          </m:f>
          <m:r>
            <m:rPr>
              <m:sty m:val="p"/>
            </m:rPr>
            <m:t>=</m:t>
          </m:r>
          <m:r>
            <m:rPr>
              <m:sty m:val="b"/>
            </m:rPr>
            <m:t>0.81</m:t>
          </m:r>
          <m:r>
            <m:t> </m:t>
          </m:r>
          <m:r>
            <m:rPr>
              <m:nor/>
              <m:sty m:val="p"/>
            </m:rPr>
            <m:t>(strong agreement)</m:t>
          </m:r>
        </m:oMath>
      </m:oMathPara>
    </w:p>
    <w:p>
      <w:pPr>
        <w:pStyle w:val="Heading2"/>
      </w:pPr>
      <w:r>
        <w:t xml:space="preserve">57.2 Agrometeorology and Micrometeorology</w:t>
      </w:r>
    </w:p>
    <w:p>
      <w:pPr>
        <w:pStyle w:val="Heading3"/>
      </w:pPr>
      <w:r>
        <w:t xml:space="preserve">57.2.1 Saturation vapour pressure, VPD and dew point</w:t>
      </w:r>
    </w:p>
    <w:p>
      <w:pPr>
        <w:pStyle w:val="FirstParagraph"/>
      </w:pPr>
      <w:r>
        <w:rPr>
          <w:bCs/>
          <w:b/>
        </w:rPr>
        <w:t xml:space="preserve">Problem:</w:t>
      </w:r>
      <w:r>
        <w:t xml:space="preserve"> </w:t>
      </w:r>
      <w:r>
        <w:t xml:space="preserve">Air temperature 30 °C, RH 50%. Find</w:t>
      </w:r>
      <w:r>
        <w:t xml:space="preserve"> </w:t>
      </w:r>
      <m:oMath>
        <m:sSub>
          <m:e>
            <m:r>
              <m:t>e</m:t>
            </m:r>
          </m:e>
          <m:sub>
            <m:r>
              <m:t>s</m:t>
            </m:r>
          </m:sub>
        </m:sSub>
      </m:oMath>
      <w:r>
        <w:t xml:space="preserve">,</w:t>
      </w:r>
      <w:r>
        <w:t xml:space="preserve"> </w:t>
      </w:r>
      <m:oMath>
        <m:sSub>
          <m:e>
            <m:r>
              <m:t>e</m:t>
            </m:r>
          </m:e>
          <m:sub>
            <m:r>
              <m:t>a</m:t>
            </m:r>
          </m:sub>
        </m:sSub>
      </m:oMath>
      <w:r>
        <w:t xml:space="preserve">, VPD and dew point.</w:t>
      </w:r>
    </w:p>
    <w:p>
      <w:pPr>
        <w:pStyle w:val="BodyText"/>
      </w:pPr>
      <w:r>
        <w:rPr>
          <w:bCs/>
          <w:b/>
        </w:rPr>
        <w:t xml:space="preserve">Steps:</w:t>
      </w:r>
      <w:r>
        <w:t xml:space="preserve"> </w:t>
      </w:r>
      <m:oMath>
        <m:sSub>
          <m:e>
            <m:r>
              <m:t>e</m:t>
            </m:r>
          </m:e>
          <m:sub>
            <m:r>
              <m:t>s</m:t>
            </m:r>
          </m:sub>
        </m:sSub>
        <m:r>
          <m:rPr>
            <m:sty m:val="p"/>
          </m:rPr>
          <m:t>=</m:t>
        </m:r>
        <m:r>
          <m:t>0.6108</m:t>
        </m:r>
        <m:r>
          <m:rPr>
            <m:sty m:val="p"/>
          </m:rPr>
          <m:t>exp</m:t>
        </m:r>
        <m:d>
          <m:dPr>
            <m:begChr m:val="("/>
            <m:endChr m:val=")"/>
            <m:sepChr m:val=""/>
            <m:grow/>
          </m:dPr>
          <m:e>
            <m:f>
              <m:fPr>
                <m:type m:val="bar"/>
              </m:fPr>
              <m:num>
                <m:r>
                  <m:t>17.27</m:t>
                </m:r>
                <m:r>
                  <m:t>T</m:t>
                </m:r>
              </m:num>
              <m:den>
                <m:r>
                  <m:t>T</m:t>
                </m:r>
                <m:r>
                  <m:rPr>
                    <m:sty m:val="p"/>
                  </m:rPr>
                  <m:t>+</m:t>
                </m:r>
                <m:r>
                  <m:t>237.3</m:t>
                </m:r>
              </m:den>
            </m:f>
          </m:e>
        </m:d>
        <m:r>
          <m:rPr>
            <m:sty m:val="p"/>
          </m:rPr>
          <m:t>=</m:t>
        </m:r>
        <m:r>
          <m:t>0.6108</m:t>
        </m:r>
        <m:r>
          <m:rPr>
            <m:sty m:val="p"/>
          </m:rPr>
          <m:t>exp</m:t>
        </m:r>
        <m:d>
          <m:dPr>
            <m:begChr m:val="("/>
            <m:endChr m:val=")"/>
            <m:sepChr m:val=""/>
            <m:grow/>
          </m:dPr>
          <m:e>
            <m:r>
              <m:t>518.1</m:t>
            </m:r>
            <m:r>
              <m:rPr>
                <m:sty m:val="p"/>
              </m:rPr>
              <m:t>/</m:t>
            </m:r>
            <m:r>
              <m:t>267.3</m:t>
            </m:r>
          </m:e>
        </m:d>
        <m:r>
          <m:rPr>
            <m:sty m:val="p"/>
          </m:rPr>
          <m:t>=</m:t>
        </m:r>
        <m:r>
          <m:t>0.6108</m:t>
        </m:r>
        <m:r>
          <m:rPr>
            <m:sty m:val="p"/>
          </m:rPr>
          <m:t>×</m:t>
        </m:r>
        <m:sSup>
          <m:e>
            <m:r>
              <m:t>e</m:t>
            </m:r>
          </m:e>
          <m:sup>
            <m:r>
              <m:t>1.9383</m:t>
            </m:r>
          </m:sup>
        </m:sSup>
        <m:r>
          <m:rPr>
            <m:sty m:val="p"/>
          </m:rPr>
          <m:t>=</m:t>
        </m:r>
        <m:r>
          <m:t>0.6108</m:t>
        </m:r>
        <m:r>
          <m:rPr>
            <m:sty m:val="p"/>
          </m:rPr>
          <m:t>×</m:t>
        </m:r>
        <m:r>
          <m:t>6.947</m:t>
        </m:r>
        <m:r>
          <m:rPr>
            <m:sty m:val="p"/>
          </m:rPr>
          <m:t>=</m:t>
        </m:r>
      </m:oMath>
      <w:r>
        <w:t xml:space="preserve"> </w:t>
      </w:r>
      <w:r>
        <w:rPr>
          <w:bCs/>
          <w:b/>
        </w:rPr>
        <w:t xml:space="preserve">4.24 kPa</w:t>
      </w:r>
      <w:r>
        <w:t xml:space="preserve">.</w:t>
      </w:r>
      <w:r>
        <w:t xml:space="preserve"> </w:t>
      </w:r>
      <m:oMath>
        <m:sSub>
          <m:e>
            <m:r>
              <m:t>e</m:t>
            </m:r>
          </m:e>
          <m:sub>
            <m:r>
              <m:t>a</m:t>
            </m:r>
          </m:sub>
        </m:sSub>
        <m:r>
          <m:rPr>
            <m:sty m:val="p"/>
          </m:rPr>
          <m:t>=</m:t>
        </m:r>
        <m:r>
          <m:t>0.5</m:t>
        </m:r>
        <m:r>
          <m:rPr>
            <m:sty m:val="p"/>
          </m:rPr>
          <m:t>×</m:t>
        </m:r>
        <m:r>
          <m:t>4.24</m:t>
        </m:r>
        <m:r>
          <m:rPr>
            <m:sty m:val="p"/>
          </m:rPr>
          <m:t>=</m:t>
        </m:r>
        <m:r>
          <m:t>2.12</m:t>
        </m:r>
      </m:oMath>
      <w:r>
        <w:t xml:space="preserve"> </w:t>
      </w:r>
      <w:r>
        <w:t xml:space="preserve">kPa;</w:t>
      </w:r>
      <w:r>
        <w:t xml:space="preserve"> </w:t>
      </w:r>
      <w:r>
        <w:rPr>
          <w:bCs/>
          <w:b/>
        </w:rPr>
        <w:t xml:space="preserve">VPD = 2.12 kPa</w:t>
      </w:r>
      <w:r>
        <w:t xml:space="preserve">.</w:t>
      </w:r>
      <w:r>
        <w:t xml:space="preserve"> </w:t>
      </w:r>
      <w:r>
        <w:t xml:space="preserve">Dew point:</w:t>
      </w:r>
      <w:r>
        <w:t xml:space="preserve"> </w:t>
      </w:r>
      <m:oMath>
        <m:sSub>
          <m:e>
            <m:r>
              <m:t>T</m:t>
            </m:r>
          </m:e>
          <m:sub>
            <m:r>
              <m:t>d</m:t>
            </m:r>
          </m:sub>
        </m:sSub>
        <m:r>
          <m:rPr>
            <m:sty m:val="p"/>
          </m:rPr>
          <m:t>=</m:t>
        </m:r>
        <m:f>
          <m:fPr>
            <m:type m:val="bar"/>
          </m:fPr>
          <m:num>
            <m:r>
              <m:t>237.3</m:t>
            </m:r>
            <m:r>
              <m:rPr>
                <m:sty m:val="p"/>
              </m:rPr>
              <m:t>ln</m:t>
            </m:r>
            <m:d>
              <m:dPr>
                <m:begChr m:val="("/>
                <m:endChr m:val=")"/>
                <m:sepChr m:val=""/>
                <m:grow/>
              </m:dPr>
              <m:e>
                <m:sSub>
                  <m:e>
                    <m:r>
                      <m:t>e</m:t>
                    </m:r>
                  </m:e>
                  <m:sub>
                    <m:r>
                      <m:t>a</m:t>
                    </m:r>
                  </m:sub>
                </m:sSub>
                <m:r>
                  <m:rPr>
                    <m:sty m:val="p"/>
                  </m:rPr>
                  <m:t>/</m:t>
                </m:r>
                <m:r>
                  <m:t>0.6108</m:t>
                </m:r>
              </m:e>
            </m:d>
          </m:num>
          <m:den>
            <m:r>
              <m:t>17.27</m:t>
            </m:r>
            <m:r>
              <m:rPr>
                <m:sty m:val="p"/>
              </m:rPr>
              <m:t>−</m:t>
            </m:r>
            <m:r>
              <m:rPr>
                <m:sty m:val="p"/>
              </m:rPr>
              <m:t>ln</m:t>
            </m:r>
            <m:d>
              <m:dPr>
                <m:begChr m:val="("/>
                <m:endChr m:val=")"/>
                <m:sepChr m:val=""/>
                <m:grow/>
              </m:dPr>
              <m:e>
                <m:sSub>
                  <m:e>
                    <m:r>
                      <m:t>e</m:t>
                    </m:r>
                  </m:e>
                  <m:sub>
                    <m:r>
                      <m:t>a</m:t>
                    </m:r>
                  </m:sub>
                </m:sSub>
                <m:r>
                  <m:rPr>
                    <m:sty m:val="p"/>
                  </m:rPr>
                  <m:t>/</m:t>
                </m:r>
                <m:r>
                  <m:t>0.6108</m:t>
                </m:r>
              </m:e>
            </m:d>
          </m:den>
        </m:f>
      </m:oMath>
      <w:r>
        <w:t xml:space="preserve">; ln(2.12/0.6108) = ln 3.471 = 1.2445 →</w:t>
      </w:r>
      <w:r>
        <w:t xml:space="preserve"> </w:t>
      </w:r>
      <m:oMath>
        <m:sSub>
          <m:e>
            <m:r>
              <m:t>T</m:t>
            </m:r>
          </m:e>
          <m:sub>
            <m:r>
              <m:t>d</m:t>
            </m:r>
          </m:sub>
        </m:sSub>
        <m:r>
          <m:rPr>
            <m:sty m:val="p"/>
          </m:rPr>
          <m:t>=</m:t>
        </m:r>
        <m:r>
          <m:t>295.3</m:t>
        </m:r>
        <m:r>
          <m:rPr>
            <m:sty m:val="p"/>
          </m:rPr>
          <m:t>/</m:t>
        </m:r>
        <m:r>
          <m:t>16.03</m:t>
        </m:r>
        <m:r>
          <m:rPr>
            <m:sty m:val="p"/>
          </m:rPr>
          <m:t>=</m:t>
        </m:r>
      </m:oMath>
      <w:r>
        <w:t xml:space="preserve"> </w:t>
      </w:r>
      <w:r>
        <w:rPr>
          <w:bCs/>
          <w:b/>
        </w:rPr>
        <w:t xml:space="preserve">18.4 °C</w:t>
      </w:r>
      <w:r>
        <w:t xml:space="preserve">.</w:t>
      </w:r>
    </w:p>
    <w:p>
      <w:pPr>
        <w:pStyle w:val="Heading3"/>
      </w:pPr>
      <w:r>
        <w:t xml:space="preserve">57.2.2 Slope of the vapour pressure curve and psychrometric constant</w:t>
      </w:r>
    </w:p>
    <w:p>
      <w:pPr>
        <w:pStyle w:val="FirstParagraph"/>
      </w:pPr>
      <w:r>
        <w:rPr>
          <w:bCs/>
          <w:b/>
        </w:rPr>
        <w:t xml:space="preserve">Steps:</w:t>
      </w:r>
      <w:r>
        <w:t xml:space="preserve"> </w:t>
      </w:r>
      <m:oMath>
        <m:r>
          <m:t>Δ</m:t>
        </m:r>
        <m:r>
          <m:rPr>
            <m:sty m:val="p"/>
          </m:rPr>
          <m:t>=</m:t>
        </m:r>
        <m:f>
          <m:fPr>
            <m:type m:val="bar"/>
          </m:fPr>
          <m:num>
            <m:r>
              <m:t>4098</m:t>
            </m:r>
            <m:r>
              <m:t> </m:t>
            </m:r>
            <m:sSub>
              <m:e>
                <m:r>
                  <m:t>e</m:t>
                </m:r>
              </m:e>
              <m:sub>
                <m:r>
                  <m:t>s</m:t>
                </m:r>
              </m:sub>
            </m:sSub>
          </m:num>
          <m:den>
            <m:sSup>
              <m:e>
                <m:d>
                  <m:dPr>
                    <m:begChr m:val="("/>
                    <m:endChr m:val=")"/>
                    <m:sepChr m:val=""/>
                    <m:grow/>
                  </m:dPr>
                  <m:e>
                    <m:r>
                      <m:t>T</m:t>
                    </m:r>
                    <m:r>
                      <m:rPr>
                        <m:sty m:val="p"/>
                      </m:rPr>
                      <m:t>+</m:t>
                    </m:r>
                    <m:r>
                      <m:t>237.3</m:t>
                    </m:r>
                  </m:e>
                </m:d>
              </m:e>
              <m:sup>
                <m:r>
                  <m:t>2</m:t>
                </m:r>
              </m:sup>
            </m:sSup>
          </m:den>
        </m:f>
      </m:oMath>
      <w:r>
        <w:t xml:space="preserve">; at 30 °C: 4098 × 4.24/267.3² = 17375/71449 =</w:t>
      </w:r>
      <w:r>
        <w:t xml:space="preserve"> </w:t>
      </w:r>
      <w:r>
        <w:rPr>
          <w:bCs/>
          <w:b/>
        </w:rPr>
        <w:t xml:space="preserve">0.243 kPa °C⁻¹</w:t>
      </w:r>
      <w:r>
        <w:t xml:space="preserve">.</w:t>
      </w:r>
      <w:r>
        <w:t xml:space="preserve"> </w:t>
      </w:r>
      <m:oMath>
        <m:r>
          <m:t>γ</m:t>
        </m:r>
        <m:r>
          <m:rPr>
            <m:sty m:val="p"/>
          </m:rPr>
          <m:t>=</m:t>
        </m:r>
        <m:r>
          <m:t>0.665</m:t>
        </m:r>
        <m:r>
          <m:rPr>
            <m:sty m:val="p"/>
          </m:rPr>
          <m:t>×</m:t>
        </m:r>
        <m:sSup>
          <m:e>
            <m:r>
              <m:t>10</m:t>
            </m:r>
          </m:e>
          <m:sup>
            <m:r>
              <m:rPr>
                <m:sty m:val="p"/>
              </m:rPr>
              <m:t>−</m:t>
            </m:r>
            <m:r>
              <m:t>3</m:t>
            </m:r>
          </m:sup>
        </m:sSup>
        <m:r>
          <m:t>P</m:t>
        </m:r>
      </m:oMath>
      <w:r>
        <w:t xml:space="preserve">; at P = 101.3 kPa, γ =</w:t>
      </w:r>
      <w:r>
        <w:t xml:space="preserve"> </w:t>
      </w:r>
      <w:r>
        <w:rPr>
          <w:bCs/>
          <w:b/>
        </w:rPr>
        <w:t xml:space="preserve">0.0674 kPa °C⁻¹</w:t>
      </w:r>
      <w:r>
        <w:t xml:space="preserve">.</w:t>
      </w:r>
    </w:p>
    <w:p>
      <w:pPr>
        <w:pStyle w:val="Heading3"/>
      </w:pPr>
      <w:r>
        <w:t xml:space="preserve">57.2.3 Growing degree-days and phenology</w:t>
      </w:r>
    </w:p>
    <w:p>
      <w:pPr>
        <w:pStyle w:val="FirstParagraph"/>
      </w:pPr>
      <w:r>
        <w:rPr>
          <w:bCs/>
          <w:b/>
        </w:rPr>
        <w:t xml:space="preserve">Problem:</w:t>
      </w:r>
      <w:r>
        <w:t xml:space="preserve"> </w:t>
      </w:r>
      <w:r>
        <w:t xml:space="preserve">Wheat (base 5 °C) had daily Tmax/Tmin of 24/8, 26/10, 22/6 °C on three days. Find GDD. If anthesis needs 1100 °C day and 950 °C day have accumulated, how many more days at mean 20 °C?</w:t>
      </w:r>
    </w:p>
    <w:p>
      <w:pPr>
        <w:pStyle w:val="BodyText"/>
      </w:pPr>
      <w:r>
        <w:rPr>
          <w:bCs/>
          <w:b/>
        </w:rPr>
        <w:t xml:space="preserve">Steps:</w:t>
      </w:r>
      <w:r>
        <w:t xml:space="preserve"> </w:t>
      </w:r>
      <w:r>
        <w:t xml:space="preserve">GDD = Σ[(Tmax + Tmin)/2 − Tb] = (16 − 5) + (18 − 5) + (14 − 5) = 11 + 13 + 9 =</w:t>
      </w:r>
      <w:r>
        <w:t xml:space="preserve"> </w:t>
      </w:r>
      <w:r>
        <w:rPr>
          <w:bCs/>
          <w:b/>
        </w:rPr>
        <w:t xml:space="preserve">33 °C day</w:t>
      </w:r>
      <w:r>
        <w:t xml:space="preserve">. Remaining 150 °C day at 15 °C day per day →</w:t>
      </w:r>
      <w:r>
        <w:t xml:space="preserve"> </w:t>
      </w:r>
      <w:r>
        <w:rPr>
          <w:bCs/>
          <w:b/>
        </w:rPr>
        <w:t xml:space="preserve">10 days</w:t>
      </w:r>
      <w:r>
        <w:t xml:space="preserve">.</w:t>
      </w:r>
      <w:r>
        <w:t xml:space="preserve"> </w:t>
      </w:r>
      <w:r>
        <w:rPr>
          <w:bCs/>
          <w:b/>
        </w:rPr>
        <w:t xml:space="preserve">Photothermal units</w:t>
      </w:r>
      <w:r>
        <w:t xml:space="preserve"> </w:t>
      </w:r>
      <w:r>
        <w:t xml:space="preserve">= GDD × day length;</w:t>
      </w:r>
      <w:r>
        <w:t xml:space="preserve"> </w:t>
      </w:r>
      <w:r>
        <w:rPr>
          <w:bCs/>
          <w:b/>
        </w:rPr>
        <w:t xml:space="preserve">heliothermal units</w:t>
      </w:r>
      <w:r>
        <w:t xml:space="preserve"> </w:t>
      </w:r>
      <w:r>
        <w:t xml:space="preserve">= GDD × actual sunshine hours;</w:t>
      </w:r>
      <w:r>
        <w:t xml:space="preserve"> </w:t>
      </w:r>
      <w:r>
        <w:rPr>
          <w:bCs/>
          <w:b/>
        </w:rPr>
        <w:t xml:space="preserve">heat use efficiency</w:t>
      </w:r>
      <w:r>
        <w:t xml:space="preserve"> </w:t>
      </w:r>
      <w:r>
        <w:t xml:space="preserve">= dry matter (or yield)/GDD (kg ha⁻¹ °C⁻¹ day⁻¹).</w:t>
      </w:r>
    </w:p>
    <w:p>
      <w:pPr>
        <w:pStyle w:val="Heading3"/>
      </w:pPr>
      <w:r>
        <w:t xml:space="preserve">57.2.4 Bowen ratio energy balance</w:t>
      </w:r>
    </w:p>
    <w:p>
      <w:pPr>
        <w:pStyle w:val="FirstParagraph"/>
      </w:pPr>
      <w:r>
        <w:rPr>
          <w:bCs/>
          <w:b/>
        </w:rPr>
        <w:t xml:space="preserve">Problem:</w:t>
      </w:r>
      <w:r>
        <w:t xml:space="preserve"> </w:t>
      </w:r>
      <w:r>
        <w:t xml:space="preserve">Rn = 500 W m⁻², G = 50 W m⁻²; gradients over 1 m: ΔT = 0.4 °C, Δe = 0.2 kPa; γ = 0.066 kPa °C⁻¹. Find H, LE and ET.</w:t>
      </w:r>
    </w:p>
    <w:p>
      <w:pPr>
        <w:pStyle w:val="BodyText"/>
      </w:pPr>
      <w:r>
        <w:rPr>
          <w:bCs/>
          <w:b/>
        </w:rPr>
        <w:t xml:space="preserve">Steps:</w:t>
      </w:r>
      <w:r>
        <w:t xml:space="preserve"> </w:t>
      </w:r>
      <m:oMath>
        <m:r>
          <m:t>β</m:t>
        </m:r>
        <m:r>
          <m:rPr>
            <m:sty m:val="p"/>
          </m:rPr>
          <m:t>=</m:t>
        </m:r>
        <m:r>
          <m:t>γ</m:t>
        </m:r>
        <m:f>
          <m:fPr>
            <m:type m:val="bar"/>
          </m:fPr>
          <m:num>
            <m:r>
              <m:t>Δ</m:t>
            </m:r>
            <m:r>
              <m:t>T</m:t>
            </m:r>
          </m:num>
          <m:den>
            <m:r>
              <m:t>Δ</m:t>
            </m:r>
            <m:r>
              <m:t>e</m:t>
            </m:r>
          </m:den>
        </m:f>
        <m:r>
          <m:rPr>
            <m:sty m:val="p"/>
          </m:rPr>
          <m:t>=</m:t>
        </m:r>
        <m:r>
          <m:t>0.066</m:t>
        </m:r>
        <m:r>
          <m:rPr>
            <m:sty m:val="p"/>
          </m:rPr>
          <m:t>×</m:t>
        </m:r>
        <m:r>
          <m:t>0.4</m:t>
        </m:r>
        <m:r>
          <m:rPr>
            <m:sty m:val="p"/>
          </m:rPr>
          <m:t>/</m:t>
        </m:r>
        <m:r>
          <m:t>0.2</m:t>
        </m:r>
        <m:r>
          <m:rPr>
            <m:sty m:val="p"/>
          </m:rPr>
          <m:t>=</m:t>
        </m:r>
        <m:r>
          <m:t>0.132</m:t>
        </m:r>
      </m:oMath>
      <w:r>
        <w:t xml:space="preserve">.</w:t>
      </w:r>
      <w:r>
        <w:t xml:space="preserve"> </w:t>
      </w:r>
      <m:oMath>
        <m:r>
          <m:t>L</m:t>
        </m:r>
        <m:r>
          <m:t>E</m:t>
        </m:r>
        <m:r>
          <m:rPr>
            <m:sty m:val="p"/>
          </m:rPr>
          <m:t>=</m:t>
        </m:r>
        <m:f>
          <m:fPr>
            <m:type m:val="bar"/>
          </m:fPr>
          <m:num>
            <m:sSub>
              <m:e>
                <m:r>
                  <m:t>R</m:t>
                </m:r>
              </m:e>
              <m:sub>
                <m:r>
                  <m:t>n</m:t>
                </m:r>
              </m:sub>
            </m:sSub>
            <m:r>
              <m:rPr>
                <m:sty m:val="p"/>
              </m:rPr>
              <m:t>−</m:t>
            </m:r>
            <m:r>
              <m:t>G</m:t>
            </m:r>
          </m:num>
          <m:den>
            <m:r>
              <m:t>1</m:t>
            </m:r>
            <m:r>
              <m:rPr>
                <m:sty m:val="p"/>
              </m:rPr>
              <m:t>+</m:t>
            </m:r>
            <m:r>
              <m:t>β</m:t>
            </m:r>
          </m:den>
        </m:f>
        <m:r>
          <m:rPr>
            <m:sty m:val="p"/>
          </m:rPr>
          <m:t>=</m:t>
        </m:r>
        <m:r>
          <m:t>450</m:t>
        </m:r>
        <m:r>
          <m:rPr>
            <m:sty m:val="p"/>
          </m:rPr>
          <m:t>/</m:t>
        </m:r>
        <m:r>
          <m:t>1.132</m:t>
        </m:r>
        <m:r>
          <m:rPr>
            <m:sty m:val="p"/>
          </m:rPr>
          <m:t>=</m:t>
        </m:r>
      </m:oMath>
      <w:r>
        <w:t xml:space="preserve"> </w:t>
      </w:r>
      <w:r>
        <w:rPr>
          <w:bCs/>
          <w:b/>
        </w:rPr>
        <w:t xml:space="preserve">397.5 W m⁻²</w:t>
      </w:r>
      <w:r>
        <w:t xml:space="preserve">; H = 450 − 397.5 =</w:t>
      </w:r>
      <w:r>
        <w:t xml:space="preserve"> </w:t>
      </w:r>
      <w:r>
        <w:rPr>
          <w:bCs/>
          <w:b/>
        </w:rPr>
        <w:t xml:space="preserve">52.5 W m⁻²</w:t>
      </w:r>
      <w:r>
        <w:t xml:space="preserve">. ET rate = LE/λ = 397.5/2.45 × 10⁶ = 1.62 × 10⁻⁴ kg m⁻² s⁻¹ =</w:t>
      </w:r>
      <w:r>
        <w:t xml:space="preserve"> </w:t>
      </w:r>
      <w:r>
        <w:rPr>
          <w:bCs/>
          <w:b/>
        </w:rPr>
        <w:t xml:space="preserve">0.58 mm h⁻¹</w:t>
      </w:r>
      <w:r>
        <w:t xml:space="preserve">.</w:t>
      </w:r>
    </w:p>
    <w:p>
      <w:pPr>
        <w:pStyle w:val="Heading3"/>
      </w:pPr>
      <w:r>
        <w:t xml:space="preserve">57.2.5 Evaporative fraction to daily ET</w:t>
      </w:r>
    </w:p>
    <w:p>
      <w:pPr>
        <w:pStyle w:val="FirstParagraph"/>
      </w:pPr>
      <w:r>
        <w:rPr>
          <w:bCs/>
          <w:b/>
        </w:rPr>
        <w:t xml:space="preserve">Problem:</w:t>
      </w:r>
      <w:r>
        <w:t xml:space="preserve"> </w:t>
      </w:r>
      <w:r>
        <w:t xml:space="preserve">At satellite overpass, EF = LE/(Rn − G) = 0.7; daily net radiation 14 MJ m⁻² day⁻¹ (G ≈ 0 daily). Find daily ET.</w:t>
      </w:r>
    </w:p>
    <w:p>
      <w:pPr>
        <w:pStyle w:val="BodyText"/>
      </w:pPr>
      <w:r>
        <w:rPr>
          <w:bCs/>
          <w:b/>
        </w:rPr>
        <w:t xml:space="preserve">Steps:</w:t>
      </w:r>
      <w:r>
        <w:t xml:space="preserve"> </w:t>
      </w:r>
      <w:r>
        <w:t xml:space="preserve">Daily LE = 0.7 × 14 = 9.8 MJ m⁻²; ET = 9.8/2.45 =</w:t>
      </w:r>
      <w:r>
        <w:t xml:space="preserve"> </w:t>
      </w:r>
      <w:r>
        <w:rPr>
          <w:bCs/>
          <w:b/>
        </w:rPr>
        <w:t xml:space="preserve">4.0 mm day⁻¹</w:t>
      </w:r>
      <w:r>
        <w:t xml:space="preserve"> </w:t>
      </w:r>
      <w:r>
        <w:t xml:space="preserve">(assumes EF constant through the day — the key SEBAL/S-SEBI assumption).</w:t>
      </w:r>
    </w:p>
    <w:p>
      <w:pPr>
        <w:pStyle w:val="Heading3"/>
      </w:pPr>
      <w:r>
        <w:t xml:space="preserve">57.2.6 Crop water requirement</w:t>
      </w:r>
    </w:p>
    <w:p>
      <w:pPr>
        <w:pStyle w:val="FirstParagraph"/>
      </w:pPr>
      <w:r>
        <w:rPr>
          <w:bCs/>
          <w:b/>
        </w:rPr>
        <w:t xml:space="preserve">Problem:</w:t>
      </w:r>
      <w:r>
        <w:t xml:space="preserve"> </w:t>
      </w:r>
      <w:r>
        <w:t xml:space="preserve">ET₀ = 5 mm day⁻¹, Kc (mid-season maize) = 1.15, effective rainfall in 10 days = 15 mm. Find crop water requirement and net irrigation for 10 days; gross irrigation at 70% efficiency.</w:t>
      </w:r>
    </w:p>
    <w:p>
      <w:pPr>
        <w:pStyle w:val="BodyText"/>
      </w:pPr>
      <w:r>
        <w:rPr>
          <w:bCs/>
          <w:b/>
        </w:rPr>
        <w:t xml:space="preserve">Steps:</w:t>
      </w:r>
      <w:r>
        <w:t xml:space="preserve"> </w:t>
      </w:r>
      <w:r>
        <w:t xml:space="preserve">ETc = 1.15 × 5 = 5.75 mm day⁻¹ → 57.5 mm per 10 days. Net irrigation = 57.5 − 15 =</w:t>
      </w:r>
      <w:r>
        <w:t xml:space="preserve"> </w:t>
      </w:r>
      <w:r>
        <w:rPr>
          <w:bCs/>
          <w:b/>
        </w:rPr>
        <w:t xml:space="preserve">42.5 mm</w:t>
      </w:r>
      <w:r>
        <w:t xml:space="preserve">; gross = 42.5/0.7 =</w:t>
      </w:r>
      <w:r>
        <w:t xml:space="preserve"> </w:t>
      </w:r>
      <w:r>
        <w:rPr>
          <w:bCs/>
          <w:b/>
        </w:rPr>
        <w:t xml:space="preserve">60.7 mm</w:t>
      </w:r>
      <w:r>
        <w:t xml:space="preserve"> </w:t>
      </w:r>
      <w:r>
        <w:t xml:space="preserve">(= 607 m³ ha⁻¹, since 1 mm over 1 ha = 10 m³).</w:t>
      </w:r>
    </w:p>
    <w:p>
      <w:pPr>
        <w:pStyle w:val="Heading3"/>
      </w:pPr>
      <w:r>
        <w:t xml:space="preserve">57.2.7 Soil moisture and irrigation depth</w:t>
      </w:r>
    </w:p>
    <w:p>
      <w:pPr>
        <w:pStyle w:val="FirstParagraph"/>
      </w:pPr>
      <w:r>
        <w:rPr>
          <w:bCs/>
          <w:b/>
        </w:rPr>
        <w:t xml:space="preserve">Problem:</w:t>
      </w:r>
      <w:r>
        <w:t xml:space="preserve"> </w:t>
      </w:r>
      <w:r>
        <w:t xml:space="preserve">Field capacity 30% (v/v), permanent wilting point 14%, root zone 0.6 m, management allowed depletion 50%. Find total available water, readily available water and the irrigation interval if ETc = 6 mm day⁻¹.</w:t>
      </w:r>
    </w:p>
    <w:p>
      <w:pPr>
        <w:pStyle w:val="BodyText"/>
      </w:pPr>
      <w:r>
        <w:rPr>
          <w:bCs/>
          <w:b/>
        </w:rPr>
        <w:t xml:space="preserve">Steps:</w:t>
      </w:r>
      <w:r>
        <w:t xml:space="preserve"> </w:t>
      </w:r>
      <w:r>
        <w:t xml:space="preserve">TAW = (0.30 − 0.14) × 600 mm =</w:t>
      </w:r>
      <w:r>
        <w:t xml:space="preserve"> </w:t>
      </w:r>
      <w:r>
        <w:rPr>
          <w:bCs/>
          <w:b/>
        </w:rPr>
        <w:t xml:space="preserve">96 mm</w:t>
      </w:r>
      <w:r>
        <w:t xml:space="preserve">; RAW = 0.5 × 96 =</w:t>
      </w:r>
      <w:r>
        <w:t xml:space="preserve"> </w:t>
      </w:r>
      <w:r>
        <w:rPr>
          <w:bCs/>
          <w:b/>
        </w:rPr>
        <w:t xml:space="preserve">48 mm</w:t>
      </w:r>
      <w:r>
        <w:t xml:space="preserve">; interval = 48/6 =</w:t>
      </w:r>
      <w:r>
        <w:t xml:space="preserve"> </w:t>
      </w:r>
      <w:r>
        <w:rPr>
          <w:bCs/>
          <w:b/>
        </w:rPr>
        <w:t xml:space="preserve">8 days</w:t>
      </w:r>
      <w:r>
        <w:t xml:space="preserve">.</w:t>
      </w:r>
      <w:r>
        <w:t xml:space="preserve"> </w:t>
      </w:r>
      <w:r>
        <w:t xml:space="preserve">(If moisture is on mass basis: θv = θm × bulk density/ρw.)</w:t>
      </w:r>
    </w:p>
    <w:p>
      <w:pPr>
        <w:pStyle w:val="Heading3"/>
      </w:pPr>
      <w:r>
        <w:t xml:space="preserve">57.2.8 Bulk density and porosity</w:t>
      </w:r>
    </w:p>
    <w:p>
      <w:pPr>
        <w:pStyle w:val="FirstParagraph"/>
      </w:pPr>
      <w:r>
        <w:rPr>
          <w:bCs/>
          <w:b/>
        </w:rPr>
        <w:t xml:space="preserve">Problem:</w:t>
      </w:r>
      <w:r>
        <w:t xml:space="preserve"> </w:t>
      </w:r>
      <w:r>
        <w:t xml:space="preserve">Core 100 cm³, oven-dry soil 135 g, particle density 2.65 g cm⁻³; wet mass 165 g. Find bulk density, porosity, gravimetric and volumetric moisture, and degree of saturation.</w:t>
      </w:r>
    </w:p>
    <w:p>
      <w:pPr>
        <w:pStyle w:val="BodyText"/>
      </w:pPr>
      <w:r>
        <w:rPr>
          <w:bCs/>
          <w:b/>
        </w:rPr>
        <w:t xml:space="preserve">Steps:</w:t>
      </w:r>
      <w:r>
        <w:t xml:space="preserve"> </w:t>
      </w:r>
      <w:r>
        <w:t xml:space="preserve">ρb = 135/100 =</w:t>
      </w:r>
      <w:r>
        <w:t xml:space="preserve"> </w:t>
      </w:r>
      <w:r>
        <w:rPr>
          <w:bCs/>
          <w:b/>
        </w:rPr>
        <w:t xml:space="preserve">1.35 g cm⁻³</w:t>
      </w:r>
      <w:r>
        <w:t xml:space="preserve">; porosity = 1 − 1.35/2.65 =</w:t>
      </w:r>
      <w:r>
        <w:t xml:space="preserve"> </w:t>
      </w:r>
      <w:r>
        <w:rPr>
          <w:bCs/>
          <w:b/>
        </w:rPr>
        <w:t xml:space="preserve">49.1%</w:t>
      </w:r>
      <w:r>
        <w:t xml:space="preserve">; θm = 30/135 =</w:t>
      </w:r>
      <w:r>
        <w:t xml:space="preserve"> </w:t>
      </w:r>
      <w:r>
        <w:rPr>
          <w:bCs/>
          <w:b/>
        </w:rPr>
        <w:t xml:space="preserve">22.2%</w:t>
      </w:r>
      <w:r>
        <w:t xml:space="preserve">; θv = 0.222 × 1.35 =</w:t>
      </w:r>
      <w:r>
        <w:t xml:space="preserve"> </w:t>
      </w:r>
      <w:r>
        <w:rPr>
          <w:bCs/>
          <w:b/>
        </w:rPr>
        <w:t xml:space="preserve">30%</w:t>
      </w:r>
      <w:r>
        <w:t xml:space="preserve">; saturation = 30/49.1 =</w:t>
      </w:r>
      <w:r>
        <w:t xml:space="preserve"> </w:t>
      </w:r>
      <w:r>
        <w:rPr>
          <w:bCs/>
          <w:b/>
        </w:rPr>
        <w:t xml:space="preserve">61%</w:t>
      </w:r>
      <w:r>
        <w:t xml:space="preserve">.</w:t>
      </w:r>
    </w:p>
    <w:p>
      <w:pPr>
        <w:pStyle w:val="Heading3"/>
      </w:pPr>
      <w:r>
        <w:t xml:space="preserve">57.2.9 Light extinction in a canopy</w:t>
      </w:r>
    </w:p>
    <w:p>
      <w:pPr>
        <w:pStyle w:val="FirstParagraph"/>
      </w:pPr>
      <w:r>
        <w:rPr>
          <w:bCs/>
          <w:b/>
        </w:rPr>
        <w:t xml:space="preserve">Problem:</w:t>
      </w:r>
      <w:r>
        <w:t xml:space="preserve"> </w:t>
      </w:r>
      <w:r>
        <w:t xml:space="preserve">LAI = 4, extinction coefficient k = 0.5, incident PAR 1800 µmol m⁻² s⁻¹. Find PAR at the ground and fraction intercepted.</w:t>
      </w:r>
    </w:p>
    <w:p>
      <w:pPr>
        <w:pStyle w:val="BodyText"/>
      </w:pPr>
      <w:r>
        <w:rPr>
          <w:bCs/>
          <w:b/>
        </w:rPr>
        <w:t xml:space="preserve">Steps:</w:t>
      </w:r>
      <w:r>
        <w:t xml:space="preserve"> </w:t>
      </w:r>
      <m:oMath>
        <m:r>
          <m:t>I</m:t>
        </m:r>
        <m:r>
          <m:rPr>
            <m:sty m:val="p"/>
          </m:rPr>
          <m:t>=</m:t>
        </m:r>
        <m:sSub>
          <m:e>
            <m:r>
              <m:t>I</m:t>
            </m:r>
          </m:e>
          <m:sub>
            <m:r>
              <m:t>0</m:t>
            </m:r>
          </m:sub>
        </m:sSub>
        <m:sSup>
          <m:e>
            <m:r>
              <m:t>e</m:t>
            </m:r>
          </m:e>
          <m:sup>
            <m:r>
              <m:rPr>
                <m:sty m:val="p"/>
              </m:rPr>
              <m:t>−</m:t>
            </m:r>
            <m:r>
              <m:t>k</m:t>
            </m:r>
            <m:r>
              <m:t>L</m:t>
            </m:r>
          </m:sup>
        </m:sSup>
        <m:r>
          <m:rPr>
            <m:sty m:val="p"/>
          </m:rPr>
          <m:t>=</m:t>
        </m:r>
        <m:r>
          <m:t>1800</m:t>
        </m:r>
        <m:r>
          <m:rPr>
            <m:sty m:val="p"/>
          </m:rPr>
          <m:t>×</m:t>
        </m:r>
        <m:sSup>
          <m:e>
            <m:r>
              <m:t>e</m:t>
            </m:r>
          </m:e>
          <m:sup>
            <m:r>
              <m:rPr>
                <m:sty m:val="p"/>
              </m:rPr>
              <m:t>−</m:t>
            </m:r>
            <m:r>
              <m:t>2</m:t>
            </m:r>
          </m:sup>
        </m:sSup>
        <m:r>
          <m:rPr>
            <m:sty m:val="p"/>
          </m:rPr>
          <m:t>=</m:t>
        </m:r>
        <m:r>
          <m:t>1800</m:t>
        </m:r>
        <m:r>
          <m:rPr>
            <m:sty m:val="p"/>
          </m:rPr>
          <m:t>×</m:t>
        </m:r>
        <m:r>
          <m:t>0.1353</m:t>
        </m:r>
        <m:r>
          <m:rPr>
            <m:sty m:val="p"/>
          </m:rPr>
          <m:t>=</m:t>
        </m:r>
      </m:oMath>
      <w:r>
        <w:t xml:space="preserve"> </w:t>
      </w:r>
      <w:r>
        <w:rPr>
          <w:bCs/>
          <w:b/>
        </w:rPr>
        <w:t xml:space="preserve">244 µmol m⁻² s⁻¹</w:t>
      </w:r>
      <w:r>
        <w:t xml:space="preserve">; fraction intercepted = 1 − 0.135 =</w:t>
      </w:r>
      <w:r>
        <w:t xml:space="preserve"> </w:t>
      </w:r>
      <w:r>
        <w:rPr>
          <w:bCs/>
          <w:b/>
        </w:rPr>
        <w:t xml:space="preserve">86.5%</w:t>
      </w:r>
      <w:r>
        <w:t xml:space="preserve">.</w:t>
      </w:r>
    </w:p>
    <w:p>
      <w:pPr>
        <w:pStyle w:val="Heading3"/>
      </w:pPr>
      <w:r>
        <w:t xml:space="preserve">57.2.10 Light-use efficiency biomass</w:t>
      </w:r>
    </w:p>
    <w:p>
      <w:pPr>
        <w:pStyle w:val="FirstParagraph"/>
      </w:pPr>
      <w:r>
        <w:rPr>
          <w:bCs/>
          <w:b/>
        </w:rPr>
        <w:t xml:space="preserve">Problem:</w:t>
      </w:r>
      <w:r>
        <w:t xml:space="preserve"> </w:t>
      </w:r>
      <w:r>
        <w:t xml:space="preserve">Season-total incident solar radiation = 2400 MJ m⁻², PAR fraction 0.48, mean fAPAR 0.6, RUE = 2.5 g MJ⁻¹ APAR, harvest index 0.42. Estimate biomass and grain yield.</w:t>
      </w:r>
    </w:p>
    <w:p>
      <w:pPr>
        <w:pStyle w:val="BodyText"/>
      </w:pPr>
      <w:r>
        <w:rPr>
          <w:bCs/>
          <w:b/>
        </w:rPr>
        <w:t xml:space="preserve">Steps:</w:t>
      </w:r>
      <w:r>
        <w:t xml:space="preserve"> </w:t>
      </w:r>
      <w:r>
        <w:t xml:space="preserve">APAR = 2400 × 0.48 × 0.6 = 691.2 MJ m⁻²; biomass = 2.5 × 691.2 = 1728 g m⁻² =</w:t>
      </w:r>
      <w:r>
        <w:t xml:space="preserve"> </w:t>
      </w:r>
      <w:r>
        <w:rPr>
          <w:bCs/>
          <w:b/>
        </w:rPr>
        <w:t xml:space="preserve">17.3 t ha⁻¹</w:t>
      </w:r>
      <w:r>
        <w:t xml:space="preserve">; grain = 0.42 × 17.3 =</w:t>
      </w:r>
      <w:r>
        <w:t xml:space="preserve"> </w:t>
      </w:r>
      <w:r>
        <w:rPr>
          <w:bCs/>
          <w:b/>
        </w:rPr>
        <w:t xml:space="preserve">7.3 t ha⁻¹</w:t>
      </w:r>
      <w:r>
        <w:t xml:space="preserve">.</w:t>
      </w:r>
    </w:p>
    <w:p>
      <w:pPr>
        <w:pStyle w:val="Heading3"/>
      </w:pPr>
      <w:r>
        <w:t xml:space="preserve">57.2.11 Logarithmic wind profile</w:t>
      </w:r>
    </w:p>
    <w:p>
      <w:pPr>
        <w:pStyle w:val="FirstParagraph"/>
      </w:pPr>
      <w:r>
        <w:rPr>
          <w:bCs/>
          <w:b/>
        </w:rPr>
        <w:t xml:space="preserve">Problem:</w:t>
      </w:r>
      <w:r>
        <w:t xml:space="preserve"> </w:t>
      </w:r>
      <w:r>
        <w:t xml:space="preserve">Crop height 1.5 m; d = 2/3 h = 1.0 m; z₀ = 0.13h ≈ 0.195 m; wind at 4 m = 3 m s⁻¹. Find u* and wind at 2.5 m (neutral).</w:t>
      </w:r>
    </w:p>
    <w:p>
      <w:pPr>
        <w:pStyle w:val="BodyText"/>
      </w:pPr>
      <w:r>
        <w:rPr>
          <w:bCs/>
          <w:b/>
        </w:rPr>
        <w:t xml:space="preserve">Steps:</w:t>
      </w:r>
      <w:r>
        <w:t xml:space="preserve"> </w:t>
      </w:r>
      <m:oMath>
        <m:r>
          <m:t>u</m:t>
        </m:r>
        <m:d>
          <m:dPr>
            <m:begChr m:val="("/>
            <m:endChr m:val=")"/>
            <m:sepChr m:val=""/>
            <m:grow/>
          </m:dPr>
          <m:e>
            <m:r>
              <m:t>z</m:t>
            </m:r>
          </m:e>
        </m:d>
        <m:r>
          <m:rPr>
            <m:sty m:val="p"/>
          </m:rPr>
          <m:t>=</m:t>
        </m:r>
        <m:f>
          <m:fPr>
            <m:type m:val="bar"/>
          </m:fPr>
          <m:num>
            <m:sSub>
              <m:e>
                <m:r>
                  <m:t>u</m:t>
                </m:r>
              </m:e>
              <m:sub>
                <m:r>
                  <m:rPr>
                    <m:sty m:val="p"/>
                  </m:rPr>
                  <m:t>*</m:t>
                </m:r>
              </m:sub>
            </m:sSub>
          </m:num>
          <m:den>
            <m:r>
              <m:t>k</m:t>
            </m:r>
          </m:den>
        </m:f>
        <m:r>
          <m:rPr>
            <m:sty m:val="p"/>
          </m:rPr>
          <m:t>ln</m:t>
        </m:r>
        <m:f>
          <m:fPr>
            <m:type m:val="bar"/>
          </m:fPr>
          <m:num>
            <m:r>
              <m:t>z</m:t>
            </m:r>
            <m:r>
              <m:rPr>
                <m:sty m:val="p"/>
              </m:rPr>
              <m:t>−</m:t>
            </m:r>
            <m:r>
              <m:t>d</m:t>
            </m:r>
          </m:num>
          <m:den>
            <m:sSub>
              <m:e>
                <m:r>
                  <m:t>z</m:t>
                </m:r>
              </m:e>
              <m:sub>
                <m:r>
                  <m:t>0</m:t>
                </m:r>
              </m:sub>
            </m:sSub>
          </m:den>
        </m:f>
      </m:oMath>
      <w:r>
        <w:t xml:space="preserve">. At 4 m: ln(3/0.195) = ln 15.38 = 2.733 → u* = 3 × 0.41/2.733 =</w:t>
      </w:r>
      <w:r>
        <w:t xml:space="preserve"> </w:t>
      </w:r>
      <w:r>
        <w:rPr>
          <w:bCs/>
          <w:b/>
        </w:rPr>
        <w:t xml:space="preserve">0.45 m s⁻¹</w:t>
      </w:r>
      <w:r>
        <w:t xml:space="preserve">. At 2.5 m: u = (0.45/0.41) × ln(1.5/0.195) = 1.098 × 2.040 =</w:t>
      </w:r>
      <w:r>
        <w:t xml:space="preserve"> </w:t>
      </w:r>
      <w:r>
        <w:rPr>
          <w:bCs/>
          <w:b/>
        </w:rPr>
        <w:t xml:space="preserve">2.24 m s⁻¹</w:t>
      </w:r>
      <w:r>
        <w:t xml:space="preserve">.</w:t>
      </w:r>
    </w:p>
    <w:p>
      <w:pPr>
        <w:pStyle w:val="Heading3"/>
      </w:pPr>
      <w:r>
        <w:t xml:space="preserve">57.2.12 Aerodynamic resistance</w:t>
      </w:r>
    </w:p>
    <w:p>
      <w:pPr>
        <w:pStyle w:val="FirstParagraph"/>
      </w:pPr>
      <w:r>
        <w:rPr>
          <w:bCs/>
          <w:b/>
        </w:rPr>
        <w:t xml:space="preserve">Steps (FAO-56 form):</w:t>
      </w:r>
      <w:r>
        <w:t xml:space="preserve"> </w:t>
      </w:r>
      <m:oMath>
        <m:sSub>
          <m:e>
            <m:r>
              <m:t>r</m:t>
            </m:r>
          </m:e>
          <m:sub>
            <m:r>
              <m:t>a</m:t>
            </m:r>
          </m:sub>
        </m:sSub>
        <m:r>
          <m:rPr>
            <m:sty m:val="p"/>
          </m:rPr>
          <m:t>=</m:t>
        </m:r>
        <m:f>
          <m:fPr>
            <m:type m:val="bar"/>
          </m:fPr>
          <m:num>
            <m:r>
              <m:rPr>
                <m:sty m:val="p"/>
              </m:rPr>
              <m:t>ln</m:t>
            </m:r>
            <m:d>
              <m:dPr>
                <m:begChr m:val="("/>
                <m:endChr m:val=")"/>
                <m:sepChr m:val=""/>
                <m:grow/>
              </m:dPr>
              <m:e>
                <m:f>
                  <m:fPr>
                    <m:type m:val="bar"/>
                  </m:fPr>
                  <m:num>
                    <m:sSub>
                      <m:e>
                        <m:r>
                          <m:t>z</m:t>
                        </m:r>
                      </m:e>
                      <m:sub>
                        <m:r>
                          <m:t>m</m:t>
                        </m:r>
                      </m:sub>
                    </m:sSub>
                    <m:r>
                      <m:rPr>
                        <m:sty m:val="p"/>
                      </m:rPr>
                      <m:t>−</m:t>
                    </m:r>
                    <m:r>
                      <m:t>d</m:t>
                    </m:r>
                  </m:num>
                  <m:den>
                    <m:sSub>
                      <m:e>
                        <m:r>
                          <m:t>z</m:t>
                        </m:r>
                      </m:e>
                      <m:sub>
                        <m:r>
                          <m:t>o</m:t>
                        </m:r>
                        <m:r>
                          <m:t>m</m:t>
                        </m:r>
                      </m:sub>
                    </m:sSub>
                  </m:den>
                </m:f>
              </m:e>
            </m:d>
            <m:r>
              <m:rPr>
                <m:sty m:val="p"/>
              </m:rPr>
              <m:t>ln</m:t>
            </m:r>
            <m:d>
              <m:dPr>
                <m:begChr m:val="("/>
                <m:endChr m:val=")"/>
                <m:sepChr m:val=""/>
                <m:grow/>
              </m:dPr>
              <m:e>
                <m:f>
                  <m:fPr>
                    <m:type m:val="bar"/>
                  </m:fPr>
                  <m:num>
                    <m:sSub>
                      <m:e>
                        <m:r>
                          <m:t>z</m:t>
                        </m:r>
                      </m:e>
                      <m:sub>
                        <m:r>
                          <m:t>h</m:t>
                        </m:r>
                      </m:sub>
                    </m:sSub>
                    <m:r>
                      <m:rPr>
                        <m:sty m:val="p"/>
                      </m:rPr>
                      <m:t>−</m:t>
                    </m:r>
                    <m:r>
                      <m:t>d</m:t>
                    </m:r>
                  </m:num>
                  <m:den>
                    <m:sSub>
                      <m:e>
                        <m:r>
                          <m:t>z</m:t>
                        </m:r>
                      </m:e>
                      <m:sub>
                        <m:r>
                          <m:t>o</m:t>
                        </m:r>
                        <m:r>
                          <m:t>h</m:t>
                        </m:r>
                      </m:sub>
                    </m:sSub>
                  </m:den>
                </m:f>
              </m:e>
            </m:d>
          </m:num>
          <m:den>
            <m:sSup>
              <m:e>
                <m:r>
                  <m:t>k</m:t>
                </m:r>
              </m:e>
              <m:sup>
                <m:r>
                  <m:t>2</m:t>
                </m:r>
              </m:sup>
            </m:sSup>
            <m:sSub>
              <m:e>
                <m:r>
                  <m:t>u</m:t>
                </m:r>
              </m:e>
              <m:sub>
                <m:r>
                  <m:t>z</m:t>
                </m:r>
              </m:sub>
            </m:sSub>
          </m:den>
        </m:f>
      </m:oMath>
      <w:r>
        <w:t xml:space="preserve">. For grass (h = 0.12 m, measurements at 2 m), this simplifies to</w:t>
      </w:r>
      <w:r>
        <w:t xml:space="preserve"> </w:t>
      </w:r>
      <m:oMath>
        <m:sSub>
          <m:e>
            <m:r>
              <m:t>r</m:t>
            </m:r>
          </m:e>
          <m:sub>
            <m:r>
              <m:t>a</m:t>
            </m:r>
          </m:sub>
        </m:sSub>
        <m:r>
          <m:rPr>
            <m:sty m:val="p"/>
          </m:rPr>
          <m:t>=</m:t>
        </m:r>
        <m:r>
          <m:t>208</m:t>
        </m:r>
        <m:r>
          <m:rPr>
            <m:sty m:val="p"/>
          </m:rPr>
          <m:t>/</m:t>
        </m:r>
        <m:sSub>
          <m:e>
            <m:r>
              <m:t>u</m:t>
            </m:r>
          </m:e>
          <m:sub>
            <m:r>
              <m:t>2</m:t>
            </m:r>
          </m:sub>
        </m:sSub>
      </m:oMath>
      <w:r>
        <w:t xml:space="preserve"> </w:t>
      </w:r>
      <w:r>
        <w:t xml:space="preserve">s m⁻¹ — at u₂ = 2 m s⁻¹,</w:t>
      </w:r>
      <w:r>
        <w:t xml:space="preserve"> </w:t>
      </w:r>
      <w:r>
        <w:rPr>
          <w:bCs/>
          <w:b/>
        </w:rPr>
        <w:t xml:space="preserve">r_a = 104 s m⁻¹</w:t>
      </w:r>
      <w:r>
        <w:t xml:space="preserve">.</w:t>
      </w:r>
    </w:p>
    <w:p>
      <w:pPr>
        <w:pStyle w:val="Heading3"/>
      </w:pPr>
      <w:r>
        <w:t xml:space="preserve">57.2.13 Eddy-covariance flux</w:t>
      </w:r>
    </w:p>
    <w:p>
      <w:pPr>
        <w:pStyle w:val="FirstParagraph"/>
      </w:pPr>
      <w:r>
        <w:rPr>
          <w:bCs/>
          <w:b/>
        </w:rPr>
        <w:t xml:space="preserve">Problem:</w:t>
      </w:r>
      <w:r>
        <w:t xml:space="preserve"> </w:t>
      </w:r>
      <w:r>
        <w:t xml:space="preserve">Over 30 min, the covariance</w:t>
      </w:r>
      <w:r>
        <w:t xml:space="preserve"> </w:t>
      </w:r>
      <m:oMath>
        <m:bar>
          <m:barPr>
            <m:pos m:val="top"/>
          </m:barPr>
          <m:e>
            <m:r>
              <m:t>w</m:t>
            </m:r>
            <m:r>
              <m:rPr>
                <m:sty m:val="p"/>
              </m:rPr>
              <m:t>′</m:t>
            </m:r>
            <m:r>
              <m:t>T</m:t>
            </m:r>
            <m:r>
              <m:rPr>
                <m:sty m:val="p"/>
              </m:rPr>
              <m:t>′</m:t>
            </m:r>
          </m:e>
        </m:bar>
      </m:oMath>
      <w:r>
        <w:t xml:space="preserve"> </w:t>
      </w:r>
      <w:r>
        <w:t xml:space="preserve">= 0.15 K m s⁻¹; air density 1.2 kg m⁻³; cp = 1005 J kg⁻¹ K⁻¹. Also</w:t>
      </w:r>
      <w:r>
        <w:t xml:space="preserve"> </w:t>
      </w:r>
      <m:oMath>
        <m:bar>
          <m:barPr>
            <m:pos m:val="top"/>
          </m:barPr>
          <m:e>
            <m:r>
              <m:t>w</m:t>
            </m:r>
            <m:r>
              <m:rPr>
                <m:sty m:val="p"/>
              </m:rPr>
              <m:t>′</m:t>
            </m:r>
            <m:r>
              <m:t>q</m:t>
            </m:r>
            <m:r>
              <m:rPr>
                <m:sty m:val="p"/>
              </m:rPr>
              <m:t>′</m:t>
            </m:r>
          </m:e>
        </m:bar>
      </m:oMath>
      <w:r>
        <w:t xml:space="preserve"> </w:t>
      </w:r>
      <w:r>
        <w:t xml:space="preserve">= 0.08 g kg⁻¹ m s⁻¹. Find H and LE.</w:t>
      </w:r>
    </w:p>
    <w:p>
      <w:pPr>
        <w:pStyle w:val="BodyText"/>
      </w:pPr>
      <w:r>
        <w:rPr>
          <w:bCs/>
          <w:b/>
        </w:rPr>
        <w:t xml:space="preserve">Steps:</w:t>
      </w:r>
      <w:r>
        <w:t xml:space="preserve"> </w:t>
      </w:r>
      <m:oMath>
        <m:r>
          <m:t>H</m:t>
        </m:r>
        <m:r>
          <m:rPr>
            <m:sty m:val="p"/>
          </m:rPr>
          <m:t>=</m:t>
        </m:r>
        <m:r>
          <m:t>ρ</m:t>
        </m:r>
        <m:sSub>
          <m:e>
            <m:r>
              <m:t>c</m:t>
            </m:r>
          </m:e>
          <m:sub>
            <m:r>
              <m:t>p</m:t>
            </m:r>
          </m:sub>
        </m:sSub>
        <m:bar>
          <m:barPr>
            <m:pos m:val="top"/>
          </m:barPr>
          <m:e>
            <m:r>
              <m:t>w</m:t>
            </m:r>
            <m:r>
              <m:rPr>
                <m:sty m:val="p"/>
              </m:rPr>
              <m:t>′</m:t>
            </m:r>
            <m:r>
              <m:t>T</m:t>
            </m:r>
            <m:r>
              <m:rPr>
                <m:sty m:val="p"/>
              </m:rPr>
              <m:t>′</m:t>
            </m:r>
          </m:e>
        </m:bar>
        <m:r>
          <m:rPr>
            <m:sty m:val="p"/>
          </m:rPr>
          <m:t>=</m:t>
        </m:r>
        <m:r>
          <m:t>1.2</m:t>
        </m:r>
        <m:r>
          <m:rPr>
            <m:sty m:val="p"/>
          </m:rPr>
          <m:t>×</m:t>
        </m:r>
        <m:r>
          <m:t>1005</m:t>
        </m:r>
        <m:r>
          <m:rPr>
            <m:sty m:val="p"/>
          </m:rPr>
          <m:t>×</m:t>
        </m:r>
        <m:r>
          <m:t>0.15</m:t>
        </m:r>
        <m:r>
          <m:rPr>
            <m:sty m:val="p"/>
          </m:rPr>
          <m:t>=</m:t>
        </m:r>
      </m:oMath>
      <w:r>
        <w:t xml:space="preserve"> </w:t>
      </w:r>
      <w:r>
        <w:rPr>
          <w:bCs/>
          <w:b/>
        </w:rPr>
        <w:t xml:space="preserve">181 W m⁻²</w:t>
      </w:r>
      <w:r>
        <w:t xml:space="preserve">.</w:t>
      </w:r>
      <w:r>
        <w:t xml:space="preserve"> </w:t>
      </w:r>
      <m:oMath>
        <m:r>
          <m:t>L</m:t>
        </m:r>
        <m:r>
          <m:t>E</m:t>
        </m:r>
        <m:r>
          <m:rPr>
            <m:sty m:val="p"/>
          </m:rPr>
          <m:t>=</m:t>
        </m:r>
        <m:r>
          <m:t>ρ</m:t>
        </m:r>
        <m:r>
          <m:t>λ</m:t>
        </m:r>
        <m:bar>
          <m:barPr>
            <m:pos m:val="top"/>
          </m:barPr>
          <m:e>
            <m:r>
              <m:t>w</m:t>
            </m:r>
            <m:r>
              <m:rPr>
                <m:sty m:val="p"/>
              </m:rPr>
              <m:t>′</m:t>
            </m:r>
            <m:r>
              <m:t>q</m:t>
            </m:r>
            <m:r>
              <m:rPr>
                <m:sty m:val="p"/>
              </m:rPr>
              <m:t>′</m:t>
            </m:r>
          </m:e>
        </m:bar>
        <m:r>
          <m:rPr>
            <m:sty m:val="p"/>
          </m:rPr>
          <m:t>=</m:t>
        </m:r>
        <m:r>
          <m:t>1.2</m:t>
        </m:r>
        <m:r>
          <m:rPr>
            <m:sty m:val="p"/>
          </m:rPr>
          <m:t>×</m:t>
        </m:r>
        <m:r>
          <m:t>2.45</m:t>
        </m:r>
        <m:r>
          <m:rPr>
            <m:sty m:val="p"/>
          </m:rPr>
          <m:t>×</m:t>
        </m:r>
        <m:sSup>
          <m:e>
            <m:r>
              <m:t>10</m:t>
            </m:r>
          </m:e>
          <m:sup>
            <m:r>
              <m:t>6</m:t>
            </m:r>
          </m:sup>
        </m:sSup>
        <m:r>
          <m:rPr>
            <m:sty m:val="p"/>
          </m:rPr>
          <m:t>×</m:t>
        </m:r>
        <m:r>
          <m:t>0.08</m:t>
        </m:r>
        <m:r>
          <m:rPr>
            <m:sty m:val="p"/>
          </m:rPr>
          <m:t>×</m:t>
        </m:r>
        <m:sSup>
          <m:e>
            <m:r>
              <m:t>10</m:t>
            </m:r>
          </m:e>
          <m:sup>
            <m:r>
              <m:rPr>
                <m:sty m:val="p"/>
              </m:rPr>
              <m:t>−</m:t>
            </m:r>
            <m:r>
              <m:t>3</m:t>
            </m:r>
          </m:sup>
        </m:sSup>
        <m:r>
          <m:rPr>
            <m:sty m:val="p"/>
          </m:rPr>
          <m:t>=</m:t>
        </m:r>
      </m:oMath>
      <w:r>
        <w:t xml:space="preserve"> </w:t>
      </w:r>
      <w:r>
        <w:rPr>
          <w:bCs/>
          <w:b/>
        </w:rPr>
        <w:t xml:space="preserve">235 W m⁻²</w:t>
      </w:r>
      <w:r>
        <w:t xml:space="preserve">; Bowen ratio = 0.77.</w:t>
      </w:r>
    </w:p>
    <w:p>
      <w:pPr>
        <w:pStyle w:val="Heading3"/>
      </w:pPr>
      <w:r>
        <w:t xml:space="preserve">57.2.14 Q₁₀ respiration</w:t>
      </w:r>
    </w:p>
    <w:p>
      <w:pPr>
        <w:pStyle w:val="FirstParagraph"/>
      </w:pPr>
      <w:r>
        <w:rPr>
          <w:bCs/>
          <w:b/>
        </w:rPr>
        <w:t xml:space="preserve">Problem:</w:t>
      </w:r>
      <w:r>
        <w:t xml:space="preserve"> </w:t>
      </w:r>
      <w:r>
        <w:t xml:space="preserve">Ecosystem respiration is 4 µmol m⁻² s⁻¹ at 20 °C with Q₁₀ = 2. Find respiration at 30 °C and at 15 °C.</w:t>
      </w:r>
    </w:p>
    <w:p>
      <w:pPr>
        <w:pStyle w:val="BodyText"/>
      </w:pPr>
      <w:r>
        <w:rPr>
          <w:bCs/>
          <w:b/>
        </w:rPr>
        <w:t xml:space="preserve">Steps:</w:t>
      </w:r>
      <w:r>
        <w:t xml:space="preserve"> </w:t>
      </w:r>
      <m:oMath>
        <m:sSub>
          <m:e>
            <m:r>
              <m:t>R</m:t>
            </m:r>
          </m:e>
          <m:sub>
            <m:r>
              <m:t>T</m:t>
            </m:r>
          </m:sub>
        </m:sSub>
        <m:r>
          <m:rPr>
            <m:sty m:val="p"/>
          </m:rPr>
          <m:t>=</m:t>
        </m:r>
        <m:sSub>
          <m:e>
            <m:r>
              <m:t>R</m:t>
            </m:r>
          </m:e>
          <m:sub>
            <m:r>
              <m:t>20</m:t>
            </m:r>
          </m:sub>
        </m:sSub>
        <m:sSubSup>
          <m:e>
            <m:r>
              <m:t>Q</m:t>
            </m:r>
          </m:e>
          <m:sub>
            <m:r>
              <m:t>10</m:t>
            </m:r>
          </m:sub>
          <m:sup>
            <m:d>
              <m:dPr>
                <m:begChr m:val="("/>
                <m:endChr m:val=")"/>
                <m:sepChr m:val=""/>
                <m:grow/>
              </m:dPr>
              <m:e>
                <m:r>
                  <m:t>T</m:t>
                </m:r>
                <m:r>
                  <m:rPr>
                    <m:sty m:val="p"/>
                  </m:rPr>
                  <m:t>−</m:t>
                </m:r>
                <m:r>
                  <m:t>20</m:t>
                </m:r>
              </m:e>
            </m:d>
            <m:r>
              <m:rPr>
                <m:sty m:val="p"/>
              </m:rPr>
              <m:t>/</m:t>
            </m:r>
            <m:r>
              <m:t>10</m:t>
            </m:r>
          </m:sup>
        </m:sSubSup>
      </m:oMath>
      <w:r>
        <w:t xml:space="preserve">: at 30 °C → 4 × 2 =</w:t>
      </w:r>
      <w:r>
        <w:t xml:space="preserve"> </w:t>
      </w:r>
      <w:r>
        <w:rPr>
          <w:bCs/>
          <w:b/>
        </w:rPr>
        <w:t xml:space="preserve">8 µmol m⁻² s⁻¹</w:t>
      </w:r>
      <w:r>
        <w:t xml:space="preserve">; at 15 °C → 4 × 2^(−0.5) =</w:t>
      </w:r>
      <w:r>
        <w:t xml:space="preserve"> </w:t>
      </w:r>
      <w:r>
        <w:rPr>
          <w:bCs/>
          <w:b/>
        </w:rPr>
        <w:t xml:space="preserve">2.83 µmol m⁻² s⁻¹</w:t>
      </w:r>
      <w:r>
        <w:t xml:space="preserve">.</w:t>
      </w:r>
    </w:p>
    <w:p>
      <w:pPr>
        <w:pStyle w:val="Heading3"/>
      </w:pPr>
      <w:r>
        <w:t xml:space="preserve">57.2.15 Carbon conversions</w:t>
      </w:r>
    </w:p>
    <w:p>
      <w:pPr>
        <w:pStyle w:val="FirstParagraph"/>
      </w:pPr>
      <w:r>
        <w:rPr>
          <w:bCs/>
          <w:b/>
        </w:rPr>
        <w:t xml:space="preserve">Problem:</w:t>
      </w:r>
      <w:r>
        <w:t xml:space="preserve"> </w:t>
      </w:r>
      <w:r>
        <w:t xml:space="preserve">A forest has NEE = −2.5 µmol CO₂ m⁻² s⁻¹ averaged over a year. Express annual sink in t C ha⁻¹ yr⁻¹ and t CO₂ ha⁻¹ yr⁻¹.</w:t>
      </w:r>
    </w:p>
    <w:p>
      <w:pPr>
        <w:pStyle w:val="BodyText"/>
      </w:pPr>
      <w:r>
        <w:rPr>
          <w:bCs/>
          <w:b/>
        </w:rPr>
        <w:t xml:space="preserve">Steps:</w:t>
      </w:r>
      <w:r>
        <w:t xml:space="preserve"> </w:t>
      </w:r>
      <w:r>
        <w:t xml:space="preserve">2.5 µmol s⁻¹ × 31.536 × 10⁶ s = 78.84 mol CO₂ m⁻² yr⁻¹; × 12 g C mol⁻¹ = 946 g C m⁻² yr⁻¹ =</w:t>
      </w:r>
      <w:r>
        <w:t xml:space="preserve"> </w:t>
      </w:r>
      <w:r>
        <w:rPr>
          <w:bCs/>
          <w:b/>
        </w:rPr>
        <w:t xml:space="preserve">9.46 t C ha⁻¹ yr⁻¹</w:t>
      </w:r>
      <w:r>
        <w:t xml:space="preserve"> </w:t>
      </w:r>
      <w:r>
        <w:t xml:space="preserve">= 9.46 × 44/12 =</w:t>
      </w:r>
      <w:r>
        <w:t xml:space="preserve"> </w:t>
      </w:r>
      <w:r>
        <w:rPr>
          <w:bCs/>
          <w:b/>
        </w:rPr>
        <w:t xml:space="preserve">34.7 t CO₂ ha⁻¹ yr⁻¹</w:t>
      </w:r>
      <w:r>
        <w:t xml:space="preserve">. (A realistic tropical forest sink is smaller, typically 1–5 t C ha⁻¹ yr⁻¹ — useful sanity check.)</w:t>
      </w:r>
    </w:p>
    <w:p>
      <w:pPr>
        <w:pStyle w:val="Heading3"/>
      </w:pPr>
      <w:r>
        <w:t xml:space="preserve">57.2.16 Biomass carbon from allometry</w:t>
      </w:r>
    </w:p>
    <w:p>
      <w:pPr>
        <w:pStyle w:val="FirstParagraph"/>
      </w:pPr>
      <w:r>
        <w:rPr>
          <w:bCs/>
          <w:b/>
        </w:rPr>
        <w:t xml:space="preserve">Problem:</w:t>
      </w:r>
      <w:r>
        <w:t xml:space="preserve"> </w:t>
      </w:r>
      <w:r>
        <w:t xml:space="preserve">A tree has DBH 30 cm; biomass = 0.0673(ρD²H)^0.976 (Chave 2014), wood density ρ = 0.65 g cm⁻³, height H = 22 m. Find above-ground biomass and carbon.</w:t>
      </w:r>
    </w:p>
    <w:p>
      <w:pPr>
        <w:pStyle w:val="BodyText"/>
      </w:pPr>
      <w:r>
        <w:rPr>
          <w:bCs/>
          <w:b/>
        </w:rPr>
        <w:t xml:space="preserve">Steps:</w:t>
      </w:r>
      <w:r>
        <w:t xml:space="preserve"> </w:t>
      </w:r>
      <w:r>
        <w:t xml:space="preserve">ρD²H = 0.65 × 900 × 22 = 12,870; 12,870^0.976 = e^(0.976 × 9.4626) = e^9.2355 = 10,256; AGB = 0.0673 × 10,256 =</w:t>
      </w:r>
      <w:r>
        <w:t xml:space="preserve"> </w:t>
      </w:r>
      <w:r>
        <w:rPr>
          <w:bCs/>
          <w:b/>
        </w:rPr>
        <w:t xml:space="preserve">690 kg</w:t>
      </w:r>
      <w:r>
        <w:t xml:space="preserve">; carbon = 0.47 × 690 =</w:t>
      </w:r>
      <w:r>
        <w:t xml:space="preserve"> </w:t>
      </w:r>
      <w:r>
        <w:rPr>
          <w:bCs/>
          <w:b/>
        </w:rPr>
        <w:t xml:space="preserve">324 kg C</w:t>
      </w:r>
      <w:r>
        <w:t xml:space="preserve"> </w:t>
      </w:r>
      <w:r>
        <w:t xml:space="preserve">(= 1.19 t CO₂).</w:t>
      </w:r>
    </w:p>
    <w:p>
      <w:pPr>
        <w:pStyle w:val="Heading2"/>
      </w:pPr>
      <w:r>
        <w:t xml:space="preserve">57.3 Hydrology, Soil and Water</w:t>
      </w:r>
    </w:p>
    <w:p>
      <w:pPr>
        <w:pStyle w:val="Heading3"/>
      </w:pPr>
      <w:r>
        <w:t xml:space="preserve">57.3.1 SCS Curve Number runoff</w:t>
      </w:r>
    </w:p>
    <w:p>
      <w:pPr>
        <w:pStyle w:val="FirstParagraph"/>
      </w:pPr>
      <w:r>
        <w:rPr>
          <w:bCs/>
          <w:b/>
        </w:rPr>
        <w:t xml:space="preserve">Problem:</w:t>
      </w:r>
      <w:r>
        <w:t xml:space="preserve"> </w:t>
      </w:r>
      <w:r>
        <w:t xml:space="preserve">Rainfall P = 100 mm on a watershed with CN = 80 (Ia = 0.2S). Find runoff Q.</w:t>
      </w:r>
    </w:p>
    <w:p>
      <w:pPr>
        <w:pStyle w:val="BodyText"/>
      </w:pPr>
      <w:r>
        <w:rPr>
          <w:bCs/>
          <w:b/>
        </w:rPr>
        <w:t xml:space="preserve">Steps:</w:t>
      </w:r>
      <w:r>
        <w:t xml:space="preserve"> </w:t>
      </w:r>
      <m:oMath>
        <m:r>
          <m:t>S</m:t>
        </m:r>
        <m:r>
          <m:rPr>
            <m:sty m:val="p"/>
          </m:rPr>
          <m:t>=</m:t>
        </m:r>
        <m:f>
          <m:fPr>
            <m:type m:val="bar"/>
          </m:fPr>
          <m:num>
            <m:r>
              <m:t>25400</m:t>
            </m:r>
          </m:num>
          <m:den>
            <m:r>
              <m:t>C</m:t>
            </m:r>
            <m:r>
              <m:t>N</m:t>
            </m:r>
          </m:den>
        </m:f>
        <m:r>
          <m:rPr>
            <m:sty m:val="p"/>
          </m:rPr>
          <m:t>−</m:t>
        </m:r>
        <m:r>
          <m:t>254</m:t>
        </m:r>
        <m:r>
          <m:rPr>
            <m:sty m:val="p"/>
          </m:rPr>
          <m:t>=</m:t>
        </m:r>
        <m:r>
          <m:t>317.5</m:t>
        </m:r>
        <m:r>
          <m:rPr>
            <m:sty m:val="p"/>
          </m:rPr>
          <m:t>−</m:t>
        </m:r>
        <m:r>
          <m:t>254</m:t>
        </m:r>
        <m:r>
          <m:rPr>
            <m:sty m:val="p"/>
          </m:rPr>
          <m:t>=</m:t>
        </m:r>
        <m:r>
          <m:t>63.5</m:t>
        </m:r>
      </m:oMath>
      <w:r>
        <w:t xml:space="preserve"> </w:t>
      </w:r>
      <w:r>
        <w:t xml:space="preserve">mm; Ia = 12.7 mm.</w:t>
      </w:r>
    </w:p>
    <w:p>
      <w:pPr>
        <w:pStyle w:val="BodyText"/>
      </w:pPr>
      <m:oMathPara>
        <m:oMathParaPr>
          <m:jc m:val="center"/>
        </m:oMathParaPr>
        <m:oMath>
          <m:r>
            <m:t>Q</m:t>
          </m:r>
          <m:r>
            <m:rPr>
              <m:sty m:val="p"/>
            </m:rPr>
            <m:t>=</m:t>
          </m:r>
          <m:f>
            <m:fPr>
              <m:type m:val="bar"/>
            </m:fPr>
            <m:num>
              <m:sSup>
                <m:e>
                  <m:d>
                    <m:dPr>
                      <m:begChr m:val="("/>
                      <m:endChr m:val=")"/>
                      <m:sepChr m:val=""/>
                      <m:grow/>
                    </m:dPr>
                    <m:e>
                      <m:r>
                        <m:t>P</m:t>
                      </m:r>
                      <m:r>
                        <m:rPr>
                          <m:sty m:val="p"/>
                        </m:rPr>
                        <m:t>−</m:t>
                      </m:r>
                      <m:r>
                        <m:t>0.2</m:t>
                      </m:r>
                      <m:r>
                        <m:t>S</m:t>
                      </m:r>
                    </m:e>
                  </m:d>
                </m:e>
                <m:sup>
                  <m:r>
                    <m:t>2</m:t>
                  </m:r>
                </m:sup>
              </m:sSup>
            </m:num>
            <m:den>
              <m:r>
                <m:t>P</m:t>
              </m:r>
              <m:r>
                <m:rPr>
                  <m:sty m:val="p"/>
                </m:rPr>
                <m:t>+</m:t>
              </m:r>
              <m:r>
                <m:t>0.8</m:t>
              </m:r>
              <m:r>
                <m:t>S</m:t>
              </m:r>
            </m:den>
          </m:f>
          <m:r>
            <m:rPr>
              <m:sty m:val="p"/>
            </m:rPr>
            <m:t>=</m:t>
          </m:r>
          <m:f>
            <m:fPr>
              <m:type m:val="bar"/>
            </m:fPr>
            <m:num>
              <m:sSup>
                <m:e>
                  <m:d>
                    <m:dPr>
                      <m:begChr m:val="("/>
                      <m:endChr m:val=")"/>
                      <m:sepChr m:val=""/>
                      <m:grow/>
                    </m:dPr>
                    <m:e>
                      <m:r>
                        <m:t>87.3</m:t>
                      </m:r>
                    </m:e>
                  </m:d>
                </m:e>
                <m:sup>
                  <m:r>
                    <m:t>2</m:t>
                  </m:r>
                </m:sup>
              </m:sSup>
            </m:num>
            <m:den>
              <m:r>
                <m:t>150.8</m:t>
              </m:r>
            </m:den>
          </m:f>
          <m:r>
            <m:rPr>
              <m:sty m:val="p"/>
            </m:rPr>
            <m:t>=</m:t>
          </m:r>
          <m:f>
            <m:fPr>
              <m:type m:val="bar"/>
            </m:fPr>
            <m:num>
              <m:r>
                <m:t>7621</m:t>
              </m:r>
            </m:num>
            <m:den>
              <m:r>
                <m:t>150.8</m:t>
              </m:r>
            </m:den>
          </m:f>
          <m:r>
            <m:rPr>
              <m:sty m:val="p"/>
            </m:rPr>
            <m:t>=</m:t>
          </m:r>
          <m:r>
            <m:rPr>
              <m:sty m:val="b"/>
            </m:rPr>
            <m:t>50.5</m:t>
          </m:r>
          <m:r>
            <m:rPr>
              <m:sty m:val="b"/>
            </m:rPr>
            <m:t> </m:t>
          </m:r>
          <m:r>
            <m:rPr>
              <m:sty m:val="b"/>
            </m:rPr>
            <m:t>m</m:t>
          </m:r>
          <m:r>
            <m:rPr>
              <m:sty m:val="b"/>
            </m:rPr>
            <m:t>m</m:t>
          </m:r>
        </m:oMath>
      </m:oMathPara>
    </w:p>
    <w:p>
      <w:pPr>
        <w:pStyle w:val="Heading3"/>
      </w:pPr>
      <w:r>
        <w:t xml:space="preserve">57.3.2 Universal Soil Loss Equation</w:t>
      </w:r>
    </w:p>
    <w:p>
      <w:pPr>
        <w:pStyle w:val="FirstParagraph"/>
      </w:pPr>
      <w:r>
        <w:rPr>
          <w:bCs/>
          <w:b/>
        </w:rPr>
        <w:t xml:space="preserve">Problem:</w:t>
      </w:r>
      <w:r>
        <w:t xml:space="preserve"> </w:t>
      </w:r>
      <w:r>
        <w:t xml:space="preserve">R = 600, K = 0.30, LS = 1.5, C = 0.2, P = 0.5 (SI units, t ha⁻¹ yr⁻¹). Find A; compare with tolerance limit 11.2 t ha⁻¹ yr⁻¹.</w:t>
      </w:r>
    </w:p>
    <w:p>
      <w:pPr>
        <w:pStyle w:val="BodyText"/>
      </w:pPr>
      <w:r>
        <w:rPr>
          <w:bCs/>
          <w:b/>
        </w:rPr>
        <w:t xml:space="preserve">Steps:</w:t>
      </w:r>
      <w:r>
        <w:t xml:space="preserve"> </w:t>
      </w:r>
      <w:r>
        <w:t xml:space="preserve">A = R K LS C P = 600 × 0.30 × 1.5 × 0.2 × 0.5 =</w:t>
      </w:r>
      <w:r>
        <w:t xml:space="preserve"> </w:t>
      </w:r>
      <w:r>
        <w:rPr>
          <w:bCs/>
          <w:b/>
        </w:rPr>
        <w:t xml:space="preserve">27 t ha⁻¹ yr⁻¹</w:t>
      </w:r>
      <w:r>
        <w:t xml:space="preserve"> </w:t>
      </w:r>
      <w:r>
        <w:t xml:space="preserve">— exceeds tolerance; contour bunding (P = 0.3) would reduce it to 16.2; adding mulch (C = 0.1) to 8.1 t ha⁻¹ yr⁻¹.</w:t>
      </w:r>
    </w:p>
    <w:p>
      <w:pPr>
        <w:pStyle w:val="Heading3"/>
      </w:pPr>
      <w:r>
        <w:t xml:space="preserve">57.3.3 Rational method peak runoff</w:t>
      </w:r>
    </w:p>
    <w:p>
      <w:pPr>
        <w:pStyle w:val="FirstParagraph"/>
      </w:pPr>
      <w:r>
        <w:rPr>
          <w:bCs/>
          <w:b/>
        </w:rPr>
        <w:t xml:space="preserve">Problem:</w:t>
      </w:r>
      <w:r>
        <w:t xml:space="preserve"> </w:t>
      </w:r>
      <w:r>
        <w:t xml:space="preserve">Catchment 50 ha, runoff coefficient 0.4, rainfall intensity (for time of concentration) 60 mm h⁻¹. Find peak runoff.</w:t>
      </w:r>
    </w:p>
    <w:p>
      <w:pPr>
        <w:pStyle w:val="BodyText"/>
      </w:pPr>
      <w:r>
        <w:rPr>
          <w:bCs/>
          <w:b/>
        </w:rPr>
        <w:t xml:space="preserve">Steps:</w:t>
      </w:r>
      <w:r>
        <w:t xml:space="preserve"> </w:t>
      </w:r>
      <m:oMath>
        <m:sSub>
          <m:e>
            <m:r>
              <m:t>Q</m:t>
            </m:r>
          </m:e>
          <m:sub>
            <m:r>
              <m:t>p</m:t>
            </m:r>
          </m:sub>
        </m:sSub>
        <m:r>
          <m:rPr>
            <m:sty m:val="p"/>
          </m:rPr>
          <m:t>=</m:t>
        </m:r>
        <m:f>
          <m:fPr>
            <m:type m:val="bar"/>
          </m:fPr>
          <m:num>
            <m:r>
              <m:t>C</m:t>
            </m:r>
            <m:r>
              <m:t>I</m:t>
            </m:r>
            <m:r>
              <m:t>A</m:t>
            </m:r>
          </m:num>
          <m:den>
            <m:r>
              <m:t>360</m:t>
            </m:r>
          </m:den>
        </m:f>
      </m:oMath>
      <w:r>
        <w:t xml:space="preserve"> </w:t>
      </w:r>
      <w:r>
        <w:t xml:space="preserve">(Q in m³ s⁻¹, I in mm h⁻¹, A in ha) = 0.4 × 60 × 50/360 =</w:t>
      </w:r>
      <w:r>
        <w:t xml:space="preserve"> </w:t>
      </w:r>
      <w:r>
        <w:rPr>
          <w:bCs/>
          <w:b/>
        </w:rPr>
        <w:t xml:space="preserve">3.33 m³ s⁻¹</w:t>
      </w:r>
      <w:r>
        <w:t xml:space="preserve">.</w:t>
      </w:r>
    </w:p>
    <w:p>
      <w:pPr>
        <w:pStyle w:val="Heading3"/>
      </w:pPr>
      <w:r>
        <w:t xml:space="preserve">57.3.4 Water use efficiency</w:t>
      </w:r>
    </w:p>
    <w:p>
      <w:pPr>
        <w:pStyle w:val="FirstParagraph"/>
      </w:pPr>
      <w:r>
        <w:rPr>
          <w:bCs/>
          <w:b/>
        </w:rPr>
        <w:t xml:space="preserve">Problem:</w:t>
      </w:r>
      <w:r>
        <w:t xml:space="preserve"> </w:t>
      </w:r>
      <w:r>
        <w:t xml:space="preserve">A rice crop yields 5.5 t ha⁻¹ with 1100 mm total water input (irrigation + rain) and ET = 600 mm. Find WUE (input basis) and crop WUE (ET basis).</w:t>
      </w:r>
    </w:p>
    <w:p>
      <w:pPr>
        <w:pStyle w:val="BodyText"/>
      </w:pPr>
      <w:r>
        <w:rPr>
          <w:bCs/>
          <w:b/>
        </w:rPr>
        <w:t xml:space="preserve">Steps:</w:t>
      </w:r>
      <w:r>
        <w:t xml:space="preserve"> </w:t>
      </w:r>
      <w:r>
        <w:t xml:space="preserve">Input WUE = 5500 kg/(1100 × 10 m³) = 5500/11000 =</w:t>
      </w:r>
      <w:r>
        <w:t xml:space="preserve"> </w:t>
      </w:r>
      <w:r>
        <w:rPr>
          <w:bCs/>
          <w:b/>
        </w:rPr>
        <w:t xml:space="preserve">0.50 kg m⁻³</w:t>
      </w:r>
      <w:r>
        <w:t xml:space="preserve">; ET-based = 5500/6000 =</w:t>
      </w:r>
      <w:r>
        <w:t xml:space="preserve"> </w:t>
      </w:r>
      <w:r>
        <w:rPr>
          <w:bCs/>
          <w:b/>
        </w:rPr>
        <w:t xml:space="preserve">0.92 kg m⁻³</w:t>
      </w:r>
      <w:r>
        <w:t xml:space="preserve">.</w:t>
      </w:r>
    </w:p>
    <w:p>
      <w:pPr>
        <w:pStyle w:val="Heading3"/>
      </w:pPr>
      <w:r>
        <w:t xml:space="preserve">57.3.5 Fertiliser calculation</w:t>
      </w:r>
    </w:p>
    <w:p>
      <w:pPr>
        <w:pStyle w:val="FirstParagraph"/>
      </w:pPr>
      <w:r>
        <w:rPr>
          <w:bCs/>
          <w:b/>
        </w:rPr>
        <w:t xml:space="preserve">Problem:</w:t>
      </w:r>
      <w:r>
        <w:t xml:space="preserve"> </w:t>
      </w:r>
      <w:r>
        <w:t xml:space="preserve">Recommended 120:60:40 kg N:P₂O₅:K₂O ha⁻¹ using DAP (18-46-0), urea (46% N) and MOP (60% K₂O). Find quantities.</w:t>
      </w:r>
    </w:p>
    <w:p>
      <w:pPr>
        <w:pStyle w:val="BodyText"/>
      </w:pPr>
      <w:r>
        <w:rPr>
          <w:bCs/>
          <w:b/>
        </w:rPr>
        <w:t xml:space="preserve">Steps:</w:t>
      </w:r>
      <w:r>
        <w:t xml:space="preserve"> </w:t>
      </w:r>
      <w:r>
        <w:t xml:space="preserve">DAP for P: 60/0.46 =</w:t>
      </w:r>
      <w:r>
        <w:t xml:space="preserve"> </w:t>
      </w:r>
      <w:r>
        <w:rPr>
          <w:bCs/>
          <w:b/>
        </w:rPr>
        <w:t xml:space="preserve">130.4 kg</w:t>
      </w:r>
      <w:r>
        <w:t xml:space="preserve">, supplies N = 0.18 × 130.4 = 23.5 kg. Remaining N = 96.5 kg → urea = 96.5/0.46 =</w:t>
      </w:r>
      <w:r>
        <w:t xml:space="preserve"> </w:t>
      </w:r>
      <w:r>
        <w:rPr>
          <w:bCs/>
          <w:b/>
        </w:rPr>
        <w:t xml:space="preserve">209.8 kg</w:t>
      </w:r>
      <w:r>
        <w:t xml:space="preserve">. MOP = 40/0.60 =</w:t>
      </w:r>
      <w:r>
        <w:t xml:space="preserve"> </w:t>
      </w:r>
      <w:r>
        <w:rPr>
          <w:bCs/>
          <w:b/>
        </w:rPr>
        <w:t xml:space="preserve">66.7 kg</w:t>
      </w:r>
      <w:r>
        <w:t xml:space="preserve">. (P₂O₅ to P: × 0.436; K₂O to K: × 0.83.)</w:t>
      </w:r>
    </w:p>
    <w:p>
      <w:pPr>
        <w:pStyle w:val="Heading3"/>
      </w:pPr>
      <w:r>
        <w:t xml:space="preserve">57.3.6 Gypsum requirement for sodic soil</w:t>
      </w:r>
    </w:p>
    <w:p>
      <w:pPr>
        <w:pStyle w:val="FirstParagraph"/>
      </w:pPr>
      <w:r>
        <w:rPr>
          <w:bCs/>
          <w:b/>
        </w:rPr>
        <w:t xml:space="preserve">Problem:</w:t>
      </w:r>
      <w:r>
        <w:t xml:space="preserve"> </w:t>
      </w:r>
      <w:r>
        <w:t xml:space="preserve">CEC = 20 cmol(+) kg⁻¹, initial ESP 40%, target ESP 10%, soil depth 15 cm, bulk density 1.5 g cm⁻³. Find gypsum requirement (pure gypsum equivalent weight 86).</w:t>
      </w:r>
    </w:p>
    <w:p>
      <w:pPr>
        <w:pStyle w:val="BodyText"/>
      </w:pPr>
      <w:r>
        <w:rPr>
          <w:bCs/>
          <w:b/>
        </w:rPr>
        <w:t xml:space="preserve">Steps:</w:t>
      </w:r>
      <w:r>
        <w:t xml:space="preserve"> </w:t>
      </w:r>
      <w:r>
        <w:t xml:space="preserve">Na to replace = 20 × (0.40 − 0.10) = 6 cmol(+) kg⁻¹. Soil mass per ha (15 cm) = 10⁴ m² × 0.15 m × 1500 kg m⁻³ = 2.25 × 10⁶ kg. Gypsum = 6 cmol × 0.86 g/cmol = 5.16 g kg⁻¹ → 5.16 × 2.25 × 10⁶/10⁶ =</w:t>
      </w:r>
      <w:r>
        <w:t xml:space="preserve"> </w:t>
      </w:r>
      <w:r>
        <w:rPr>
          <w:bCs/>
          <w:b/>
        </w:rPr>
        <w:t xml:space="preserve">11.6 t ha⁻¹</w:t>
      </w:r>
      <w:r>
        <w:t xml:space="preserve"> </w:t>
      </w:r>
      <w:r>
        <w:t xml:space="preserve">(often multiplied by ~1.25 for field efficiency).</w:t>
      </w:r>
    </w:p>
    <w:p>
      <w:pPr>
        <w:pStyle w:val="Heading3"/>
      </w:pPr>
      <w:r>
        <w:t xml:space="preserve">57.3.7 SAR (sodium adsorption ratio) of irrigation water</w:t>
      </w:r>
    </w:p>
    <w:p>
      <w:pPr>
        <w:pStyle w:val="FirstParagraph"/>
      </w:pPr>
      <w:r>
        <w:rPr>
          <w:bCs/>
          <w:b/>
        </w:rPr>
        <w:t xml:space="preserve">Problem:</w:t>
      </w:r>
      <w:r>
        <w:t xml:space="preserve"> </w:t>
      </w:r>
      <w:r>
        <w:t xml:space="preserve">Na⁺ = 12, Ca²⁺ = 2, Mg²⁺ = 2 meq L⁻¹. Find SAR.</w:t>
      </w:r>
    </w:p>
    <w:p>
      <w:pPr>
        <w:pStyle w:val="BodyText"/>
      </w:pPr>
      <w:r>
        <w:rPr>
          <w:bCs/>
          <w:b/>
        </w:rPr>
        <w:t xml:space="preserve">Steps:</w:t>
      </w:r>
      <w:r>
        <w:t xml:space="preserve"> </w:t>
      </w:r>
      <m:oMath>
        <m:r>
          <m:t>S</m:t>
        </m:r>
        <m:r>
          <m:t>A</m:t>
        </m:r>
        <m:r>
          <m:t>R</m:t>
        </m:r>
        <m:r>
          <m:rPr>
            <m:sty m:val="p"/>
          </m:rPr>
          <m:t>=</m:t>
        </m:r>
        <m:f>
          <m:fPr>
            <m:type m:val="bar"/>
          </m:fPr>
          <m:num>
            <m:r>
              <m:t>N</m:t>
            </m:r>
            <m:r>
              <m:t>a</m:t>
            </m:r>
          </m:num>
          <m:den>
            <m:rad>
              <m:radPr>
                <m:degHide m:val="on"/>
              </m:radPr>
              <m:deg/>
              <m:e>
                <m:d>
                  <m:dPr>
                    <m:begChr m:val="("/>
                    <m:endChr m:val=")"/>
                    <m:sepChr m:val=""/>
                    <m:grow/>
                  </m:dPr>
                  <m:e>
                    <m:r>
                      <m:t>C</m:t>
                    </m:r>
                    <m:r>
                      <m:t>a</m:t>
                    </m:r>
                    <m:r>
                      <m:rPr>
                        <m:sty m:val="p"/>
                      </m:rPr>
                      <m:t>+</m:t>
                    </m:r>
                    <m:r>
                      <m:t>M</m:t>
                    </m:r>
                    <m:r>
                      <m:t>g</m:t>
                    </m:r>
                  </m:e>
                </m:d>
                <m:r>
                  <m:rPr>
                    <m:sty m:val="p"/>
                  </m:rPr>
                  <m:t>/</m:t>
                </m:r>
                <m:r>
                  <m:t>2</m:t>
                </m:r>
              </m:e>
            </m:rad>
          </m:den>
        </m:f>
        <m:r>
          <m:rPr>
            <m:sty m:val="p"/>
          </m:rPr>
          <m:t>=</m:t>
        </m:r>
        <m:f>
          <m:fPr>
            <m:type m:val="bar"/>
          </m:fPr>
          <m:num>
            <m:r>
              <m:t>12</m:t>
            </m:r>
          </m:num>
          <m:den>
            <m:rad>
              <m:radPr>
                <m:degHide m:val="on"/>
              </m:radPr>
              <m:deg/>
              <m:e>
                <m:r>
                  <m:t>2</m:t>
                </m:r>
              </m:e>
            </m:rad>
          </m:den>
        </m:f>
        <m:r>
          <m:rPr>
            <m:sty m:val="p"/>
          </m:rPr>
          <m:t>=</m:t>
        </m:r>
      </m:oMath>
      <w:r>
        <w:t xml:space="preserve"> </w:t>
      </w:r>
      <w:r>
        <w:rPr>
          <w:bCs/>
          <w:b/>
        </w:rPr>
        <w:t xml:space="preserve">8.5</w:t>
      </w:r>
      <w:r>
        <w:t xml:space="preserve"> </w:t>
      </w:r>
      <w:r>
        <w:t xml:space="preserve">(medium sodium hazard, S2 class). RSC = (CO₃ + HCO₃) − (Ca + Mg) is the other key water-quality index.</w:t>
      </w:r>
    </w:p>
    <w:p>
      <w:pPr>
        <w:pStyle w:val="Heading2"/>
      </w:pPr>
      <w:r>
        <w:t xml:space="preserve">57.4 Statistics and GIS</w:t>
      </w:r>
    </w:p>
    <w:p>
      <w:pPr>
        <w:pStyle w:val="Heading3"/>
      </w:pPr>
      <w:r>
        <w:t xml:space="preserve">57.4.1 Mean, SD and CV of rainfall</w:t>
      </w:r>
    </w:p>
    <w:p>
      <w:pPr>
        <w:pStyle w:val="FirstParagraph"/>
      </w:pPr>
      <w:r>
        <w:rPr>
          <w:bCs/>
          <w:b/>
        </w:rPr>
        <w:t xml:space="preserve">Problem:</w:t>
      </w:r>
      <w:r>
        <w:t xml:space="preserve"> </w:t>
      </w:r>
      <w:r>
        <w:t xml:space="preserve">Annual rainfall (mm) for 5 years: 800, 650, 900, 700, 950. Find mean, SD and CV.</w:t>
      </w:r>
    </w:p>
    <w:p>
      <w:pPr>
        <w:pStyle w:val="BodyText"/>
      </w:pPr>
      <w:r>
        <w:rPr>
          <w:bCs/>
          <w:b/>
        </w:rPr>
        <w:t xml:space="preserve">Steps:</w:t>
      </w:r>
      <w:r>
        <w:t xml:space="preserve"> </w:t>
      </w:r>
      <w:r>
        <w:t xml:space="preserve">Mean = 4000/5 = 800. Deviations: 0, −150, 100, −100, 150; squares sum = 0 + 22500 + 10000 + 10000 + 22500 = 65000; s² = 65000/4 = 16250; s =</w:t>
      </w:r>
      <w:r>
        <w:t xml:space="preserve"> </w:t>
      </w:r>
      <w:r>
        <w:rPr>
          <w:bCs/>
          <w:b/>
        </w:rPr>
        <w:t xml:space="preserve">127.5 mm</w:t>
      </w:r>
      <w:r>
        <w:t xml:space="preserve">; CV = 127.5/800 =</w:t>
      </w:r>
      <w:r>
        <w:t xml:space="preserve"> </w:t>
      </w:r>
      <w:r>
        <w:rPr>
          <w:bCs/>
          <w:b/>
        </w:rPr>
        <w:t xml:space="preserve">15.9%</w:t>
      </w:r>
      <w:r>
        <w:t xml:space="preserve"> </w:t>
      </w:r>
      <w:r>
        <w:t xml:space="preserve">(fairly dependable rainfall).</w:t>
      </w:r>
    </w:p>
    <w:p>
      <w:pPr>
        <w:pStyle w:val="Heading3"/>
      </w:pPr>
      <w:r>
        <w:t xml:space="preserve">57.4.2 Correlation and regression</w:t>
      </w:r>
    </w:p>
    <w:p>
      <w:pPr>
        <w:pStyle w:val="FirstParagraph"/>
      </w:pPr>
      <w:r>
        <w:rPr>
          <w:bCs/>
          <w:b/>
        </w:rPr>
        <w:t xml:space="preserve">Problem:</w:t>
      </w:r>
      <w:r>
        <w:t xml:space="preserve"> </w:t>
      </w:r>
      <w:r>
        <w:t xml:space="preserve">NDVI (x): 0.4, 0.5, 0.6, 0.7, 0.8; yield (y, t ha⁻¹): 2.0, 2.6, 3.1, 3.4, 4.0. Find r and regression line.</w:t>
      </w:r>
    </w:p>
    <w:p>
      <w:pPr>
        <w:pStyle w:val="BodyText"/>
      </w:pPr>
      <w:r>
        <w:rPr>
          <w:bCs/>
          <w:b/>
        </w:rPr>
        <w:t xml:space="preserve">Steps:</w:t>
      </w:r>
      <w:r>
        <w:t xml:space="preserve"> </w:t>
      </w:r>
      <w:r>
        <w:t xml:space="preserve">x̄ = 0.6, ȳ = 3.02. Deviations dx: −0.2, −0.1, 0, 0.1, 0.2; dy: −1.02, −0.42, 0.08, 0.38, 0.98. Σdxdy = 0.204 + 0.042 + 0 + 0.038 + 0.196 = 0.48; Σdx² = 0.10; Σdy² = 1.0404 + 0.1764 + 0.0064 + 0.1444 + 0.9604 = 2.328.</w:t>
      </w:r>
      <w:r>
        <w:t xml:space="preserve"> </w:t>
      </w:r>
      <w:r>
        <w:t xml:space="preserve">b = 0.48/0.10 =</w:t>
      </w:r>
      <w:r>
        <w:t xml:space="preserve"> </w:t>
      </w:r>
      <w:r>
        <w:rPr>
          <w:bCs/>
          <w:b/>
        </w:rPr>
        <w:t xml:space="preserve">4.8</w:t>
      </w:r>
      <w:r>
        <w:t xml:space="preserve">; a = 3.02 − 4.8 × 0.6 =</w:t>
      </w:r>
      <w:r>
        <w:t xml:space="preserve"> </w:t>
      </w:r>
      <w:r>
        <w:rPr>
          <w:bCs/>
          <w:b/>
        </w:rPr>
        <w:t xml:space="preserve">0.14</w:t>
      </w:r>
      <w:r>
        <w:t xml:space="preserve"> </w:t>
      </w:r>
      <w:r>
        <w:t xml:space="preserve">→ ŷ = 0.14 + 4.8 NDVI. r = 0.48/√(0.10 × 2.328) = 0.48/0.4825 =</w:t>
      </w:r>
      <w:r>
        <w:t xml:space="preserve"> </w:t>
      </w:r>
      <w:r>
        <w:rPr>
          <w:bCs/>
          <w:b/>
        </w:rPr>
        <w:t xml:space="preserve">0.995</w:t>
      </w:r>
      <w:r>
        <w:t xml:space="preserve">.</w:t>
      </w:r>
    </w:p>
    <w:p>
      <w:pPr>
        <w:pStyle w:val="Heading3"/>
      </w:pPr>
      <w:r>
        <w:t xml:space="preserve">57.4.3 t-test for two varieties</w:t>
      </w:r>
    </w:p>
    <w:p>
      <w:pPr>
        <w:pStyle w:val="FirstParagraph"/>
      </w:pPr>
      <w:r>
        <w:rPr>
          <w:bCs/>
          <w:b/>
        </w:rPr>
        <w:t xml:space="preserve">Problem:</w:t>
      </w:r>
      <w:r>
        <w:t xml:space="preserve"> </w:t>
      </w:r>
      <w:r>
        <w:t xml:space="preserve">Variety A: mean 4.2 t ha⁻¹, s = 0.30, n = 6; variety B: 3.8, s = 0.36, n = 6. Is the difference significant at 5%? (t₀.₀₅,₁₀ = 2.228)</w:t>
      </w:r>
    </w:p>
    <w:p>
      <w:pPr>
        <w:pStyle w:val="BodyText"/>
      </w:pPr>
      <w:r>
        <w:rPr>
          <w:bCs/>
          <w:b/>
        </w:rPr>
        <w:t xml:space="preserve">Steps:</w:t>
      </w:r>
      <w:r>
        <w:t xml:space="preserve"> </w:t>
      </w:r>
      <m:oMath>
        <m:sSubSup>
          <m:e>
            <m:r>
              <m:t>s</m:t>
            </m:r>
          </m:e>
          <m:sub>
            <m:r>
              <m:t>p</m:t>
            </m:r>
          </m:sub>
          <m:sup>
            <m:r>
              <m:t>2</m:t>
            </m:r>
          </m:sup>
        </m:sSubSup>
        <m:r>
          <m:rPr>
            <m:sty m:val="p"/>
          </m:rPr>
          <m:t>=</m:t>
        </m:r>
        <m:f>
          <m:fPr>
            <m:type m:val="bar"/>
          </m:fPr>
          <m:num>
            <m:r>
              <m:t>5</m:t>
            </m:r>
            <m:r>
              <m:rPr>
                <m:sty m:val="p"/>
              </m:rPr>
              <m:t>×</m:t>
            </m:r>
            <m:r>
              <m:t>0.09</m:t>
            </m:r>
            <m:r>
              <m:rPr>
                <m:sty m:val="p"/>
              </m:rPr>
              <m:t>+</m:t>
            </m:r>
            <m:r>
              <m:t>5</m:t>
            </m:r>
            <m:r>
              <m:rPr>
                <m:sty m:val="p"/>
              </m:rPr>
              <m:t>×</m:t>
            </m:r>
            <m:r>
              <m:t>0.1296</m:t>
            </m:r>
          </m:num>
          <m:den>
            <m:r>
              <m:t>10</m:t>
            </m:r>
          </m:den>
        </m:f>
        <m:r>
          <m:rPr>
            <m:sty m:val="p"/>
          </m:rPr>
          <m:t>=</m:t>
        </m:r>
        <m:r>
          <m:t>0.1098</m:t>
        </m:r>
      </m:oMath>
      <w:r>
        <w:t xml:space="preserve">,</w:t>
      </w:r>
      <w:r>
        <w:t xml:space="preserve"> </w:t>
      </w:r>
      <m:oMath>
        <m:sSub>
          <m:e>
            <m:r>
              <m:t>s</m:t>
            </m:r>
          </m:e>
          <m:sub>
            <m:r>
              <m:t>p</m:t>
            </m:r>
          </m:sub>
        </m:sSub>
        <m:r>
          <m:rPr>
            <m:sty m:val="p"/>
          </m:rPr>
          <m:t>=</m:t>
        </m:r>
        <m:r>
          <m:t>0.331</m:t>
        </m:r>
      </m:oMath>
      <w:r>
        <w:t xml:space="preserve">;</w:t>
      </w:r>
      <w:r>
        <w:t xml:space="preserve"> </w:t>
      </w:r>
      <m:oMath>
        <m:r>
          <m:t>t</m:t>
        </m:r>
        <m:r>
          <m:rPr>
            <m:sty m:val="p"/>
          </m:rPr>
          <m:t>=</m:t>
        </m:r>
        <m:f>
          <m:fPr>
            <m:type m:val="bar"/>
          </m:fPr>
          <m:num>
            <m:r>
              <m:t>0.4</m:t>
            </m:r>
          </m:num>
          <m:den>
            <m:r>
              <m:t>0.331</m:t>
            </m:r>
            <m:rad>
              <m:radPr>
                <m:degHide m:val="on"/>
              </m:radPr>
              <m:deg/>
              <m:e>
                <m:r>
                  <m:t>1</m:t>
                </m:r>
                <m:r>
                  <m:rPr>
                    <m:sty m:val="p"/>
                  </m:rPr>
                  <m:t>/</m:t>
                </m:r>
                <m:r>
                  <m:t>6</m:t>
                </m:r>
                <m:r>
                  <m:rPr>
                    <m:sty m:val="p"/>
                  </m:rPr>
                  <m:t>+</m:t>
                </m:r>
                <m:r>
                  <m:t>1</m:t>
                </m:r>
                <m:r>
                  <m:rPr>
                    <m:sty m:val="p"/>
                  </m:rPr>
                  <m:t>/</m:t>
                </m:r>
                <m:r>
                  <m:t>6</m:t>
                </m:r>
              </m:e>
            </m:rad>
          </m:den>
        </m:f>
        <m:r>
          <m:rPr>
            <m:sty m:val="p"/>
          </m:rPr>
          <m:t>=</m:t>
        </m:r>
        <m:f>
          <m:fPr>
            <m:type m:val="bar"/>
          </m:fPr>
          <m:num>
            <m:r>
              <m:t>0.4</m:t>
            </m:r>
          </m:num>
          <m:den>
            <m:r>
              <m:t>0.191</m:t>
            </m:r>
          </m:den>
        </m:f>
        <m:r>
          <m:rPr>
            <m:sty m:val="p"/>
          </m:rPr>
          <m:t>=</m:t>
        </m:r>
      </m:oMath>
      <w:r>
        <w:t xml:space="preserve"> </w:t>
      </w:r>
      <w:r>
        <w:rPr>
          <w:bCs/>
          <w:b/>
        </w:rPr>
        <w:t xml:space="preserve">2.09</w:t>
      </w:r>
      <w:r>
        <w:t xml:space="preserve"> </w:t>
      </w:r>
      <w:r>
        <w:t xml:space="preserve">&lt; 2.228 →</w:t>
      </w:r>
      <w:r>
        <w:t xml:space="preserve"> </w:t>
      </w:r>
      <w:r>
        <w:rPr>
          <w:bCs/>
          <w:b/>
        </w:rPr>
        <w:t xml:space="preserve">not significant</w:t>
      </w:r>
      <w:r>
        <w:t xml:space="preserve">; more replication would be needed.</w:t>
      </w:r>
    </w:p>
    <w:p>
      <w:pPr>
        <w:pStyle w:val="Heading3"/>
      </w:pPr>
      <w:r>
        <w:t xml:space="preserve">57.4.4 RBD ANOVA</w:t>
      </w:r>
    </w:p>
    <w:p>
      <w:pPr>
        <w:pStyle w:val="FirstParagraph"/>
      </w:pPr>
      <w:r>
        <w:rPr>
          <w:bCs/>
          <w:b/>
        </w:rPr>
        <w:t xml:space="preserve">Problem:</w:t>
      </w:r>
      <w:r>
        <w:t xml:space="preserve"> </w:t>
      </w:r>
      <w:r>
        <w:t xml:space="preserve">4 treatments × 3 replications; grand total G = 120, Σy² = 1250, treatment totals 36, 30, 27, 27; block totals 42, 40, 38. Complete the ANOVA.</w:t>
      </w:r>
    </w:p>
    <w:p>
      <w:pPr>
        <w:pStyle w:val="BodyText"/>
      </w:pPr>
      <w:r>
        <w:rPr>
          <w:bCs/>
          <w:b/>
        </w:rPr>
        <w:t xml:space="preserve">Steps:</w:t>
      </w:r>
      <w:r>
        <w:t xml:space="preserve"> </w:t>
      </w:r>
      <w:r>
        <w:t xml:space="preserve">CF = 120²/12 = 1200. Total SS = 1250 − 1200 = 50. Treatment SS = (36² + 30² + 27² + 27²)/3 − 1200 = (1296 + 900 + 729 + 729)/3 − 1200 = 1218 − 1200 = 18. Block SS = (42² + 40² + 38²)/4 − 1200 = 4808/4 − 1200 = 2. Error SS = 50 − 18 − 2 = 30.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Source</w:t>
            </w:r>
          </w:p>
        </w:tc>
        <w:tc>
          <w:tcPr/>
          <w:p>
            <w:pPr>
              <w:pStyle w:val="Compact"/>
              <w:jc w:val="left"/>
            </w:pPr>
            <w:r>
              <w:t xml:space="preserve">df</w:t>
            </w:r>
          </w:p>
        </w:tc>
        <w:tc>
          <w:tcPr/>
          <w:p>
            <w:pPr>
              <w:pStyle w:val="Compact"/>
              <w:jc w:val="left"/>
            </w:pPr>
            <w:r>
              <w:t xml:space="preserve">SS</w:t>
            </w:r>
          </w:p>
        </w:tc>
        <w:tc>
          <w:tcPr/>
          <w:p>
            <w:pPr>
              <w:pStyle w:val="Compact"/>
              <w:jc w:val="left"/>
            </w:pPr>
            <w:r>
              <w:t xml:space="preserve">MS</w:t>
            </w:r>
          </w:p>
        </w:tc>
        <w:tc>
          <w:tcPr/>
          <w:p>
            <w:pPr>
              <w:pStyle w:val="Compact"/>
              <w:jc w:val="left"/>
            </w:pPr>
            <w:r>
              <w:t xml:space="preserve">F</w:t>
            </w:r>
          </w:p>
        </w:tc>
      </w:tr>
      <w:tr>
        <w:tc>
          <w:tcPr/>
          <w:p>
            <w:pPr>
              <w:pStyle w:val="Compact"/>
              <w:jc w:val="left"/>
            </w:pPr>
            <w:r>
              <w:t xml:space="preserve">Blocks</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0.2</w:t>
            </w:r>
          </w:p>
        </w:tc>
      </w:tr>
      <w:tr>
        <w:tc>
          <w:tcPr/>
          <w:p>
            <w:pPr>
              <w:pStyle w:val="Compact"/>
              <w:jc w:val="left"/>
            </w:pPr>
            <w:r>
              <w:t xml:space="preserve">Treatments</w:t>
            </w:r>
          </w:p>
        </w:tc>
        <w:tc>
          <w:tcPr/>
          <w:p>
            <w:pPr>
              <w:pStyle w:val="Compact"/>
              <w:jc w:val="left"/>
            </w:pPr>
            <w:r>
              <w:t xml:space="preserve">3</w:t>
            </w:r>
          </w:p>
        </w:tc>
        <w:tc>
          <w:tcPr/>
          <w:p>
            <w:pPr>
              <w:pStyle w:val="Compact"/>
              <w:jc w:val="left"/>
            </w:pPr>
            <w:r>
              <w:t xml:space="preserve">18</w:t>
            </w:r>
          </w:p>
        </w:tc>
        <w:tc>
          <w:tcPr/>
          <w:p>
            <w:pPr>
              <w:pStyle w:val="Compact"/>
              <w:jc w:val="left"/>
            </w:pPr>
            <w:r>
              <w:t xml:space="preserve">6</w:t>
            </w:r>
          </w:p>
        </w:tc>
        <w:tc>
          <w:tcPr/>
          <w:p>
            <w:pPr>
              <w:pStyle w:val="Compact"/>
              <w:jc w:val="left"/>
            </w:pPr>
            <w:r>
              <w:t xml:space="preserve">1.2</w:t>
            </w:r>
          </w:p>
        </w:tc>
      </w:tr>
      <w:tr>
        <w:tc>
          <w:tcPr/>
          <w:p>
            <w:pPr>
              <w:pStyle w:val="Compact"/>
              <w:jc w:val="left"/>
            </w:pPr>
            <w:r>
              <w:t xml:space="preserve">Error</w:t>
            </w:r>
          </w:p>
        </w:tc>
        <w:tc>
          <w:tcPr/>
          <w:p>
            <w:pPr>
              <w:pStyle w:val="Compact"/>
              <w:jc w:val="left"/>
            </w:pPr>
            <w:r>
              <w:t xml:space="preserve">6</w:t>
            </w:r>
          </w:p>
        </w:tc>
        <w:tc>
          <w:tcPr/>
          <w:p>
            <w:pPr>
              <w:pStyle w:val="Compact"/>
              <w:jc w:val="left"/>
            </w:pPr>
            <w:r>
              <w:t xml:space="preserve">30</w:t>
            </w:r>
          </w:p>
        </w:tc>
        <w:tc>
          <w:tcPr/>
          <w:p>
            <w:pPr>
              <w:pStyle w:val="Compact"/>
              <w:jc w:val="left"/>
            </w:pPr>
            <w:r>
              <w:t xml:space="preserve">5</w:t>
            </w:r>
          </w:p>
        </w:tc>
        <w:tc>
          <w:tcPr/>
          <w:p>
            <w:pPr>
              <w:pStyle w:val="Compact"/>
            </w:pPr>
          </w:p>
        </w:tc>
      </w:tr>
      <w:tr>
        <w:tc>
          <w:tcPr/>
          <w:p>
            <w:pPr>
              <w:pStyle w:val="Compact"/>
              <w:jc w:val="left"/>
            </w:pPr>
            <w:r>
              <w:t xml:space="preserve">Total</w:t>
            </w:r>
          </w:p>
        </w:tc>
        <w:tc>
          <w:tcPr/>
          <w:p>
            <w:pPr>
              <w:pStyle w:val="Compact"/>
              <w:jc w:val="left"/>
            </w:pPr>
            <w:r>
              <w:t xml:space="preserve">11</w:t>
            </w:r>
          </w:p>
        </w:tc>
        <w:tc>
          <w:tcPr/>
          <w:p>
            <w:pPr>
              <w:pStyle w:val="Compact"/>
              <w:jc w:val="left"/>
            </w:pPr>
            <w:r>
              <w:t xml:space="preserve">50</w:t>
            </w:r>
          </w:p>
        </w:tc>
        <w:tc>
          <w:tcPr/>
          <w:p>
            <w:pPr>
              <w:pStyle w:val="Compact"/>
            </w:pPr>
          </w:p>
        </w:tc>
        <w:tc>
          <w:tcPr/>
          <w:p>
            <w:pPr>
              <w:pStyle w:val="Compact"/>
            </w:pPr>
          </w:p>
        </w:tc>
      </w:tr>
    </w:tbl>
    <w:p>
      <w:pPr>
        <w:pStyle w:val="BodyText"/>
      </w:pPr>
      <w:r>
        <w:t xml:space="preserve">F(3, 6) at 5% = 4.76 → treatments</w:t>
      </w:r>
      <w:r>
        <w:t xml:space="preserve"> </w:t>
      </w:r>
      <w:r>
        <w:rPr>
          <w:bCs/>
          <w:b/>
        </w:rPr>
        <w:t xml:space="preserve">not significant</w:t>
      </w:r>
      <w:r>
        <w:t xml:space="preserve">. CD = 2.447 × √(2 × 5/3) = 2.447 × 1.826 = 4.47.</w:t>
      </w:r>
    </w:p>
    <w:p>
      <w:pPr>
        <w:pStyle w:val="Heading3"/>
      </w:pPr>
      <w:r>
        <w:t xml:space="preserve">57.4.5 χ² test</w:t>
      </w:r>
    </w:p>
    <w:p>
      <w:pPr>
        <w:pStyle w:val="FirstParagraph"/>
      </w:pPr>
      <w:r>
        <w:rPr>
          <w:bCs/>
          <w:b/>
        </w:rPr>
        <w:t xml:space="preserve">Problem:</w:t>
      </w:r>
      <w:r>
        <w:t xml:space="preserve"> </w:t>
      </w:r>
      <w:r>
        <w:t xml:space="preserve">In an F₂ population, 290 tall and 110 dwarf plants are observed. Test the 3:1 ratio. (χ²₀.₀₅,₁ = 3.84)</w:t>
      </w:r>
    </w:p>
    <w:p>
      <w:pPr>
        <w:pStyle w:val="BodyText"/>
      </w:pPr>
      <w:r>
        <w:rPr>
          <w:bCs/>
          <w:b/>
        </w:rPr>
        <w:t xml:space="preserve">Steps:</w:t>
      </w:r>
      <w:r>
        <w:t xml:space="preserve"> </w:t>
      </w:r>
      <w:r>
        <w:t xml:space="preserve">Expected 300 and 100. χ² = (290 − 300)²/300 + (110 − 100)²/100 = 0.333 + 1.0 =</w:t>
      </w:r>
      <w:r>
        <w:t xml:space="preserve"> </w:t>
      </w:r>
      <w:r>
        <w:rPr>
          <w:bCs/>
          <w:b/>
        </w:rPr>
        <w:t xml:space="preserve">1.33</w:t>
      </w:r>
      <w:r>
        <w:t xml:space="preserve"> </w:t>
      </w:r>
      <w:r>
        <w:t xml:space="preserve">&lt; 3.84 → fits 3:1.</w:t>
      </w:r>
    </w:p>
    <w:p>
      <w:pPr>
        <w:pStyle w:val="Heading3"/>
      </w:pPr>
      <w:r>
        <w:t xml:space="preserve">57.4.6 Return period and risk</w:t>
      </w:r>
    </w:p>
    <w:p>
      <w:pPr>
        <w:pStyle w:val="FirstParagraph"/>
      </w:pPr>
      <w:r>
        <w:rPr>
          <w:bCs/>
          <w:b/>
        </w:rPr>
        <w:t xml:space="preserve">Problem:</w:t>
      </w:r>
      <w:r>
        <w:t xml:space="preserve"> </w:t>
      </w:r>
      <w:r>
        <w:t xml:space="preserve">A rainfall of 150 mm day⁻¹ has a 25-year return period. What is the probability it occurs at least once in 10 years?</w:t>
      </w:r>
    </w:p>
    <w:p>
      <w:pPr>
        <w:pStyle w:val="BodyText"/>
      </w:pPr>
      <w:r>
        <w:rPr>
          <w:bCs/>
          <w:b/>
        </w:rPr>
        <w:t xml:space="preserve">Steps:</w:t>
      </w:r>
      <w:r>
        <w:t xml:space="preserve"> </w:t>
      </w:r>
      <w:r>
        <w:t xml:space="preserve">P = 1/25 = 0.04; risk = 1 − (1 − 0.04)¹⁰ = 1 − 0.665 =</w:t>
      </w:r>
      <w:r>
        <w:t xml:space="preserve"> </w:t>
      </w:r>
      <w:r>
        <w:rPr>
          <w:bCs/>
          <w:b/>
        </w:rPr>
        <w:t xml:space="preserve">33.5%</w:t>
      </w:r>
      <w:r>
        <w:t xml:space="preserve">.</w:t>
      </w:r>
    </w:p>
    <w:p>
      <w:pPr>
        <w:pStyle w:val="Heading3"/>
      </w:pPr>
      <w:r>
        <w:t xml:space="preserve">57.4.7 Map scale and area</w:t>
      </w:r>
    </w:p>
    <w:p>
      <w:pPr>
        <w:pStyle w:val="FirstParagraph"/>
      </w:pPr>
      <w:r>
        <w:rPr>
          <w:bCs/>
          <w:b/>
        </w:rPr>
        <w:t xml:space="preserve">Problem:</w:t>
      </w:r>
      <w:r>
        <w:t xml:space="preserve"> </w:t>
      </w:r>
      <w:r>
        <w:t xml:space="preserve">A field measures 4 cm × 2.5 cm on a 1:25,000 map. Find ground area. How many 5.8 m (LISS-IV) pixels cover it?</w:t>
      </w:r>
    </w:p>
    <w:p>
      <w:pPr>
        <w:pStyle w:val="BodyText"/>
      </w:pPr>
      <w:r>
        <w:rPr>
          <w:bCs/>
          <w:b/>
        </w:rPr>
        <w:t xml:space="preserve">Steps:</w:t>
      </w:r>
      <w:r>
        <w:t xml:space="preserve"> </w:t>
      </w:r>
      <w:r>
        <w:t xml:space="preserve">Ground dimensions: 4 cm × 25,000 = 1000 m; 2.5 cm → 625 m. Area = 625,000 m² =</w:t>
      </w:r>
      <w:r>
        <w:t xml:space="preserve"> </w:t>
      </w:r>
      <w:r>
        <w:rPr>
          <w:bCs/>
          <w:b/>
        </w:rPr>
        <w:t xml:space="preserve">62.5 ha</w:t>
      </w:r>
      <w:r>
        <w:t xml:space="preserve">. Pixels = 625,000/(5.8²) = 625,000/33.64 ≈</w:t>
      </w:r>
      <w:r>
        <w:t xml:space="preserve"> </w:t>
      </w:r>
      <w:r>
        <w:rPr>
          <w:bCs/>
          <w:b/>
        </w:rPr>
        <w:t xml:space="preserve">18,580</w:t>
      </w:r>
      <w:r>
        <w:t xml:space="preserve">.</w:t>
      </w:r>
    </w:p>
    <w:p>
      <w:pPr>
        <w:pStyle w:val="Heading3"/>
      </w:pPr>
      <w:r>
        <w:t xml:space="preserve">57.4.8 Slope from a DEM</w:t>
      </w:r>
    </w:p>
    <w:p>
      <w:pPr>
        <w:pStyle w:val="FirstParagraph"/>
      </w:pPr>
      <w:r>
        <w:rPr>
          <w:bCs/>
          <w:b/>
        </w:rPr>
        <w:t xml:space="preserve">Problem:</w:t>
      </w:r>
      <w:r>
        <w:t xml:space="preserve"> </w:t>
      </w:r>
      <w:r>
        <w:t xml:space="preserve">Elevations in a 3 × 3 window with 30 m cells: east neighbour 112 m, west 100 m, north 108 m, south 102 m. Find slope (simple central differences).</w:t>
      </w:r>
    </w:p>
    <w:p>
      <w:pPr>
        <w:pStyle w:val="BodyText"/>
      </w:pPr>
      <w:r>
        <w:rPr>
          <w:bCs/>
          <w:b/>
        </w:rPr>
        <w:t xml:space="preserve">Steps:</w:t>
      </w:r>
      <w:r>
        <w:t xml:space="preserve"> </w:t>
      </w:r>
      <w:r>
        <w:t xml:space="preserve">dz/dx = (112 − 100)/(2 × 30) = 0.20; dz/dy = (108 − 102)/60 = 0.10. Slope = arctan √(0.20² + 0.10²) = arctan 0.2236 =</w:t>
      </w:r>
      <w:r>
        <w:t xml:space="preserve"> </w:t>
      </w:r>
      <w:r>
        <w:rPr>
          <w:bCs/>
          <w:b/>
        </w:rPr>
        <w:t xml:space="preserve">12.6°</w:t>
      </w:r>
      <w:r>
        <w:t xml:space="preserve"> </w:t>
      </w:r>
      <w:r>
        <w:t xml:space="preserve">(22.4%).</w:t>
      </w:r>
    </w:p>
    <w:p>
      <w:pPr>
        <w:pStyle w:val="Heading3"/>
      </w:pPr>
      <w:r>
        <w:t xml:space="preserve">57.4.9 GNSS distance from signal travel time</w:t>
      </w:r>
    </w:p>
    <w:p>
      <w:pPr>
        <w:pStyle w:val="FirstParagraph"/>
      </w:pPr>
      <w:r>
        <w:rPr>
          <w:bCs/>
          <w:b/>
        </w:rPr>
        <w:t xml:space="preserve">Problem:</w:t>
      </w:r>
      <w:r>
        <w:t xml:space="preserve"> </w:t>
      </w:r>
      <w:r>
        <w:t xml:space="preserve">A satellite signal takes 0.0700 s to reach the receiver. What is the pseudo-range, and what range error results from a 1 µs clock error?</w:t>
      </w:r>
    </w:p>
    <w:p>
      <w:pPr>
        <w:pStyle w:val="BodyText"/>
      </w:pPr>
      <w:r>
        <w:rPr>
          <w:bCs/>
          <w:b/>
        </w:rPr>
        <w:t xml:space="preserve">Steps:</w:t>
      </w:r>
      <w:r>
        <w:t xml:space="preserve"> </w:t>
      </w:r>
      <w:r>
        <w:t xml:space="preserve">ρ = c × t = 3 × 10⁸ × 0.07 =</w:t>
      </w:r>
      <w:r>
        <w:t xml:space="preserve"> </w:t>
      </w:r>
      <w:r>
        <w:rPr>
          <w:bCs/>
          <w:b/>
        </w:rPr>
        <w:t xml:space="preserve">21,000 km</w:t>
      </w:r>
      <w:r>
        <w:t xml:space="preserve">; error = 3 × 10⁸ × 10⁻⁶ =</w:t>
      </w:r>
      <w:r>
        <w:t xml:space="preserve"> </w:t>
      </w:r>
      <w:r>
        <w:rPr>
          <w:bCs/>
          <w:b/>
        </w:rPr>
        <w:t xml:space="preserve">300 m</w:t>
      </w:r>
      <w:r>
        <w:t xml:space="preserve"> </w:t>
      </w:r>
      <w:r>
        <w:t xml:space="preserve">— why receiver clock bias is solved as a fourth unknown (four satellites needed).</w:t>
      </w:r>
    </w:p>
    <w:p>
      <w:pPr>
        <w:pStyle w:val="Heading3"/>
      </w:pPr>
      <w:r>
        <w:t xml:space="preserve">57.4.10 Sample size for accuracy assessment</w:t>
      </w:r>
    </w:p>
    <w:p>
      <w:pPr>
        <w:pStyle w:val="FirstParagraph"/>
      </w:pPr>
      <w:r>
        <w:rPr>
          <w:bCs/>
          <w:b/>
        </w:rPr>
        <w:t xml:space="preserve">Problem:</w:t>
      </w:r>
      <w:r>
        <w:t xml:space="preserve"> </w:t>
      </w:r>
      <w:r>
        <w:t xml:space="preserve">Expected accuracy 90%, allowable error ±4% at 95% confidence.</w:t>
      </w:r>
    </w:p>
    <w:p>
      <w:pPr>
        <w:pStyle w:val="BodyText"/>
      </w:pPr>
      <w:r>
        <w:rPr>
          <w:bCs/>
          <w:b/>
        </w:rPr>
        <w:t xml:space="preserve">Steps:</w:t>
      </w:r>
      <w:r>
        <w:t xml:space="preserve"> </w:t>
      </w:r>
      <w:r>
        <w:t xml:space="preserve">n = 1.96² × 0.9 × 0.1/0.04² = 3.8416 × 0.09/0.0016 =</w:t>
      </w:r>
      <w:r>
        <w:t xml:space="preserve"> </w:t>
      </w:r>
      <w:r>
        <w:rPr>
          <w:bCs/>
          <w:b/>
        </w:rPr>
        <w:t xml:space="preserve">216 points</w:t>
      </w:r>
      <w:r>
        <w:t xml:space="preserve">.</w:t>
      </w:r>
    </w:p>
    <w:p>
      <w:pPr>
        <w:pStyle w:val="Heading2"/>
      </w:pPr>
      <w:r>
        <w:t xml:space="preserve">57.5 Climate and Carbon</w:t>
      </w:r>
    </w:p>
    <w:p>
      <w:pPr>
        <w:pStyle w:val="Heading3"/>
      </w:pPr>
      <w:r>
        <w:t xml:space="preserve">57.5.1 Radiative forcing of CO₂</w:t>
      </w:r>
    </w:p>
    <w:p>
      <w:pPr>
        <w:pStyle w:val="FirstParagraph"/>
      </w:pPr>
      <w:r>
        <w:rPr>
          <w:bCs/>
          <w:b/>
        </w:rPr>
        <w:t xml:space="preserve">Problem:</w:t>
      </w:r>
      <w:r>
        <w:t xml:space="preserve"> </w:t>
      </w:r>
      <w:r>
        <w:t xml:space="preserve">Find radiative forcing when CO₂ rises from 280 to 420 ppm, and equilibrium warming with climate sensitivity parameter λ = 0.8 K (W m⁻²)⁻¹.</w:t>
      </w:r>
    </w:p>
    <w:p>
      <w:pPr>
        <w:pStyle w:val="BodyText"/>
      </w:pPr>
      <w:r>
        <w:rPr>
          <w:bCs/>
          <w:b/>
        </w:rPr>
        <w:t xml:space="preserve">Steps:</w:t>
      </w:r>
      <w:r>
        <w:t xml:space="preserve"> </w:t>
      </w:r>
      <m:oMath>
        <m:r>
          <m:t>Δ</m:t>
        </m:r>
        <m:r>
          <m:t>F</m:t>
        </m:r>
        <m:r>
          <m:rPr>
            <m:sty m:val="p"/>
          </m:rPr>
          <m:t>=</m:t>
        </m:r>
        <m:r>
          <m:t>5.35</m:t>
        </m:r>
        <m:r>
          <m:rPr>
            <m:sty m:val="p"/>
          </m:rPr>
          <m:t>ln</m:t>
        </m:r>
        <m:d>
          <m:dPr>
            <m:begChr m:val="("/>
            <m:endChr m:val=")"/>
            <m:sepChr m:val=""/>
            <m:grow/>
          </m:dPr>
          <m:e>
            <m:r>
              <m:t>C</m:t>
            </m:r>
            <m:r>
              <m:rPr>
                <m:sty m:val="p"/>
              </m:rPr>
              <m:t>/</m:t>
            </m:r>
            <m:sSub>
              <m:e>
                <m:r>
                  <m:t>C</m:t>
                </m:r>
              </m:e>
              <m:sub>
                <m:r>
                  <m:t>0</m:t>
                </m:r>
              </m:sub>
            </m:sSub>
          </m:e>
        </m:d>
        <m:r>
          <m:rPr>
            <m:sty m:val="p"/>
          </m:rPr>
          <m:t>=</m:t>
        </m:r>
        <m:r>
          <m:t>5.35</m:t>
        </m:r>
        <m:r>
          <m:rPr>
            <m:sty m:val="p"/>
          </m:rPr>
          <m:t>ln</m:t>
        </m:r>
        <m:d>
          <m:dPr>
            <m:begChr m:val="("/>
            <m:endChr m:val=")"/>
            <m:sepChr m:val=""/>
            <m:grow/>
          </m:dPr>
          <m:e>
            <m:r>
              <m:t>1.5</m:t>
            </m:r>
          </m:e>
        </m:d>
        <m:r>
          <m:rPr>
            <m:sty m:val="p"/>
          </m:rPr>
          <m:t>=</m:t>
        </m:r>
        <m:r>
          <m:t>5.35</m:t>
        </m:r>
        <m:r>
          <m:rPr>
            <m:sty m:val="p"/>
          </m:rPr>
          <m:t>×</m:t>
        </m:r>
        <m:r>
          <m:t>0.405</m:t>
        </m:r>
        <m:r>
          <m:rPr>
            <m:sty m:val="p"/>
          </m:rPr>
          <m:t>=</m:t>
        </m:r>
      </m:oMath>
      <w:r>
        <w:t xml:space="preserve"> </w:t>
      </w:r>
      <w:r>
        <w:rPr>
          <w:bCs/>
          <w:b/>
        </w:rPr>
        <w:t xml:space="preserve">2.17 W m⁻²</w:t>
      </w:r>
      <w:r>
        <w:t xml:space="preserve">; ΔT = 0.8 × 2.17 =</w:t>
      </w:r>
      <w:r>
        <w:t xml:space="preserve"> </w:t>
      </w:r>
      <w:r>
        <w:rPr>
          <w:bCs/>
          <w:b/>
        </w:rPr>
        <w:t xml:space="preserve">1.7 K</w:t>
      </w:r>
      <w:r>
        <w:t xml:space="preserve"> </w:t>
      </w:r>
      <w:r>
        <w:t xml:space="preserve">(equilibrium; doubling gives 5.35 ln 2 = 3.7 W m⁻² → ~3 K).</w:t>
      </w:r>
    </w:p>
    <w:p>
      <w:pPr>
        <w:pStyle w:val="Heading3"/>
      </w:pPr>
      <w:r>
        <w:t xml:space="preserve">57.5.2 Methane emission from rice (IPCC Tier 1 style)</w:t>
      </w:r>
    </w:p>
    <w:p>
      <w:pPr>
        <w:pStyle w:val="FirstParagraph"/>
      </w:pPr>
      <w:r>
        <w:rPr>
          <w:bCs/>
          <w:b/>
        </w:rPr>
        <w:t xml:space="preserve">Problem:</w:t>
      </w:r>
      <w:r>
        <w:t xml:space="preserve"> </w:t>
      </w:r>
      <w:r>
        <w:t xml:space="preserve">Baseline emission factor 1.19 kg CH₄ ha⁻¹ day⁻¹; scaling factor for intermittent irrigation 0.6; organic amendment factor 1.2; season 110 days; area 1000 ha. Find seasonal emission and CO₂-equivalent (GWP₁₀₀ = 27).</w:t>
      </w:r>
    </w:p>
    <w:p>
      <w:pPr>
        <w:pStyle w:val="BodyText"/>
      </w:pPr>
      <w:r>
        <w:rPr>
          <w:bCs/>
          <w:b/>
        </w:rPr>
        <w:t xml:space="preserve">Steps:</w:t>
      </w:r>
      <w:r>
        <w:t xml:space="preserve"> </w:t>
      </w:r>
      <w:r>
        <w:t xml:space="preserve">EF = 1.19 × 0.6 × 1.2 = 0.857 kg ha⁻¹ day⁻¹; seasonal = 0.857 × 110 × 1000 ≈ 94,250 kg =</w:t>
      </w:r>
      <w:r>
        <w:t xml:space="preserve"> </w:t>
      </w:r>
      <w:r>
        <w:rPr>
          <w:bCs/>
          <w:b/>
        </w:rPr>
        <w:t xml:space="preserve">94.2 t CH₄</w:t>
      </w:r>
      <w:r>
        <w:t xml:space="preserve"> </w:t>
      </w:r>
      <w:r>
        <w:t xml:space="preserve">→ 94.2 × 27 ≈</w:t>
      </w:r>
      <w:r>
        <w:t xml:space="preserve"> </w:t>
      </w:r>
      <w:r>
        <w:rPr>
          <w:bCs/>
          <w:b/>
        </w:rPr>
        <w:t xml:space="preserve">2545 t CO₂e</w:t>
      </w:r>
      <w:r>
        <w:t xml:space="preserve">.</w:t>
      </w:r>
    </w:p>
    <w:p>
      <w:pPr>
        <w:pStyle w:val="Heading3"/>
      </w:pPr>
      <w:r>
        <w:t xml:space="preserve">57.5.3 Soil organic carbon stock</w:t>
      </w:r>
    </w:p>
    <w:p>
      <w:pPr>
        <w:pStyle w:val="FirstParagraph"/>
      </w:pPr>
      <w:r>
        <w:rPr>
          <w:bCs/>
          <w:b/>
        </w:rPr>
        <w:t xml:space="preserve">Problem:</w:t>
      </w:r>
      <w:r>
        <w:t xml:space="preserve"> </w:t>
      </w:r>
      <w:r>
        <w:t xml:space="preserve">SOC 0.6%, bulk density 1.4 g cm⁻³, depth 30 cm. Find stock in t C ha⁻¹.</w:t>
      </w:r>
    </w:p>
    <w:p>
      <w:pPr>
        <w:pStyle w:val="BodyText"/>
      </w:pPr>
      <w:r>
        <w:rPr>
          <w:bCs/>
          <w:b/>
        </w:rPr>
        <w:t xml:space="preserve">Steps:</w:t>
      </w:r>
      <w:r>
        <w:t xml:space="preserve"> </w:t>
      </w:r>
      <w:r>
        <w:t xml:space="preserve">SOC stock = SOC(%) × ρb × depth(cm) = 0.6 × 1.4 × 30 =</w:t>
      </w:r>
      <w:r>
        <w:t xml:space="preserve"> </w:t>
      </w:r>
      <w:r>
        <w:rPr>
          <w:bCs/>
          <w:b/>
        </w:rPr>
        <w:t xml:space="preserve">25.2 t C ha⁻¹</w:t>
      </w:r>
      <w:r>
        <w:t xml:space="preserve"> </w:t>
      </w:r>
      <w:r>
        <w:t xml:space="preserve">(unit check: 1% × 1 g cm⁻³ × 1 cm = 1 t ha⁻¹). A rise to 0.7% sequesters 4.2 t C ha⁻¹ = 15.4 t CO₂ ha⁻¹.</w:t>
      </w:r>
    </w:p>
    <w:p>
      <w:pPr>
        <w:pStyle w:val="Heading3"/>
      </w:pPr>
      <w:r>
        <w:t xml:space="preserve">57.5.4 Practice tip</w:t>
      </w:r>
    </w:p>
    <w:p>
      <w:pPr>
        <w:pStyle w:val="FirstParagraph"/>
      </w:pPr>
      <w:r>
        <w:t xml:space="preserve">When unsure, always</w:t>
      </w:r>
      <w:r>
        <w:t xml:space="preserve"> </w:t>
      </w:r>
      <w:r>
        <w:rPr>
          <w:bCs/>
          <w:b/>
        </w:rPr>
        <w:t xml:space="preserve">write the formula, list units, check orders of magnitude</w:t>
      </w:r>
      <w:r>
        <w:t xml:space="preserve"> </w:t>
      </w:r>
      <w:r>
        <w:t xml:space="preserve">(NDVI between −1 and 1; daily ET of a crop 2–8 mm; Rn at noon 400–700 W m⁻²; Bowen ratio 0.1 over irrigated crops, &gt; 2 over dry land). Interviewers value correct reasoning and unit handling more than speed.</w:t>
      </w:r>
    </w:p>
    <w:p>
      <w:pPr>
        <w:pStyle w:val="Heading1"/>
      </w:pPr>
      <w:r>
        <w:t xml:space="preserve">Chapter 58. Interview Question Bank with Model Answers</w:t>
      </w:r>
    </w:p>
    <w:p>
      <w:pPr>
        <w:pStyle w:val="Heading2"/>
      </w:pPr>
      <w:r>
        <w:t xml:space="preserve">58.1 Micrometeorology and Flux Measurement</w:t>
      </w:r>
    </w:p>
    <w:p>
      <w:pPr>
        <w:pStyle w:val="FirstParagraph"/>
      </w:pPr>
      <w:r>
        <w:rPr>
          <w:bCs/>
          <w:b/>
        </w:rPr>
        <w:t xml:space="preserve">Q1. What is the physical meaning of the Obukhov length, and why does its sign matter?</w:t>
      </w:r>
      <w:r>
        <w:t xml:space="preserve"> </w:t>
      </w:r>
      <w:r>
        <w:t xml:space="preserve">The Obukhov length is the height at which buoyant turbulence production/destruction becomes comparable to mechanical (shear) turbulence production. Its sign indicates stability: negative L means unstable/convective conditions (buoyancy generates turbulence, typical of a sunny daytime surface); positive L means stable conditions (buoyancy destroys turbulence, typical of a clear, calm night with surface radiative cooling); L→∞ is neutral. It is the natural length scale used to normalise height in Monin–Obukhov Similarity Theory.</w:t>
      </w:r>
    </w:p>
    <w:p>
      <w:pPr>
        <w:pStyle w:val="BodyText"/>
      </w:pPr>
      <w:r>
        <w:rPr>
          <w:bCs/>
          <w:b/>
        </w:rPr>
        <w:t xml:space="preserve">Q2. Why is the sensible heat flux from a Large Aperture Scintillometer solved iteratively?</w:t>
      </w:r>
      <w:r>
        <w:t xml:space="preserve"> </w:t>
      </w:r>
      <w:r>
        <w:t xml:space="preserve">Because the temperature-structure-parameter-to-flux relationship (via the MOST universal function fT) depends on the stability parameter z/L, and L itself depends on the (unknown) sensible heat flux H through u*T*. You must guess an initial H, compute L, get a refined fT and hence H, and repeat until convergence — a closed-loop dependency that cannot be solved in one non-iterative step.</w:t>
      </w:r>
    </w:p>
    <w:p>
      <w:pPr>
        <w:pStyle w:val="BodyText"/>
      </w:pPr>
      <w:r>
        <w:rPr>
          <w:bCs/>
          <w:b/>
        </w:rPr>
        <w:t xml:space="preserve">Q3. Why does an open-path IRGA need the WPL correction but a closed-path one needs a time-lag correction instead?</w:t>
      </w:r>
      <w:r>
        <w:t xml:space="preserve"> </w:t>
      </w:r>
      <w:r>
        <w:t xml:space="preserve">An open-path IRGA measures the ambient air’s fluctuating molar/mass density directly in the free airstream, so density fluctuations caused by simultaneous heat and water-vapour transport (not just the CO2/CH4 signal itself) bias the flux — the Webb–Pearman–Leuning (WPL) correction removes this bias. A closed-path instrument draws air through a tube to an enclosed cell, which attenuates high-frequency fluctuations and delays the signal relative to the sonic anemometer — requiring a time-lag (cross-correlation) correction instead; density effects are much smaller because the tube itself partially dampens them and the analyser often operates near-isobarically.</w:t>
      </w:r>
    </w:p>
    <w:p>
      <w:pPr>
        <w:pStyle w:val="BodyText"/>
      </w:pPr>
      <w:r>
        <w:rPr>
          <w:bCs/>
          <w:b/>
        </w:rPr>
        <w:t xml:space="preserve">Q4. Distinguish gradient Richardson number from bulk Richardson number, and state the critical value’s meaning.</w:t>
      </w:r>
      <w:r>
        <w:t xml:space="preserve"> </w:t>
      </w:r>
      <w:r>
        <w:t xml:space="preserve">Gradient Ri uses continuous vertical derivatives of potential temperature and wind; bulk Rib approximates these with finite differences between two measurement levels, useful when only two-level AWS-type data are available. Above the critical Richardson number (~0.25), turbulence generated by shear cannot overcome the suppressing effect of stable stratification, and turbulent mixing collapses — relevant to nocturnal-inversion/frost-risk forecasting.</w:t>
      </w:r>
    </w:p>
    <w:p>
      <w:pPr>
        <w:pStyle w:val="BodyText"/>
      </w:pPr>
      <w:r>
        <w:rPr>
          <w:bCs/>
          <w:b/>
        </w:rPr>
        <w:t xml:space="preserve">Q5. Why does energy-balance closure often fail in eddy-covariance experiments, and how is it corrected?</w:t>
      </w:r>
      <w:r>
        <w:t xml:space="preserve"> </w:t>
      </w:r>
      <w:r>
        <w:t xml:space="preserve">Measured H+LE is typically 10–30% smaller than available energy (Rn−G), attributed to a scale mismatch — the EC tower’s point/footprint measurement misses low-frequency, mesoscale transport that a 30-minute average cannot capture, while Rn and G are essentially point measurements. The standard correction preserves the measured Bowen ratio (H/LE) and redistributes the residual between H and LE.</w:t>
      </w:r>
    </w:p>
    <w:p>
      <w:pPr>
        <w:pStyle w:val="Heading2"/>
      </w:pPr>
      <w:r>
        <w:t xml:space="preserve">58.2 Optical, Thermal and Microwave Concepts</w:t>
      </w:r>
    </w:p>
    <w:p>
      <w:pPr>
        <w:pStyle w:val="FirstParagraph"/>
      </w:pPr>
      <w:r>
        <w:rPr>
          <w:bCs/>
          <w:b/>
        </w:rPr>
        <w:t xml:space="preserve">Q6. Why can Sun-Induced Fluorescence detect crop stress before NDVI does?</w:t>
      </w:r>
      <w:r>
        <w:t xml:space="preserve"> </w:t>
      </w:r>
      <w:r>
        <w:t xml:space="preserve">SIF directly tracks the photochemical-yield component of the fluorescence-photochemistry-NPQ energy-partitioning triangle, so it responds to a photosynthetic down-regulation (e.g., midday stomatal closure under water stress) within minutes. NDVI reflects structural/pigment greenness, which only visibly declines after sustained stress has degraded chlorophyll content or canopy structure — a much slower, later-stage response.</w:t>
      </w:r>
    </w:p>
    <w:p>
      <w:pPr>
        <w:pStyle w:val="BodyText"/>
      </w:pPr>
      <w:r>
        <w:rPr>
          <w:bCs/>
          <w:b/>
        </w:rPr>
        <w:t xml:space="preserve">Q7. What is thermal inertia, and why does apparent thermal inertia use albedo in its formula?</w:t>
      </w:r>
      <w:r>
        <w:t xml:space="preserve"> </w:t>
      </w:r>
      <w:r>
        <w:t xml:space="preserve">Thermal inertia (√(kρc)) measures a material’s resistance to temperature change under periodic heating. Apparent Thermal Inertia, ATI = (1−A)/(Ts,day−Ts,night), uses (1−A) because two surfaces receiving identical insolation but different albedo absorb different amounts of energy — normalising by absorbed (not incident) energy isolates the true thermal-response signal from the confounding albedo effect.</w:t>
      </w:r>
    </w:p>
    <w:p>
      <w:pPr>
        <w:pStyle w:val="BodyText"/>
      </w:pPr>
      <w:r>
        <w:rPr>
          <w:bCs/>
          <w:b/>
        </w:rPr>
        <w:t xml:space="preserve">Q8. Explain the hot-spot effect in BRDF and why it matters for LAI retrieval.</w:t>
      </w:r>
      <w:r>
        <w:t xml:space="preserve"> </w:t>
      </w:r>
      <w:r>
        <w:t xml:space="preserve">The hot-spot is a sharp reflectance peak occurring when the sensor views from exactly the illumination direction, because in that unique geometry no shadows cast by canopy elements are visible to the sensor. Its width and sharpness are diagnostic of canopy gap-fraction/clumping, making it one of the most information-rich BRDF features for structural (LAI, clumping-index) retrieval.</w:t>
      </w:r>
    </w:p>
    <w:p>
      <w:pPr>
        <w:pStyle w:val="BodyText"/>
      </w:pPr>
      <w:r>
        <w:rPr>
          <w:bCs/>
          <w:b/>
        </w:rPr>
        <w:t xml:space="preserve">Q9. Describe the SAR backscatter signature of a rice crop through its growth cycle.</w:t>
      </w:r>
      <w:r>
        <w:t xml:space="preserve"> </w:t>
      </w:r>
      <w:r>
        <w:t xml:space="preserve">Low backscatter at transplanting (flooded field acts as a smooth specular reflector), a sharp rise during vegetative growth (double-bounce scattering between vertical stems and the underlying water surface, especially strong in HH polarisation, plus rising volume scattering), and a plateau/slight decline at maturity as dense canopy obscures the water surface and volume scattering dominates. This</w:t>
      </w:r>
      <w:r>
        <w:t xml:space="preserve"> </w:t>
      </w:r>
      <w:r>
        <w:t xml:space="preserve">“</w:t>
      </w:r>
      <w:r>
        <w:t xml:space="preserve">low–rise–plateau</w:t>
      </w:r>
      <w:r>
        <w:t xml:space="preserve">”</w:t>
      </w:r>
      <w:r>
        <w:t xml:space="preserve"> </w:t>
      </w:r>
      <w:r>
        <w:t xml:space="preserve">signature is the algorithmic basis of SASYA/EOS-04 rice mapping.</w:t>
      </w:r>
    </w:p>
    <w:p>
      <w:pPr>
        <w:pStyle w:val="Heading2"/>
      </w:pPr>
      <w:r>
        <w:t xml:space="preserve">58.3 Satellite Systems</w:t>
      </w:r>
    </w:p>
    <w:p>
      <w:pPr>
        <w:pStyle w:val="FirstParagraph"/>
      </w:pPr>
      <w:r>
        <w:rPr>
          <w:bCs/>
          <w:b/>
        </w:rPr>
        <w:t xml:space="preserve">Q10. Differentiate Level 1B and Level 2 satellite data products.</w:t>
      </w:r>
      <w:r>
        <w:t xml:space="preserve"> </w:t>
      </w:r>
      <w:r>
        <w:t xml:space="preserve">L1B is radiometrically calibrated at-sensor radiance (converted from raw digital counts using calibration coefficients), still in sensor geometry/units, with only systematic geometric correction applied. L2 is a derived geophysical variable (surface reflectance, LST, soil moisture) obtained by applying a retrieval algorithm (often including atmospheric correction) to L1 data, expressing a physically meaningful quantity rather than raw sensor signal.</w:t>
      </w:r>
    </w:p>
    <w:p>
      <w:pPr>
        <w:pStyle w:val="BodyText"/>
      </w:pPr>
      <w:r>
        <w:rPr>
          <w:bCs/>
          <w:b/>
        </w:rPr>
        <w:t xml:space="preserve">Q11. Why does NISAR carry both L-band and S-band SAR?</w:t>
      </w:r>
      <w:r>
        <w:t xml:space="preserve"> </w:t>
      </w:r>
      <w:r>
        <w:t xml:space="preserve">Different microwave wavelengths interact differently with canopy structure: L-band (24 cm) penetrates deeper and is more sensitive to larger woody elements (trunks, branches), useful for above-ground biomass; S-band (12 cm) interacts more with smaller canopy elements and near-surface structure. Combining both allows separation of structural scattering contributions across scales, improving biomass and soil-moisture retrieval robustness.</w:t>
      </w:r>
    </w:p>
    <w:p>
      <w:pPr>
        <w:pStyle w:val="BodyText"/>
      </w:pPr>
      <w:r>
        <w:rPr>
          <w:bCs/>
          <w:b/>
        </w:rPr>
        <w:t xml:space="preserve">Q12. Why is AWiFS preferred over LISS-III for FASAL’s within-season monitoring despite coarser resolution?</w:t>
      </w:r>
      <w:r>
        <w:t xml:space="preserve"> </w:t>
      </w:r>
      <w:r>
        <w:t xml:space="preserve">AWiFS has a 5-day revisit versus LISS-III’s 24-day revisit, at the cost of coarser (56 m vs 23.5 m) resolution. For large-area, within-season crop-condition/acreage monitoring where timely, frequent coverage matters more than fine spatial detail, and where cloud gaps must be bridged by frequent re-observation, AWiFS’s temporal advantage outweighs its coarser spatial resolution.</w:t>
      </w:r>
    </w:p>
    <w:p>
      <w:pPr>
        <w:pStyle w:val="Heading2"/>
      </w:pPr>
      <w:r>
        <w:t xml:space="preserve">58.4 Geostatistics and Multivariate Methods</w:t>
      </w:r>
    </w:p>
    <w:p>
      <w:pPr>
        <w:pStyle w:val="FirstParagraph"/>
      </w:pPr>
      <w:r>
        <w:rPr>
          <w:bCs/>
          <w:b/>
        </w:rPr>
        <w:t xml:space="preserve">Q13. Why is kriging called a</w:t>
      </w:r>
      <w:r>
        <w:rPr>
          <w:bCs/>
          <w:b/>
        </w:rPr>
        <w:t xml:space="preserve"> </w:t>
      </w:r>
      <w:r>
        <w:rPr>
          <w:bCs/>
          <w:b/>
        </w:rPr>
        <w:t xml:space="preserve">“</w:t>
      </w:r>
      <w:r>
        <w:rPr>
          <w:bCs/>
          <w:b/>
        </w:rPr>
        <w:t xml:space="preserve">best linear unbiased estimator,</w:t>
      </w:r>
      <w:r>
        <w:rPr>
          <w:bCs/>
          <w:b/>
        </w:rPr>
        <w:t xml:space="preserve">”</w:t>
      </w:r>
      <w:r>
        <w:rPr>
          <w:bCs/>
          <w:b/>
        </w:rPr>
        <w:t xml:space="preserve"> </w:t>
      </w:r>
      <w:r>
        <w:rPr>
          <w:bCs/>
          <w:b/>
        </w:rPr>
        <w:t xml:space="preserve">and how does it differ from Inverse Distance Weighting?</w:t>
      </w:r>
      <w:r>
        <w:t xml:space="preserve"> </w:t>
      </w:r>
      <w:r>
        <w:t xml:space="preserve">Kriging weights are derived by minimising estimation variance subject to an unbiasedness constraint (Σλi=1), using the empirically fitted semivariogram to describe how spatial correlation actually decays with distance — the weights adapt to the data’s true spatial structure and provide a rigorous estimation-variance (uncertainty) surface. IDW uses an arbitrary, fixed distance-decay exponent unrelated to the data’s actual spatial autocorrelation and provides no statistically meaningful uncertainty estimate.</w:t>
      </w:r>
    </w:p>
    <w:p>
      <w:pPr>
        <w:pStyle w:val="BodyText"/>
      </w:pPr>
      <w:r>
        <w:rPr>
          <w:bCs/>
          <w:b/>
        </w:rPr>
        <w:t xml:space="preserve">Q14. What do the nugget, sill and range of a semivariogram represent?</w:t>
      </w:r>
      <w:r>
        <w:t xml:space="preserve"> </w:t>
      </w:r>
      <w:r>
        <w:t xml:space="preserve">Nugget is the semivariance at zero lag (measurement error plus unresolved fine-scale variability); sill is the semivariance plateau representing total variance, reached where samples become spatially uncorrelated; range is the lag distance at which the sill is reached, defining the maximum distance over which the variable is spatially autocorrelated and hence the practical interpolation search radius.</w:t>
      </w:r>
    </w:p>
    <w:p>
      <w:pPr>
        <w:pStyle w:val="BodyText"/>
      </w:pPr>
      <w:r>
        <w:rPr>
          <w:bCs/>
          <w:b/>
        </w:rPr>
        <w:t xml:space="preserve">Q15. In PCA, what does an eigenvalue physically represent, and why are eigenvectors of a covariance matrix orthogonal?</w:t>
      </w:r>
      <w:r>
        <w:t xml:space="preserve"> </w:t>
      </w:r>
      <w:r>
        <w:t xml:space="preserve">An eigenvalue equals the variance of the data when projected onto its corresponding eigenvector direction — i.e., how much of the total variance that principal component explains. Eigenvectors of a symmetric matrix (the covariance matrix is always symmetric) are mathematically guaranteed to be mutually orthogonal, which is exactly why principal components are, by construction, uncorrelated with one another.</w:t>
      </w:r>
    </w:p>
    <w:p>
      <w:pPr>
        <w:pStyle w:val="BodyText"/>
      </w:pPr>
      <w:r>
        <w:rPr>
          <w:bCs/>
          <w:b/>
        </w:rPr>
        <w:t xml:space="preserve">Q16. Why might PC2, not PC1, be more useful for vegetation stress detection in a multispectral PCA?</w:t>
      </w:r>
      <w:r>
        <w:t xml:space="preserve"> </w:t>
      </w:r>
      <w:r>
        <w:t xml:space="preserve">PC1 typically captures overall scene brightness/albedo variation, since all bands tend to co-vary with total reflected energy — this dominant variance can mask subtler contrasts. PC2 (and later components) often isolate the residual, orthogonal contrast between band groups (e.g., visible versus near-infrared) once the brightness variance is removed, which frequently corresponds more directly to vegetation-vigour or moisture contrasts relevant to stress detection.</w:t>
      </w:r>
    </w:p>
    <w:p>
      <w:pPr>
        <w:pStyle w:val="BodyText"/>
      </w:pPr>
      <w:r>
        <w:rPr>
          <w:bCs/>
          <w:b/>
        </w:rPr>
        <w:t xml:space="preserve">Q17. What is the key statistical weakness of naive stepwise regression, and how is it mitigated?</w:t>
      </w:r>
      <w:r>
        <w:t xml:space="preserve"> </w:t>
      </w:r>
      <w:r>
        <w:t xml:space="preserve">Repeatedly testing many candidate variables at each step is an implicit multiple-comparisons problem, inflating the true Type-I error (false-positive predictor inclusion) rate beyond the nominal significance threshold, and the procedure is a greedy, path-dependent search that need not find the globally best subset. It is mitigated by using information criteria (AIC/BIC, which penalise model complexity) instead of raw p-values, and by validating the selected model on independent/held-out data.</w:t>
      </w:r>
    </w:p>
    <w:p>
      <w:pPr>
        <w:pStyle w:val="Heading2"/>
      </w:pPr>
      <w:r>
        <w:t xml:space="preserve">58.5 Soil Mapping and Soil–Water Relations</w:t>
      </w:r>
    </w:p>
    <w:p>
      <w:pPr>
        <w:pStyle w:val="FirstParagraph"/>
      </w:pPr>
      <w:r>
        <w:rPr>
          <w:bCs/>
          <w:b/>
        </w:rPr>
        <w:t xml:space="preserve">Q18. Explain the</w:t>
      </w:r>
      <w:r>
        <w:rPr>
          <w:bCs/>
          <w:b/>
        </w:rPr>
        <w:t xml:space="preserve"> </w:t>
      </w:r>
      <w:r>
        <w:rPr>
          <w:bCs/>
          <w:b/>
        </w:rPr>
        <w:t xml:space="preserve">“</w:t>
      </w:r>
      <w:r>
        <w:rPr>
          <w:bCs/>
          <w:b/>
        </w:rPr>
        <w:t xml:space="preserve">hybrid approach</w:t>
      </w:r>
      <w:r>
        <w:rPr>
          <w:bCs/>
          <w:b/>
        </w:rPr>
        <w:t xml:space="preserve">”</w:t>
      </w:r>
      <w:r>
        <w:rPr>
          <w:bCs/>
          <w:b/>
        </w:rPr>
        <w:t xml:space="preserve"> </w:t>
      </w:r>
      <w:r>
        <w:rPr>
          <w:bCs/>
          <w:b/>
        </w:rPr>
        <w:t xml:space="preserve">used in Indian soil resource mapping.</w:t>
      </w:r>
      <w:r>
        <w:t xml:space="preserve"> </w:t>
      </w:r>
      <w:r>
        <w:t xml:space="preserve">It exploits the well-established relationship between physiography (landform), lithology (parent material) and vegetation cover, all of which are directly observable on satellite imagery, and the underlying soil type, which is not directly spectrally visible. An interpreter delineates physiographic units from imagery, field-verifies and correlates them with soil-profile/laboratory data, and assigns soil classes to each unit — combining image-derived spatial delineation with ground-truth taxonomic assignment.</w:t>
      </w:r>
    </w:p>
    <w:p>
      <w:pPr>
        <w:pStyle w:val="BodyText"/>
      </w:pPr>
      <w:r>
        <w:rPr>
          <w:bCs/>
          <w:b/>
        </w:rPr>
        <w:t xml:space="preserve">Q19. Why is 1:10,000-scale soil/LULC mapping specifically useful for precision agriculture, while 1:250,000 is not?</w:t>
      </w:r>
      <w:r>
        <w:t xml:space="preserve"> </w:t>
      </w:r>
      <w:r>
        <w:t xml:space="preserve">Precision agriculture and village-level soil-nutrient management require parcel-level spatial resolution to delineate homogeneous management zones within individual farmers’ fields — achievable only at large scales like 1:10,000 with high-resolution sensors (LISS-IV, Cartosat). 1:250,000 mapping resolves only broad regional/district-level patterns, entirely unable to distinguish within-field or even between-adjacent-small-field variability typical of Indian smallholder agriculture.</w:t>
      </w:r>
    </w:p>
    <w:p>
      <w:pPr>
        <w:pStyle w:val="BodyText"/>
      </w:pPr>
      <w:r>
        <w:rPr>
          <w:bCs/>
          <w:b/>
        </w:rPr>
        <w:t xml:space="preserve">Q20. Derive the relationship between gravimetric and volumetric soil water content.</w:t>
      </w:r>
      <w:r>
        <w:t xml:space="preserve"> </w:t>
      </w:r>
      <w:r>
        <w:t xml:space="preserve">θv = θg × (ρb/ρw), where θg is gravimetric water content (mass water/mass dry soil), ρb is soil bulk density and ρw is water density. This follows because θv = Vwater/Vtotal = (Mwater/ρw)/(Mdry-soil/ρb) = θg×(ρb/ρw) — for a fixed gravimetric content, higher bulk density (more compacted soil) yields higher volumetric water content, since more dry-soil mass is packed into the same total volume.</w:t>
      </w:r>
    </w:p>
    <w:p>
      <w:pPr>
        <w:pStyle w:val="BodyText"/>
      </w:pPr>
      <w:r>
        <w:rPr>
          <w:bCs/>
          <w:b/>
        </w:rPr>
        <w:t xml:space="preserve">Q21. Why does soil dielectric constant enable microwave soil-moisture retrieval?</w:t>
      </w:r>
      <w:r>
        <w:t xml:space="preserve"> </w:t>
      </w:r>
      <w:r>
        <w:t xml:space="preserve">Liquid water has a dielectric constant of roughly 80, versus about 3–5 for dry soil minerals and 1 for air. As volumetric water content rises, the soil’s bulk dielectric constant rises steeply and near-monotonically, and this change directly and strongly modifies both microwave emissivity (sensed by radiometers) and backscatter (sensed by SAR/scatterometers), providing the physical mechanism for essentially all satellite soil-moisture retrieval.</w:t>
      </w:r>
    </w:p>
    <w:p>
      <w:pPr>
        <w:pStyle w:val="Heading2"/>
      </w:pPr>
      <w:r>
        <w:t xml:space="preserve">58.6 Crop Forecasting and FASAL</w:t>
      </w:r>
    </w:p>
    <w:p>
      <w:pPr>
        <w:pStyle w:val="FirstParagraph"/>
      </w:pPr>
      <w:r>
        <w:rPr>
          <w:bCs/>
          <w:b/>
        </w:rPr>
        <w:t xml:space="preserve">Q22. Distinguish the disaggregation and aggregation approaches to crop-area estimation.</w:t>
      </w:r>
      <w:r>
        <w:t xml:space="preserve"> </w:t>
      </w:r>
      <w:r>
        <w:t xml:space="preserve">Disaggregation starts from a reliable, already-known coarse-level (e.g., district) area total and uses satellite classification only to determine its spatial distribution at finer scale — the total is fixed externally, satellite data only refines the pattern. Aggregation starts by estimating area independently at a fine unit (e.g., village) using satellite classification and ground-truth calibration, then sums these fine-unit estimates upward to obtain the coarse total — here satellite data supplies both the spatial pattern and the total.</w:t>
      </w:r>
    </w:p>
    <w:p>
      <w:pPr>
        <w:pStyle w:val="BodyText"/>
      </w:pPr>
      <w:r>
        <w:rPr>
          <w:bCs/>
          <w:b/>
        </w:rPr>
        <w:t xml:space="preserve">Q23. What weight do satellite-based estimates carry in YES-TECH’s area-yield claim-settlement model?</w:t>
      </w:r>
      <w:r>
        <w:t xml:space="preserve"> </w:t>
      </w:r>
      <w:r>
        <w:t xml:space="preserve">30 percent, with the remainder drawn from ground-based Crop Cutting Experiment observation, within an ensemble that also uses statistical, semi-physical crop-simulation, and machine-learning yield models.</w:t>
      </w:r>
    </w:p>
    <w:p>
      <w:pPr>
        <w:pStyle w:val="BodyText"/>
      </w:pPr>
      <w:r>
        <w:rPr>
          <w:bCs/>
          <w:b/>
        </w:rPr>
        <w:t xml:space="preserve">Q24. How does the</w:t>
      </w:r>
      <w:r>
        <w:rPr>
          <w:bCs/>
          <w:b/>
        </w:rPr>
        <w:t xml:space="preserve"> </w:t>
      </w:r>
      <w:r>
        <w:rPr>
          <w:bCs/>
          <w:b/>
        </w:rPr>
        <w:t xml:space="preserve">“</w:t>
      </w:r>
      <w:r>
        <w:rPr>
          <w:bCs/>
          <w:b/>
        </w:rPr>
        <w:t xml:space="preserve">smart sampling</w:t>
      </w:r>
      <w:r>
        <w:rPr>
          <w:bCs/>
          <w:b/>
        </w:rPr>
        <w:t xml:space="preserve">”</w:t>
      </w:r>
      <w:r>
        <w:rPr>
          <w:bCs/>
          <w:b/>
        </w:rPr>
        <w:t xml:space="preserve"> </w:t>
      </w:r>
      <w:r>
        <w:rPr>
          <w:bCs/>
          <w:b/>
        </w:rPr>
        <w:t xml:space="preserve">technique under YES-TECH improve on traditional CCE placement?</w:t>
      </w:r>
      <w:r>
        <w:t xml:space="preserve"> </w:t>
      </w:r>
      <w:r>
        <w:t xml:space="preserve">It uses satellite-derived crop-condition/homogeneity information to identify where within-insurance-unit crop-condition variability is greatest, and concentrates limited CCE plots at those locations rather than placing them by simple random/systematic rules blind to actual field-to-field variability — improving the statistical efficiency (lower estimate variance for the same number of CCEs), conceptually the same logic as using kriging variance to guide optimal sample placement.</w:t>
      </w:r>
    </w:p>
    <w:p>
      <w:pPr>
        <w:pStyle w:val="BodyText"/>
      </w:pPr>
      <w:r>
        <w:rPr>
          <w:bCs/>
          <w:b/>
        </w:rPr>
        <w:t xml:space="preserve">Q25. What is SASYA, and what data does it use?</w:t>
      </w:r>
      <w:r>
        <w:t xml:space="preserve"> </w:t>
      </w:r>
      <w:r>
        <w:t xml:space="preserve">SASYA is an AI/machine-learning-based crop-mapping tool developed by NRSC/ISRO, using multi-temporal C-band SAR backscatter data from EOS-04 (RISAT-1A) as its core feature set — exploiting crop-specific temporal-backscatter growth signatures (e.g., rice’s low-rise-plateau pattern) in a supervised classifier — integrated into the BHOONIDHI portal and used operationally by MNCFC/MoA&amp;FW.</w:t>
      </w:r>
    </w:p>
    <w:p>
      <w:pPr>
        <w:pStyle w:val="BodyText"/>
      </w:pPr>
      <w:r>
        <w:rPr>
          <w:bCs/>
          <w:b/>
        </w:rPr>
        <w:t xml:space="preserve">Q26. Why is SAR, not optical data, used for national kharif rice-area mapping by end of August?</w:t>
      </w:r>
      <w:r>
        <w:t xml:space="preserve"> </w:t>
      </w:r>
      <w:r>
        <w:t xml:space="preserve">The kharif/monsoon season brings persistent cloud cover that frequently obscures optical sensors for weeks at a time, precisely during the critical rice-transplanting-to-early-growth window needed for timely area mapping. C-band SAR penetrates cloud cover entirely (microwave wavelengths are largely unaffected by clouds), enabling reliable, all-weather image acquisition and hence a firm end-of-August completion deadline that optical-only mapping could not guarantee.</w:t>
      </w:r>
    </w:p>
    <w:p>
      <w:pPr>
        <w:pStyle w:val="BodyText"/>
      </w:pPr>
      <w:r>
        <w:rPr>
          <w:bCs/>
          <w:b/>
        </w:rPr>
        <w:t xml:space="preserve">Q27. Outline the general methodology for a wheat yellow-rust early-warning system.</w:t>
      </w:r>
      <w:r>
        <w:t xml:space="preserve"> </w:t>
      </w:r>
      <w:r>
        <w:t xml:space="preserve">Combine a weather-based disease-favourability model (rust favoured by roughly 10–20°C with sufficient leaf-wetness/humidity duration) computed from AWS/satellite meteorological data, with remote-sensing detection of already-symptomatic canopy anomalies (localised NDVI/red-edge depression against the field’s expected healthy growth trajectory). Cross-verify flagged locations against field/pathology survey reports before issuing an advisory bulletin to state agriculture departments within the favourable-risk window.</w:t>
      </w:r>
    </w:p>
    <w:p>
      <w:pPr>
        <w:pStyle w:val="Heading2"/>
      </w:pPr>
      <w:r>
        <w:t xml:space="preserve">58.7 Disaster Management</w:t>
      </w:r>
    </w:p>
    <w:p>
      <w:pPr>
        <w:pStyle w:val="FirstParagraph"/>
      </w:pPr>
      <w:r>
        <w:rPr>
          <w:bCs/>
          <w:b/>
        </w:rPr>
        <w:t xml:space="preserve">Q28. Why is SAR the primary sensor for flood mapping, and what complicates flooded-vegetation detection?</w:t>
      </w:r>
      <w:r>
        <w:t xml:space="preserve"> </w:t>
      </w:r>
      <w:r>
        <w:t xml:space="preserve">Open standing water causes specular reflection of the radar pulse away from the sensor, producing very low, easily thresholded backscatter, unambiguous even under heavy monsoon cloud cover that would block optical imaging. However, partially submerged vegetation (crops, trees) produces double-bounce scattering between the water surface and emergent stems, which can</w:t>
      </w:r>
      <w:r>
        <w:t xml:space="preserve"> </w:t>
      </w:r>
      <w:r>
        <w:rPr>
          <w:iCs/>
          <w:i/>
        </w:rPr>
        <w:t xml:space="preserve">enhance</w:t>
      </w:r>
      <w:r>
        <w:t xml:space="preserve"> </w:t>
      </w:r>
      <w:r>
        <w:t xml:space="preserve">rather than reduce backscatter — requiring a separate detection rule from the simple low-backscatter open-water threshold.</w:t>
      </w:r>
    </w:p>
    <w:p>
      <w:pPr>
        <w:pStyle w:val="BodyText"/>
      </w:pPr>
      <w:r>
        <w:rPr>
          <w:bCs/>
          <w:b/>
        </w:rPr>
        <w:t xml:space="preserve">Q29. Explain the physical basis of satellite active-fire detection.</w:t>
      </w:r>
      <w:r>
        <w:t xml:space="preserve"> </w:t>
      </w:r>
      <w:r>
        <w:t xml:space="preserve">By Wien’s Displacement Law, a fire’s high combustion temperature shifts its thermal emission peak to much shorter wavelengths (~3.9 µm) than the ambient land surface’s peak (~10–12 µm). Even a sub-pixel fire therefore causes a disproportionately large brightness-temperature elevation in the mid-infrared channel relative to background, tested contextually (against a local window of background pixels’ mean and standard deviation) rather than with a single fixed global threshold, making the algorithm robust across varying background conditions.</w:t>
      </w:r>
    </w:p>
    <w:p>
      <w:pPr>
        <w:pStyle w:val="BodyText"/>
      </w:pPr>
      <w:r>
        <w:rPr>
          <w:bCs/>
          <w:b/>
        </w:rPr>
        <w:t xml:space="preserve">Q30. Why have farmers reportedly shifted crop-residue-burning timing, and what does that imply for monitoring design?</w:t>
      </w:r>
      <w:r>
        <w:t xml:space="preserve"> </w:t>
      </w:r>
      <w:r>
        <w:t xml:space="preserve">ISRO studies report farmers increasingly burning during pre-dawn/early-morning hours, apparently to reduce detection probability under the late-morning/early-afternoon overpass timing of the polar-orbiting satellites (MODIS/VIIRS) most commonly used for fire monitoring. This motivates greater reliance on INSAT-3D/3DR’s continuous, sub-hourly geostationary coverage and multi-satellite/multi-overpass-time compositing to counter the detection gap.</w:t>
      </w:r>
    </w:p>
    <w:p>
      <w:pPr>
        <w:pStyle w:val="BodyText"/>
      </w:pPr>
      <w:r>
        <w:rPr>
          <w:bCs/>
          <w:b/>
        </w:rPr>
        <w:t xml:space="preserve">Q31. Why is evapotranspiration considered a better agricultural-drought indicator than rainfall deficit alone?</w:t>
      </w:r>
      <w:r>
        <w:t xml:space="preserve"> </w:t>
      </w:r>
      <w:r>
        <w:t xml:space="preserve">Rainfall deficit alone ignores antecedent soil moisture, evaporative-demand anomalies (temperature, humidity, wind), and crop-stage sensitivity — the same rainfall shortfall can produce very different agricultural-drought severity depending on these factors. Actual evapotranspiration (especially relative to potential/reference ET) directly reflects the realised crop-water-stress response integrating the full soil-plant-atmosphere water balance, and stomatal-closure-driven ET decline typically precedes visible canopy greenness decline, giving earlier warning.</w:t>
      </w:r>
    </w:p>
    <w:p>
      <w:pPr>
        <w:pStyle w:val="Heading2"/>
      </w:pPr>
      <w:r>
        <w:t xml:space="preserve">58.8 Atmospheric Products</w:t>
      </w:r>
    </w:p>
    <w:p>
      <w:pPr>
        <w:pStyle w:val="FirstParagraph"/>
      </w:pPr>
      <w:r>
        <w:rPr>
          <w:bCs/>
          <w:b/>
        </w:rPr>
        <w:t xml:space="preserve">Q32. How does the INSAT-3D fog-detection algorithm work at night?</w:t>
      </w:r>
      <w:r>
        <w:t xml:space="preserve"> </w:t>
      </w:r>
      <w:r>
        <w:t xml:space="preserve">It uses the brightness-temperature difference between the mid-wave-infrared (~3.9 µm) and thermal-infrared (~10.8 µm) channels. Small water droplets characteristic of fog/low cloud have distinctly different emissivity behaviour at these two wavelengths (lower at 3.9 µm) compared to bare land (near-unity emissivity at both), producing a diagnostic negative brightness-temperature-difference signature at night, when the 3.9 µm channel is purely thermal-emission-based without solar-reflectance contamination.</w:t>
      </w:r>
    </w:p>
    <w:p>
      <w:pPr>
        <w:pStyle w:val="BodyText"/>
      </w:pPr>
      <w:r>
        <w:rPr>
          <w:bCs/>
          <w:b/>
        </w:rPr>
        <w:t xml:space="preserve">Q33. Explain the split-window SST algorithm.</w:t>
      </w:r>
      <w:r>
        <w:t xml:space="preserve"> </w:t>
      </w:r>
      <w:r>
        <w:t xml:space="preserve">It exploits the differential water-vapour absorption between two closely spaced thermal-infrared window channels (here, ~10.8 µm and ~12.0 µm) — water vapour absorbs more strongly at 12.0 µm, so the brightness-temperature difference between the channels scales with total atmospheric water-vapour path. An empirical/physical regression, SST = a·T10.8 + b·(T10.8−T12.0) + c, tuned against buoy/ship in-situ SST, corrects the atmospherically attenuated window brightness temperature back to true skin SST.</w:t>
      </w:r>
    </w:p>
    <w:p>
      <w:pPr>
        <w:pStyle w:val="BodyText"/>
      </w:pPr>
      <w:r>
        <w:rPr>
          <w:bCs/>
          <w:b/>
        </w:rPr>
        <w:t xml:space="preserve">Q34. Why is height assignment the critical step in deriving Atmospheric Motion Vectors?</w:t>
      </w:r>
      <w:r>
        <w:t xml:space="preserve"> </w:t>
      </w:r>
      <w:r>
        <w:t xml:space="preserve">The wind vector is computed purely from the displacement of a tracked cloud/water-vapour feature between two images divided by elapsed time — but that vector is meaningless unless correctly attributed to the atmospheric level (pressure/height) it represents, since wind varies substantially with height. Height is assigned from the feature’s brightness temperature converted via a reference NWP temperature profile, and this step is the largest source of AMV uncertainty.</w:t>
      </w:r>
    </w:p>
    <w:p>
      <w:pPr>
        <w:pStyle w:val="BodyText"/>
      </w:pPr>
      <w:r>
        <w:rPr>
          <w:bCs/>
          <w:b/>
        </w:rPr>
        <w:t xml:space="preserve">Q35. What information does the Lifted Index provide, and how is it computed?</w:t>
      </w:r>
      <w:r>
        <w:t xml:space="preserve"> </w:t>
      </w:r>
      <w:r>
        <w:t xml:space="preserve">It quantifies atmospheric (convective) instability by comparing the temperature of a parcel lifted dry/moist-adiabatically from near the surface to 500 hPa against the actual environmental temperature observed at 500 hPa (from the Sounder-retrieved profile). A strongly negative Lifted Index indicates high instability and severe-convective-weather potential.</w:t>
      </w:r>
    </w:p>
    <w:p>
      <w:pPr>
        <w:pStyle w:val="Heading2"/>
      </w:pPr>
      <w:r>
        <w:t xml:space="preserve">58.9 Forestry and Biodiversity</w:t>
      </w:r>
    </w:p>
    <w:p>
      <w:pPr>
        <w:pStyle w:val="FirstParagraph"/>
      </w:pPr>
      <w:r>
        <w:rPr>
          <w:bCs/>
          <w:b/>
        </w:rPr>
        <w:t xml:space="preserve">Q36. Why does L-band SAR backscatter saturate at high forest biomass, and how is this addressed?</w:t>
      </w:r>
      <w:r>
        <w:t xml:space="preserve"> </w:t>
      </w:r>
      <w:r>
        <w:t xml:space="preserve">Once canopy woody structure becomes dense enough, the radar signal can no longer distinguish further increases in biomass because the scattering volume is already saturated with scattering elements — additional biomass no longer proportionally increases backscatter. This is addressed by using SAR interferometric coherence and polarimetric decomposition (which retain sensitivity at higher biomass than simple backscatter intensity) and by combining SAR with LiDAR-derived structural metrics, which are not subject to the same electromagnetic saturation limitation.</w:t>
      </w:r>
    </w:p>
    <w:p>
      <w:pPr>
        <w:pStyle w:val="BodyText"/>
      </w:pPr>
      <w:r>
        <w:rPr>
          <w:bCs/>
          <w:b/>
        </w:rPr>
        <w:t xml:space="preserve">Q37. What is circuit-theory-based connectivity modelling, and how does it differ from least-cost-path analysis?</w:t>
      </w:r>
      <w:r>
        <w:t xml:space="preserve"> </w:t>
      </w:r>
      <w:r>
        <w:t xml:space="preserve">It treats the landscape as an electrical-resistance network, where each cell’s resistance reflects movement difficulty for a target species, and models the flow of</w:t>
      </w:r>
      <w:r>
        <w:t xml:space="preserve"> </w:t>
      </w:r>
      <w:r>
        <w:t xml:space="preserve">“</w:t>
      </w:r>
      <w:r>
        <w:t xml:space="preserve">current</w:t>
      </w:r>
      <w:r>
        <w:t xml:space="preserve">”</w:t>
      </w:r>
      <w:r>
        <w:t xml:space="preserve"> </w:t>
      </w:r>
      <w:r>
        <w:t xml:space="preserve">across all possible paths simultaneously (analogous to the probability/intensity of animal movement diffusing across the landscape), rather than identifying only the single cheapest route as least-cost-path analysis does — giving a more realistic picture of overall connectivity robustness, including redundant/alternative corridor routes.</w:t>
      </w:r>
    </w:p>
    <w:p>
      <w:pPr>
        <w:pStyle w:val="Heading2"/>
      </w:pPr>
      <w:r>
        <w:t xml:space="preserve">58.10 LULC, Water Resources and Recent Developments</w:t>
      </w:r>
    </w:p>
    <w:p>
      <w:pPr>
        <w:pStyle w:val="FirstParagraph"/>
      </w:pPr>
      <w:r>
        <w:rPr>
          <w:bCs/>
          <w:b/>
        </w:rPr>
        <w:t xml:space="preserve">Q38. What is Net Sown Area, and how does it differ from Gross Cropped Area?</w:t>
      </w:r>
      <w:r>
        <w:t xml:space="preserve"> </w:t>
      </w:r>
      <w:r>
        <w:t xml:space="preserve">Net Sown Area is the actual physical area of land sown to crops in a given agricultural year, counted once regardless of how many crops are grown on it sequentially. Gross Cropped Area counts the same land multiple times — once for each crop grown on it during the year (e.g., a field growing both a kharif and a rabi crop counts twice toward Gross Cropped Area but once toward Net Sown Area). The ratio Gross Cropped Area / Net Sown Area is the cropping-intensity index.</w:t>
      </w:r>
    </w:p>
    <w:p>
      <w:pPr>
        <w:pStyle w:val="BodyText"/>
      </w:pPr>
      <w:r>
        <w:rPr>
          <w:bCs/>
          <w:b/>
        </w:rPr>
        <w:t xml:space="preserve">Q39. Why does GAGAN specifically need to correct for ionospheric delay more than GPS alone requires?</w:t>
      </w:r>
      <w:r>
        <w:t xml:space="preserve"> </w:t>
      </w:r>
      <w:r>
        <w:t xml:space="preserve">The ionosphere refracts/retards GPS L1-frequency radio signals by an amount dependent on total electron content along the path, and this delay is the single largest GPS-error source over equatorial/low-latitude regions such as India, where ionospheric variability (including equatorial-anomaly effects) is particularly pronounced. GAGAN’s reference-station network continuously measures this residual error and broadcasts a correction, which is essential to meet aviation-grade positioning-accuracy and integrity requirements.</w:t>
      </w:r>
    </w:p>
    <w:p>
      <w:pPr>
        <w:pStyle w:val="BodyText"/>
      </w:pPr>
      <w:r>
        <w:rPr>
          <w:bCs/>
          <w:b/>
        </w:rPr>
        <w:t xml:space="preserve">Q40. Why does NavIC use geostationary/geosynchronous satellites rather than GPS-style medium-Earth orbit?</w:t>
      </w:r>
      <w:r>
        <w:t xml:space="preserve"> </w:t>
      </w:r>
      <w:r>
        <w:t xml:space="preserve">This architecture guarantees continuous, high-elevation-angle visibility specifically over the Indian region and its immediate neighbourhood, improving signal availability in urban-canyon or terrain-shadowed conditions (where a low-elevation satellite’s line-of-sight is more easily blocked) compared to GPS satellites, which pass through a much wider range of elevation angles as seen from any fixed point on Earth, including low elevations more prone to obstruction.</w:t>
      </w:r>
    </w:p>
    <w:p>
      <w:pPr>
        <w:pStyle w:val="Heading2"/>
      </w:pPr>
      <w:r>
        <w:t xml:space="preserve">58.11 Likely ISRO SAC Interview Questions — Detailed Scientific Answers</w:t>
      </w:r>
    </w:p>
    <w:p>
      <w:pPr>
        <w:pStyle w:val="FirstParagraph"/>
      </w:pPr>
      <w:r>
        <w:t xml:space="preserve">The following bank includes the specific probes most likely to be asked on this topic, plus a broader set of related questions an interview panel commonly uses to test depth once a candidate signals familiarity with FASAL/NADAMS/PROSAIL-type material.</w:t>
      </w:r>
    </w:p>
    <w:p>
      <w:pPr>
        <w:pStyle w:val="Heading4"/>
      </w:pPr>
      <w:r>
        <w:rPr>
          <w:iCs/>
          <w:i/>
        </w:rPr>
        <w:t xml:space="preserve">Q1. Why is microwave/SAR indispensable for kharif rice mapping in India?</w:t>
      </w:r>
    </w:p>
    <w:p>
      <w:pPr>
        <w:pStyle w:val="FirstParagraph"/>
      </w:pPr>
      <w:r>
        <w:t xml:space="preserve">Kharif rice (~40 million ha) is grown almost entirely during the June–October monsoon, when persistent multi-day cloud cover over the eastern and coastal rice belts routinely leaves optical sensors without a single usable cloud-free acquisition for weeks. SAR (e.g. Sentinel-1 C-band, or India's own RISAT-1/EOS-04) is an active sensor — it transmits its own microwave pulse and largely penetrates cloud, haze and light-moderate rain — so it acquires a usable image on essentially every overpass, giving the dense, regular multi-temporal series that phenology-based classification needs. Beyond cloud-independence, SAR is physically well-matched to rice specifically: standing water in a freshly transplanted flooded paddy is a smooth specular reflector giving very low backscatter, which rises sharply as the canopy establishes (volume scattering from vertical stems/leaves plus double-bounce scattering off water-then-stem), then declines on dry-down before harvest. This low→sharp-rise→decline trajectory is a near-fingerprint signature that optical reflectance alone does not offer as distinctly, making SAR indispensable on both an availability basis and a discriminating-power basis.</w:t>
      </w:r>
    </w:p>
    <w:p>
      <w:pPr>
        <w:pStyle w:val="Heading4"/>
      </w:pPr>
      <w:r>
        <w:rPr>
          <w:iCs/>
          <w:i/>
        </w:rPr>
        <w:t xml:space="preserve">Q2. What is the difference between a purely statistical spectral-yield regression, a semi-physical (APAR × RUE) approach, and a crop-growth-model-assimilation approach? Why do operational systems triangulate all three rather than trusting one?</w:t>
      </w:r>
    </w:p>
    <w:p>
      <w:pPr>
        <w:pStyle w:val="FirstParagraph"/>
      </w:pPr>
      <w:r>
        <w:t xml:space="preserve">Statistical spectral-yield regression fits historical yield against a peak-season vegetation index and agromet covariates (yield ≈ a + b1·VIpeak + b2·rainfall + b3·GDD); it is cheap and fast but purely correlative and can silently fail in any season whose weather or management falls outside its calibration years. The semi-physical APAR×RUE approach applies Monteith's light-use-efficiency principle — Biomass = Σ(APAR·RUE), APAR = PAR·(1−e^(−k·LAI)), Yield = Biomass×HI — adding real physical mechanism (light interception and conversion) but treating RUE as a near-constant that in reality varies with stress, temperature and VPD. Crop-growth-model assimilation (e.g. InfoCrop-Wheat corrected with PROSAIL-inverted LAI via an Ensemble Kalman Filter) is the most mechanistically complete, explicitly simulating phenology and stress day-by-day, but is the most data-hungry and most sensitive to compounding input errors over a long simulation. Because the three methods' blind spots are largely uncorrelated, running all three gives FASAL/MNCFC a built-in cross-check — large disagreement flags a data or model problem before release — and lets the forecast lean on whichever method is best-validated for that crop/season/region, rather than betting the national forecast on one model's assumptions.</w:t>
      </w:r>
    </w:p>
    <w:p>
      <w:pPr>
        <w:pStyle w:val="Heading4"/>
      </w:pPr>
      <w:r>
        <w:rPr>
          <w:iCs/>
          <w:i/>
        </w:rPr>
        <w:t xml:space="preserve">Q3. How do mixed pixels, fragmented Indo-Gangetic Plains landholdings, and intercropping degrade acreage/classification accuracy, and how do SMT / temporal-profile matching partially mitigate this?</w:t>
      </w:r>
    </w:p>
    <w:p>
      <w:pPr>
        <w:pStyle w:val="FirstParagraph"/>
      </w:pPr>
      <w:r>
        <w:t xml:space="preserve">A medium-resolution pixel (56 m AWiFS, even 10 m Sentinel-2) can straddle several smallholder fields, so its spectral signature is a mixture of multiple crops rather than a pure signal — degrading both classification and biophysical retrieval, which assume pixel purity. IGP holdings are often well under a hectare and further split into non-contiguous parcels with different sowing dates/cultivars even for the "same" crop, so the "one field, one phenology" assumption behind simple single-date classification breaks down at exactly the scale most Indian farmers operate at. Intercropping (e.g. wheat-mustard strips) produces mixed signatures matching no pure training class at all. Temporal-profile (growth-curve) matching mitigates this by classifying on the full-season NDVI trajectory rather than a single date, since different crops/cultivars have distinguishable curve shapes even when a single date's reflectance looks identical — reducing, though not eliminating, confusion. Smart Sampling Technique (SMT) stratifies the cropped area by growth-curve similarity and then allocates denser ground-truth (CCE) sampling precisely to strata with high residual heterogeneity — concentrating correction effort where the RS-alone estimate is least reliable. Neither restores true sub-field resolution; both are statistically optimal ways of managing residual uncertainty given the resolution actually available, which is why very-high-resolution imagery and SAR-optical fusion remain active improvement areas for the IGP specifically.</w:t>
      </w:r>
    </w:p>
    <w:p>
      <w:pPr>
        <w:pStyle w:val="Heading4"/>
      </w:pPr>
      <w:r>
        <w:rPr>
          <w:iCs/>
          <w:i/>
        </w:rPr>
        <w:t xml:space="preserve">Q4. Why are RS yield estimates still blended with Crop Cutting Experiments (CCEs) rather than replacing them outright?</w:t>
      </w:r>
    </w:p>
    <w:p>
      <w:pPr>
        <w:pStyle w:val="FirstParagraph"/>
      </w:pPr>
      <w:r>
        <w:t xml:space="preserve">Three converging reasons, spanning legal, technical and social dimensions. Regulatory acceptance: PMFBY's claim-settlement framework is legally built around CCE as the statutorily recognised ground-truth measurement, and a wholesale RS-only switch would require substantial revision of that architecture, with insurers/auditors/courts currently anchored to physically verifiable records. Ground-truth calibration: every RS yield model — statistical, semi-physical or assimilation-based — is itself calibrated and validated against CCE data; CCEs are not a legacy relic being phased out but an ongoing epistemic anchor the RS system structurally depends on. Farmer trust: because PMFBY payouts are already based on an area-average rather than an individual farmer's actual loss, replacing a physically verifiable, locally witnessed harvest measurement with an opaque satellite number — however statistically superior on average — risks a legitimacy deficit that can produce disputes and litigation regardless of technical accuracy. This is why YES-TECH uses a gradually increasing technology weight validated season-by-season rather than an abrupt switch — managing the trust transition alongside the technical one.</w:t>
      </w:r>
    </w:p>
    <w:p>
      <w:pPr>
        <w:pStyle w:val="Heading4"/>
      </w:pPr>
      <w:r>
        <w:rPr>
          <w:iCs/>
          <w:i/>
        </w:rPr>
        <w:t xml:space="preserve">Q5. Explain the institutional handoff: SAC develops, NRSC operationalises data supply, MNCFC runs the programme.</w:t>
      </w:r>
    </w:p>
    <w:p>
      <w:pPr>
        <w:pStyle w:val="FirstParagraph"/>
      </w:pPr>
      <w:r>
        <w:t xml:space="preserve">SAC (Ahmedabad) is the R&amp;D/invent layer: designs and characterises sensors, develops and validates retrieval algorithms (crop classification, biophysical-parameter retrieval, SAR rice-mapping, drought indices), and prototypes new techniques — often with academic partners like IARI/IIST — before they are mature enough for national-scale operations. NRSC (Hyderabad) is the operationalise/produce layer: once SAC validates a method, NRSC receives/processes/archives/disseminates the actual satellite data at operational cadence, running validated algorithms as standing pipelines (NADAMS bulletins, national LULC, Wastelands Atlas, daily fire alerts) via Bhuvan and direct government feeds. MNCFC (New Delhi, under DA&amp;FW) is the translate/decide layer: it does no primary remote sensing itself — it defines what the agriculture ministry needs (which crops/states/forecast windows/accuracy), integrates NRSC/SAC-origin RS products with non-RS inputs (IMD weather, ground CCE/survey data), and issues final decision-ready bulletins to policymakers and insurers. Shorthand: SAC builds and teaches the instrument, NRSC runs the observatory and publishes the nightly catalogue, MNCFC is the analyst's desk deciding what in that catalogue matters to government.</w:t>
      </w:r>
    </w:p>
    <w:p>
      <w:pPr>
        <w:pStyle w:val="Heading4"/>
      </w:pPr>
      <w:r>
        <w:rPr>
          <w:iCs/>
          <w:i/>
        </w:rPr>
        <w:t xml:space="preserve">Q6. Why does NADAMS use NDVI, NDWI and a standardized anomaly index (SASI-type) together rather than relying on NDVI alone?</w:t>
      </w:r>
    </w:p>
    <w:p>
      <w:pPr>
        <w:pStyle w:val="FirstParagraph"/>
      </w:pPr>
      <w:r>
        <w:t xml:space="preserve">NDVI alone conflates several things that look identical in a single greenness number: a naturally sparse late-sown crop, a genuinely water-stressed crop, and a crop past physiological maturity can all show "low" NDVI for entirely different, non-drought reasons, and NDVI also saturates at moderate-to-high LAI. NDWI = (NIR−SWIR)/(NIR+SWIR) adds an independent, mechanistically water-status-specific channel via the SWIR water-absorption feature, and typically registers stress earlier than NDVI because leaf water potential drops before visible chlorosis. VCI and a standardized-anomaly (z-score against the multi-year pixel climatology) formulation remove site-to-site and crop-to-crop baseline differences, so "abnormally low" means the same thing across different soils/crops/regions rather than depending on an arbitrary fixed NDVI threshold. Combining all three — and requiring the anomaly to persist across consecutive fortnightly cycles before escalating severity — lets NADAMS avoid both false alarms (one noisy/hazy acquisition) and missed detections (a stressed crop that still looks moderately green on a single index).</w:t>
      </w:r>
    </w:p>
    <w:p>
      <w:pPr>
        <w:pStyle w:val="Heading4"/>
      </w:pPr>
      <w:r>
        <w:rPr>
          <w:iCs/>
          <w:i/>
        </w:rPr>
        <w:t xml:space="preserve">Q7. Why is AWiFS, and not the higher-resolution LISS-III/LISS-IV, the workhorse sensor for national-scale FASAL/NADAMS operations?</w:t>
      </w:r>
    </w:p>
    <w:p>
      <w:pPr>
        <w:pStyle w:val="FirstParagraph"/>
      </w:pPr>
      <w:r>
        <w:t xml:space="preserve">AWiFS (Advanced Wide Field Sensor, on Resourcesat-2/2A) trades spatial resolution for swath and revisit: ~56 m resolution but a ~740 km swath giving a 5-day repeat cycle, versus LISS-III's ~23 m/140 km swath (~24-day repeat) or LISS-IV's ~5.8 m/70 km swath (even longer effective revisit for a given area at national scale). National drought and crop-condition monitoring fundamentally needs frequent, near-complete national coverage to build a clean multi-temporal growth-curve/anomaly time series and to have a realistic chance of a cloud-free (or near-cloud-free composite) acquisition inside a monsoon-season fortnight — a requirement resolution cannot substitute for. LISS-III/IV are instead used where fine spatial detail matters more than frequency: parcel-level acreage refinement, orchard/plantation delineation in CHAMAN, or accuracy-assessment reference imagery — i.e., a complementary rather than competing role.</w:t>
      </w:r>
    </w:p>
    <w:p>
      <w:pPr>
        <w:pStyle w:val="Heading4"/>
      </w:pPr>
      <w:r>
        <w:rPr>
          <w:iCs/>
          <w:i/>
        </w:rPr>
        <w:t xml:space="preserve">Q8. What is a Look-Up Table (LUT) inversion and why is it preferred operationally over direct iterative optimisation for PROSAIL?</w:t>
      </w:r>
    </w:p>
    <w:p>
      <w:pPr>
        <w:pStyle w:val="FirstParagraph"/>
      </w:pPr>
      <w:r>
        <w:t xml:space="preserve">PROSAIL cannot be analytically inverted, and iterative merit-function minimisation (numerically searching parameter space to minimise Σ[ρsim−ρobs]² using an optimiser like Levenberg-Marquardt) is accurate but computationally expensive per pixel and prone to converging on local minima given the model's inherent ill-posedness (different parameter combinations can produce near-identical spectra). LUT inversion instead pre-computes a large forward-simulated library (100,000+ PROSAIL runs) spanning realistic parameter priors, then for each observed pixel spectrum finds the best-matching LUT entries by RMSE and averages their LAI — trading some per-pixel optimality for speed (a one-time LUT build, then a fast nearest-neighbour-style lookup per pixel) and for a built-in way to tame ill-posedness by averaging multiple near-equally-good solutions rather than committing to a single potentially-wrong local optimum. Operationally this is often compressed further into a fast pre-trained regressor (Random Forest / ANN / Gaussian Process) trained on the LUT, which is what underlies, e.g., the Sentinel-2 Biophysical Processor.</w:t>
      </w:r>
    </w:p>
    <w:p>
      <w:pPr>
        <w:pStyle w:val="Heading4"/>
      </w:pPr>
      <w:r>
        <w:rPr>
          <w:iCs/>
          <w:i/>
        </w:rPr>
        <w:t xml:space="preserve">Q9. What is the physical basis of Solar-Induced Fluorescence (SIF), and why might it detect crop stress earlier than NDVI?</w:t>
      </w:r>
    </w:p>
    <w:p>
      <w:pPr>
        <w:pStyle w:val="FirstParagraph"/>
      </w:pPr>
      <w:r>
        <w:t xml:space="preserve">Absorbed photosynthetically active radiation is partitioned three ways: photochemistry (CO2 fixation), fluorescence (re-emitted light, peaking near 685 nm and 740 nm), and heat dissipation (non-photochemical quenching). SIF is therefore mechanistically tied to actual, ongoing photochemical efficiency rather than to canopy structure/greenness. Because a decline in photosynthetic efficiency under stress (drought, heat) alters this energy partitioning before it produces visible chlorophyll degradation or leaf-area loss, SIF can register stress days ahead of NDVI, which only responds once structural/pigment changes accumulate. SIF is retrieved inside narrow O2-A (~760 nm) / O2-B (~687 nm) absorption bands where solar irradiance is strongly attenuated, so nearly all in-band upwelling radiance must be fluorescence rather than reflected sunlight (Fraunhofer Line Discrimination principle). The major practical limitation for India is spatial resolution: global SIF products (OCO-2, TROPOMI) have kilometre-scale footprints, far too coarse for sub-hectare Indian smallholder fields — an extreme version of the mixed-pixel problem — so Indian use is presently largely at research/downscaling-prototype stage.</w:t>
      </w:r>
    </w:p>
    <w:p>
      <w:pPr>
        <w:pStyle w:val="Heading4"/>
      </w:pPr>
      <w:r>
        <w:rPr>
          <w:iCs/>
          <w:i/>
        </w:rPr>
        <w:t xml:space="preserve">Q10. What is the difference between the Wastelands Atlas of India and the Desertification and Land Degradation Atlas of India?</w:t>
      </w:r>
    </w:p>
    <w:p>
      <w:pPr>
        <w:pStyle w:val="FirstParagraph"/>
      </w:pPr>
      <w:r>
        <w:t xml:space="preserve">The Wastelands Atlas (NRSC + Department of Land Resources, first published 2000, updated periodically) is a land-cover-category inventory — classifying land into ~23 wasteland types (gullied land, saline/alkaline land, mining wastelands, barren rocky land, etc.) from multi-season Resourcesat LISS-III imagery at 1:50,000 scale, oriented toward targeting reclamation/watershed-development funding. The Desertification and Land Degradation Atlas (SAC-ISRO, most recent major edition 2016) instead maps degradation processes — water erosion, wind erosion, vegetation degradation, salinization, waterlogging, frost shattering, mass movement — computing state/district area-under-degradation statistics, and forms the technical basis for India's UNCCD treaty reporting. In short: one is a static category inventory for domestic reclamation targeting; the other is a process diagnosis for international treaty reporting and causal attribution.</w:t>
      </w:r>
    </w:p>
    <w:p>
      <w:pPr>
        <w:pStyle w:val="Heading4"/>
      </w:pPr>
      <w:r>
        <w:rPr>
          <w:iCs/>
          <w:i/>
        </w:rPr>
        <w:t xml:space="preserve">Q11. Why do MODIS/VIIRS fire-count products systematically undercount actual crop-residue burning events?</w:t>
      </w:r>
    </w:p>
    <w:p>
      <w:pPr>
        <w:pStyle w:val="FirstParagraph"/>
      </w:pPr>
      <w:r>
        <w:t xml:space="preserve">Individual stubble fires are often short-lived (tens of minutes), so a fire that starts and ends between two polar-orbiter overpasses is missed regardless of sensor resolution — a fundamental discrete-sampling limitation, not a sensitivity problem. Dense smoke plumes from already-detected fires can obscure adjacent active fires from optical/thermal sensors, and persistent regional haze reduces detection sensitivity generally. Very small field fires can also fall below a sensor's minimum detectable fire size — VIIRS's finer 375 m pixel catches materially more small/short fires than MODIS's 1 km pixel, but does not eliminate the temporal-gap problem. This is conceptually the same discrete-sampling issue that motivates SAR for kharif rice — any transient phenomenon can simply be missed between fixed-interval overpasses — and the practical mitigation is combining finer-resolution polar orbiters (VIIRS) with higher-temporal-frequency geostationary sensors (INSAT, ~8 passes/day) to shrink the detection gap from both directions.</w:t>
      </w:r>
    </w:p>
    <w:p>
      <w:pPr>
        <w:pStyle w:val="Heading4"/>
      </w:pPr>
      <w:r>
        <w:rPr>
          <w:iCs/>
          <w:i/>
        </w:rPr>
        <w:t xml:space="preserve">Q12. What is data assimilation in the crop-model context, and what does the Kalman gain physically represent in the LAI-assimilation equation?</w:t>
      </w:r>
    </w:p>
    <w:p>
      <w:pPr>
        <w:pStyle w:val="FirstParagraph"/>
      </w:pPr>
      <w:r>
        <w:t xml:space="preserve">Data assimilation is the sequential correction of a running dynamical model's state using periodic real observations, rather than trusting either the model's forward simulation or the observations alone. In LAIa(t) = LAIf(t) + K(t)·[LAIobs(t) − LAIf(t)], K(t) = Pf(t)/(Pf(t)+R(t)): LAIf is the model's forecast just before the observation, LAIobs is the PROSAIL-inverted satellite value, and LAIa is the corrected state the model resumes integration from. Pf is the forecast-error variance (from an ensemble of model runs perturbed across weather/parameter uncertainty) and R is the observation-error variance (from the LUT-inversion RMSE). The Kalman gain K is the fraction of the model-observation discrepancy actually applied as a correction — when the model is relatively more uncertain than the observation (Pf large relative to R), K approaches 1 and the correction moves almost fully to the observed value; when the observation is noisier than the model is uncertain (R large relative to Pf), K approaches 0 and the model's own forecast is largely retained. This adaptive weighting is precisely why EnKF-style assimilation outperforms either a pure model run or a pure remote-sensing-only estimate.</w:t>
      </w:r>
    </w:p>
    <w:p>
      <w:pPr>
        <w:pStyle w:val="Heading4"/>
      </w:pPr>
      <w:r>
        <w:rPr>
          <w:iCs/>
          <w:i/>
        </w:rPr>
        <w:t xml:space="preserve">Q13. What is the difference between crop acreage estimation and crop production estimation, and how does remote sensing contribute to each?</w:t>
      </w:r>
    </w:p>
    <w:p>
      <w:pPr>
        <w:pStyle w:val="FirstParagraph"/>
      </w:pPr>
      <w:r>
        <w:t xml:space="preserve">Crop acreage is the area under a given crop, estimated via multi-temporal satellite classification (growth-curve/phenology matching, as discussed for IGP mixed pixels) validated against a stratified-random ground-truth sample. Crop production is acreage multiplied by yield (production = area × yield); yield itself is estimated by one or a blend of the statistical/semi-physical/assimilation methods discussed earlier, calibrated against CCEs. Remote sensing therefore contributes on both sides of the multiplication independently — an accurate acreage estimate with a biased yield model, or vice versa, both propagate directly into a biased production estimate — which is why FASAL tracks acreage-estimation accuracy (confusion matrices, user's/producer's accuracy, Kappa coefficient against ground-truth points) and yield-model validation (RMSE, R² against CCEs) as two separate, explicitly reported accuracy streams rather than a single combined "production accuracy" number.</w:t>
      </w:r>
    </w:p>
    <w:p>
      <w:pPr>
        <w:pStyle w:val="Heading4"/>
      </w:pPr>
      <w:r>
        <w:rPr>
          <w:iCs/>
          <w:i/>
        </w:rPr>
        <w:t xml:space="preserve">Q14. What is NISAR and how is it relevant to Indian agriculture?</w:t>
      </w:r>
    </w:p>
    <w:p>
      <w:pPr>
        <w:pStyle w:val="FirstParagraph"/>
      </w:pPr>
      <w:r>
        <w:t xml:space="preserve">NISAR (NASA-ISRO Synthetic Aperture Radar) is a joint NASA-ISRO dual-frequency (L-band from NASA/JPL, S-band from ISRO) SAR mission designed for global measurements with a 12-day repeat cycle and near-all-weather, day/night acquisition capability. For agriculture, L-band's longer wavelength penetrates deeper into vegetation canopy than C-band (Sentinel-1/RISAT), giving it stronger sensitivity to above-ground biomass and to soil moisture beneath moderate vegetation cover, complementing C-band's stronger sensitivity to canopy structure/geometry (the rice-flooding signature described earlier is largely a C-band-style result but is also detectable, with different magnitude, at L-band). Dual-frequency, dual-polarimetric SAR at regular short-repeat intervals is directly relevant to biomass estimation, soil-moisture-informed irrigation/drought monitoring, and — combined with S-band's finer sensitivity to certain canopy structural changes — potentially refined crop-type/growth-stage discrimination beyond what single-frequency SAR alone offers, an active area for extending the kharif-rice-mapping logic to other crops and to biomass/carbon applications.</w:t>
      </w:r>
    </w:p>
    <w:p>
      <w:pPr>
        <w:pStyle w:val="Heading4"/>
      </w:pPr>
      <w:r>
        <w:rPr>
          <w:iCs/>
          <w:i/>
        </w:rPr>
        <w:t xml:space="preserve">Q15. How does the accuracy of an RS-based crop classification get formally assessed?</w:t>
      </w:r>
    </w:p>
    <w:p>
      <w:pPr>
        <w:pStyle w:val="FirstParagraph"/>
      </w:pPr>
      <w:r>
        <w:t xml:space="preserve">Via a confusion (error) matrix built by comparing the classified map against an independent, statistically-designed ground-truth reference sample (never the training data itself, to avoid optimistic bias) — reporting overall accuracy, producer's accuracy (how often a truly-that-crop pixel is correctly labelled — an omission-error measure) and user's accuracy (how often a pixel labelled as that crop is truly that crop — a commission-error measure) per class, plus the Kappa coefficient, which corrects overall accuracy for the agreement expected by chance alone given the class proportions. For an area/acreage-estimation programme like FASAL, the ground-truth reference sample itself needs a defensible probability-sampling design (e.g., stratified random sampling using the LULC layer as the stratification frame) so that the accuracy figures — and the acreage estimate itself — carry a statistically valid confidence interval rather than being an unquantified point estimate.</w:t>
      </w:r>
    </w:p>
    <w:p>
      <w:pPr>
        <w:pStyle w:val="Heading4"/>
      </w:pPr>
      <w:r>
        <w:rPr>
          <w:iCs/>
          <w:i/>
        </w:rPr>
        <w:t xml:space="preserve">Q16. What role does INSAT play alongside polar-orbiting satellites in agricultural monitoring?</w:t>
      </w:r>
    </w:p>
    <w:p>
      <w:pPr>
        <w:pStyle w:val="FirstParagraph"/>
      </w:pPr>
      <w:r>
        <w:t xml:space="preserve">INSAT (geostationary) trades spatial resolution for temporal frequency and continuous coverage — its Imager/Sounder acquires the same fixed disk roughly every 15–30 minutes (or ~8 times/day for dedicated fire-monitoring passes), versus a polar orbiter's one or two passes per day at a given location. This makes INSAT valuable precisely where transient, short-duration events matter more than fine spatial detail: catching brief crop-residue fires that start and end between MODIS/VIIRS overpasses, near-real-time rainfall estimation to fill rain-gauge network gaps for GKMS, and continuous land-surface-temperature monitoring for heat-stress/evapotranspiration tracking. It is a temporal-frequency complement to, not a replacement for, the finer-spatial-resolution polar orbiters (Resourcesat, Sentinel, Landsat) that do the actual crop classification and biophysical retrieval.</w:t>
      </w:r>
    </w:p>
    <w:p>
      <w:pPr>
        <w:pStyle w:val="Heading4"/>
      </w:pPr>
      <w:r>
        <w:rPr>
          <w:iCs/>
          <w:i/>
        </w:rPr>
        <w:t xml:space="preserve">Q17. Why does the interviewer's list group FASAL, NADAMS and CHAMAN under 'MNCFC' rather than treating them as three separate ISRO programmes?</w:t>
      </w:r>
    </w:p>
    <w:p>
      <w:pPr>
        <w:pStyle w:val="FirstParagraph"/>
      </w:pPr>
      <w:r>
        <w:t xml:space="preserve">Because they are, deliberately, not three separate technology stacks but three different user-facing applications running on a common technological and institutional backbone. All three depend on the same underlying NRSC-supplied multi-temporal satellite data streams (AWiFS/LISS/Sentinel time series), the same national LULC layer as a stratification/sampling frame, broadly the same SAC-developed classification and biophysical-retrieval algorithm families, and the same MNCFC coordination-and-integration layer that blends RS output with weather and ground-survey data before issuing a bulletin. FASAL targets foodgrain/commercial-crop production forecasting, CHAMAN targets horticulture area/production and site-suitability, and NADAMS targets drought-condition monitoring — three different questions asked of substantially the same underlying data-and-institutional infrastructure, which is exactly why MNCFC (rather than any single satellite mission) is the right institutional anchor for describing how they relate to each other.</w:t>
      </w:r>
    </w:p>
    <w:p>
      <w:pPr>
        <w:pStyle w:val="Heading4"/>
      </w:pPr>
      <w:r>
        <w:rPr>
          <w:iCs/>
          <w:i/>
        </w:rPr>
        <w:t xml:space="preserve">Q18. What are the main limitations of optical vegetation indices (NDVI, EVI) that motivate the use of red-edge bands (e.g. Sentinel-2) or SAR/SIF as complements?</w:t>
      </w:r>
    </w:p>
    <w:p>
      <w:pPr>
        <w:pStyle w:val="FirstParagraph"/>
      </w:pPr>
      <w:r>
        <w:t xml:space="preserve">NDVI saturates at moderate-to-high LAI (roughly LAI &gt; 3–4) because near-infrared reflectance stops increasing meaningfully once canopy closure is reached, making it insensitive to further biomass/chlorophyll change in dense, well-developed canopies — precisely the growth stage where yield-relevant stress detection matters most. It is also a purely structural/pigment proxy, confounding several distinct causes of "low greenness" (young crop, senescing crop, stressed crop) as discussed for NADAMS. Sentinel-2's red-edge bands (~705, ~740, ~783 nm) sit on the steep transition between chlorophyll absorption and the near-infrared plateau, giving indices built on them (e.g. red-edge chlorophyll index, MTCI) greater sensitivity to chlorophyll content changes at exactly the LAI range where NDVI has already saturated — a modest but real resolution improvement without changing sensor type. SAR sidesteps the reflectance-saturation problem entirely by measuring structural/dielectric properties (canopy geometry, water content) rather than reflected sunlight, and SIF sidesteps it by measuring emitted fluorescence tied to active photosynthesis rather than static structure — the three complements (red-edge, SAR, SIF) address the saturation problem via three physically distinct mechanisms, which is itself a good synthesis point in an interview.</w:t>
      </w:r>
    </w:p>
    <w:p>
      <w:pPr>
        <w:pStyle w:val="Heading4"/>
      </w:pPr>
      <w:r>
        <w:rPr>
          <w:iCs/>
          <w:i/>
        </w:rPr>
        <w:t xml:space="preserve">Q19. How would you summarise, in one sentence each, the distinct purpose of FASAL, YES-TECH, NADAMS, CHAMAN, MNCFC, GKMS, Soil Health Card RS support, and the Wastelands/Desertification Atlases?</w:t>
      </w:r>
    </w:p>
    <w:p>
      <w:pPr>
        <w:pStyle w:val="FirstParagraph"/>
      </w:pPr>
      <w:r>
        <w:t xml:space="preserve">FASAL — multi-model, multi-forecast satellite+agromet+land-based crop production forecasting for major foodgrain/commercial crops. YES-TECH — satellite+ML-based yield estimation to supplement/optimise Crop Cutting Experiments under PMFBY crop insurance. NADAMS — near-real-time, multi-index (NDVI/NDWI/standardized-anomaly), fortnightly agricultural drought-condition bulletins through kharif. CHAMAN — satellite+GIS area/production estimation and site-suitability mapping for horticultural crops. MNCFC — the DA&amp;FW-side institutional integrator that turns SAC/NRSC-origin RS products into government decision-ready bulletins across FASAL/CHAMAN/YES-TECH. GKMS — IMD-ICAR-SAU twice-weekly, block-level agromet advisory service translating weather forecasts into crop-stage-specific farmer guidance. Soil Health Card RS support — GIS-based sampling-grid planning and Digital Soil Mapping to extend sparse lab-tested soil-nutrient points into continuous surfaces. Wastelands/Desertification Atlases — respectively, a land-cover-category inventory for domestic reclamation targeting, and a degradation-process diagnosis for international UNCCD treaty reporting.</w:t>
      </w:r>
    </w:p>
    <w:p>
      <w:pPr>
        <w:pStyle w:val="Heading1"/>
      </w:pPr>
      <w:r>
        <w:t xml:space="preserve">Chapter 59. Glossary of Acronyms and Key Terms</w:t>
      </w:r>
    </w:p>
    <w:p>
      <w:pPr>
        <w:pStyle w:val="Heading2"/>
      </w:pPr>
      <w:r>
        <w:t xml:space="preserve">59.1 Glossary of Acronyms and Key Terms</w:t>
      </w:r>
    </w:p>
    <w:tbl>
      <w:tblPr>
        <w:tblStyle w:val="Table"/>
        <w:tblW w:type="pct" w:w="4906"/>
        <w:jc w:val="left"/>
        <w:tblLook w:firstRow="1" w:lastRow="0" w:firstColumn="0" w:lastColumn="0" w:noHBand="0" w:noVBand="0" w:val="0020"/>
      </w:tblPr>
      <w:tblGrid>
        <w:gridCol w:w="896"/>
        <w:gridCol w:w="6873"/>
      </w:tblGrid>
      <w:tr>
        <w:trPr>
          <w:tblHeader w:val="true"/>
        </w:trPr>
        <w:tc>
          <w:tcPr/>
          <w:p>
            <w:pPr>
              <w:pStyle w:val="Compact"/>
              <w:jc w:val="left"/>
            </w:pPr>
            <w:r>
              <w:t xml:space="preserve">Acronym</w:t>
            </w:r>
          </w:p>
        </w:tc>
        <w:tc>
          <w:tcPr/>
          <w:p>
            <w:pPr>
              <w:pStyle w:val="Compact"/>
              <w:jc w:val="left"/>
            </w:pPr>
            <w:r>
              <w:t xml:space="preserve">Full form</w:t>
            </w:r>
          </w:p>
        </w:tc>
      </w:tr>
      <w:tr>
        <w:tc>
          <w:tcPr/>
          <w:p>
            <w:pPr>
              <w:pStyle w:val="Compact"/>
              <w:jc w:val="left"/>
            </w:pPr>
            <w:r>
              <w:t xml:space="preserve">AAI</w:t>
            </w:r>
          </w:p>
        </w:tc>
        <w:tc>
          <w:tcPr/>
          <w:p>
            <w:pPr>
              <w:pStyle w:val="Compact"/>
              <w:jc w:val="left"/>
            </w:pPr>
            <w:r>
              <w:t xml:space="preserve">Airports Authority of India</w:t>
            </w:r>
          </w:p>
        </w:tc>
      </w:tr>
      <w:tr>
        <w:tc>
          <w:tcPr/>
          <w:p>
            <w:pPr>
              <w:pStyle w:val="Compact"/>
              <w:jc w:val="left"/>
            </w:pPr>
            <w:r>
              <w:t xml:space="preserve">AET</w:t>
            </w:r>
          </w:p>
        </w:tc>
        <w:tc>
          <w:tcPr/>
          <w:p>
            <w:pPr>
              <w:pStyle w:val="Compact"/>
              <w:jc w:val="left"/>
            </w:pPr>
            <w:r>
              <w:t xml:space="preserve">Actual Evapotranspiration</w:t>
            </w:r>
          </w:p>
        </w:tc>
      </w:tr>
      <w:tr>
        <w:tc>
          <w:tcPr/>
          <w:p>
            <w:pPr>
              <w:pStyle w:val="Compact"/>
              <w:jc w:val="left"/>
            </w:pPr>
            <w:r>
              <w:t xml:space="preserve">AGB</w:t>
            </w:r>
          </w:p>
        </w:tc>
        <w:tc>
          <w:tcPr/>
          <w:p>
            <w:pPr>
              <w:pStyle w:val="Compact"/>
              <w:jc w:val="left"/>
            </w:pPr>
            <w:r>
              <w:t xml:space="preserve">Above-Ground Biomass</w:t>
            </w:r>
          </w:p>
        </w:tc>
      </w:tr>
      <w:tr>
        <w:tc>
          <w:tcPr/>
          <w:p>
            <w:pPr>
              <w:pStyle w:val="Compact"/>
              <w:jc w:val="left"/>
            </w:pPr>
            <w:r>
              <w:t xml:space="preserve">AIC</w:t>
            </w:r>
          </w:p>
        </w:tc>
        <w:tc>
          <w:tcPr/>
          <w:p>
            <w:pPr>
              <w:pStyle w:val="Compact"/>
              <w:jc w:val="left"/>
            </w:pPr>
            <w:r>
              <w:t xml:space="preserve">Akaike Information Criterion</w:t>
            </w:r>
          </w:p>
        </w:tc>
      </w:tr>
      <w:tr>
        <w:tc>
          <w:tcPr/>
          <w:p>
            <w:pPr>
              <w:pStyle w:val="Compact"/>
              <w:jc w:val="left"/>
            </w:pPr>
            <w:r>
              <w:t xml:space="preserve">AMFU</w:t>
            </w:r>
          </w:p>
        </w:tc>
        <w:tc>
          <w:tcPr/>
          <w:p>
            <w:pPr>
              <w:pStyle w:val="Compact"/>
              <w:jc w:val="left"/>
            </w:pPr>
            <w:r>
              <w:t xml:space="preserve">Agro-Meteorological Field Unit</w:t>
            </w:r>
          </w:p>
        </w:tc>
      </w:tr>
      <w:tr>
        <w:tc>
          <w:tcPr/>
          <w:p>
            <w:pPr>
              <w:pStyle w:val="Compact"/>
              <w:jc w:val="left"/>
            </w:pPr>
            <w:r>
              <w:t xml:space="preserve">AMV</w:t>
            </w:r>
          </w:p>
        </w:tc>
        <w:tc>
          <w:tcPr/>
          <w:p>
            <w:pPr>
              <w:pStyle w:val="Compact"/>
              <w:jc w:val="left"/>
            </w:pPr>
            <w:r>
              <w:t xml:space="preserve">Atmospheric Motion Vector</w:t>
            </w:r>
          </w:p>
        </w:tc>
      </w:tr>
      <w:tr>
        <w:tc>
          <w:tcPr/>
          <w:p>
            <w:pPr>
              <w:pStyle w:val="Compact"/>
              <w:jc w:val="left"/>
            </w:pPr>
            <w:r>
              <w:t xml:space="preserve">AOD</w:t>
            </w:r>
          </w:p>
        </w:tc>
        <w:tc>
          <w:tcPr/>
          <w:p>
            <w:pPr>
              <w:pStyle w:val="Compact"/>
              <w:jc w:val="left"/>
            </w:pPr>
            <w:r>
              <w:t xml:space="preserve">Aerosol Optical Depth</w:t>
            </w:r>
          </w:p>
        </w:tc>
      </w:tr>
      <w:tr>
        <w:tc>
          <w:tcPr/>
          <w:p>
            <w:pPr>
              <w:pStyle w:val="Compact"/>
              <w:jc w:val="left"/>
            </w:pPr>
            <w:r>
              <w:t xml:space="preserve">ATI</w:t>
            </w:r>
          </w:p>
        </w:tc>
        <w:tc>
          <w:tcPr/>
          <w:p>
            <w:pPr>
              <w:pStyle w:val="Compact"/>
              <w:jc w:val="left"/>
            </w:pPr>
            <w:r>
              <w:t xml:space="preserve">Apparent Thermal Inertia</w:t>
            </w:r>
          </w:p>
        </w:tc>
      </w:tr>
      <w:tr>
        <w:tc>
          <w:tcPr/>
          <w:p>
            <w:pPr>
              <w:pStyle w:val="Compact"/>
              <w:jc w:val="left"/>
            </w:pPr>
            <w:r>
              <w:t xml:space="preserve">AWiFS</w:t>
            </w:r>
          </w:p>
        </w:tc>
        <w:tc>
          <w:tcPr/>
          <w:p>
            <w:pPr>
              <w:pStyle w:val="Compact"/>
              <w:jc w:val="left"/>
            </w:pPr>
            <w:r>
              <w:t xml:space="preserve">Advanced Wide Field Sensor</w:t>
            </w:r>
          </w:p>
        </w:tc>
      </w:tr>
      <w:tr>
        <w:tc>
          <w:tcPr/>
          <w:p>
            <w:pPr>
              <w:pStyle w:val="Compact"/>
              <w:jc w:val="left"/>
            </w:pPr>
            <w:r>
              <w:t xml:space="preserve">AWS</w:t>
            </w:r>
          </w:p>
        </w:tc>
        <w:tc>
          <w:tcPr/>
          <w:p>
            <w:pPr>
              <w:pStyle w:val="Compact"/>
              <w:jc w:val="left"/>
            </w:pPr>
            <w:r>
              <w:t xml:space="preserve">Automatic Weather Station</w:t>
            </w:r>
          </w:p>
        </w:tc>
      </w:tr>
      <w:tr>
        <w:tc>
          <w:tcPr/>
          <w:p>
            <w:pPr>
              <w:pStyle w:val="Compact"/>
              <w:jc w:val="left"/>
            </w:pPr>
            <w:r>
              <w:t xml:space="preserve">BGREI</w:t>
            </w:r>
          </w:p>
        </w:tc>
        <w:tc>
          <w:tcPr/>
          <w:p>
            <w:pPr>
              <w:pStyle w:val="Compact"/>
              <w:jc w:val="left"/>
            </w:pPr>
            <w:r>
              <w:t xml:space="preserve">Bringing Green Revolution to Eastern India</w:t>
            </w:r>
          </w:p>
        </w:tc>
      </w:tr>
      <w:tr>
        <w:tc>
          <w:tcPr/>
          <w:p>
            <w:pPr>
              <w:pStyle w:val="Compact"/>
              <w:jc w:val="left"/>
            </w:pPr>
            <w:r>
              <w:t xml:space="preserve">BIC</w:t>
            </w:r>
          </w:p>
        </w:tc>
        <w:tc>
          <w:tcPr/>
          <w:p>
            <w:pPr>
              <w:pStyle w:val="Compact"/>
              <w:jc w:val="left"/>
            </w:pPr>
            <w:r>
              <w:t xml:space="preserve">Bayesian (Schwarz) Information Criterion</w:t>
            </w:r>
          </w:p>
        </w:tc>
      </w:tr>
      <w:tr>
        <w:tc>
          <w:tcPr/>
          <w:p>
            <w:pPr>
              <w:pStyle w:val="Compact"/>
              <w:jc w:val="left"/>
            </w:pPr>
            <w:r>
              <w:t xml:space="preserve">BLUE</w:t>
            </w:r>
          </w:p>
        </w:tc>
        <w:tc>
          <w:tcPr/>
          <w:p>
            <w:pPr>
              <w:pStyle w:val="Compact"/>
              <w:jc w:val="left"/>
            </w:pPr>
            <w:r>
              <w:t xml:space="preserve">Best Linear Unbiased Estimator</w:t>
            </w:r>
          </w:p>
        </w:tc>
      </w:tr>
      <w:tr>
        <w:tc>
          <w:tcPr/>
          <w:p>
            <w:pPr>
              <w:pStyle w:val="Compact"/>
              <w:jc w:val="left"/>
            </w:pPr>
            <w:r>
              <w:t xml:space="preserve">BRDF</w:t>
            </w:r>
          </w:p>
        </w:tc>
        <w:tc>
          <w:tcPr/>
          <w:p>
            <w:pPr>
              <w:pStyle w:val="Compact"/>
              <w:jc w:val="left"/>
            </w:pPr>
            <w:r>
              <w:t xml:space="preserve">Bidirectional Reflectance Distribution Function</w:t>
            </w:r>
          </w:p>
        </w:tc>
      </w:tr>
      <w:tr>
        <w:tc>
          <w:tcPr/>
          <w:p>
            <w:pPr>
              <w:pStyle w:val="Compact"/>
              <w:jc w:val="left"/>
            </w:pPr>
            <w:r>
              <w:t xml:space="preserve">BRF</w:t>
            </w:r>
          </w:p>
        </w:tc>
        <w:tc>
          <w:tcPr/>
          <w:p>
            <w:pPr>
              <w:pStyle w:val="Compact"/>
              <w:jc w:val="left"/>
            </w:pPr>
            <w:r>
              <w:t xml:space="preserve">Bidirectional Reflectance Factor</w:t>
            </w:r>
          </w:p>
        </w:tc>
      </w:tr>
      <w:tr>
        <w:tc>
          <w:tcPr/>
          <w:p>
            <w:pPr>
              <w:pStyle w:val="Compact"/>
              <w:jc w:val="left"/>
            </w:pPr>
            <w:r>
              <w:t xml:space="preserve">BREB</w:t>
            </w:r>
          </w:p>
        </w:tc>
        <w:tc>
          <w:tcPr/>
          <w:p>
            <w:pPr>
              <w:pStyle w:val="Compact"/>
              <w:jc w:val="left"/>
            </w:pPr>
            <w:r>
              <w:t xml:space="preserve">Bowen Ratio Energy Balance (method)</w:t>
            </w:r>
          </w:p>
        </w:tc>
      </w:tr>
      <w:tr>
        <w:tc>
          <w:tcPr/>
          <w:p>
            <w:pPr>
              <w:pStyle w:val="Compact"/>
              <w:jc w:val="left"/>
            </w:pPr>
            <w:r>
              <w:t xml:space="preserve">CAPE</w:t>
            </w:r>
          </w:p>
        </w:tc>
        <w:tc>
          <w:tcPr/>
          <w:p>
            <w:pPr>
              <w:pStyle w:val="Compact"/>
              <w:jc w:val="left"/>
            </w:pPr>
            <w:r>
              <w:t xml:space="preserve">Crop Acreage and Production Estimation</w:t>
            </w:r>
          </w:p>
        </w:tc>
      </w:tr>
      <w:tr>
        <w:tc>
          <w:tcPr/>
          <w:p>
            <w:pPr>
              <w:pStyle w:val="Compact"/>
              <w:jc w:val="left"/>
            </w:pPr>
            <w:r>
              <w:t xml:space="preserve">CCA</w:t>
            </w:r>
          </w:p>
        </w:tc>
        <w:tc>
          <w:tcPr/>
          <w:p>
            <w:pPr>
              <w:pStyle w:val="Compact"/>
              <w:jc w:val="left"/>
            </w:pPr>
            <w:r>
              <w:t xml:space="preserve">Culturable Command Area</w:t>
            </w:r>
          </w:p>
        </w:tc>
      </w:tr>
      <w:tr>
        <w:tc>
          <w:tcPr/>
          <w:p>
            <w:pPr>
              <w:pStyle w:val="Compact"/>
              <w:jc w:val="left"/>
            </w:pPr>
            <w:r>
              <w:t xml:space="preserve">CCE</w:t>
            </w:r>
          </w:p>
        </w:tc>
        <w:tc>
          <w:tcPr/>
          <w:p>
            <w:pPr>
              <w:pStyle w:val="Compact"/>
              <w:jc w:val="left"/>
            </w:pPr>
            <w:r>
              <w:t xml:space="preserve">Crop Cutting Experiment</w:t>
            </w:r>
          </w:p>
        </w:tc>
      </w:tr>
      <w:tr>
        <w:tc>
          <w:tcPr/>
          <w:p>
            <w:pPr>
              <w:pStyle w:val="Compact"/>
              <w:jc w:val="left"/>
            </w:pPr>
            <w:r>
              <w:t xml:space="preserve">CDOM</w:t>
            </w:r>
          </w:p>
        </w:tc>
        <w:tc>
          <w:tcPr/>
          <w:p>
            <w:pPr>
              <w:pStyle w:val="Compact"/>
              <w:jc w:val="left"/>
            </w:pPr>
            <w:r>
              <w:t xml:space="preserve">Coloured Dissolved Organic Matter</w:t>
            </w:r>
          </w:p>
        </w:tc>
      </w:tr>
      <w:tr>
        <w:tc>
          <w:tcPr/>
          <w:p>
            <w:pPr>
              <w:pStyle w:val="Compact"/>
              <w:jc w:val="left"/>
            </w:pPr>
            <w:r>
              <w:t xml:space="preserve">CIDSS</w:t>
            </w:r>
          </w:p>
        </w:tc>
        <w:tc>
          <w:tcPr/>
          <w:p>
            <w:pPr>
              <w:pStyle w:val="Compact"/>
              <w:jc w:val="left"/>
            </w:pPr>
            <w:r>
              <w:t xml:space="preserve">Crop Insurance Decision Support System</w:t>
            </w:r>
          </w:p>
        </w:tc>
      </w:tr>
      <w:tr>
        <w:tc>
          <w:tcPr/>
          <w:p>
            <w:pPr>
              <w:pStyle w:val="Compact"/>
              <w:jc w:val="left"/>
            </w:pPr>
            <w:r>
              <w:t xml:space="preserve">DA&amp;FW</w:t>
            </w:r>
          </w:p>
        </w:tc>
        <w:tc>
          <w:tcPr/>
          <w:p>
            <w:pPr>
              <w:pStyle w:val="Compact"/>
              <w:jc w:val="left"/>
            </w:pPr>
            <w:r>
              <w:t xml:space="preserve">Department of Agriculture and Farmers’ Welfare</w:t>
            </w:r>
          </w:p>
        </w:tc>
      </w:tr>
      <w:tr>
        <w:tc>
          <w:tcPr/>
          <w:p>
            <w:pPr>
              <w:pStyle w:val="Compact"/>
              <w:jc w:val="left"/>
            </w:pPr>
            <w:r>
              <w:t xml:space="preserve">DEM</w:t>
            </w:r>
          </w:p>
        </w:tc>
        <w:tc>
          <w:tcPr/>
          <w:p>
            <w:pPr>
              <w:pStyle w:val="Compact"/>
              <w:jc w:val="left"/>
            </w:pPr>
            <w:r>
              <w:t xml:space="preserve">Digital Elevation Model</w:t>
            </w:r>
          </w:p>
        </w:tc>
      </w:tr>
      <w:tr>
        <w:tc>
          <w:tcPr/>
          <w:p>
            <w:pPr>
              <w:pStyle w:val="Compact"/>
              <w:jc w:val="left"/>
            </w:pPr>
            <w:r>
              <w:t xml:space="preserve">DMSP</w:t>
            </w:r>
          </w:p>
        </w:tc>
        <w:tc>
          <w:tcPr/>
          <w:p>
            <w:pPr>
              <w:pStyle w:val="Compact"/>
              <w:jc w:val="left"/>
            </w:pPr>
            <w:r>
              <w:t xml:space="preserve">Disaster Management Support Programme</w:t>
            </w:r>
          </w:p>
        </w:tc>
      </w:tr>
      <w:tr>
        <w:tc>
          <w:tcPr/>
          <w:p>
            <w:pPr>
              <w:pStyle w:val="Compact"/>
              <w:jc w:val="left"/>
            </w:pPr>
            <w:r>
              <w:t xml:space="preserve">DoS</w:t>
            </w:r>
          </w:p>
        </w:tc>
        <w:tc>
          <w:tcPr/>
          <w:p>
            <w:pPr>
              <w:pStyle w:val="Compact"/>
              <w:jc w:val="left"/>
            </w:pPr>
            <w:r>
              <w:t xml:space="preserve">Department of Space</w:t>
            </w:r>
          </w:p>
        </w:tc>
      </w:tr>
      <w:tr>
        <w:tc>
          <w:tcPr/>
          <w:p>
            <w:pPr>
              <w:pStyle w:val="Compact"/>
              <w:jc w:val="left"/>
            </w:pPr>
            <w:r>
              <w:t xml:space="preserve">DpRVI</w:t>
            </w:r>
          </w:p>
        </w:tc>
        <w:tc>
          <w:tcPr/>
          <w:p>
            <w:pPr>
              <w:pStyle w:val="Compact"/>
              <w:jc w:val="left"/>
            </w:pPr>
            <w:r>
              <w:t xml:space="preserve">Dual-pol Radar Vegetation Index</w:t>
            </w:r>
          </w:p>
        </w:tc>
      </w:tr>
      <w:tr>
        <w:tc>
          <w:tcPr/>
          <w:p>
            <w:pPr>
              <w:pStyle w:val="Compact"/>
              <w:jc w:val="left"/>
            </w:pPr>
            <w:r>
              <w:t xml:space="preserve">DSC</w:t>
            </w:r>
          </w:p>
        </w:tc>
        <w:tc>
          <w:tcPr/>
          <w:p>
            <w:pPr>
              <w:pStyle w:val="Compact"/>
              <w:jc w:val="left"/>
            </w:pPr>
            <w:r>
              <w:t xml:space="preserve">Decision Support Centre (NRSC)</w:t>
            </w:r>
          </w:p>
        </w:tc>
      </w:tr>
      <w:tr>
        <w:tc>
          <w:tcPr/>
          <w:p>
            <w:pPr>
              <w:pStyle w:val="Compact"/>
              <w:jc w:val="left"/>
            </w:pPr>
            <w:r>
              <w:t xml:space="preserve">EC</w:t>
            </w:r>
          </w:p>
        </w:tc>
        <w:tc>
          <w:tcPr/>
          <w:p>
            <w:pPr>
              <w:pStyle w:val="Compact"/>
              <w:jc w:val="left"/>
            </w:pPr>
            <w:r>
              <w:t xml:space="preserve">Eddy Covariance</w:t>
            </w:r>
          </w:p>
        </w:tc>
      </w:tr>
      <w:tr>
        <w:tc>
          <w:tcPr/>
          <w:p>
            <w:pPr>
              <w:pStyle w:val="Compact"/>
              <w:jc w:val="left"/>
            </w:pPr>
            <w:r>
              <w:t xml:space="preserve">ECe</w:t>
            </w:r>
          </w:p>
        </w:tc>
        <w:tc>
          <w:tcPr/>
          <w:p>
            <w:pPr>
              <w:pStyle w:val="Compact"/>
              <w:jc w:val="left"/>
            </w:pPr>
            <w:r>
              <w:t xml:space="preserve">Electrical Conductivity of saturation extract</w:t>
            </w:r>
          </w:p>
        </w:tc>
      </w:tr>
      <w:tr>
        <w:tc>
          <w:tcPr/>
          <w:p>
            <w:pPr>
              <w:pStyle w:val="Compact"/>
              <w:jc w:val="left"/>
            </w:pPr>
            <w:r>
              <w:t xml:space="preserve">ESI</w:t>
            </w:r>
          </w:p>
        </w:tc>
        <w:tc>
          <w:tcPr/>
          <w:p>
            <w:pPr>
              <w:pStyle w:val="Compact"/>
              <w:jc w:val="left"/>
            </w:pPr>
            <w:r>
              <w:t xml:space="preserve">Evaporative Stress Index</w:t>
            </w:r>
          </w:p>
        </w:tc>
      </w:tr>
      <w:tr>
        <w:tc>
          <w:tcPr/>
          <w:p>
            <w:pPr>
              <w:pStyle w:val="Compact"/>
              <w:jc w:val="left"/>
            </w:pPr>
            <w:r>
              <w:t xml:space="preserve">ET / ET0</w:t>
            </w:r>
          </w:p>
        </w:tc>
        <w:tc>
          <w:tcPr/>
          <w:p>
            <w:pPr>
              <w:pStyle w:val="Compact"/>
              <w:jc w:val="left"/>
            </w:pPr>
            <w:r>
              <w:t xml:space="preserve">Evapotranspiration / Reference Evapotranspiration</w:t>
            </w:r>
          </w:p>
        </w:tc>
      </w:tr>
      <w:tr>
        <w:tc>
          <w:tcPr/>
          <w:p>
            <w:pPr>
              <w:pStyle w:val="Compact"/>
              <w:jc w:val="left"/>
            </w:pPr>
            <w:r>
              <w:t xml:space="preserve">FAO</w:t>
            </w:r>
          </w:p>
        </w:tc>
        <w:tc>
          <w:tcPr/>
          <w:p>
            <w:pPr>
              <w:pStyle w:val="Compact"/>
              <w:jc w:val="left"/>
            </w:pPr>
            <w:r>
              <w:t xml:space="preserve">Food and Agriculture Organization</w:t>
            </w:r>
          </w:p>
        </w:tc>
      </w:tr>
      <w:tr>
        <w:tc>
          <w:tcPr/>
          <w:p>
            <w:pPr>
              <w:pStyle w:val="Compact"/>
              <w:jc w:val="left"/>
            </w:pPr>
            <w:r>
              <w:t xml:space="preserve">FASAL</w:t>
            </w:r>
          </w:p>
        </w:tc>
        <w:tc>
          <w:tcPr/>
          <w:p>
            <w:pPr>
              <w:pStyle w:val="Compact"/>
              <w:jc w:val="left"/>
            </w:pPr>
            <w:r>
              <w:t xml:space="preserve">Forecasting Agricultural output using Space, Agro-meteorology and Land based observations</w:t>
            </w:r>
          </w:p>
        </w:tc>
      </w:tr>
      <w:tr>
        <w:tc>
          <w:tcPr/>
          <w:p>
            <w:pPr>
              <w:pStyle w:val="Compact"/>
              <w:jc w:val="left"/>
            </w:pPr>
            <w:r>
              <w:t xml:space="preserve">FLD</w:t>
            </w:r>
          </w:p>
        </w:tc>
        <w:tc>
          <w:tcPr/>
          <w:p>
            <w:pPr>
              <w:pStyle w:val="Compact"/>
              <w:jc w:val="left"/>
            </w:pPr>
            <w:r>
              <w:t xml:space="preserve">Fraunhofer Line Discrimination</w:t>
            </w:r>
          </w:p>
        </w:tc>
      </w:tr>
      <w:tr>
        <w:tc>
          <w:tcPr/>
          <w:p>
            <w:pPr>
              <w:pStyle w:val="Compact"/>
              <w:jc w:val="left"/>
            </w:pPr>
            <w:r>
              <w:t xml:space="preserve">FTIR</w:t>
            </w:r>
          </w:p>
        </w:tc>
        <w:tc>
          <w:tcPr/>
          <w:p>
            <w:pPr>
              <w:pStyle w:val="Compact"/>
              <w:jc w:val="left"/>
            </w:pPr>
            <w:r>
              <w:t xml:space="preserve">Fourier Transform Infrared spectrometer</w:t>
            </w:r>
          </w:p>
        </w:tc>
      </w:tr>
      <w:tr>
        <w:tc>
          <w:tcPr/>
          <w:p>
            <w:pPr>
              <w:pStyle w:val="Compact"/>
              <w:jc w:val="left"/>
            </w:pPr>
            <w:r>
              <w:t xml:space="preserve">GAGAN</w:t>
            </w:r>
          </w:p>
        </w:tc>
        <w:tc>
          <w:tcPr/>
          <w:p>
            <w:pPr>
              <w:pStyle w:val="Compact"/>
              <w:jc w:val="left"/>
            </w:pPr>
            <w:r>
              <w:t xml:space="preserve">GPS Aided Geo Augmented Navigation</w:t>
            </w:r>
          </w:p>
        </w:tc>
      </w:tr>
      <w:tr>
        <w:tc>
          <w:tcPr/>
          <w:p>
            <w:pPr>
              <w:pStyle w:val="Compact"/>
              <w:jc w:val="left"/>
            </w:pPr>
            <w:r>
              <w:t xml:space="preserve">GCMMF</w:t>
            </w:r>
          </w:p>
        </w:tc>
        <w:tc>
          <w:tcPr/>
          <w:p>
            <w:pPr>
              <w:pStyle w:val="Compact"/>
              <w:jc w:val="left"/>
            </w:pPr>
            <w:r>
              <w:t xml:space="preserve">Gujarat Cooperative Milk Marketing Federation</w:t>
            </w:r>
          </w:p>
        </w:tc>
      </w:tr>
      <w:tr>
        <w:tc>
          <w:tcPr/>
          <w:p>
            <w:pPr>
              <w:pStyle w:val="Compact"/>
              <w:jc w:val="left"/>
            </w:pPr>
            <w:r>
              <w:t xml:space="preserve">GEOGLAM</w:t>
            </w:r>
          </w:p>
        </w:tc>
        <w:tc>
          <w:tcPr/>
          <w:p>
            <w:pPr>
              <w:pStyle w:val="Compact"/>
              <w:jc w:val="left"/>
            </w:pPr>
            <w:r>
              <w:t xml:space="preserve">Group on Earth Observations Global Agricultural Monitoring</w:t>
            </w:r>
          </w:p>
        </w:tc>
      </w:tr>
      <w:tr>
        <w:tc>
          <w:tcPr/>
          <w:p>
            <w:pPr>
              <w:pStyle w:val="Compact"/>
              <w:jc w:val="left"/>
            </w:pPr>
            <w:r>
              <w:t xml:space="preserve">GHG</w:t>
            </w:r>
          </w:p>
        </w:tc>
        <w:tc>
          <w:tcPr/>
          <w:p>
            <w:pPr>
              <w:pStyle w:val="Compact"/>
              <w:jc w:val="left"/>
            </w:pPr>
            <w:r>
              <w:t xml:space="preserve">Greenhouse Gas</w:t>
            </w:r>
          </w:p>
        </w:tc>
      </w:tr>
      <w:tr>
        <w:tc>
          <w:tcPr/>
          <w:p>
            <w:pPr>
              <w:pStyle w:val="Compact"/>
              <w:jc w:val="left"/>
            </w:pPr>
            <w:r>
              <w:t xml:space="preserve">GKMS</w:t>
            </w:r>
          </w:p>
        </w:tc>
        <w:tc>
          <w:tcPr/>
          <w:p>
            <w:pPr>
              <w:pStyle w:val="Compact"/>
              <w:jc w:val="left"/>
            </w:pPr>
            <w:r>
              <w:t xml:space="preserve">Gramin Krishi Mausam Seva</w:t>
            </w:r>
          </w:p>
        </w:tc>
      </w:tr>
      <w:tr>
        <w:tc>
          <w:tcPr/>
          <w:p>
            <w:pPr>
              <w:pStyle w:val="Compact"/>
              <w:jc w:val="left"/>
            </w:pPr>
            <w:r>
              <w:t xml:space="preserve">GPP</w:t>
            </w:r>
          </w:p>
        </w:tc>
        <w:tc>
          <w:tcPr/>
          <w:p>
            <w:pPr>
              <w:pStyle w:val="Compact"/>
              <w:jc w:val="left"/>
            </w:pPr>
            <w:r>
              <w:t xml:space="preserve">Gross Primary Productivity/Production</w:t>
            </w:r>
          </w:p>
        </w:tc>
      </w:tr>
      <w:tr>
        <w:tc>
          <w:tcPr/>
          <w:p>
            <w:pPr>
              <w:pStyle w:val="Compact"/>
              <w:jc w:val="left"/>
            </w:pPr>
            <w:r>
              <w:t xml:space="preserve">GPR</w:t>
            </w:r>
          </w:p>
        </w:tc>
        <w:tc>
          <w:tcPr/>
          <w:p>
            <w:pPr>
              <w:pStyle w:val="Compact"/>
              <w:jc w:val="left"/>
            </w:pPr>
            <w:r>
              <w:t xml:space="preserve">Ground Penetrating Radar</w:t>
            </w:r>
          </w:p>
        </w:tc>
      </w:tr>
      <w:tr>
        <w:tc>
          <w:tcPr/>
          <w:p>
            <w:pPr>
              <w:pStyle w:val="Compact"/>
              <w:jc w:val="left"/>
            </w:pPr>
            <w:r>
              <w:t xml:space="preserve">GPS</w:t>
            </w:r>
          </w:p>
        </w:tc>
        <w:tc>
          <w:tcPr/>
          <w:p>
            <w:pPr>
              <w:pStyle w:val="Compact"/>
              <w:jc w:val="left"/>
            </w:pPr>
            <w:r>
              <w:t xml:space="preserve">Global Positioning System</w:t>
            </w:r>
          </w:p>
        </w:tc>
      </w:tr>
      <w:tr>
        <w:tc>
          <w:tcPr/>
          <w:p>
            <w:pPr>
              <w:pStyle w:val="Compact"/>
              <w:jc w:val="left"/>
            </w:pPr>
            <w:r>
              <w:t xml:space="preserve">IIRS</w:t>
            </w:r>
          </w:p>
        </w:tc>
        <w:tc>
          <w:tcPr/>
          <w:p>
            <w:pPr>
              <w:pStyle w:val="Compact"/>
              <w:jc w:val="left"/>
            </w:pPr>
            <w:r>
              <w:t xml:space="preserve">Indian Institute of Remote Sensing</w:t>
            </w:r>
          </w:p>
        </w:tc>
      </w:tr>
      <w:tr>
        <w:tc>
          <w:tcPr/>
          <w:p>
            <w:pPr>
              <w:pStyle w:val="Compact"/>
              <w:jc w:val="left"/>
            </w:pPr>
            <w:r>
              <w:t xml:space="preserve">InSAR</w:t>
            </w:r>
          </w:p>
        </w:tc>
        <w:tc>
          <w:tcPr/>
          <w:p>
            <w:pPr>
              <w:pStyle w:val="Compact"/>
              <w:jc w:val="left"/>
            </w:pPr>
            <w:r>
              <w:t xml:space="preserve">Interferometric Synthetic Aperture Radar</w:t>
            </w:r>
          </w:p>
        </w:tc>
      </w:tr>
      <w:tr>
        <w:tc>
          <w:tcPr/>
          <w:p>
            <w:pPr>
              <w:pStyle w:val="Compact"/>
              <w:jc w:val="left"/>
            </w:pPr>
            <w:r>
              <w:t xml:space="preserve">IPCC</w:t>
            </w:r>
          </w:p>
        </w:tc>
        <w:tc>
          <w:tcPr/>
          <w:p>
            <w:pPr>
              <w:pStyle w:val="Compact"/>
              <w:jc w:val="left"/>
            </w:pPr>
            <w:r>
              <w:t xml:space="preserve">Intergovernmental Panel on Climate Change</w:t>
            </w:r>
          </w:p>
        </w:tc>
      </w:tr>
      <w:tr>
        <w:tc>
          <w:tcPr/>
          <w:p>
            <w:pPr>
              <w:pStyle w:val="Compact"/>
              <w:jc w:val="left"/>
            </w:pPr>
            <w:r>
              <w:t xml:space="preserve">IRGA</w:t>
            </w:r>
          </w:p>
        </w:tc>
        <w:tc>
          <w:tcPr/>
          <w:p>
            <w:pPr>
              <w:pStyle w:val="Compact"/>
              <w:jc w:val="left"/>
            </w:pPr>
            <w:r>
              <w:t xml:space="preserve">Infra-Red Gas Analyser</w:t>
            </w:r>
          </w:p>
        </w:tc>
      </w:tr>
      <w:tr>
        <w:tc>
          <w:tcPr/>
          <w:p>
            <w:pPr>
              <w:pStyle w:val="Compact"/>
              <w:jc w:val="left"/>
            </w:pPr>
            <w:r>
              <w:t xml:space="preserve">IRNSS</w:t>
            </w:r>
          </w:p>
        </w:tc>
        <w:tc>
          <w:tcPr/>
          <w:p>
            <w:pPr>
              <w:pStyle w:val="Compact"/>
              <w:jc w:val="left"/>
            </w:pPr>
            <w:r>
              <w:t xml:space="preserve">Indian Regional Navigation Satellite System</w:t>
            </w:r>
          </w:p>
        </w:tc>
      </w:tr>
      <w:tr>
        <w:tc>
          <w:tcPr/>
          <w:p>
            <w:pPr>
              <w:pStyle w:val="Compact"/>
              <w:jc w:val="left"/>
            </w:pPr>
            <w:r>
              <w:t xml:space="preserve">IRS</w:t>
            </w:r>
          </w:p>
        </w:tc>
        <w:tc>
          <w:tcPr/>
          <w:p>
            <w:pPr>
              <w:pStyle w:val="Compact"/>
              <w:jc w:val="left"/>
            </w:pPr>
            <w:r>
              <w:t xml:space="preserve">Indian Remote Sensing (satellite)</w:t>
            </w:r>
          </w:p>
        </w:tc>
      </w:tr>
      <w:tr>
        <w:tc>
          <w:tcPr/>
          <w:p>
            <w:pPr>
              <w:pStyle w:val="Compact"/>
              <w:jc w:val="left"/>
            </w:pPr>
            <w:r>
              <w:t xml:space="preserve">ISRO</w:t>
            </w:r>
          </w:p>
        </w:tc>
        <w:tc>
          <w:tcPr/>
          <w:p>
            <w:pPr>
              <w:pStyle w:val="Compact"/>
              <w:jc w:val="left"/>
            </w:pPr>
            <w:r>
              <w:t xml:space="preserve">Indian Space Research Organisation</w:t>
            </w:r>
          </w:p>
        </w:tc>
      </w:tr>
      <w:tr>
        <w:tc>
          <w:tcPr/>
          <w:p>
            <w:pPr>
              <w:pStyle w:val="Compact"/>
              <w:jc w:val="left"/>
            </w:pPr>
            <w:r>
              <w:t xml:space="preserve">Kc</w:t>
            </w:r>
          </w:p>
        </w:tc>
        <w:tc>
          <w:tcPr/>
          <w:p>
            <w:pPr>
              <w:pStyle w:val="Compact"/>
              <w:jc w:val="left"/>
            </w:pPr>
            <w:r>
              <w:t xml:space="preserve">Crop coefficient</w:t>
            </w:r>
          </w:p>
        </w:tc>
      </w:tr>
      <w:tr>
        <w:tc>
          <w:tcPr/>
          <w:p>
            <w:pPr>
              <w:pStyle w:val="Compact"/>
              <w:jc w:val="left"/>
            </w:pPr>
            <w:r>
              <w:t xml:space="preserve">KISAN</w:t>
            </w:r>
          </w:p>
        </w:tc>
        <w:tc>
          <w:tcPr/>
          <w:p>
            <w:pPr>
              <w:pStyle w:val="Compact"/>
              <w:jc w:val="left"/>
            </w:pPr>
            <w:r>
              <w:t xml:space="preserve">Crop Insurance using Space technology And geoiNformatics</w:t>
            </w:r>
          </w:p>
        </w:tc>
      </w:tr>
      <w:tr>
        <w:tc>
          <w:tcPr/>
          <w:p>
            <w:pPr>
              <w:pStyle w:val="Compact"/>
              <w:jc w:val="left"/>
            </w:pPr>
            <w:r>
              <w:t xml:space="preserve">LAI</w:t>
            </w:r>
          </w:p>
        </w:tc>
        <w:tc>
          <w:tcPr/>
          <w:p>
            <w:pPr>
              <w:pStyle w:val="Compact"/>
              <w:jc w:val="left"/>
            </w:pPr>
            <w:r>
              <w:t xml:space="preserve">Leaf Area Index</w:t>
            </w:r>
          </w:p>
        </w:tc>
      </w:tr>
      <w:tr>
        <w:tc>
          <w:tcPr/>
          <w:p>
            <w:pPr>
              <w:pStyle w:val="Compact"/>
              <w:jc w:val="left"/>
            </w:pPr>
            <w:r>
              <w:t xml:space="preserve">LAS</w:t>
            </w:r>
          </w:p>
        </w:tc>
        <w:tc>
          <w:tcPr/>
          <w:p>
            <w:pPr>
              <w:pStyle w:val="Compact"/>
              <w:jc w:val="left"/>
            </w:pPr>
            <w:r>
              <w:t xml:space="preserve">Large Aperture Scintillometer</w:t>
            </w:r>
          </w:p>
        </w:tc>
      </w:tr>
      <w:tr>
        <w:tc>
          <w:tcPr/>
          <w:p>
            <w:pPr>
              <w:pStyle w:val="Compact"/>
              <w:jc w:val="left"/>
            </w:pPr>
            <w:r>
              <w:t xml:space="preserve">LDN</w:t>
            </w:r>
          </w:p>
        </w:tc>
        <w:tc>
          <w:tcPr/>
          <w:p>
            <w:pPr>
              <w:pStyle w:val="Compact"/>
              <w:jc w:val="left"/>
            </w:pPr>
            <w:r>
              <w:t xml:space="preserve">Land Degradation Neutrality</w:t>
            </w:r>
          </w:p>
        </w:tc>
      </w:tr>
      <w:tr>
        <w:tc>
          <w:tcPr/>
          <w:p>
            <w:pPr>
              <w:pStyle w:val="Compact"/>
              <w:jc w:val="left"/>
            </w:pPr>
            <w:r>
              <w:t xml:space="preserve">LE</w:t>
            </w:r>
          </w:p>
        </w:tc>
        <w:tc>
          <w:tcPr/>
          <w:p>
            <w:pPr>
              <w:pStyle w:val="Compact"/>
              <w:jc w:val="left"/>
            </w:pPr>
            <w:r>
              <w:t xml:space="preserve">Latent Heat flux</w:t>
            </w:r>
          </w:p>
        </w:tc>
      </w:tr>
      <w:tr>
        <w:tc>
          <w:tcPr/>
          <w:p>
            <w:pPr>
              <w:pStyle w:val="Compact"/>
              <w:jc w:val="left"/>
            </w:pPr>
            <w:r>
              <w:t xml:space="preserve">LiDAR</w:t>
            </w:r>
          </w:p>
        </w:tc>
        <w:tc>
          <w:tcPr/>
          <w:p>
            <w:pPr>
              <w:pStyle w:val="Compact"/>
              <w:jc w:val="left"/>
            </w:pPr>
            <w:r>
              <w:t xml:space="preserve">Light Detection and Ranging</w:t>
            </w:r>
          </w:p>
        </w:tc>
      </w:tr>
      <w:tr>
        <w:tc>
          <w:tcPr/>
          <w:p>
            <w:pPr>
              <w:pStyle w:val="Compact"/>
              <w:jc w:val="left"/>
            </w:pPr>
            <w:r>
              <w:t xml:space="preserve">LST</w:t>
            </w:r>
          </w:p>
        </w:tc>
        <w:tc>
          <w:tcPr/>
          <w:p>
            <w:pPr>
              <w:pStyle w:val="Compact"/>
              <w:jc w:val="left"/>
            </w:pPr>
            <w:r>
              <w:t xml:space="preserve">Land Surface Temperature</w:t>
            </w:r>
          </w:p>
        </w:tc>
      </w:tr>
      <w:tr>
        <w:tc>
          <w:tcPr/>
          <w:p>
            <w:pPr>
              <w:pStyle w:val="Compact"/>
              <w:jc w:val="left"/>
            </w:pPr>
            <w:r>
              <w:t xml:space="preserve">LULC</w:t>
            </w:r>
          </w:p>
        </w:tc>
        <w:tc>
          <w:tcPr/>
          <w:p>
            <w:pPr>
              <w:pStyle w:val="Compact"/>
              <w:jc w:val="left"/>
            </w:pPr>
            <w:r>
              <w:t xml:space="preserve">Land Use / Land Cover</w:t>
            </w:r>
          </w:p>
        </w:tc>
      </w:tr>
      <w:tr>
        <w:tc>
          <w:tcPr/>
          <w:p>
            <w:pPr>
              <w:pStyle w:val="Compact"/>
              <w:jc w:val="left"/>
            </w:pPr>
            <w:r>
              <w:t xml:space="preserve">LUE</w:t>
            </w:r>
          </w:p>
        </w:tc>
        <w:tc>
          <w:tcPr/>
          <w:p>
            <w:pPr>
              <w:pStyle w:val="Compact"/>
              <w:jc w:val="left"/>
            </w:pPr>
            <w:r>
              <w:t xml:space="preserve">Light Use Efficiency</w:t>
            </w:r>
          </w:p>
        </w:tc>
      </w:tr>
      <w:tr>
        <w:tc>
          <w:tcPr/>
          <w:p>
            <w:pPr>
              <w:pStyle w:val="Compact"/>
              <w:jc w:val="left"/>
            </w:pPr>
            <w:r>
              <w:t xml:space="preserve">MITR</w:t>
            </w:r>
          </w:p>
        </w:tc>
        <w:tc>
          <w:tcPr/>
          <w:p>
            <w:pPr>
              <w:pStyle w:val="Compact"/>
              <w:jc w:val="left"/>
            </w:pPr>
            <w:r>
              <w:t xml:space="preserve">Mentor Institute for Technology roll-out</w:t>
            </w:r>
          </w:p>
        </w:tc>
      </w:tr>
      <w:tr>
        <w:tc>
          <w:tcPr/>
          <w:p>
            <w:pPr>
              <w:pStyle w:val="Compact"/>
              <w:jc w:val="left"/>
            </w:pPr>
            <w:r>
              <w:t xml:space="preserve">MLR</w:t>
            </w:r>
          </w:p>
        </w:tc>
        <w:tc>
          <w:tcPr/>
          <w:p>
            <w:pPr>
              <w:pStyle w:val="Compact"/>
              <w:jc w:val="left"/>
            </w:pPr>
            <w:r>
              <w:t xml:space="preserve">Multiple Linear Regression</w:t>
            </w:r>
          </w:p>
        </w:tc>
      </w:tr>
      <w:tr>
        <w:tc>
          <w:tcPr/>
          <w:p>
            <w:pPr>
              <w:pStyle w:val="Compact"/>
              <w:jc w:val="left"/>
            </w:pPr>
            <w:r>
              <w:t xml:space="preserve">MNCFC</w:t>
            </w:r>
          </w:p>
        </w:tc>
        <w:tc>
          <w:tcPr/>
          <w:p>
            <w:pPr>
              <w:pStyle w:val="Compact"/>
              <w:jc w:val="left"/>
            </w:pPr>
            <w:r>
              <w:t xml:space="preserve">Mahalanobis National Crop Forecast Centre</w:t>
            </w:r>
          </w:p>
        </w:tc>
      </w:tr>
      <w:tr>
        <w:tc>
          <w:tcPr/>
          <w:p>
            <w:pPr>
              <w:pStyle w:val="Compact"/>
              <w:jc w:val="left"/>
            </w:pPr>
            <w:r>
              <w:t xml:space="preserve">MOST</w:t>
            </w:r>
          </w:p>
        </w:tc>
        <w:tc>
          <w:tcPr/>
          <w:p>
            <w:pPr>
              <w:pStyle w:val="Compact"/>
              <w:jc w:val="left"/>
            </w:pPr>
            <w:r>
              <w:t xml:space="preserve">Monin–Obukhov Similarity Theory</w:t>
            </w:r>
          </w:p>
        </w:tc>
      </w:tr>
      <w:tr>
        <w:tc>
          <w:tcPr/>
          <w:p>
            <w:pPr>
              <w:pStyle w:val="Compact"/>
              <w:jc w:val="left"/>
            </w:pPr>
            <w:r>
              <w:t xml:space="preserve">MRR</w:t>
            </w:r>
          </w:p>
        </w:tc>
        <w:tc>
          <w:tcPr/>
          <w:p>
            <w:pPr>
              <w:pStyle w:val="Compact"/>
              <w:jc w:val="left"/>
            </w:pPr>
            <w:r>
              <w:t xml:space="preserve">Micro-Rain Radar</w:t>
            </w:r>
          </w:p>
        </w:tc>
      </w:tr>
      <w:tr>
        <w:tc>
          <w:tcPr/>
          <w:p>
            <w:pPr>
              <w:pStyle w:val="Compact"/>
              <w:jc w:val="left"/>
            </w:pPr>
            <w:r>
              <w:t xml:space="preserve">NADAMS</w:t>
            </w:r>
          </w:p>
        </w:tc>
        <w:tc>
          <w:tcPr/>
          <w:p>
            <w:pPr>
              <w:pStyle w:val="Compact"/>
              <w:jc w:val="left"/>
            </w:pPr>
            <w:r>
              <w:t xml:space="preserve">National Agricultural Drought Assessment and Monitoring System</w:t>
            </w:r>
          </w:p>
        </w:tc>
      </w:tr>
      <w:tr>
        <w:tc>
          <w:tcPr/>
          <w:p>
            <w:pPr>
              <w:pStyle w:val="Compact"/>
              <w:jc w:val="left"/>
            </w:pPr>
            <w:r>
              <w:t xml:space="preserve">NavIC</w:t>
            </w:r>
          </w:p>
        </w:tc>
        <w:tc>
          <w:tcPr/>
          <w:p>
            <w:pPr>
              <w:pStyle w:val="Compact"/>
              <w:jc w:val="left"/>
            </w:pPr>
            <w:r>
              <w:t xml:space="preserve">Navigation with Indian Constellation (IRNSS)</w:t>
            </w:r>
          </w:p>
        </w:tc>
      </w:tr>
      <w:tr>
        <w:tc>
          <w:tcPr/>
          <w:p>
            <w:pPr>
              <w:pStyle w:val="Compact"/>
              <w:jc w:val="left"/>
            </w:pPr>
            <w:r>
              <w:t xml:space="preserve">NBAR</w:t>
            </w:r>
          </w:p>
        </w:tc>
        <w:tc>
          <w:tcPr/>
          <w:p>
            <w:pPr>
              <w:pStyle w:val="Compact"/>
              <w:jc w:val="left"/>
            </w:pPr>
            <w:r>
              <w:t xml:space="preserve">Nadir BRDF-Adjusted Reflectance</w:t>
            </w:r>
          </w:p>
        </w:tc>
      </w:tr>
      <w:tr>
        <w:tc>
          <w:tcPr/>
          <w:p>
            <w:pPr>
              <w:pStyle w:val="Compact"/>
              <w:jc w:val="left"/>
            </w:pPr>
            <w:r>
              <w:t xml:space="preserve">NBR</w:t>
            </w:r>
          </w:p>
        </w:tc>
        <w:tc>
          <w:tcPr/>
          <w:p>
            <w:pPr>
              <w:pStyle w:val="Compact"/>
              <w:jc w:val="left"/>
            </w:pPr>
            <w:r>
              <w:t xml:space="preserve">Normalized Burn Ratio</w:t>
            </w:r>
          </w:p>
        </w:tc>
      </w:tr>
      <w:tr>
        <w:tc>
          <w:tcPr/>
          <w:p>
            <w:pPr>
              <w:pStyle w:val="Compact"/>
              <w:jc w:val="left"/>
            </w:pPr>
            <w:r>
              <w:t xml:space="preserve">NBSS&amp;LUP</w:t>
            </w:r>
          </w:p>
        </w:tc>
        <w:tc>
          <w:tcPr/>
          <w:p>
            <w:pPr>
              <w:pStyle w:val="Compact"/>
              <w:jc w:val="left"/>
            </w:pPr>
            <w:r>
              <w:t xml:space="preserve">National Bureau of Soil Survey and Land Use Planning</w:t>
            </w:r>
          </w:p>
        </w:tc>
      </w:tr>
      <w:tr>
        <w:tc>
          <w:tcPr/>
          <w:p>
            <w:pPr>
              <w:pStyle w:val="Compact"/>
              <w:jc w:val="left"/>
            </w:pPr>
            <w:r>
              <w:t xml:space="preserve">NDIR</w:t>
            </w:r>
          </w:p>
        </w:tc>
        <w:tc>
          <w:tcPr/>
          <w:p>
            <w:pPr>
              <w:pStyle w:val="Compact"/>
              <w:jc w:val="left"/>
            </w:pPr>
            <w:r>
              <w:t xml:space="preserve">Non-Dispersive Infrared</w:t>
            </w:r>
          </w:p>
        </w:tc>
      </w:tr>
      <w:tr>
        <w:tc>
          <w:tcPr/>
          <w:p>
            <w:pPr>
              <w:pStyle w:val="Compact"/>
              <w:jc w:val="left"/>
            </w:pPr>
            <w:r>
              <w:t xml:space="preserve">NDSI</w:t>
            </w:r>
          </w:p>
        </w:tc>
        <w:tc>
          <w:tcPr/>
          <w:p>
            <w:pPr>
              <w:pStyle w:val="Compact"/>
              <w:jc w:val="left"/>
            </w:pPr>
            <w:r>
              <w:t xml:space="preserve">Normalized Difference Snow Index</w:t>
            </w:r>
          </w:p>
        </w:tc>
      </w:tr>
      <w:tr>
        <w:tc>
          <w:tcPr/>
          <w:p>
            <w:pPr>
              <w:pStyle w:val="Compact"/>
              <w:jc w:val="left"/>
            </w:pPr>
            <w:r>
              <w:t xml:space="preserve">NDVI</w:t>
            </w:r>
          </w:p>
        </w:tc>
        <w:tc>
          <w:tcPr/>
          <w:p>
            <w:pPr>
              <w:pStyle w:val="Compact"/>
              <w:jc w:val="left"/>
            </w:pPr>
            <w:r>
              <w:t xml:space="preserve">Normalized Difference Vegetation Index</w:t>
            </w:r>
          </w:p>
        </w:tc>
      </w:tr>
      <w:tr>
        <w:tc>
          <w:tcPr/>
          <w:p>
            <w:pPr>
              <w:pStyle w:val="Compact"/>
              <w:jc w:val="left"/>
            </w:pPr>
            <w:r>
              <w:t xml:space="preserve">NDWI</w:t>
            </w:r>
          </w:p>
        </w:tc>
        <w:tc>
          <w:tcPr/>
          <w:p>
            <w:pPr>
              <w:pStyle w:val="Compact"/>
              <w:jc w:val="left"/>
            </w:pPr>
            <w:r>
              <w:t xml:space="preserve">Normalized Difference Water Index</w:t>
            </w:r>
          </w:p>
        </w:tc>
      </w:tr>
      <w:tr>
        <w:tc>
          <w:tcPr/>
          <w:p>
            <w:pPr>
              <w:pStyle w:val="Compact"/>
              <w:jc w:val="left"/>
            </w:pPr>
            <w:r>
              <w:t xml:space="preserve">NEE</w:t>
            </w:r>
          </w:p>
        </w:tc>
        <w:tc>
          <w:tcPr/>
          <w:p>
            <w:pPr>
              <w:pStyle w:val="Compact"/>
              <w:jc w:val="left"/>
            </w:pPr>
            <w:r>
              <w:t xml:space="preserve">Net Ecosystem Exchange</w:t>
            </w:r>
          </w:p>
        </w:tc>
      </w:tr>
      <w:tr>
        <w:tc>
          <w:tcPr/>
          <w:p>
            <w:pPr>
              <w:pStyle w:val="Compact"/>
              <w:jc w:val="left"/>
            </w:pPr>
            <w:r>
              <w:t xml:space="preserve">NFSM</w:t>
            </w:r>
          </w:p>
        </w:tc>
        <w:tc>
          <w:tcPr/>
          <w:p>
            <w:pPr>
              <w:pStyle w:val="Compact"/>
              <w:jc w:val="left"/>
            </w:pPr>
            <w:r>
              <w:t xml:space="preserve">National Food Security Mission</w:t>
            </w:r>
          </w:p>
        </w:tc>
      </w:tr>
      <w:tr>
        <w:tc>
          <w:tcPr/>
          <w:p>
            <w:pPr>
              <w:pStyle w:val="Compact"/>
              <w:jc w:val="left"/>
            </w:pPr>
            <w:r>
              <w:t xml:space="preserve">NICES</w:t>
            </w:r>
          </w:p>
        </w:tc>
        <w:tc>
          <w:tcPr/>
          <w:p>
            <w:pPr>
              <w:pStyle w:val="Compact"/>
              <w:jc w:val="left"/>
            </w:pPr>
            <w:r>
              <w:t xml:space="preserve">National Information System for Climate and Environment Studies</w:t>
            </w:r>
          </w:p>
        </w:tc>
      </w:tr>
      <w:tr>
        <w:tc>
          <w:tcPr/>
          <w:p>
            <w:pPr>
              <w:pStyle w:val="Compact"/>
              <w:jc w:val="left"/>
            </w:pPr>
            <w:r>
              <w:t xml:space="preserve">NPQ</w:t>
            </w:r>
          </w:p>
        </w:tc>
        <w:tc>
          <w:tcPr/>
          <w:p>
            <w:pPr>
              <w:pStyle w:val="Compact"/>
              <w:jc w:val="left"/>
            </w:pPr>
            <w:r>
              <w:t xml:space="preserve">Non-Photochemical Quenching</w:t>
            </w:r>
          </w:p>
        </w:tc>
      </w:tr>
      <w:tr>
        <w:tc>
          <w:tcPr/>
          <w:p>
            <w:pPr>
              <w:pStyle w:val="Compact"/>
              <w:jc w:val="left"/>
            </w:pPr>
            <w:r>
              <w:t xml:space="preserve">NRSC</w:t>
            </w:r>
          </w:p>
        </w:tc>
        <w:tc>
          <w:tcPr/>
          <w:p>
            <w:pPr>
              <w:pStyle w:val="Compact"/>
              <w:jc w:val="left"/>
            </w:pPr>
            <w:r>
              <w:t xml:space="preserve">National Remote Sensing Centre</w:t>
            </w:r>
          </w:p>
        </w:tc>
      </w:tr>
      <w:tr>
        <w:tc>
          <w:tcPr/>
          <w:p>
            <w:pPr>
              <w:pStyle w:val="Compact"/>
              <w:jc w:val="left"/>
            </w:pPr>
            <w:r>
              <w:t xml:space="preserve">NWP</w:t>
            </w:r>
          </w:p>
        </w:tc>
        <w:tc>
          <w:tcPr/>
          <w:p>
            <w:pPr>
              <w:pStyle w:val="Compact"/>
              <w:jc w:val="left"/>
            </w:pPr>
            <w:r>
              <w:t xml:space="preserve">Numerical Weather Prediction</w:t>
            </w:r>
          </w:p>
        </w:tc>
      </w:tr>
      <w:tr>
        <w:tc>
          <w:tcPr/>
          <w:p>
            <w:pPr>
              <w:pStyle w:val="Compact"/>
              <w:jc w:val="left"/>
            </w:pPr>
            <w:r>
              <w:t xml:space="preserve">OK</w:t>
            </w:r>
          </w:p>
        </w:tc>
        <w:tc>
          <w:tcPr/>
          <w:p>
            <w:pPr>
              <w:pStyle w:val="Compact"/>
              <w:jc w:val="left"/>
            </w:pPr>
            <w:r>
              <w:t xml:space="preserve">Ordinary Kriging</w:t>
            </w:r>
          </w:p>
        </w:tc>
      </w:tr>
      <w:tr>
        <w:tc>
          <w:tcPr/>
          <w:p>
            <w:pPr>
              <w:pStyle w:val="Compact"/>
              <w:jc w:val="left"/>
            </w:pPr>
            <w:r>
              <w:t xml:space="preserve">OLR</w:t>
            </w:r>
          </w:p>
        </w:tc>
        <w:tc>
          <w:tcPr/>
          <w:p>
            <w:pPr>
              <w:pStyle w:val="Compact"/>
              <w:jc w:val="left"/>
            </w:pPr>
            <w:r>
              <w:t xml:space="preserve">Outgoing Longwave Radiation</w:t>
            </w:r>
          </w:p>
        </w:tc>
      </w:tr>
      <w:tr>
        <w:tc>
          <w:tcPr/>
          <w:p>
            <w:pPr>
              <w:pStyle w:val="Compact"/>
              <w:jc w:val="left"/>
            </w:pPr>
            <w:r>
              <w:t xml:space="preserve">PAR</w:t>
            </w:r>
          </w:p>
        </w:tc>
        <w:tc>
          <w:tcPr/>
          <w:p>
            <w:pPr>
              <w:pStyle w:val="Compact"/>
              <w:jc w:val="left"/>
            </w:pPr>
            <w:r>
              <w:t xml:space="preserve">Photosynthetically Active Radiation</w:t>
            </w:r>
          </w:p>
        </w:tc>
      </w:tr>
      <w:tr>
        <w:tc>
          <w:tcPr/>
          <w:p>
            <w:pPr>
              <w:pStyle w:val="Compact"/>
              <w:jc w:val="left"/>
            </w:pPr>
            <w:r>
              <w:t xml:space="preserve">PCA</w:t>
            </w:r>
          </w:p>
        </w:tc>
        <w:tc>
          <w:tcPr/>
          <w:p>
            <w:pPr>
              <w:pStyle w:val="Compact"/>
              <w:jc w:val="left"/>
            </w:pPr>
            <w:r>
              <w:t xml:space="preserve">Principal Component Analysis</w:t>
            </w:r>
          </w:p>
        </w:tc>
      </w:tr>
      <w:tr>
        <w:tc>
          <w:tcPr/>
          <w:p>
            <w:pPr>
              <w:pStyle w:val="Compact"/>
              <w:jc w:val="left"/>
            </w:pPr>
            <w:r>
              <w:t xml:space="preserve">PLSR</w:t>
            </w:r>
          </w:p>
        </w:tc>
        <w:tc>
          <w:tcPr/>
          <w:p>
            <w:pPr>
              <w:pStyle w:val="Compact"/>
              <w:jc w:val="left"/>
            </w:pPr>
            <w:r>
              <w:t xml:space="preserve">Partial Least Squares Regression</w:t>
            </w:r>
          </w:p>
        </w:tc>
      </w:tr>
      <w:tr>
        <w:tc>
          <w:tcPr/>
          <w:p>
            <w:pPr>
              <w:pStyle w:val="Compact"/>
              <w:jc w:val="left"/>
            </w:pPr>
            <w:r>
              <w:t xml:space="preserve">PMFBY</w:t>
            </w:r>
          </w:p>
        </w:tc>
        <w:tc>
          <w:tcPr/>
          <w:p>
            <w:pPr>
              <w:pStyle w:val="Compact"/>
              <w:jc w:val="left"/>
            </w:pPr>
            <w:r>
              <w:t xml:space="preserve">Pradhan Mantri Fasal Bima Yojana</w:t>
            </w:r>
          </w:p>
        </w:tc>
      </w:tr>
      <w:tr>
        <w:tc>
          <w:tcPr/>
          <w:p>
            <w:pPr>
              <w:pStyle w:val="Compact"/>
              <w:jc w:val="left"/>
            </w:pPr>
            <w:r>
              <w:t xml:space="preserve">PMGSY</w:t>
            </w:r>
          </w:p>
        </w:tc>
        <w:tc>
          <w:tcPr/>
          <w:p>
            <w:pPr>
              <w:pStyle w:val="Compact"/>
              <w:jc w:val="left"/>
            </w:pPr>
            <w:r>
              <w:t xml:space="preserve">Pradhan Mantri Gram Sadak Yojana</w:t>
            </w:r>
          </w:p>
        </w:tc>
      </w:tr>
      <w:tr>
        <w:tc>
          <w:tcPr/>
          <w:p>
            <w:pPr>
              <w:pStyle w:val="Compact"/>
              <w:jc w:val="left"/>
            </w:pPr>
            <w:r>
              <w:t xml:space="preserve">PMKSY</w:t>
            </w:r>
          </w:p>
        </w:tc>
        <w:tc>
          <w:tcPr/>
          <w:p>
            <w:pPr>
              <w:pStyle w:val="Compact"/>
              <w:jc w:val="left"/>
            </w:pPr>
            <w:r>
              <w:t xml:space="preserve">Pradhan Mantri Krishi Sinchayee Yojana</w:t>
            </w:r>
          </w:p>
        </w:tc>
      </w:tr>
      <w:tr>
        <w:tc>
          <w:tcPr/>
          <w:p>
            <w:pPr>
              <w:pStyle w:val="Compact"/>
              <w:jc w:val="left"/>
            </w:pPr>
            <w:r>
              <w:t xml:space="preserve">RCS</w:t>
            </w:r>
          </w:p>
        </w:tc>
        <w:tc>
          <w:tcPr/>
          <w:p>
            <w:pPr>
              <w:pStyle w:val="Compact"/>
              <w:jc w:val="left"/>
            </w:pPr>
            <w:r>
              <w:t xml:space="preserve">Radar Cross Section</w:t>
            </w:r>
          </w:p>
        </w:tc>
      </w:tr>
      <w:tr>
        <w:tc>
          <w:tcPr/>
          <w:p>
            <w:pPr>
              <w:pStyle w:val="Compact"/>
              <w:jc w:val="left"/>
            </w:pPr>
            <w:r>
              <w:t xml:space="preserve">REDD+</w:t>
            </w:r>
          </w:p>
        </w:tc>
        <w:tc>
          <w:tcPr/>
          <w:p>
            <w:pPr>
              <w:pStyle w:val="Compact"/>
              <w:jc w:val="left"/>
            </w:pPr>
            <w:r>
              <w:t xml:space="preserve">Reducing Emissions from Deforestation and forest Degradation (plus conservation)</w:t>
            </w:r>
          </w:p>
        </w:tc>
      </w:tr>
      <w:tr>
        <w:tc>
          <w:tcPr/>
          <w:p>
            <w:pPr>
              <w:pStyle w:val="Compact"/>
              <w:jc w:val="left"/>
            </w:pPr>
            <w:r>
              <w:t xml:space="preserve">Ri / Rib</w:t>
            </w:r>
          </w:p>
        </w:tc>
        <w:tc>
          <w:tcPr/>
          <w:p>
            <w:pPr>
              <w:pStyle w:val="Compact"/>
              <w:jc w:val="left"/>
            </w:pPr>
            <w:r>
              <w:t xml:space="preserve">(Gradient / Bulk) Richardson number</w:t>
            </w:r>
          </w:p>
        </w:tc>
      </w:tr>
      <w:tr>
        <w:tc>
          <w:tcPr/>
          <w:p>
            <w:pPr>
              <w:pStyle w:val="Compact"/>
              <w:jc w:val="left"/>
            </w:pPr>
            <w:r>
              <w:t xml:space="preserve">RS</w:t>
            </w:r>
          </w:p>
        </w:tc>
        <w:tc>
          <w:tcPr/>
          <w:p>
            <w:pPr>
              <w:pStyle w:val="Compact"/>
              <w:jc w:val="left"/>
            </w:pPr>
            <w:r>
              <w:t xml:space="preserve">Remote Sensing</w:t>
            </w:r>
          </w:p>
        </w:tc>
      </w:tr>
      <w:tr>
        <w:tc>
          <w:tcPr/>
          <w:p>
            <w:pPr>
              <w:pStyle w:val="Compact"/>
              <w:jc w:val="left"/>
            </w:pPr>
            <w:r>
              <w:t xml:space="preserve">RTLSR</w:t>
            </w:r>
          </w:p>
        </w:tc>
        <w:tc>
          <w:tcPr/>
          <w:p>
            <w:pPr>
              <w:pStyle w:val="Compact"/>
              <w:jc w:val="left"/>
            </w:pPr>
            <w:r>
              <w:t xml:space="preserve">RossThick–LiSparse-Reciprocal (BRDF model)</w:t>
            </w:r>
          </w:p>
        </w:tc>
      </w:tr>
      <w:tr>
        <w:tc>
          <w:tcPr/>
          <w:p>
            <w:pPr>
              <w:pStyle w:val="Compact"/>
              <w:jc w:val="left"/>
            </w:pPr>
            <w:r>
              <w:t xml:space="preserve">RUSLE</w:t>
            </w:r>
          </w:p>
        </w:tc>
        <w:tc>
          <w:tcPr/>
          <w:p>
            <w:pPr>
              <w:pStyle w:val="Compact"/>
              <w:jc w:val="left"/>
            </w:pPr>
            <w:r>
              <w:t xml:space="preserve">Revised Universal Soil Loss Equation</w:t>
            </w:r>
          </w:p>
        </w:tc>
      </w:tr>
      <w:tr>
        <w:tc>
          <w:tcPr/>
          <w:p>
            <w:pPr>
              <w:pStyle w:val="Compact"/>
              <w:jc w:val="left"/>
            </w:pPr>
            <w:r>
              <w:t xml:space="preserve">RVI</w:t>
            </w:r>
          </w:p>
        </w:tc>
        <w:tc>
          <w:tcPr/>
          <w:p>
            <w:pPr>
              <w:pStyle w:val="Compact"/>
              <w:jc w:val="left"/>
            </w:pPr>
            <w:r>
              <w:t xml:space="preserve">Radar Vegetation Index</w:t>
            </w:r>
          </w:p>
        </w:tc>
      </w:tr>
      <w:tr>
        <w:tc>
          <w:tcPr/>
          <w:p>
            <w:pPr>
              <w:pStyle w:val="Compact"/>
              <w:jc w:val="left"/>
            </w:pPr>
            <w:r>
              <w:t xml:space="preserve">SAC</w:t>
            </w:r>
          </w:p>
        </w:tc>
        <w:tc>
          <w:tcPr/>
          <w:p>
            <w:pPr>
              <w:pStyle w:val="Compact"/>
              <w:jc w:val="left"/>
            </w:pPr>
            <w:r>
              <w:t xml:space="preserve">Space Applications Centre</w:t>
            </w:r>
          </w:p>
        </w:tc>
      </w:tr>
      <w:tr>
        <w:tc>
          <w:tcPr/>
          <w:p>
            <w:pPr>
              <w:pStyle w:val="Compact"/>
              <w:jc w:val="left"/>
            </w:pPr>
            <w:r>
              <w:t xml:space="preserve">SAFAR</w:t>
            </w:r>
          </w:p>
        </w:tc>
        <w:tc>
          <w:tcPr/>
          <w:p>
            <w:pPr>
              <w:pStyle w:val="Compact"/>
              <w:jc w:val="left"/>
            </w:pPr>
            <w:r>
              <w:t xml:space="preserve">System of Air Quality and Weather Forecasting And Research</w:t>
            </w:r>
          </w:p>
        </w:tc>
      </w:tr>
      <w:tr>
        <w:tc>
          <w:tcPr/>
          <w:p>
            <w:pPr>
              <w:pStyle w:val="Compact"/>
              <w:jc w:val="left"/>
            </w:pPr>
            <w:r>
              <w:t xml:space="preserve">SAR</w:t>
            </w:r>
          </w:p>
        </w:tc>
        <w:tc>
          <w:tcPr/>
          <w:p>
            <w:pPr>
              <w:pStyle w:val="Compact"/>
              <w:jc w:val="left"/>
            </w:pPr>
            <w:r>
              <w:t xml:space="preserve">Synthetic Aperture Radar</w:t>
            </w:r>
          </w:p>
        </w:tc>
      </w:tr>
      <w:tr>
        <w:tc>
          <w:tcPr/>
          <w:p>
            <w:pPr>
              <w:pStyle w:val="Compact"/>
              <w:jc w:val="left"/>
            </w:pPr>
            <w:r>
              <w:t xml:space="preserve">SASYA</w:t>
            </w:r>
          </w:p>
        </w:tc>
        <w:tc>
          <w:tcPr/>
          <w:p>
            <w:pPr>
              <w:pStyle w:val="Compact"/>
              <w:jc w:val="left"/>
            </w:pPr>
            <w:r>
              <w:t xml:space="preserve">AI-based crop mapping tool (NRSC/ISRO) for SAR data</w:t>
            </w:r>
          </w:p>
        </w:tc>
      </w:tr>
      <w:tr>
        <w:tc>
          <w:tcPr/>
          <w:p>
            <w:pPr>
              <w:pStyle w:val="Compact"/>
              <w:jc w:val="left"/>
            </w:pPr>
            <w:r>
              <w:t xml:space="preserve">SBAS</w:t>
            </w:r>
          </w:p>
        </w:tc>
        <w:tc>
          <w:tcPr/>
          <w:p>
            <w:pPr>
              <w:pStyle w:val="Compact"/>
              <w:jc w:val="left"/>
            </w:pPr>
            <w:r>
              <w:t xml:space="preserve">Satellite-Based Augmentation System</w:t>
            </w:r>
          </w:p>
        </w:tc>
      </w:tr>
      <w:tr>
        <w:tc>
          <w:tcPr/>
          <w:p>
            <w:pPr>
              <w:pStyle w:val="Compact"/>
              <w:jc w:val="left"/>
            </w:pPr>
            <w:r>
              <w:t xml:space="preserve">SDM</w:t>
            </w:r>
          </w:p>
        </w:tc>
        <w:tc>
          <w:tcPr/>
          <w:p>
            <w:pPr>
              <w:pStyle w:val="Compact"/>
              <w:jc w:val="left"/>
            </w:pPr>
            <w:r>
              <w:t xml:space="preserve">Species Distribution Modelling</w:t>
            </w:r>
          </w:p>
        </w:tc>
      </w:tr>
      <w:tr>
        <w:tc>
          <w:tcPr/>
          <w:p>
            <w:pPr>
              <w:pStyle w:val="Compact"/>
              <w:jc w:val="left"/>
            </w:pPr>
            <w:r>
              <w:t xml:space="preserve">SEBAL</w:t>
            </w:r>
          </w:p>
        </w:tc>
        <w:tc>
          <w:tcPr/>
          <w:p>
            <w:pPr>
              <w:pStyle w:val="Compact"/>
              <w:jc w:val="left"/>
            </w:pPr>
            <w:r>
              <w:t xml:space="preserve">Surface Energy Balance Algorithm for Land</w:t>
            </w:r>
          </w:p>
        </w:tc>
      </w:tr>
      <w:tr>
        <w:tc>
          <w:tcPr/>
          <w:p>
            <w:pPr>
              <w:pStyle w:val="Compact"/>
              <w:jc w:val="left"/>
            </w:pPr>
            <w:r>
              <w:t xml:space="preserve">SEBS</w:t>
            </w:r>
          </w:p>
        </w:tc>
        <w:tc>
          <w:tcPr/>
          <w:p>
            <w:pPr>
              <w:pStyle w:val="Compact"/>
              <w:jc w:val="left"/>
            </w:pPr>
            <w:r>
              <w:t xml:space="preserve">Surface Energy Balance System</w:t>
            </w:r>
          </w:p>
        </w:tc>
      </w:tr>
      <w:tr>
        <w:tc>
          <w:tcPr/>
          <w:p>
            <w:pPr>
              <w:pStyle w:val="Compact"/>
              <w:jc w:val="left"/>
            </w:pPr>
            <w:r>
              <w:t xml:space="preserve">SIF</w:t>
            </w:r>
          </w:p>
        </w:tc>
        <w:tc>
          <w:tcPr/>
          <w:p>
            <w:pPr>
              <w:pStyle w:val="Compact"/>
              <w:jc w:val="left"/>
            </w:pPr>
            <w:r>
              <w:t xml:space="preserve">Sun-Induced (chlorophyll) Fluorescence</w:t>
            </w:r>
          </w:p>
        </w:tc>
      </w:tr>
      <w:tr>
        <w:tc>
          <w:tcPr/>
          <w:p>
            <w:pPr>
              <w:pStyle w:val="Compact"/>
              <w:jc w:val="left"/>
            </w:pPr>
            <w:r>
              <w:t xml:space="preserve">SOC</w:t>
            </w:r>
          </w:p>
        </w:tc>
        <w:tc>
          <w:tcPr/>
          <w:p>
            <w:pPr>
              <w:pStyle w:val="Compact"/>
              <w:jc w:val="left"/>
            </w:pPr>
            <w:r>
              <w:t xml:space="preserve">Soil Organic Carbon</w:t>
            </w:r>
          </w:p>
        </w:tc>
      </w:tr>
      <w:tr>
        <w:tc>
          <w:tcPr/>
          <w:p>
            <w:pPr>
              <w:pStyle w:val="Compact"/>
              <w:jc w:val="left"/>
            </w:pPr>
            <w:r>
              <w:t xml:space="preserve">SPI</w:t>
            </w:r>
          </w:p>
        </w:tc>
        <w:tc>
          <w:tcPr/>
          <w:p>
            <w:pPr>
              <w:pStyle w:val="Compact"/>
              <w:jc w:val="left"/>
            </w:pPr>
            <w:r>
              <w:t xml:space="preserve">Standardized Precipitation Index</w:t>
            </w:r>
          </w:p>
        </w:tc>
      </w:tr>
      <w:tr>
        <w:tc>
          <w:tcPr/>
          <w:p>
            <w:pPr>
              <w:pStyle w:val="Compact"/>
              <w:jc w:val="left"/>
            </w:pPr>
            <w:r>
              <w:t xml:space="preserve">SPS</w:t>
            </w:r>
          </w:p>
        </w:tc>
        <w:tc>
          <w:tcPr/>
          <w:p>
            <w:pPr>
              <w:pStyle w:val="Compact"/>
              <w:jc w:val="left"/>
            </w:pPr>
            <w:r>
              <w:t xml:space="preserve">Standard Positioning Service</w:t>
            </w:r>
          </w:p>
        </w:tc>
      </w:tr>
      <w:tr>
        <w:tc>
          <w:tcPr/>
          <w:p>
            <w:pPr>
              <w:pStyle w:val="Compact"/>
              <w:jc w:val="left"/>
            </w:pPr>
            <w:r>
              <w:t xml:space="preserve">SSEBop</w:t>
            </w:r>
          </w:p>
        </w:tc>
        <w:tc>
          <w:tcPr/>
          <w:p>
            <w:pPr>
              <w:pStyle w:val="Compact"/>
              <w:jc w:val="left"/>
            </w:pPr>
            <w:r>
              <w:t xml:space="preserve">Operational Simplified Surface Energy Balance (model)</w:t>
            </w:r>
          </w:p>
        </w:tc>
      </w:tr>
      <w:tr>
        <w:tc>
          <w:tcPr/>
          <w:p>
            <w:pPr>
              <w:pStyle w:val="Compact"/>
              <w:jc w:val="left"/>
            </w:pPr>
            <w:r>
              <w:t xml:space="preserve">TDR / FDR</w:t>
            </w:r>
          </w:p>
        </w:tc>
        <w:tc>
          <w:tcPr/>
          <w:p>
            <w:pPr>
              <w:pStyle w:val="Compact"/>
              <w:jc w:val="left"/>
            </w:pPr>
            <w:r>
              <w:t xml:space="preserve">Time-Domain / Frequency-Domain Reflectometry</w:t>
            </w:r>
          </w:p>
        </w:tc>
      </w:tr>
      <w:tr>
        <w:tc>
          <w:tcPr/>
          <w:p>
            <w:pPr>
              <w:pStyle w:val="Compact"/>
              <w:jc w:val="left"/>
            </w:pPr>
            <w:r>
              <w:t xml:space="preserve">TIU</w:t>
            </w:r>
          </w:p>
        </w:tc>
        <w:tc>
          <w:tcPr/>
          <w:p>
            <w:pPr>
              <w:pStyle w:val="Compact"/>
              <w:jc w:val="left"/>
            </w:pPr>
            <w:r>
              <w:t xml:space="preserve">Thermal Inertia Unit</w:t>
            </w:r>
          </w:p>
        </w:tc>
      </w:tr>
      <w:tr>
        <w:tc>
          <w:tcPr/>
          <w:p>
            <w:pPr>
              <w:pStyle w:val="Compact"/>
              <w:jc w:val="left"/>
            </w:pPr>
            <w:r>
              <w:t xml:space="preserve">TKE</w:t>
            </w:r>
          </w:p>
        </w:tc>
        <w:tc>
          <w:tcPr/>
          <w:p>
            <w:pPr>
              <w:pStyle w:val="Compact"/>
              <w:jc w:val="left"/>
            </w:pPr>
            <w:r>
              <w:t xml:space="preserve">Turbulent Kinetic Energy</w:t>
            </w:r>
          </w:p>
        </w:tc>
      </w:tr>
      <w:tr>
        <w:tc>
          <w:tcPr/>
          <w:p>
            <w:pPr>
              <w:pStyle w:val="Compact"/>
              <w:jc w:val="left"/>
            </w:pPr>
            <w:r>
              <w:t xml:space="preserve">TSEB</w:t>
            </w:r>
          </w:p>
        </w:tc>
        <w:tc>
          <w:tcPr/>
          <w:p>
            <w:pPr>
              <w:pStyle w:val="Compact"/>
              <w:jc w:val="left"/>
            </w:pPr>
            <w:r>
              <w:t xml:space="preserve">Two-Source Energy Balance (model)</w:t>
            </w:r>
          </w:p>
        </w:tc>
      </w:tr>
      <w:tr>
        <w:tc>
          <w:tcPr/>
          <w:p>
            <w:pPr>
              <w:pStyle w:val="Compact"/>
              <w:jc w:val="left"/>
            </w:pPr>
            <w:r>
              <w:t xml:space="preserve">UNCCD</w:t>
            </w:r>
          </w:p>
        </w:tc>
        <w:tc>
          <w:tcPr/>
          <w:p>
            <w:pPr>
              <w:pStyle w:val="Compact"/>
              <w:jc w:val="left"/>
            </w:pPr>
            <w:r>
              <w:t xml:space="preserve">United Nations Convention to Combat Desertification</w:t>
            </w:r>
          </w:p>
        </w:tc>
      </w:tr>
      <w:tr>
        <w:tc>
          <w:tcPr/>
          <w:p>
            <w:pPr>
              <w:pStyle w:val="Compact"/>
              <w:jc w:val="left"/>
            </w:pPr>
            <w:r>
              <w:t xml:space="preserve">UTH</w:t>
            </w:r>
          </w:p>
        </w:tc>
        <w:tc>
          <w:tcPr/>
          <w:p>
            <w:pPr>
              <w:pStyle w:val="Compact"/>
              <w:jc w:val="left"/>
            </w:pPr>
            <w:r>
              <w:t xml:space="preserve">Upper Tropospheric Humidity</w:t>
            </w:r>
          </w:p>
        </w:tc>
      </w:tr>
      <w:tr>
        <w:tc>
          <w:tcPr/>
          <w:p>
            <w:pPr>
              <w:pStyle w:val="Compact"/>
              <w:jc w:val="left"/>
            </w:pPr>
            <w:r>
              <w:t xml:space="preserve">VCI / VHI</w:t>
            </w:r>
          </w:p>
        </w:tc>
        <w:tc>
          <w:tcPr/>
          <w:p>
            <w:pPr>
              <w:pStyle w:val="Compact"/>
              <w:jc w:val="left"/>
            </w:pPr>
            <w:r>
              <w:t xml:space="preserve">Vegetation Condition Index / Vegetation Health Index</w:t>
            </w:r>
          </w:p>
        </w:tc>
      </w:tr>
      <w:tr>
        <w:tc>
          <w:tcPr/>
          <w:p>
            <w:pPr>
              <w:pStyle w:val="Compact"/>
              <w:jc w:val="left"/>
            </w:pPr>
            <w:r>
              <w:t xml:space="preserve">VEDAS</w:t>
            </w:r>
          </w:p>
        </w:tc>
        <w:tc>
          <w:tcPr/>
          <w:p>
            <w:pPr>
              <w:pStyle w:val="Compact"/>
              <w:jc w:val="left"/>
            </w:pPr>
            <w:r>
              <w:t xml:space="preserve">Visualization of Earth Observation Data and Archival System</w:t>
            </w:r>
          </w:p>
        </w:tc>
      </w:tr>
      <w:tr>
        <w:tc>
          <w:tcPr/>
          <w:p>
            <w:pPr>
              <w:pStyle w:val="Compact"/>
              <w:jc w:val="left"/>
            </w:pPr>
            <w:r>
              <w:t xml:space="preserve">WMO-GAW</w:t>
            </w:r>
          </w:p>
        </w:tc>
        <w:tc>
          <w:tcPr/>
          <w:p>
            <w:pPr>
              <w:pStyle w:val="Compact"/>
              <w:jc w:val="left"/>
            </w:pPr>
            <w:r>
              <w:t xml:space="preserve">World Meteorological Organization – Global Atmosphere Watch</w:t>
            </w:r>
          </w:p>
        </w:tc>
      </w:tr>
      <w:tr>
        <w:tc>
          <w:tcPr/>
          <w:p>
            <w:pPr>
              <w:pStyle w:val="Compact"/>
              <w:jc w:val="left"/>
            </w:pPr>
            <w:r>
              <w:t xml:space="preserve">WPL</w:t>
            </w:r>
          </w:p>
        </w:tc>
        <w:tc>
          <w:tcPr/>
          <w:p>
            <w:pPr>
              <w:pStyle w:val="Compact"/>
              <w:jc w:val="left"/>
            </w:pPr>
            <w:r>
              <w:t xml:space="preserve">Webb–Pearman–Leuning (correction)</w:t>
            </w:r>
          </w:p>
        </w:tc>
      </w:tr>
      <w:tr>
        <w:tc>
          <w:tcPr/>
          <w:p>
            <w:pPr>
              <w:pStyle w:val="Compact"/>
              <w:jc w:val="left"/>
            </w:pPr>
            <w:r>
              <w:t xml:space="preserve">WRF</w:t>
            </w:r>
          </w:p>
        </w:tc>
        <w:tc>
          <w:tcPr/>
          <w:p>
            <w:pPr>
              <w:pStyle w:val="Compact"/>
              <w:jc w:val="left"/>
            </w:pPr>
            <w:r>
              <w:t xml:space="preserve">Weather Research and Forecasting (model)</w:t>
            </w:r>
          </w:p>
        </w:tc>
      </w:tr>
      <w:tr>
        <w:tc>
          <w:tcPr/>
          <w:p>
            <w:pPr>
              <w:pStyle w:val="Compact"/>
              <w:jc w:val="left"/>
            </w:pPr>
            <w:r>
              <w:t xml:space="preserve">WRSI</w:t>
            </w:r>
          </w:p>
        </w:tc>
        <w:tc>
          <w:tcPr/>
          <w:p>
            <w:pPr>
              <w:pStyle w:val="Compact"/>
              <w:jc w:val="left"/>
            </w:pPr>
            <w:r>
              <w:t xml:space="preserve">Water Requirement Satisfaction Index</w:t>
            </w:r>
          </w:p>
        </w:tc>
      </w:tr>
      <w:tr>
        <w:tc>
          <w:tcPr/>
          <w:p>
            <w:pPr>
              <w:pStyle w:val="Compact"/>
              <w:jc w:val="left"/>
            </w:pPr>
            <w:r>
              <w:t xml:space="preserve">YES-TECH</w:t>
            </w:r>
          </w:p>
        </w:tc>
        <w:tc>
          <w:tcPr/>
          <w:p>
            <w:pPr>
              <w:pStyle w:val="Compact"/>
              <w:jc w:val="left"/>
            </w:pPr>
            <w:r>
              <w:t xml:space="preserve">Yield Estimation System based on Technology</w:t>
            </w:r>
          </w:p>
        </w:tc>
      </w:tr>
    </w:tbl>
    <w:sectPr>
      <w:footerReference w:type="default" r:id="rIdFtr1"/>
      <w:pgSz w:w="11906" w:h="16838"/>
      <w:pgMar w:top="1134" w:right="1077" w:bottom="1134" w:left="1077"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1"/>
  </w:num>
  <w:num w:numId="12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7">
    <w:abstractNumId w:val="991"/>
  </w:num>
  <w:num w:numId="12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1"/>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val="en-IN"/>
      </w:rPr>
    </w:rPrDefault>
    <w:pPrDefault>
      <w:pPr>
        <w:spacing w:after="80" w:line="26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0"/>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20"/>
    </w:pPr>
  </w:style>
  <w:style w:styleId="Title" w:type="paragraph">
    <w:name w:val="Title"/>
    <w:basedOn w:val="Normal"/>
    <w:next w:val="BodyText"/>
    <w:qFormat/>
    <w:pPr>
      <w:keepNext/>
      <w:spacing w:after="240" w:before="2400"/>
      <w:jc w:val="center"/>
    </w:pPr>
    <w:rPr>
      <w:rFonts w:ascii="Calibri" w:cs="Calibri" w:eastAsia="Calibri" w:hAnsi="Calibri"/>
      <w:b/>
      <w:color w:val="1F4E79"/>
      <w:sz w:val="56"/>
      <w:szCs w:val="5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pBdr>
        <w:bottom w:color="1F4E79" w:space="4" w:sz="12" w:val="single"/>
      </w:pBdr>
      <w:spacing w:after="240" w:before="120"/>
      <w:outlineLvl w:val="0"/>
    </w:pPr>
    <w:rPr>
      <w:rFonts w:ascii="Calibri" w:cs="Calibri" w:eastAsia="Calibri" w:hAnsi="Calibri"/>
      <w:b/>
      <w:bCs/>
      <w:color w:val="1F4E79"/>
      <w:sz w:val="36"/>
      <w:szCs w:val="36"/>
    </w:rPr>
  </w:style>
  <w:style w:styleId="Heading2" w:type="paragraph">
    <w:name w:val="Heading 2"/>
    <w:basedOn w:val="Normal"/>
    <w:next w:val="BodyText"/>
    <w:uiPriority w:val="9"/>
    <w:unhideWhenUsed/>
    <w:qFormat/>
    <w:pPr>
      <w:keepNext/>
      <w:keepLines/>
      <w:spacing w:after="120" w:before="320"/>
      <w:outlineLvl w:val="1"/>
    </w:pPr>
    <w:rPr>
      <w:rFonts w:ascii="Calibri" w:cs="Calibri" w:eastAsia="Calibri" w:hAnsi="Calibri"/>
      <w:b/>
      <w:bCs/>
      <w:color w:val="2E75B6"/>
      <w:sz w:val="28"/>
      <w:szCs w:val="28"/>
    </w:rPr>
  </w:style>
  <w:style w:styleId="Heading3" w:type="paragraph">
    <w:name w:val="Heading 3"/>
    <w:basedOn w:val="Normal"/>
    <w:next w:val="BodyText"/>
    <w:uiPriority w:val="9"/>
    <w:unhideWhenUsed/>
    <w:qFormat/>
    <w:pPr>
      <w:keepNext/>
      <w:keepLines/>
      <w:spacing w:after="80" w:before="220"/>
      <w:outlineLvl w:val="2"/>
    </w:pPr>
    <w:rPr>
      <w:rFonts w:ascii="Calibri" w:cs="Calibri" w:eastAsia="Calibri" w:hAnsi="Calibri"/>
      <w:b/>
      <w:bCs/>
      <w:color w:val="1F4E79"/>
      <w:sz w:val="24"/>
      <w:szCs w:val="24"/>
    </w:rPr>
  </w:style>
  <w:style w:styleId="Heading4" w:type="paragraph">
    <w:name w:val="Heading 4"/>
    <w:basedOn w:val="Normal"/>
    <w:next w:val="BodyText"/>
    <w:uiPriority w:val="9"/>
    <w:unhideWhenUsed/>
    <w:qFormat/>
    <w:pPr>
      <w:keepNext/>
      <w:keepLines/>
      <w:spacing w:after="60" w:before="160"/>
      <w:outlineLvl w:val="3"/>
    </w:pPr>
    <w:rPr>
      <w:rFonts w:ascii="Calibri" w:cs="Calibri" w:eastAsia="Calibri" w:hAnsi="Calibri"/>
      <w:b/>
      <w:bCs/>
      <w:i/>
      <w:color w:val="404040"/>
      <w:sz w:val="22"/>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z="4" w:val="single"/>
        <w:left w:color="A6A6A6" w:sz="4" w:val="single"/>
        <w:bottom w:color="A6A6A6" w:sz="4" w:val="single"/>
        <w:right w:color="A6A6A6" w:sz="4" w:val="single"/>
        <w:insideH w:color="A6A6A6" w:sz="4" w:val="single"/>
        <w:insideV w:color="A6A6A6" w:sz="4" w:val="single"/>
      </w:tblBorders>
      <w:tblCellMar>
        <w:top w:type="dxa" w:w="0"/>
        <w:left w:type="dxa" w:w="108"/>
        <w:bottom w:type="dxa" w:w="0"/>
        <w:right w:type="dxa" w:w="108"/>
      </w:tblCellMar>
    </w:tblPr>
    <w:tblStylePr w:type="firstRow">
      <w:rPr>
        <w:b/>
        <w:color w:val="FFFFFF"/>
      </w:rPr>
      <w:tblPr>
        <w:jc w:val="left"/>
        <w:tblInd w:type="dxa" w:w="0"/>
      </w:tblPr>
      <w:trPr>
        <w:jc w:val="left"/>
      </w:trPr>
      <w:tcPr>
        <w:shd w:color="auto" w:fill="1F4E7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KeyPoint" w:type="paragraph">
    <w:name w:val="Key Point"/>
    <w:basedOn w:val="BodyText"/>
    <w:qFormat/>
    <w:pPr>
      <w:pBdr>
        <w:left w:color="BF9000" w:space="8" w:sz="24" w:val="single"/>
      </w:pBdr>
      <w:shd w:color="auto" w:fill="FFF2CC" w:val="clear"/>
      <w:spacing w:after="80" w:before="80"/>
      <w:ind w:left="200" w:right="100"/>
      <w:jc w:val="left"/>
    </w:pPr>
  </w:style>
  <w:style w:customStyle="1" w:styleId="ExamTip" w:type="paragraph">
    <w:name w:val="Exam Tip"/>
    <w:basedOn w:val="BodyText"/>
    <w:qFormat/>
    <w:pPr>
      <w:pBdr>
        <w:left w:color="2E75B6" w:space="8" w:sz="24" w:val="single"/>
      </w:pBdr>
      <w:shd w:color="auto" w:fill="DEEAF6" w:val="clear"/>
      <w:spacing w:after="80" w:before="80"/>
      <w:ind w:left="200" w:right="100"/>
      <w:jc w:val="left"/>
    </w:pPr>
  </w:style>
  <w:style w:customStyle="1" w:styleId="PartTitle" w:type="paragraph">
    <w:name w:val="Part Title"/>
    <w:basedOn w:val="Normal"/>
    <w:qFormat/>
    <w:pPr>
      <w:pageBreakBefore/>
      <w:spacing w:after="240" w:before="3600"/>
      <w:jc w:val="center"/>
    </w:pPr>
    <w:rPr>
      <w:rFonts w:ascii="Calibri" w:cs="Calibri" w:eastAsia="Calibri" w:hAnsi="Calibri"/>
      <w:b/>
      <w:color w:val="1F4E79"/>
      <w:sz w:val="52"/>
    </w:rPr>
  </w:style>
  <w:style w:customStyle="1" w:styleId="PartSub" w:type="paragraph">
    <w:name w:val="Part Sub"/>
    <w:basedOn w:val="Normal"/>
    <w:qFormat/>
    <w:pPr>
      <w:spacing w:after="120" w:before="120"/>
      <w:jc w:val="center"/>
    </w:pPr>
    <w:rPr>
      <w:rFonts w:ascii="Calibri" w:cs="Calibri" w:eastAsia="Calibri" w:hAnsi="Calibri"/>
      <w:i/>
      <w:color w:val="595959"/>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31" Target="media/rId131.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89" Target="media/rId89.png" /><Relationship Type="http://schemas.openxmlformats.org/officeDocument/2006/relationships/image" Id="rId128" Target="media/rId128.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6" Target="media/rId146.png" /><Relationship Type="http://schemas.openxmlformats.org/officeDocument/2006/relationships/image" Id="rId44" Target="media/rId44.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41" Target="media/rId41.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125" Target="media/rId125.png" /><Relationship Type="http://schemas.openxmlformats.org/officeDocument/2006/relationships/image" Id="rId113" Target="media/rId113.png"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ISRO Scientist Interview Master Manual</dc:title>
  <dc:creator/>
  <cp:keywords/>
  <dcterms:created xsi:type="dcterms:W3CDTF">2026-10-26T23:01:38Z</dcterms:created>
  <dcterms:modified xsi:type="dcterms:W3CDTF">2026-10-26T23:01:38Z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Remote Sensing, GIS, Soil Science, Agrometeorology, Crop Monitoring and Agriculture Analytics — complete concept notes with equations, steps and flowcharts</vt:lpwstr>
  </property>
  <property fmtid="{D5CDD505-2E9C-101B-9397-08002B2CF9AE}" pid="3" name="toc-title">
    <vt:lpwstr>Contents</vt:lpwstr>
  </property>
</Properties>
</file>