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36"/>
          <w:szCs w:val="36"/>
        </w:rPr>
        <w:t xml:space="preserve">Extraction of SMACC Endmembers from Healthy and Diseased Crop Regions in a Hyperspectral Image</w:t>
      </w:r>
    </w:p>
    <w:p>
      <w:pPr>
        <w:spacing w:after="120"/>
        <w:jc w:val="center"/>
      </w:pPr>
      <w:r>
        <w:rPr>
          <w:color w:val="404040"/>
          <w:sz w:val="24"/>
          <w:szCs w:val="24"/>
        </w:rPr>
        <w:t xml:space="preserve">Procedure, algorithms, outputs, quality control and methodological notes</w:t>
      </w:r>
    </w:p>
    <w:p>
      <w:pPr>
        <w:spacing w:after="400"/>
        <w:jc w:val="center"/>
      </w:pPr>
      <w:r>
        <w:rPr>
          <w:color w:val="595959"/>
          <w:sz w:val="20"/>
          <w:szCs w:val="20"/>
        </w:rPr>
        <w:t xml:space="preserve">Image: subset_200526 (acquired 24-02-2026)  |  Code: smacc_endmember_extraction.ipynb and flag_nonvegetation_endmembers.ipynb</w:t>
      </w:r>
    </w:p>
    <w:p>
      <w:pPr>
        <w:pStyle w:val="Heading1"/>
      </w:pPr>
      <w:r>
        <w:t xml:space="preserve">1. Purpose and overview</w:t>
      </w:r>
    </w:p>
    <w:p>
      <w:pPr>
        <w:spacing w:after="120"/>
      </w:pPr>
      <w:r>
        <w:t xml:space="preserve">The aim of this procedure is to obtain representative spectral signatures of </w:t>
      </w:r>
      <w:r>
        <w:rPr>
          <w:b/>
          <w:bCs/>
        </w:rPr>
        <w:t xml:space="preserve">healthy</w:t>
      </w:r>
      <w:r>
        <w:t xml:space="preserve"> and </w:t>
      </w:r>
      <w:r>
        <w:rPr>
          <w:b/>
          <w:bCs/>
        </w:rPr>
        <w:t xml:space="preserve">diseased</w:t>
      </w:r>
      <w:r>
        <w:t xml:space="preserve"> canopy from a single airborne hyperspectral image, for later use in a four-tier band-selection and classification analysis (one-way ANOVA → Classification and Regression Trees (CART) → Jeffries–Matusita (J–M) distance → Quadratic Discriminant Analysis (QDA)), following Das et al. (2020).</w:t>
      </w:r>
    </w:p>
    <w:p>
      <w:pPr>
        <w:spacing w:after="120"/>
      </w:pPr>
      <w:r>
        <w:t xml:space="preserve">Two regions of interest (ROIs) were digitised in ENVI, one over a healthy area and one over a diseased area. Within each ROI the </w:t>
      </w:r>
      <w:r>
        <w:rPr>
          <w:b/>
          <w:bCs/>
        </w:rPr>
        <w:t xml:space="preserve">Sequential Maximum Angle Convex Cone (SMACC)</w:t>
      </w:r>
      <w:r>
        <w:t xml:space="preserve"> algorithm (Gruninger et al., 2004) was used to extract </w:t>
      </w:r>
      <w:r>
        <w:rPr>
          <w:b/>
          <w:bCs/>
        </w:rPr>
        <w:t xml:space="preserve">300 endmember spectra per class</w:t>
      </w:r>
      <w:r>
        <w:t xml:space="preserve">. The procedure is implemented in Python (Jupyter notebook) and has the following stages:</w:t>
      </w:r>
    </w:p>
    <w:p>
      <w:pPr>
        <w:pStyle w:val="ListParagraph"/>
        <w:numPr>
          <w:ilvl w:val="0"/>
          <w:numId w:val="2"/>
        </w:numPr>
        <w:spacing w:after="60"/>
      </w:pPr>
      <w:r>
        <w:t xml:space="preserve">Open the ENVI image without loading it into memory (memory mapping).</w:t>
      </w:r>
    </w:p>
    <w:p>
      <w:pPr>
        <w:pStyle w:val="ListParagraph"/>
        <w:numPr>
          <w:ilvl w:val="0"/>
          <w:numId w:val="2"/>
        </w:numPr>
        <w:spacing w:after="60"/>
      </w:pPr>
      <w:r>
        <w:t xml:space="preserve">Convert the ROI polygons from geographic coordinates to image pixels.</w:t>
      </w:r>
    </w:p>
    <w:p>
      <w:pPr>
        <w:pStyle w:val="ListParagraph"/>
        <w:numPr>
          <w:ilvl w:val="0"/>
          <w:numId w:val="2"/>
        </w:numPr>
        <w:spacing w:after="60"/>
      </w:pPr>
      <w:r>
        <w:t xml:space="preserve">Read the spectra of the pixels inside each ROI and remove no-data and non-vegetation pixels.</w:t>
      </w:r>
    </w:p>
    <w:p>
      <w:pPr>
        <w:pStyle w:val="ListParagraph"/>
        <w:numPr>
          <w:ilvl w:val="0"/>
          <w:numId w:val="2"/>
        </w:numPr>
        <w:spacing w:after="60"/>
      </w:pPr>
      <w:r>
        <w:t xml:space="preserve">Run SMACC separately on the healthy and the diseased pixel sets and keep 300 endmembers per class.</w:t>
      </w:r>
    </w:p>
    <w:p>
      <w:pPr>
        <w:pStyle w:val="ListParagraph"/>
        <w:numPr>
          <w:ilvl w:val="0"/>
          <w:numId w:val="2"/>
        </w:numPr>
        <w:spacing w:after="60"/>
      </w:pPr>
      <w:r>
        <w:t xml:space="preserve">Save the endmember spectra together with their pixel location (row/column and longitude/latitude) as a CSV table and as ENVI spectral libraries.</w:t>
      </w:r>
    </w:p>
    <w:p>
      <w:pPr>
        <w:pStyle w:val="ListParagraph"/>
        <w:numPr>
          <w:ilvl w:val="0"/>
          <w:numId w:val="2"/>
        </w:numPr>
        <w:spacing w:after="60"/>
      </w:pPr>
      <w:r>
        <w:t xml:space="preserve">Draw a random sample of the same size from the same pixels, for comparison.</w:t>
      </w:r>
    </w:p>
    <w:p>
      <w:pPr>
        <w:pStyle w:val="ListParagraph"/>
        <w:numPr>
          <w:ilvl w:val="0"/>
          <w:numId w:val="2"/>
        </w:numPr>
        <w:spacing w:after="60"/>
      </w:pPr>
      <w:r>
        <w:t xml:space="preserve">Screen the endmembers for non-vegetation spectra (soil, water, shadow, glint, noise) and remove them after visual confirmation.</w:t>
      </w:r>
    </w:p>
    <w:p>
      <w:pPr>
        <w:spacing w:after="120"/>
      </w:pPr>
      <w:r>
        <w:t xml:space="preserve">Section 9 describes how the endmembers should and should not be used in the four-tier analysis and how the results should be validated. Section 10 gives a draft methods paragraph that can be adapted for a thesis or paper.</w:t>
      </w:r>
    </w:p>
    <w:p>
      <w:pPr>
        <w:pStyle w:val="Heading1"/>
      </w:pPr>
      <w:r>
        <w:t xml:space="preserve">2. Input data</w:t>
      </w:r>
    </w:p>
    <w:p>
      <w:pPr>
        <w:pStyle w:val="Heading2"/>
      </w:pPr>
      <w:r>
        <w:t xml:space="preserve">2.1 Hyperspectral image</w:t>
      </w:r>
    </w:p>
    <w:p>
      <w:pPr>
        <w:spacing w:after="120"/>
      </w:pPr>
      <w:r>
        <w:t xml:space="preserve">The image properties below were read from the ENVI header file </w:t>
      </w:r>
      <w:r>
        <w:rPr>
          <w:rFonts w:ascii="Consolas" w:cs="Consolas" w:eastAsia="Consolas" w:hAnsi="Consolas"/>
          <w:sz w:val="19"/>
          <w:szCs w:val="19"/>
        </w:rPr>
        <w:t xml:space="preserve">subset_200526.hdr</w:t>
      </w:r>
      <w: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6700"/>
      </w:tblGrid>
      <w:tr>
        <w:trPr>
          <w:tblHeader/>
        </w:trPr>
        <w:tc>
          <w:tcPr>
            <w:tcW w:type="dxa" w:w="26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Property</w:t>
            </w:r>
          </w:p>
        </w:tc>
        <w:tc>
          <w:tcPr>
            <w:tcW w:type="dxa" w:w="6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Value</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File</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D:\Coalighned\24_02_2026\subset_200526</w:t>
            </w:r>
            <w:r>
              <w:rPr>
                <w:sz w:val="20"/>
                <w:szCs w:val="20"/>
              </w:rPr>
              <w:t xml:space="preserve"> (+ </w:t>
            </w:r>
            <w:r>
              <w:rPr>
                <w:rFonts w:ascii="Consolas" w:cs="Consolas" w:eastAsia="Consolas" w:hAnsi="Consolas"/>
                <w:sz w:val="20"/>
                <w:szCs w:val="20"/>
              </w:rPr>
              <w:t xml:space="preserve">.hdr</w:t>
            </w:r>
            <w:r>
              <w:rPr>
                <w:sz w:val="20"/>
                <w:szCs w:val="20"/>
              </w:rPr>
              <w:t xml:space="preserve">)</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Format</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ENVI Standard, band-interleaved-by-line (BIL), 32-bit float, little-endian</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Dimensions</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2,355 columns (samples) × 2,142 rows (lines) × 483 bands, about 9.7 GB on disk</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Spectral range</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399.4–2,397.6 nm. Sampling about 1.76 nm in the VNIR (to 921 nm) and about 6 nm in the SWIR</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Bands already absent</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about 899–916 nm, 1,330–1,460 nm and 1,780–1,970 nm (atmospheric water-vapour absorption)</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Coordinate system</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Geographic lat/lon, WGS-84. Upper-left corner 77.15042993° E, 28.64196431° N</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Pixel size</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2.3 × 10⁻⁷° (lon) × 2.0 × 10⁻⁷° (lat), about </w:t>
            </w:r>
            <w:r>
              <w:rPr>
                <w:b/>
                <w:bCs/>
                <w:sz w:val="20"/>
                <w:szCs w:val="20"/>
              </w:rPr>
              <w:t xml:space="preserve">2.25 cm × 2.22 cm</w:t>
            </w:r>
            <w:r>
              <w:rPr>
                <w:sz w:val="20"/>
                <w:szCs w:val="20"/>
              </w:rPr>
              <w:t xml:space="preserve"> on the ground</w:t>
            </w:r>
          </w:p>
        </w:tc>
      </w:tr>
      <w:tr>
        <w:tc>
          <w:tcPr>
            <w:tcW w:type="dxa" w:w="2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Pre-processing</w:t>
            </w:r>
          </w:p>
        </w:tc>
        <w:tc>
          <w:tcPr>
            <w:tcW w:type="dxa" w:w="6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"Applied Mask Result" (masked pixels are zero). Band names (</w:t>
            </w:r>
            <w:r>
              <w:rPr>
                <w:rFonts w:ascii="Consolas" w:cs="Consolas" w:eastAsia="Consolas" w:hAnsi="Consolas"/>
                <w:sz w:val="20"/>
                <w:szCs w:val="20"/>
              </w:rPr>
              <w:t xml:space="preserve">…_rd_smt</w:t>
            </w:r>
            <w:r>
              <w:rPr>
                <w:sz w:val="20"/>
                <w:szCs w:val="20"/>
              </w:rPr>
              <w:t xml:space="preserve">) indicate the data were smoothed</w:t>
            </w:r>
          </w:p>
        </w:tc>
      </w:tr>
    </w:tbl>
    <w:p>
      <w:pPr>
        <w:spacing w:after="120"/>
      </w:pPr>
    </w:p>
    <w:p>
      <w:pPr>
        <w:spacing w:after="120"/>
      </w:pPr>
      <w:r>
        <w:t xml:space="preserve">At about 2 cm resolution, single leaves, gaps between plants, soil, water and shadow are resolved as separate pixels. This is important for the interpretation of the results (Section 9).</w:t>
      </w:r>
    </w:p>
    <w:p>
      <w:pPr>
        <w:pStyle w:val="Heading2"/>
      </w:pPr>
      <w:r>
        <w:t xml:space="preserve">2.2 Regions of interest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1675"/>
        <w:gridCol w:w="2047"/>
        <w:gridCol w:w="1954"/>
        <w:gridCol w:w="1955"/>
      </w:tblGrid>
      <w:tr>
        <w:trPr>
          <w:tblHeader/>
        </w:trPr>
        <w:tc>
          <w:tcPr>
            <w:tcW w:type="dxa" w:w="167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ROI file</w:t>
            </w:r>
          </w:p>
        </w:tc>
        <w:tc>
          <w:tcPr>
            <w:tcW w:type="dxa" w:w="167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Region name</w:t>
            </w:r>
          </w:p>
        </w:tc>
        <w:tc>
          <w:tcPr>
            <w:tcW w:type="dxa" w:w="20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Geometry</w:t>
            </w:r>
          </w:p>
        </w:tc>
        <w:tc>
          <w:tcPr>
            <w:tcW w:type="dxa" w:w="195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Pixels inside*</w:t>
            </w:r>
          </w:p>
        </w:tc>
        <w:tc>
          <w:tcPr>
            <w:tcW w:type="dxa" w:w="19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Ground area*</w:t>
            </w:r>
          </w:p>
        </w:tc>
      </w:tr>
      <w:tr>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healthy.xml</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ROI #Healthy</w:t>
            </w:r>
          </w:p>
        </w:tc>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polygon, 7 vertices</w:t>
            </w:r>
          </w:p>
        </w:tc>
        <w:tc>
          <w:tcPr>
            <w:tcW w:type="dxa" w:w="19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601,000</w:t>
            </w:r>
          </w:p>
        </w:tc>
        <w:tc>
          <w:tcPr>
            <w:tcW w:type="dxa" w:w="19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300 m²</w:t>
            </w:r>
          </w:p>
        </w:tc>
      </w:tr>
      <w:tr>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diseased.xml</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ROI #Diseased</w:t>
            </w:r>
          </w:p>
        </w:tc>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polygon, 5 vertices</w:t>
            </w:r>
          </w:p>
        </w:tc>
        <w:tc>
          <w:tcPr>
            <w:tcW w:type="dxa" w:w="19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1,940,000</w:t>
            </w:r>
          </w:p>
        </w:tc>
        <w:tc>
          <w:tcPr>
            <w:tcW w:type="dxa" w:w="19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 966 m²</w:t>
            </w:r>
          </w:p>
        </w:tc>
      </w:tr>
    </w:tbl>
    <w:p>
      <w:pPr>
        <w:spacing w:after="120"/>
      </w:pPr>
    </w:p>
    <w:p>
      <w:pPr>
        <w:spacing w:after="120"/>
      </w:pPr>
      <w:r>
        <w:rPr>
          <w:i/>
          <w:iCs/>
        </w:rPr>
        <w:t xml:space="preserve">Pixel centres inside the polygon, before removing no-data and non-vegetation pixels. Both ROIs are stored in WGS-84 geographic coordinates (ENVI ROI XML format). The two polygons are </w:t>
      </w:r>
      <w:r>
        <w:rPr>
          <w:i/>
          <w:iCs/>
        </w:rPr>
        <w:t xml:space="preserve">adjacent</w:t>
      </w:r>
      <w:r>
        <w:t xml:space="preserve">*: they share one boundary, so the healthy and diseased samples come from two neighbouring blocks of the field. The ROIs were drawn "irrespective of plot", meaning the plot identity of each pixel was not recorded.</w:t>
      </w:r>
    </w:p>
    <w:p>
      <w:pPr>
        <w:pStyle w:val="Heading1"/>
      </w:pPr>
      <w:r>
        <w:t xml:space="preserve">3. Software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5584"/>
      </w:tblGrid>
      <w:tr>
        <w:trPr>
          <w:tblHeader/>
        </w:trPr>
        <w:tc>
          <w:tcPr>
            <w:tcW w:type="dxa" w:w="37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Component</w:t>
            </w:r>
          </w:p>
        </w:tc>
        <w:tc>
          <w:tcPr>
            <w:tcW w:type="dxa" w:w="558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Use</w:t>
            </w:r>
          </w:p>
        </w:tc>
      </w:tr>
      <w:tr>
        <w:tc>
          <w:tcPr>
            <w:tcW w:type="dxa" w:w="3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Python 3 + Jupyter Notebook</w:t>
            </w:r>
          </w:p>
        </w:tc>
        <w:tc>
          <w:tcPr>
            <w:tcW w:type="dxa" w:w="55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Running environment</w:t>
            </w:r>
          </w:p>
        </w:tc>
      </w:tr>
      <w:tr>
        <w:tc>
          <w:tcPr>
            <w:tcW w:type="dxa" w:w="3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spectral</w:t>
            </w:r>
            <w:r>
              <w:rPr>
                <w:sz w:val="20"/>
                <w:szCs w:val="20"/>
              </w:rPr>
              <w:t xml:space="preserve"> (Spectral Python, SPy)</w:t>
            </w:r>
          </w:p>
        </w:tc>
        <w:tc>
          <w:tcPr>
            <w:tcW w:type="dxa" w:w="55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Reading the ENVI image and header; writing ENVI spectral libraries (</w:t>
            </w:r>
            <w:r>
              <w:rPr>
                <w:rFonts w:ascii="Consolas" w:cs="Consolas" w:eastAsia="Consolas" w:hAnsi="Consolas"/>
                <w:sz w:val="20"/>
                <w:szCs w:val="20"/>
              </w:rPr>
              <w:t xml:space="preserve">.sli</w:t>
            </w:r>
            <w:r>
              <w:rPr>
                <w:sz w:val="20"/>
                <w:szCs w:val="20"/>
              </w:rPr>
              <w:t xml:space="preserve">)</w:t>
            </w:r>
          </w:p>
        </w:tc>
      </w:tr>
      <w:tr>
        <w:tc>
          <w:tcPr>
            <w:tcW w:type="dxa" w:w="3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numpy</w:t>
            </w:r>
          </w:p>
        </w:tc>
        <w:tc>
          <w:tcPr>
            <w:tcW w:type="dxa" w:w="55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Array computation and the SMACC implementation</w:t>
            </w:r>
          </w:p>
        </w:tc>
      </w:tr>
      <w:tr>
        <w:tc>
          <w:tcPr>
            <w:tcW w:type="dxa" w:w="3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pandas</w:t>
            </w:r>
          </w:p>
        </w:tc>
        <w:tc>
          <w:tcPr>
            <w:tcW w:type="dxa" w:w="55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Tables and CSV output</w:t>
            </w:r>
          </w:p>
        </w:tc>
      </w:tr>
      <w:tr>
        <w:tc>
          <w:tcPr>
            <w:tcW w:type="dxa" w:w="3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matplotlib</w:t>
            </w:r>
          </w:p>
        </w:tc>
        <w:tc>
          <w:tcPr>
            <w:tcW w:type="dxa" w:w="55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Point-in-polygon test (</w:t>
            </w:r>
            <w:r>
              <w:rPr>
                <w:rFonts w:ascii="Consolas" w:cs="Consolas" w:eastAsia="Consolas" w:hAnsi="Consolas"/>
                <w:sz w:val="20"/>
                <w:szCs w:val="20"/>
              </w:rPr>
              <w:t xml:space="preserve">matplotlib.path.Path</w:t>
            </w:r>
            <w:r>
              <w:rPr>
                <w:sz w:val="20"/>
                <w:szCs w:val="20"/>
              </w:rPr>
              <w:t xml:space="preserve">) and all plots</w:t>
            </w:r>
          </w:p>
        </w:tc>
      </w:tr>
      <w:tr>
        <w:tc>
          <w:tcPr>
            <w:tcW w:type="dxa" w:w="3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xml.etree.ElementTree</w:t>
            </w:r>
            <w:r>
              <w:rPr>
                <w:sz w:val="20"/>
                <w:szCs w:val="20"/>
              </w:rPr>
              <w:t xml:space="preserve"> (standard library)</w:t>
            </w:r>
          </w:p>
        </w:tc>
        <w:tc>
          <w:tcPr>
            <w:tcW w:type="dxa" w:w="55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Reading the ENVI ROI XML files</w:t>
            </w:r>
          </w:p>
        </w:tc>
      </w:tr>
    </w:tbl>
    <w:p>
      <w:pPr>
        <w:spacing w:after="120"/>
      </w:pPr>
    </w:p>
    <w:p>
      <w:pPr>
        <w:spacing w:after="120"/>
      </w:pPr>
      <w:r>
        <w:t xml:space="preserve">Installation (once): </w:t>
      </w:r>
      <w:r>
        <w:rPr>
          <w:rFonts w:ascii="Consolas" w:cs="Consolas" w:eastAsia="Consolas" w:hAnsi="Consolas"/>
          <w:sz w:val="19"/>
          <w:szCs w:val="19"/>
        </w:rPr>
        <w:t xml:space="preserve">pip install spectral numpy pandas matplotlib</w:t>
      </w:r>
      <w:r>
        <w:t xml:space="preserve">.</w:t>
      </w:r>
    </w:p>
    <w:p>
      <w:pPr>
        <w:pStyle w:val="Heading1"/>
      </w:pPr>
      <w:r>
        <w:t xml:space="preserve">4. Workflow summary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44"/>
        <w:gridCol w:w="5770"/>
        <w:gridCol w:w="2792"/>
      </w:tblGrid>
      <w:tr>
        <w:trPr>
          <w:tblHeader/>
        </w:trPr>
        <w:tc>
          <w:tcPr>
            <w:tcW w:type="dxa" w:w="74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Step</w:t>
            </w:r>
          </w:p>
        </w:tc>
        <w:tc>
          <w:tcPr>
            <w:tcW w:type="dxa" w:w="577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Operation</w:t>
            </w:r>
          </w:p>
        </w:tc>
        <w:tc>
          <w:tcPr>
            <w:tcW w:type="dxa" w:w="279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Main output</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Set paths and parameters</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Open image as a memory map; read wavelengths and map information</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Image handle, wavelength vector</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Convert ROI polygons (lon/lat) to pixel coordinates and select pixels whose centre is inside</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Row/column lists per class</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True-colour quick-look with ROI outlines</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Figure</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Read ROI spectra row by row; random sub-sampling; remove no-data and NDVI &lt; 0.3 pixels</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Pixel pool per class (spectra + location)</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SMACC on each pixel pool (420–2,350 nm), 300 endmembers per class</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Endmember indices, abundances, convergence</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7</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Save endmembers (all 483 bands) with row/col and lon/lat</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CSV + 2 ENVI spectral libraries</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Plots: endmember spectra, class means ± SD, locations, convergence</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Figures</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9</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Random sample of 300 pixels per class from the same pool</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CSV + comparison figure</w:t>
            </w:r>
          </w:p>
        </w:tc>
      </w:tr>
      <w:tr>
        <w:tc>
          <w:tcPr>
            <w:tcW w:type="dxa" w:w="74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Rule-based screening of non-vegetation endmembers, visual check, manual removal</w:t>
            </w:r>
          </w:p>
        </w:tc>
        <w:tc>
          <w:tcPr>
            <w:tcW w:type="dxa" w:w="27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Flagged CSV, vegetation-only CSV</w:t>
            </w:r>
          </w:p>
        </w:tc>
      </w:tr>
    </w:tbl>
    <w:p>
      <w:pPr>
        <w:spacing w:after="120"/>
      </w:pPr>
    </w:p>
    <w:p>
      <w:pPr>
        <w:pStyle w:val="Heading1"/>
      </w:pPr>
      <w:r>
        <w:t xml:space="preserve">5. Step-by-step procedure</w:t>
      </w:r>
    </w:p>
    <w:p>
      <w:pPr>
        <w:pStyle w:val="Heading2"/>
      </w:pPr>
      <w:r>
        <w:t xml:space="preserve">5.1 Parameters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2233"/>
        <w:gridCol w:w="5026"/>
      </w:tblGrid>
      <w:tr>
        <w:trPr>
          <w:tblHeader/>
        </w:trPr>
        <w:tc>
          <w:tcPr>
            <w:tcW w:type="dxa" w:w="20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Parameter</w:t>
            </w:r>
          </w:p>
        </w:tc>
        <w:tc>
          <w:tcPr>
            <w:tcW w:type="dxa" w:w="223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Value</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Meaning</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N_ENDMEMBERS</w:t>
            </w:r>
          </w:p>
        </w:tc>
        <w:tc>
          <w:tcPr>
            <w:tcW w:type="dxa" w:w="223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Number of SMACC endmembers extracted per class</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MAX_PIXELS</w:t>
            </w:r>
          </w:p>
        </w:tc>
        <w:tc>
          <w:tcPr>
            <w:tcW w:type="dxa" w:w="223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100,000</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Maximum number of ROI pixels per class given to SMACC (random subset). </w:t>
            </w:r>
            <w:r>
              <w:rPr>
                <w:rFonts w:ascii="Consolas" w:cs="Consolas" w:eastAsia="Consolas" w:hAnsi="Consolas"/>
                <w:sz w:val="20"/>
                <w:szCs w:val="20"/>
              </w:rPr>
              <w:t xml:space="preserve">None</w:t>
            </w:r>
            <w:r>
              <w:rPr>
                <w:sz w:val="20"/>
                <w:szCs w:val="20"/>
              </w:rPr>
              <w:t xml:space="preserve"> uses every pixel but needs much more memory</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NDVI_MIN</w:t>
            </w:r>
          </w:p>
        </w:tc>
        <w:tc>
          <w:tcPr>
            <w:tcW w:type="dxa" w:w="223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0.3</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Pixels with NDVI below this value are excluded (soil, water, shadow). </w:t>
            </w:r>
            <w:r>
              <w:rPr>
                <w:rFonts w:ascii="Consolas" w:cs="Consolas" w:eastAsia="Consolas" w:hAnsi="Consolas"/>
                <w:sz w:val="20"/>
                <w:szCs w:val="20"/>
              </w:rPr>
              <w:t xml:space="preserve">None</w:t>
            </w:r>
            <w:r>
              <w:rPr>
                <w:sz w:val="20"/>
                <w:szCs w:val="20"/>
              </w:rPr>
              <w:t xml:space="preserve"> disables the filter</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SMACC_EXCLUDE_NM</w:t>
            </w:r>
          </w:p>
        </w:tc>
        <w:tc>
          <w:tcPr>
            <w:tcW w:type="dxa" w:w="223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&lt; 420 nm and &gt; 2,350 nm</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Noisy detector edges ignored </w:t>
            </w:r>
            <w:r>
              <w:rPr>
                <w:i/>
                <w:iCs/>
                <w:sz w:val="20"/>
                <w:szCs w:val="20"/>
              </w:rPr>
              <w:t xml:space="preserve">during the SMACC search</w:t>
            </w:r>
            <w:r>
              <w:rPr>
                <w:sz w:val="20"/>
                <w:szCs w:val="20"/>
              </w:rPr>
              <w:t xml:space="preserve">. Saved spectra still contain all 483 bands</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RANDOM_SEED</w:t>
            </w:r>
          </w:p>
        </w:tc>
        <w:tc>
          <w:tcPr>
            <w:tcW w:type="dxa" w:w="223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42</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Makes the random sub-sampling reproducible</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OUT_DIR</w:t>
            </w:r>
          </w:p>
        </w:tc>
        <w:tc>
          <w:tcPr>
            <w:tcW w:type="dxa" w:w="223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D:\Coalighned\24_02_2026\ROI(TRIAL)\TRIAL_h_d_combined</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Output folder (created if missing)</w:t>
            </w:r>
          </w:p>
        </w:tc>
      </w:tr>
    </w:tbl>
    <w:p>
      <w:pPr>
        <w:spacing w:after="120"/>
      </w:pPr>
    </w:p>
    <w:p>
      <w:pPr>
        <w:pStyle w:val="Heading2"/>
      </w:pPr>
      <w:r>
        <w:t xml:space="preserve">5.2 Reading the image</w:t>
      </w:r>
    </w:p>
    <w:p>
      <w:pPr>
        <w:spacing w:after="120"/>
      </w:pPr>
      <w:r>
        <w:t xml:space="preserve">The image is about 9.7 GB, which is more than the memory of a typical PC. It is therefore opened as a </w:t>
      </w:r>
      <w:r>
        <w:rPr>
          <w:b/>
          <w:bCs/>
        </w:rPr>
        <w:t xml:space="preserve">memory map</w:t>
      </w:r>
      <w:r>
        <w:t xml:space="preserve"> (</w:t>
      </w:r>
      <w:r>
        <w:rPr>
          <w:rFonts w:ascii="Consolas" w:cs="Consolas" w:eastAsia="Consolas" w:hAnsi="Consolas"/>
          <w:sz w:val="19"/>
          <w:szCs w:val="19"/>
        </w:rPr>
        <w:t xml:space="preserve">envi.open(...)</w:t>
      </w:r>
      <w:r>
        <w:t xml:space="preserve"> then </w:t>
      </w:r>
      <w:r>
        <w:rPr>
          <w:rFonts w:ascii="Consolas" w:cs="Consolas" w:eastAsia="Consolas" w:hAnsi="Consolas"/>
          <w:sz w:val="19"/>
          <w:szCs w:val="19"/>
        </w:rPr>
        <w:t xml:space="preserve">open_memmap(interleave="source")</w:t>
      </w:r>
      <w:r>
        <w:t xml:space="preserve">). Only the parts that are accessed are read from disk.</w:t>
      </w:r>
    </w:p>
    <w:p>
      <w:pPr>
        <w:spacing w:after="120"/>
      </w:pPr>
      <w:r>
        <w:t xml:space="preserve">The file is band-interleaved-by-line (BIL). On disk, each image row is stored as 483 consecutive lines, one per band, each 2,355 values long. In memory the array therefore has the shape (rows, bands, columns). The spectra of selected columns in row </w:t>
      </w:r>
      <w:r>
        <w:rPr>
          <w:i/>
          <w:iCs/>
        </w:rPr>
        <w:t xml:space="preserve">r</w:t>
      </w:r>
      <w:r>
        <w:t xml:space="preserve"> are read as </w:t>
      </w:r>
      <w:r>
        <w:rPr>
          <w:rFonts w:ascii="Consolas" w:cs="Consolas" w:eastAsia="Consolas" w:hAnsi="Consolas"/>
          <w:sz w:val="19"/>
          <w:szCs w:val="19"/>
        </w:rPr>
        <w:t xml:space="preserve">mm[r][:, cols]</w:t>
      </w:r>
      <w:r>
        <w:t xml:space="preserve"> and transposed to (pixels × bands). The code also supports BIP and BSQ files.</w:t>
      </w:r>
    </w:p>
    <w:p>
      <w:pPr>
        <w:spacing w:after="120"/>
      </w:pPr>
      <w:r>
        <w:t xml:space="preserve">The wavelength of each band is taken from the header. Bands nearest to a given wavelength (for example 670 nm or 800 nm) are found by minimum absolute difference.</w:t>
      </w:r>
    </w:p>
    <w:p>
      <w:pPr>
        <w:pStyle w:val="Heading2"/>
      </w:pPr>
      <w:r>
        <w:t xml:space="preserve">5.3 Georeferencing (lon/lat ↔ pixel)</w:t>
      </w:r>
    </w:p>
    <w:p>
      <w:pPr>
        <w:spacing w:after="120"/>
      </w:pPr>
      <w:r>
        <w:t xml:space="preserve">The ENVI </w:t>
      </w:r>
      <w:r>
        <w:rPr>
          <w:rFonts w:ascii="Consolas" w:cs="Consolas" w:eastAsia="Consolas" w:hAnsi="Consolas"/>
          <w:sz w:val="19"/>
          <w:szCs w:val="19"/>
        </w:rPr>
        <w:t xml:space="preserve">map info</w:t>
      </w:r>
      <w:r>
        <w:t xml:space="preserve"> field gives a reference pixel (x_ref, y_ref) in </w:t>
      </w:r>
      <w:r>
        <w:rPr>
          <w:i/>
          <w:iCs/>
        </w:rPr>
        <w:t xml:space="preserve">file coordinates</w:t>
      </w:r>
      <w:r>
        <w:t xml:space="preserve">, where 1.0 is the upper-left corner of the first pixel. It also gives that point's longitude and latitude (X₀, Y₀) and the pixel size (Δx, Δy). Here x_ref = y_ref = 1, X₀ = 77.15042993°, Y₀ = 28.64196431°, Δx = 2.3 × 10⁻⁷°, Δy = 2.0 × 10⁻⁷°.</w:t>
      </w:r>
    </w:p>
    <w:p>
      <w:pPr>
        <w:spacing w:after="120"/>
      </w:pPr>
      <w:r>
        <w:t xml:space="preserve">Map coordinates to continuous pixel coordinates (0 = upper-left corner of the image):</w:t>
      </w:r>
    </w:p>
    <w:p>
      <w:pPr>
        <w:spacing w:after="120" w:before="80"/>
        <w:jc w:val="center"/>
      </w:pPr>
      <w:r>
        <w:rPr>
          <w:rFonts w:ascii="Cambria Math" w:cs="Cambria Math" w:eastAsia="Cambria Math" w:hAnsi="Cambria Math"/>
          <w:i/>
          <w:iCs/>
          <w:sz w:val="23"/>
          <w:szCs w:val="23"/>
        </w:rPr>
        <w:t xml:space="preserve">col = (X − X₀) / Δx + x_ref − 1          row = (Y₀ − Y) / Δy + y_ref − 1</w:t>
      </w:r>
    </w:p>
    <w:p>
      <w:pPr>
        <w:spacing w:after="120"/>
      </w:pPr>
      <w:r>
        <w:t xml:space="preserve">Centre of the pixel with 0-based indices (r, c), used to report endmember locations:</w:t>
      </w:r>
    </w:p>
    <w:p>
      <w:pPr>
        <w:spacing w:after="120" w:before="80"/>
        <w:jc w:val="center"/>
      </w:pPr>
      <w:r>
        <w:rPr>
          <w:rFonts w:ascii="Cambria Math" w:cs="Cambria Math" w:eastAsia="Cambria Math" w:hAnsi="Cambria Math"/>
          <w:i/>
          <w:iCs/>
          <w:sz w:val="23"/>
          <w:szCs w:val="23"/>
        </w:rPr>
        <w:t xml:space="preserve">X = X₀ + (c + 1.5 − x_ref)·Δx          Y = Y₀ − (r + 1.5 − y_ref)·Δy</w:t>
      </w:r>
    </w:p>
    <w:p>
      <w:pPr>
        <w:spacing w:after="120"/>
      </w:pPr>
      <w:r>
        <w:t xml:space="preserve">Row and column numbers in the output are 0-based (Python convention). Add 1 to both to locate a pixel with ENVI's Pixel Locator, which is 1-based.</w:t>
      </w:r>
    </w:p>
    <w:p>
      <w:pPr>
        <w:pStyle w:val="Heading2"/>
      </w:pPr>
      <w:r>
        <w:t xml:space="preserve">5.4 Selecting the pixels inside each ROI</w:t>
      </w:r>
    </w:p>
    <w:p>
      <w:pPr>
        <w:spacing w:after="120"/>
      </w:pPr>
      <w:r>
        <w:t xml:space="preserve">Each ROI XML file is parsed for </w:t>
      </w:r>
      <w:r>
        <w:rPr>
          <w:rFonts w:ascii="Consolas" w:cs="Consolas" w:eastAsia="Consolas" w:hAnsi="Consolas"/>
          <w:sz w:val="19"/>
          <w:szCs w:val="19"/>
        </w:rPr>
        <w:t xml:space="preserve">&lt;Region&gt;</w:t>
      </w:r>
      <w:r>
        <w:t xml:space="preserve"> elements. For every </w:t>
      </w:r>
      <w:r>
        <w:rPr>
          <w:rFonts w:ascii="Consolas" w:cs="Consolas" w:eastAsia="Consolas" w:hAnsi="Consolas"/>
          <w:sz w:val="19"/>
          <w:szCs w:val="19"/>
        </w:rPr>
        <w:t xml:space="preserve">&lt;Polygon&gt;</w:t>
      </w:r>
      <w:r>
        <w:t xml:space="preserve">, the exterior ring (and any interior rings, which are treated as holes) is read as a list of lon/lat vertices. The code checks that the ROI is stored in map coordinates (a GEOGCS or PROJCS coordinate system).</w:t>
      </w:r>
    </w:p>
    <w:p>
      <w:pPr>
        <w:spacing w:after="120"/>
      </w:pPr>
      <w:r>
        <w:t xml:space="preserve">The vertices are converted to pixel coordinates using Section 5.3. Within the polygon's bounding box, a pixel is assigned to the ROI if its </w:t>
      </w:r>
      <w:r>
        <w:rPr>
          <w:b/>
          <w:bCs/>
        </w:rPr>
        <w:t xml:space="preserve">centre</w:t>
      </w:r>
      <w:r>
        <w:t xml:space="preserve"> (c + 0.5, r + 0.5) lies inside the polygon (point-in-polygon test, </w:t>
      </w:r>
      <w:r>
        <w:rPr>
          <w:rFonts w:ascii="Consolas" w:cs="Consolas" w:eastAsia="Consolas" w:hAnsi="Consolas"/>
          <w:sz w:val="19"/>
          <w:szCs w:val="19"/>
        </w:rPr>
        <w:t xml:space="preserve">matplotlib.path.Path.contains_points</w:t>
      </w:r>
      <w:r>
        <w:t xml:space="preserve">). Pixels inside a hole are excluded. If several polygons exist, their pixels are merged.</w:t>
      </w:r>
    </w:p>
    <w:p>
      <w:pPr>
        <w:spacing w:after="120"/>
      </w:pPr>
      <w:r>
        <w:t xml:space="preserve">Pixels that fall inside both the healthy and the diseased ROI would carry two labels, so any such pixels are removed from both classes. With the present ROIs the polygons only touch along their shared boundary.</w:t>
      </w:r>
    </w:p>
    <w:p>
      <w:pPr>
        <w:pStyle w:val="Heading2"/>
      </w:pPr>
      <w:r>
        <w:t xml:space="preserve">5.5 Quick-look image</w:t>
      </w:r>
    </w:p>
    <w:p>
      <w:pPr>
        <w:spacing w:after="120"/>
      </w:pPr>
      <w:r>
        <w:t xml:space="preserve">A down-sampled true-colour composite (red 650 nm, green 550 nm, blue 470 nm, every </w:t>
      </w:r>
      <w:r>
        <w:rPr>
          <w:i/>
          <w:iCs/>
        </w:rPr>
        <w:t xml:space="preserve">k</w:t>
      </w:r>
      <w:r>
        <w:t xml:space="preserve">-th pixel so that the longest side has about 900 pixels) is displayed. Each band is stretched linearly between its 2nd and 98th percentile, with zero (masked) pixels ignored. The ROI outlines are drawn on top, to confirm visually that the polygons fall on the intended areas.</w:t>
      </w:r>
    </w:p>
    <w:p>
      <w:pPr>
        <w:pStyle w:val="Heading2"/>
      </w:pPr>
      <w:r>
        <w:t xml:space="preserve">5.6 Extraction and screening of ROI spectra</w:t>
      </w:r>
    </w:p>
    <w:p>
      <w:pPr>
        <w:spacing w:after="120"/>
      </w:pPr>
      <w:r>
        <w:t xml:space="preserve">The ROI pixels are sorted by row, and the image is read </w:t>
      </w:r>
      <w:r>
        <w:rPr>
          <w:b/>
          <w:bCs/>
        </w:rPr>
        <w:t xml:space="preserve">one row at a time</w:t>
      </w:r>
      <w:r>
        <w:t xml:space="preserve">, so memory use stays small. Three operations are applied:</w:t>
      </w:r>
    </w:p>
    <w:p>
      <w:pPr>
        <w:pStyle w:val="ListParagraph"/>
        <w:numPr>
          <w:ilvl w:val="0"/>
          <w:numId w:val="3"/>
        </w:numPr>
        <w:spacing w:after="60"/>
      </w:pPr>
      <w:r>
        <w:rPr>
          <w:b/>
          <w:bCs/>
        </w:rPr>
        <w:t xml:space="preserve">Random sub-sampling.</w:t>
      </w:r>
      <w:r>
        <w:t xml:space="preserve"> If an ROI has N pixels and N &gt; </w:t>
      </w:r>
      <w:r>
        <w:rPr>
          <w:rFonts w:ascii="Consolas" w:cs="Consolas" w:eastAsia="Consolas" w:hAnsi="Consolas"/>
          <w:sz w:val="19"/>
          <w:szCs w:val="19"/>
        </w:rPr>
        <w:t xml:space="preserve">MAX_PIXELS</w:t>
      </w:r>
      <w:r>
        <w:t xml:space="preserve">, each pixel is kept with probability p = </w:t>
      </w:r>
      <w:r>
        <w:rPr>
          <w:rFonts w:ascii="Consolas" w:cs="Consolas" w:eastAsia="Consolas" w:hAnsi="Consolas"/>
          <w:sz w:val="19"/>
          <w:szCs w:val="19"/>
        </w:rPr>
        <w:t xml:space="preserve">MAX_PIXELS</w:t>
      </w:r>
      <w:r>
        <w:t xml:space="preserve"> / N. With the present ROIs p ≈ 0.17 (healthy) and ≈ 0.05 (diseased), giving about 100,000 candidate pixels per class. At 2 cm resolution, neighbouring pixels are nearly identical, so this sub-sampling loses very little spectral information. It also keeps SMACC's memory and run time manageable.</w:t>
      </w:r>
    </w:p>
    <w:p>
      <w:pPr>
        <w:pStyle w:val="ListParagraph"/>
        <w:numPr>
          <w:ilvl w:val="0"/>
          <w:numId w:val="3"/>
        </w:numPr>
        <w:spacing w:after="60"/>
      </w:pPr>
      <w:r>
        <w:rPr>
          <w:b/>
          <w:bCs/>
        </w:rPr>
        <w:t xml:space="preserve">No-data removal.</w:t>
      </w:r>
      <w:r>
        <w:t xml:space="preserve"> Pixels whose spectrum is all zeros (outside the applied mask) or contains NaN/inf values are discarded.</w:t>
      </w:r>
    </w:p>
    <w:p>
      <w:pPr>
        <w:pStyle w:val="ListParagraph"/>
        <w:numPr>
          <w:ilvl w:val="0"/>
          <w:numId w:val="3"/>
        </w:numPr>
        <w:spacing w:after="60"/>
      </w:pPr>
      <w:r>
        <w:rPr>
          <w:b/>
          <w:bCs/>
        </w:rPr>
        <w:t xml:space="preserve">Vegetation filter.</w:t>
      </w:r>
      <w:r>
        <w:t xml:space="preserve"> The Normalized Difference Vegetation Index is computed from the bands nearest 670 nm (red) and 800 nm (NIR). Pixels with NDVI &lt; 0.3 are discarded:</w:t>
      </w:r>
    </w:p>
    <w:p>
      <w:pPr>
        <w:spacing w:after="120" w:before="80"/>
        <w:jc w:val="center"/>
      </w:pPr>
      <w:r>
        <w:rPr>
          <w:rFonts w:ascii="Cambria Math" w:cs="Cambria Math" w:eastAsia="Cambria Math" w:hAnsi="Cambria Math"/>
          <w:i/>
          <w:iCs/>
          <w:sz w:val="23"/>
          <w:szCs w:val="23"/>
        </w:rPr>
        <w:t xml:space="preserve">NDVI = (R₈₀₀ − R₆₇₀) / (R₈₀₀ + R₆₇₀)</w:t>
      </w:r>
    </w:p>
    <w:p>
      <w:pPr>
        <w:spacing w:after="120"/>
      </w:pPr>
      <w:r>
        <w:t xml:space="preserve">The threshold removes soil, water, deep shadow and residue. This step matters because SMACC selects the most extreme spectra. Without the filter, many of the 300 endmembers would be soil, water or shadow rather than canopy. The notebook reports how many pixels each step removed. If the result is fewer than 300 usable pixels, it stops with a message.</w:t>
      </w:r>
    </w:p>
    <w:p>
      <w:pPr>
        <w:pBdr>
          <w:left w:val="single" w:color="E08A00" w:sz="18" w:space="8"/>
        </w:pBdr>
        <w:shd w:fill="FFF4E5" w:color="auto" w:val="clear"/>
        <w:spacing w:after="160" w:before="80"/>
        <w:ind w:left="200" w:right="200"/>
      </w:pPr>
      <w:r>
        <w:rPr>
          <w:b/>
          <w:bCs/>
        </w:rPr>
        <w:t xml:space="preserve">Caution:</w:t>
      </w:r>
      <w:r>
        <w:t xml:space="preserve"> strongly necrotic (brown) diseased tissue can have NDVI close to 0.3. If the diseased class loses many pixels at this step, lower </w:t>
      </w:r>
      <w:r>
        <w:rPr>
          <w:rFonts w:ascii="Consolas" w:cs="Consolas" w:eastAsia="Consolas" w:hAnsi="Consolas"/>
          <w:sz w:val="19"/>
          <w:szCs w:val="19"/>
        </w:rPr>
        <w:t xml:space="preserve">NDVI_MIN</w:t>
      </w:r>
      <w:r>
        <w:t xml:space="preserve"> (for example to 0.2) and rely on the screening in Section 7 instead.</w:t>
      </w:r>
    </w:p>
    <w:p>
      <w:pPr>
        <w:pStyle w:val="Heading2"/>
      </w:pPr>
      <w:r>
        <w:t xml:space="preserve">5.7 SMACC endmember extraction</w:t>
      </w:r>
    </w:p>
    <w:p>
      <w:pPr>
        <w:pStyle w:val="Heading3"/>
      </w:pPr>
      <w:r>
        <w:t xml:space="preserve">Principle</w:t>
      </w:r>
    </w:p>
    <w:p>
      <w:pPr>
        <w:spacing w:after="120"/>
      </w:pPr>
      <w:r>
        <w:t xml:space="preserve">SMACC (Gruninger, Ratkowski &amp; Hoke, 2004) models every pixel spectrum </w:t>
      </w:r>
      <w:r>
        <w:rPr>
          <w:b/>
          <w:bCs/>
        </w:rPr>
        <w:t xml:space="preserve">h</w:t>
      </w:r>
      <w:r>
        <w:t xml:space="preserve"> as a non-negative combination of endmember spectra </w:t>
      </w:r>
      <w:r>
        <w:rPr>
          <w:b/>
          <w:bCs/>
        </w:rPr>
        <w:t xml:space="preserve">s</w:t>
      </w:r>
      <w:r>
        <w:t xml:space="preserve">ₖ plus a residual:</w:t>
      </w:r>
    </w:p>
    <w:p>
      <w:pPr>
        <w:spacing w:after="120" w:before="80"/>
        <w:jc w:val="center"/>
      </w:pPr>
      <w:r>
        <w:rPr>
          <w:rFonts w:ascii="Cambria Math" w:cs="Cambria Math" w:eastAsia="Cambria Math" w:hAnsi="Cambria Math"/>
          <w:i/>
          <w:iCs/>
          <w:sz w:val="23"/>
          <w:szCs w:val="23"/>
        </w:rPr>
        <w:t xml:space="preserve">h = Σₖ fₖ · sₖ + r,      fₖ ≥ 0</w:t>
      </w:r>
    </w:p>
    <w:p>
      <w:pPr>
        <w:spacing w:after="120"/>
      </w:pPr>
      <w:r>
        <w:t xml:space="preserve">The endmembers are actual image pixels. They are chosen one at a time so that they span a convex cone that contains the data. Each new endmember is the pixel that is worst explained by the endmembers already selected, which is the pixel with the largest residual. As a result, SMACC finds the </w:t>
      </w:r>
      <w:r>
        <w:rPr>
          <w:b/>
          <w:bCs/>
        </w:rPr>
        <w:t xml:space="preserve">most extreme</w:t>
      </w:r>
      <w:r>
        <w:t xml:space="preserve"> (purest, most distinct) spectra in the data, not the most typical ones.</w:t>
      </w:r>
    </w:p>
    <w:p>
      <w:pPr>
        <w:pStyle w:val="Heading3"/>
      </w:pPr>
      <w:r>
        <w:t xml:space="preserve">Algorithm as implemented</w:t>
      </w:r>
    </w:p>
    <w:p>
      <w:pPr>
        <w:pStyle w:val="ListParagraph"/>
        <w:numPr>
          <w:ilvl w:val="0"/>
          <w:numId w:val="4"/>
        </w:numPr>
        <w:spacing w:after="60"/>
      </w:pPr>
      <w:r>
        <w:t xml:space="preserve">Let </w:t>
      </w:r>
      <w:r>
        <w:rPr>
          <w:b/>
          <w:bCs/>
        </w:rPr>
        <w:t xml:space="preserve">H</w:t>
      </w:r>
      <w:r>
        <w:t xml:space="preserve"> (N × B) hold the N pixel spectra over the B bands used for the search (420–2,350 nm, 463 of 483 bands). Initialise the residual matrix </w:t>
      </w:r>
      <w:r>
        <w:rPr>
          <w:b/>
          <w:bCs/>
        </w:rPr>
        <w:t xml:space="preserve">R</w:t>
      </w:r>
      <w:r>
        <w:t xml:space="preserve"> = </w:t>
      </w:r>
      <w:r>
        <w:rPr>
          <w:b/>
          <w:bCs/>
        </w:rPr>
        <w:t xml:space="preserve">H</w:t>
      </w:r>
      <w:r>
        <w:t xml:space="preserve"> and the abundance matrix </w:t>
      </w:r>
      <w:r>
        <w:rPr>
          <w:b/>
          <w:bCs/>
        </w:rPr>
        <w:t xml:space="preserve">F</w:t>
      </w:r>
      <w:r>
        <w:t xml:space="preserve"> = 0.</w:t>
      </w:r>
    </w:p>
    <w:p>
      <w:pPr>
        <w:pStyle w:val="ListParagraph"/>
        <w:numPr>
          <w:ilvl w:val="0"/>
          <w:numId w:val="4"/>
        </w:numPr>
        <w:spacing w:after="60"/>
      </w:pPr>
      <w:r>
        <w:t xml:space="preserve">Compute the residual norm ‖</w:t>
      </w:r>
      <w:r>
        <w:rPr>
          <w:b/>
          <w:bCs/>
        </w:rPr>
        <w:t xml:space="preserve">r</w:t>
      </w:r>
      <w:r>
        <w:t xml:space="preserve">ᵢ‖ of every pixel. The pixel q with the largest norm becomes the next endmember. Its </w:t>
      </w:r>
      <w:r>
        <w:rPr>
          <w:i/>
          <w:iCs/>
        </w:rPr>
        <w:t xml:space="preserve">original</w:t>
      </w:r>
      <w:r>
        <w:t xml:space="preserve"> spectrum </w:t>
      </w:r>
      <w:r>
        <w:rPr>
          <w:b/>
          <w:bCs/>
        </w:rPr>
        <w:t xml:space="preserve">h</w:t>
      </w:r>
      <w:r>
        <w:t xml:space="preserve">_q is stored as the endmember, and its index q is recorded so its location is known.</w:t>
      </w:r>
    </w:p>
    <w:p>
      <w:pPr>
        <w:pStyle w:val="ListParagraph"/>
        <w:numPr>
          <w:ilvl w:val="0"/>
          <w:numId w:val="4"/>
        </w:numPr>
        <w:spacing w:after="60"/>
      </w:pPr>
      <w:r>
        <w:t xml:space="preserve">Let </w:t>
      </w:r>
      <w:r>
        <w:rPr>
          <w:b/>
          <w:bCs/>
        </w:rPr>
        <w:t xml:space="preserve">w</w:t>
      </w:r>
      <w:r>
        <w:t xml:space="preserve"> = </w:t>
      </w:r>
      <w:r>
        <w:rPr>
          <w:b/>
          <w:bCs/>
        </w:rPr>
        <w:t xml:space="preserve">r</w:t>
      </w:r>
      <w:r>
        <w:t xml:space="preserve">_q be the residual of the selected pixel. Each pixel's projection coefficient on this direction is computed:</w:t>
      </w:r>
    </w:p>
    <w:p>
      <w:pPr>
        <w:spacing w:after="120" w:before="80"/>
        <w:jc w:val="center"/>
      </w:pPr>
      <w:r>
        <w:rPr>
          <w:rFonts w:ascii="Cambria Math" w:cs="Cambria Math" w:eastAsia="Cambria Math" w:hAnsi="Cambria Math"/>
          <w:i/>
          <w:iCs/>
          <w:sz w:val="23"/>
          <w:szCs w:val="23"/>
        </w:rPr>
        <w:t xml:space="preserve">Oᵢ = (rᵢ · w) / (w · w)</w:t>
      </w:r>
    </w:p>
    <w:p>
      <w:pPr>
        <w:pStyle w:val="ListParagraph"/>
        <w:numPr>
          <w:ilvl w:val="0"/>
          <w:numId w:val="4"/>
        </w:numPr>
        <w:spacing w:after="60"/>
      </w:pPr>
      <w:r>
        <w:rPr>
          <w:b/>
          <w:bCs/>
        </w:rPr>
        <w:t xml:space="preserve">Positivity constraint:</w:t>
      </w:r>
      <w:r>
        <w:t xml:space="preserve"> pixels with Oᵢ ≤ 0 get a coefficient of 0.</w:t>
      </w:r>
    </w:p>
    <w:p>
      <w:pPr>
        <w:pStyle w:val="ListParagraph"/>
        <w:numPr>
          <w:ilvl w:val="0"/>
          <w:numId w:val="4"/>
        </w:numPr>
        <w:spacing w:after="60"/>
      </w:pPr>
      <w:r>
        <w:rPr>
          <w:b/>
          <w:bCs/>
        </w:rPr>
        <w:t xml:space="preserve">Convex-cone constraint:</w:t>
      </w:r>
      <w:r>
        <w:t xml:space="preserve"> removing αᵢ·</w:t>
      </w:r>
      <w:r>
        <w:rPr>
          <w:b/>
          <w:bCs/>
        </w:rPr>
        <w:t xml:space="preserve">w</w:t>
      </w:r>
      <w:r>
        <w:t xml:space="preserve"> from pixel i also changes its earlier abundances (fᵢₖ becomes fᵢₖ − αᵢ·f_qk). The coefficient is therefore limited so that no earlier abundance becomes negative: αᵢ ≤ fᵢₖ / f_qk for every earlier endmember k with f_qk &gt; 0. The selected pixel itself always gets α_q = 1, so its residual becomes zero.</w:t>
      </w:r>
    </w:p>
    <w:p>
      <w:pPr>
        <w:pStyle w:val="ListParagraph"/>
        <w:numPr>
          <w:ilvl w:val="0"/>
          <w:numId w:val="4"/>
        </w:numPr>
        <w:spacing w:after="60"/>
      </w:pPr>
      <w:r>
        <w:t xml:space="preserve">Update: </w:t>
      </w:r>
      <w:r>
        <w:rPr>
          <w:b/>
          <w:bCs/>
        </w:rPr>
        <w:t xml:space="preserve">r</w:t>
      </w:r>
      <w:r>
        <w:t xml:space="preserve">ᵢ ← </w:t>
      </w:r>
      <w:r>
        <w:rPr>
          <w:b/>
          <w:bCs/>
        </w:rPr>
        <w:t xml:space="preserve">r</w:t>
      </w:r>
      <w:r>
        <w:t xml:space="preserve">ᵢ − αᵢ·</w:t>
      </w:r>
      <w:r>
        <w:rPr>
          <w:b/>
          <w:bCs/>
        </w:rPr>
        <w:t xml:space="preserve">w</w:t>
      </w:r>
      <w:r>
        <w:t xml:space="preserve">, fᵢₖ ← max(0, fᵢₖ − αᵢ·f_qk), and the new abundance fᵢ,ₙ = αᵢ.</w:t>
      </w:r>
    </w:p>
    <w:p>
      <w:pPr>
        <w:pStyle w:val="ListParagraph"/>
        <w:numPr>
          <w:ilvl w:val="0"/>
          <w:numId w:val="4"/>
        </w:numPr>
        <w:spacing w:after="60"/>
      </w:pPr>
      <w:r>
        <w:t xml:space="preserve">Repeat steps 2–6 until 300 endmembers are selected (or until the residual is zero). Finally, each endmember pixel's abundance vector is set to 1 for itself and 0 for all others, as recommended in the original paper.</w:t>
      </w:r>
    </w:p>
    <w:p>
      <w:pPr>
        <w:spacing w:after="120"/>
      </w:pPr>
      <w:r>
        <w:t xml:space="preserve">The maximum residual norm after each iteration is stored and plotted as a convergence curve. A curve that flattens out shows that additional endmembers add little new spectral information.</w:t>
      </w:r>
    </w:p>
    <w:p>
      <w:pPr>
        <w:pStyle w:val="Heading3"/>
      </w:pPr>
      <w:r>
        <w:t xml:space="preserve">Implementation notes</w:t>
      </w:r>
    </w:p>
    <w:p>
      <w:pPr>
        <w:pStyle w:val="ListParagraph"/>
        <w:numPr>
          <w:ilvl w:val="0"/>
          <w:numId w:val="3"/>
        </w:numPr>
        <w:spacing w:after="60"/>
      </w:pPr>
      <w:r>
        <w:t xml:space="preserve">SMACC is run </w:t>
      </w:r>
      <w:r>
        <w:rPr>
          <w:b/>
          <w:bCs/>
        </w:rPr>
        <w:t xml:space="preserve">separately</w:t>
      </w:r>
      <w:r>
        <w:t xml:space="preserve"> for the healthy pool and the diseased pool, so each class gets its own 300 endmembers.</w:t>
      </w:r>
    </w:p>
    <w:p>
      <w:pPr>
        <w:pStyle w:val="ListParagraph"/>
        <w:numPr>
          <w:ilvl w:val="0"/>
          <w:numId w:val="3"/>
        </w:numPr>
        <w:spacing w:after="60"/>
      </w:pPr>
      <w:r>
        <w:t xml:space="preserve">Only the 420–2,350 nm bands are used for the search, because noisy edge bands would otherwise attract SMACC to noise. The saved endmember spectra contain all 483 bands.</w:t>
      </w:r>
    </w:p>
    <w:p>
      <w:pPr>
        <w:pStyle w:val="ListParagraph"/>
        <w:numPr>
          <w:ilvl w:val="0"/>
          <w:numId w:val="3"/>
        </w:numPr>
        <w:spacing w:after="60"/>
      </w:pPr>
      <w:r>
        <w:t xml:space="preserve">The implementation follows Gruninger et al. (2004) with the positivity constraint (the default option in ENVI's SMACC). It was written out rather than calling </w:t>
      </w:r>
      <w:r>
        <w:rPr>
          <w:rFonts w:ascii="Consolas" w:cs="Consolas" w:eastAsia="Consolas" w:hAnsi="Consolas"/>
          <w:sz w:val="19"/>
          <w:szCs w:val="19"/>
        </w:rPr>
        <w:t xml:space="preserve">spectral.smacc</w:t>
      </w:r>
      <w:r>
        <w:t xml:space="preserve"> because it also returns the </w:t>
      </w:r>
      <w:r>
        <w:rPr>
          <w:b/>
          <w:bCs/>
        </w:rPr>
        <w:t xml:space="preserve">pixel index</w:t>
      </w:r>
      <w:r>
        <w:t xml:space="preserve"> of each endmember, which gives its location. On a test data set it selected the same first eight endmembers as </w:t>
      </w:r>
      <w:r>
        <w:rPr>
          <w:rFonts w:ascii="Consolas" w:cs="Consolas" w:eastAsia="Consolas" w:hAnsi="Consolas"/>
          <w:sz w:val="19"/>
          <w:szCs w:val="19"/>
        </w:rPr>
        <w:t xml:space="preserve">spectral.smacc</w:t>
      </w:r>
      <w:r>
        <w:t xml:space="preserve">. Later selections differ because </w:t>
      </w:r>
      <w:r>
        <w:rPr>
          <w:rFonts w:ascii="Consolas" w:cs="Consolas" w:eastAsia="Consolas" w:hAnsi="Consolas"/>
          <w:sz w:val="19"/>
          <w:szCs w:val="19"/>
        </w:rPr>
        <w:t xml:space="preserve">spectral.smacc</w:t>
      </w:r>
      <w:r>
        <w:t xml:space="preserve"> restricts the projection of more pixels than the paper specifies. Results will also not be pixel-identical to ENVI's SMACC tool.</w:t>
      </w:r>
    </w:p>
    <w:p>
      <w:pPr>
        <w:pStyle w:val="ListParagraph"/>
        <w:numPr>
          <w:ilvl w:val="0"/>
          <w:numId w:val="3"/>
        </w:numPr>
        <w:spacing w:after="60"/>
      </w:pPr>
      <w:r>
        <w:t xml:space="preserve">Run time is roughly 1–5 minutes per class for 100,000 pixels and 300 endmembers on a desktop PC. Reading the ROI rows from disk can take several minutes because the image is about 9.7 GB.</w:t>
      </w:r>
    </w:p>
    <w:p>
      <w:pPr>
        <w:pStyle w:val="Heading2"/>
      </w:pPr>
      <w:r>
        <w:t xml:space="preserve">5.8 Outputs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536"/>
        <w:gridCol w:w="5770"/>
      </w:tblGrid>
      <w:tr>
        <w:trPr>
          <w:tblHeader/>
        </w:trPr>
        <w:tc>
          <w:tcPr>
            <w:tcW w:type="dxa" w:w="353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File (in OUT_DIR)</w:t>
            </w:r>
          </w:p>
        </w:tc>
        <w:tc>
          <w:tcPr>
            <w:tcW w:type="dxa" w:w="577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Content</w:t>
            </w:r>
          </w:p>
        </w:tc>
      </w:tr>
      <w:tr>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smacc_endmembers_healthy_diseased.csv</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600 rows (300 healthy + 300 diseased). Columns: </w:t>
            </w:r>
            <w:r>
              <w:rPr>
                <w:rFonts w:ascii="Consolas" w:cs="Consolas" w:eastAsia="Consolas" w:hAnsi="Consolas"/>
                <w:sz w:val="20"/>
                <w:szCs w:val="20"/>
              </w:rPr>
              <w:t xml:space="preserve">class</w:t>
            </w:r>
            <w:r>
              <w:rPr>
                <w:sz w:val="20"/>
                <w:szCs w:val="20"/>
              </w:rPr>
              <w:t xml:space="preserve">, </w:t>
            </w:r>
            <w:r>
              <w:rPr>
                <w:rFonts w:ascii="Consolas" w:cs="Consolas" w:eastAsia="Consolas" w:hAnsi="Consolas"/>
                <w:sz w:val="20"/>
                <w:szCs w:val="20"/>
              </w:rPr>
              <w:t xml:space="preserve">endmember_no</w:t>
            </w:r>
            <w:r>
              <w:rPr>
                <w:sz w:val="20"/>
                <w:szCs w:val="20"/>
              </w:rPr>
              <w:t xml:space="preserve"> (SMACC order, 1 = first selected), </w:t>
            </w:r>
            <w:r>
              <w:rPr>
                <w:rFonts w:ascii="Consolas" w:cs="Consolas" w:eastAsia="Consolas" w:hAnsi="Consolas"/>
                <w:sz w:val="20"/>
                <w:szCs w:val="20"/>
              </w:rPr>
              <w:t xml:space="preserve">row_0based</w:t>
            </w:r>
            <w:r>
              <w:rPr>
                <w:sz w:val="20"/>
                <w:szCs w:val="20"/>
              </w:rPr>
              <w:t xml:space="preserve">, </w:t>
            </w:r>
            <w:r>
              <w:rPr>
                <w:rFonts w:ascii="Consolas" w:cs="Consolas" w:eastAsia="Consolas" w:hAnsi="Consolas"/>
                <w:sz w:val="20"/>
                <w:szCs w:val="20"/>
              </w:rPr>
              <w:t xml:space="preserve">col_0based</w:t>
            </w:r>
            <w:r>
              <w:rPr>
                <w:sz w:val="20"/>
                <w:szCs w:val="20"/>
              </w:rPr>
              <w:t xml:space="preserve">, </w:t>
            </w:r>
            <w:r>
              <w:rPr>
                <w:rFonts w:ascii="Consolas" w:cs="Consolas" w:eastAsia="Consolas" w:hAnsi="Consolas"/>
                <w:sz w:val="20"/>
                <w:szCs w:val="20"/>
              </w:rPr>
              <w:t xml:space="preserve">lon</w:t>
            </w:r>
            <w:r>
              <w:rPr>
                <w:sz w:val="20"/>
                <w:szCs w:val="20"/>
              </w:rPr>
              <w:t xml:space="preserve">, </w:t>
            </w:r>
            <w:r>
              <w:rPr>
                <w:rFonts w:ascii="Consolas" w:cs="Consolas" w:eastAsia="Consolas" w:hAnsi="Consolas"/>
                <w:sz w:val="20"/>
                <w:szCs w:val="20"/>
              </w:rPr>
              <w:t xml:space="preserve">lat</w:t>
            </w:r>
            <w:r>
              <w:rPr>
                <w:sz w:val="20"/>
                <w:szCs w:val="20"/>
              </w:rPr>
              <w:t xml:space="preserve">, then one column per band named by wavelength (e.g. </w:t>
            </w:r>
            <w:r>
              <w:rPr>
                <w:rFonts w:ascii="Consolas" w:cs="Consolas" w:eastAsia="Consolas" w:hAnsi="Consolas"/>
                <w:sz w:val="20"/>
                <w:szCs w:val="20"/>
              </w:rPr>
              <w:t xml:space="preserve">670.09</w:t>
            </w:r>
            <w:r>
              <w:rPr>
                <w:sz w:val="20"/>
                <w:szCs w:val="20"/>
              </w:rPr>
              <w:t xml:space="preserve">)</w:t>
            </w:r>
          </w:p>
        </w:tc>
      </w:tr>
      <w:tr>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smacc_healthy_endmembers.sli</w:t>
            </w:r>
            <w:r>
              <w:rPr>
                <w:sz w:val="20"/>
                <w:szCs w:val="20"/>
              </w:rPr>
              <w:t xml:space="preserve"> / </w:t>
            </w:r>
            <w:r>
              <w:rPr>
                <w:rFonts w:ascii="Consolas" w:cs="Consolas" w:eastAsia="Consolas" w:hAnsi="Consolas"/>
                <w:sz w:val="20"/>
                <w:szCs w:val="20"/>
              </w:rPr>
              <w:t xml:space="preserve">.hdr</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ENVI spectral library of the healthy endmembers (names </w:t>
            </w:r>
            <w:r>
              <w:rPr>
                <w:rFonts w:ascii="Consolas" w:cs="Consolas" w:eastAsia="Consolas" w:hAnsi="Consolas"/>
                <w:sz w:val="20"/>
                <w:szCs w:val="20"/>
              </w:rPr>
              <w:t xml:space="preserve">healthy_EM001</w:t>
            </w:r>
            <w:r>
              <w:rPr>
                <w:sz w:val="20"/>
                <w:szCs w:val="20"/>
              </w:rPr>
              <w:t xml:space="preserve"> …)</w:t>
            </w:r>
          </w:p>
        </w:tc>
      </w:tr>
      <w:tr>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smacc_diseased_endmembers.sli</w:t>
            </w:r>
            <w:r>
              <w:rPr>
                <w:sz w:val="20"/>
                <w:szCs w:val="20"/>
              </w:rPr>
              <w:t xml:space="preserve"> / </w:t>
            </w:r>
            <w:r>
              <w:rPr>
                <w:rFonts w:ascii="Consolas" w:cs="Consolas" w:eastAsia="Consolas" w:hAnsi="Consolas"/>
                <w:sz w:val="20"/>
                <w:szCs w:val="20"/>
              </w:rPr>
              <w:t xml:space="preserve">.hdr</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ENVI spectral library of the diseased endmembers</w:t>
            </w:r>
          </w:p>
        </w:tc>
      </w:tr>
      <w:tr>
        <w:tc>
          <w:tcPr>
            <w:tcW w:type="dxa" w:w="35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random_samples_healthy_diseased.csv</w:t>
            </w:r>
          </w:p>
        </w:tc>
        <w:tc>
          <w:tcPr>
            <w:tcW w:type="dxa" w:w="577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300 randomly chosen pixels per class from the same filtered pool, in the same format (column </w:t>
            </w:r>
            <w:r>
              <w:rPr>
                <w:rFonts w:ascii="Consolas" w:cs="Consolas" w:eastAsia="Consolas" w:hAnsi="Consolas"/>
                <w:sz w:val="20"/>
                <w:szCs w:val="20"/>
              </w:rPr>
              <w:t xml:space="preserve">sample_no</w:t>
            </w:r>
            <w:r>
              <w:rPr>
                <w:sz w:val="20"/>
                <w:szCs w:val="20"/>
              </w:rPr>
              <w:t xml:space="preserve"> instead of </w:t>
            </w:r>
            <w:r>
              <w:rPr>
                <w:rFonts w:ascii="Consolas" w:cs="Consolas" w:eastAsia="Consolas" w:hAnsi="Consolas"/>
                <w:sz w:val="20"/>
                <w:szCs w:val="20"/>
              </w:rPr>
              <w:t xml:space="preserve">endmember_no</w:t>
            </w:r>
            <w:r>
              <w:rPr>
                <w:sz w:val="20"/>
                <w:szCs w:val="20"/>
              </w:rPr>
              <w:t xml:space="preserve">)</w:t>
            </w:r>
          </w:p>
        </w:tc>
      </w:tr>
    </w:tbl>
    <w:p>
      <w:pPr>
        <w:spacing w:after="120"/>
      </w:pPr>
    </w:p>
    <w:p>
      <w:pPr>
        <w:spacing w:after="120"/>
      </w:pPr>
      <w:r>
        <w:t xml:space="preserve">Keeping the location of each endmember allows (i) checking it on the image, (ii) assigning a plot number later by overlaying the points on the plot polygons in ENVI/QGIS, and (iii) spatially grouped validation (Section 9).</w:t>
      </w:r>
    </w:p>
    <w:p>
      <w:pPr>
        <w:pStyle w:val="Heading2"/>
      </w:pPr>
      <w:r>
        <w:t xml:space="preserve">5.9 Figures produced</w:t>
      </w:r>
    </w:p>
    <w:p>
      <w:pPr>
        <w:pStyle w:val="ListParagraph"/>
        <w:numPr>
          <w:ilvl w:val="0"/>
          <w:numId w:val="3"/>
        </w:numPr>
        <w:spacing w:after="60"/>
      </w:pPr>
      <w:r>
        <w:t xml:space="preserve">Quick-look image with the two ROI outlines.</w:t>
      </w:r>
    </w:p>
    <w:p>
      <w:pPr>
        <w:pStyle w:val="ListParagraph"/>
        <w:numPr>
          <w:ilvl w:val="0"/>
          <w:numId w:val="3"/>
        </w:numPr>
        <w:spacing w:after="60"/>
      </w:pPr>
      <w:r>
        <w:t xml:space="preserve">All 300 endmember spectra of each class, with the endmember mean (solid) and the mean of all filtered ROI pixels (dashed). The distance between the two means shows how far the endmembers are from typical pixels.</w:t>
      </w:r>
    </w:p>
    <w:p>
      <w:pPr>
        <w:pStyle w:val="ListParagraph"/>
        <w:numPr>
          <w:ilvl w:val="0"/>
          <w:numId w:val="3"/>
        </w:numPr>
        <w:spacing w:after="60"/>
      </w:pPr>
      <w:r>
        <w:t xml:space="preserve">Healthy vs diseased endmember mean ± standard deviation. Gaps are left at the removed water-absorption bands.</w:t>
      </w:r>
    </w:p>
    <w:p>
      <w:pPr>
        <w:pStyle w:val="ListParagraph"/>
        <w:numPr>
          <w:ilvl w:val="0"/>
          <w:numId w:val="3"/>
        </w:numPr>
        <w:spacing w:after="60"/>
      </w:pPr>
      <w:r>
        <w:t xml:space="preserve">Map of endmember locations on the quick-look image, and the SMACC convergence curve (maximum residual norm vs number of endmembers, log scale).</w:t>
      </w:r>
    </w:p>
    <w:p>
      <w:pPr>
        <w:pStyle w:val="ListParagraph"/>
        <w:numPr>
          <w:ilvl w:val="0"/>
          <w:numId w:val="3"/>
        </w:numPr>
        <w:spacing w:after="60"/>
      </w:pPr>
      <w:r>
        <w:t xml:space="preserve">SMACC mean vs random-sample mean for each class.</w:t>
      </w:r>
    </w:p>
    <w:p>
      <w:pPr>
        <w:pStyle w:val="Heading1"/>
      </w:pPr>
      <w:r>
        <w:t xml:space="preserve">6. Random comparison sample</w:t>
      </w:r>
    </w:p>
    <w:p>
      <w:pPr>
        <w:spacing w:after="120"/>
      </w:pPr>
      <w:r>
        <w:t xml:space="preserve">From the same filtered pixel pool, 300 pixels per class are drawn by simple random sampling without replacement. SMACC endmembers are extreme spectra by construction, while random pixels represent the typical canopy. The four-tier analysis should be run on both sets and the results compared (Section 9). Large differences show that conclusions drawn from the endmembers do not hold for the canopy as a whole.</w:t>
      </w:r>
    </w:p>
    <w:p>
      <w:pPr>
        <w:pStyle w:val="Heading1"/>
      </w:pPr>
      <w:r>
        <w:t xml:space="preserve">7. Screening of non-vegetation endmembers</w:t>
      </w:r>
    </w:p>
    <w:p>
      <w:pPr>
        <w:spacing w:after="120"/>
      </w:pPr>
      <w:r>
        <w:t xml:space="preserve">Even after the NDVI filter, some endmembers may not be plant material, for example glint, mixed soil–leaf edges or noisy pixels. This is especially likely if SMACC is run without a vegetation mask (for instance in ENVI). The second notebook, </w:t>
      </w:r>
      <w:r>
        <w:rPr>
          <w:rFonts w:ascii="Consolas" w:cs="Consolas" w:eastAsia="Consolas" w:hAnsi="Consolas"/>
          <w:sz w:val="19"/>
          <w:szCs w:val="19"/>
        </w:rPr>
        <w:t xml:space="preserve">flag_nonvegetation_endmembers.ipynb</w:t>
      </w:r>
      <w:r>
        <w:t xml:space="preserve">, applies the spectral rules below to every endmember. It reads either the CSV of Section 5.8 or ENVI spectral libraries.</w:t>
      </w:r>
    </w:p>
    <w:p>
      <w:pPr>
        <w:spacing w:after="120"/>
      </w:pPr>
      <w:r>
        <w:t xml:space="preserve">Brightness thresholds assume reflectance on a 0–1 scale. The notebook detects data scaled 0–100 or 0–10,000 automatically from the 99th percentile and rescales them. Band ratios are not affected by scale.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9"/>
        <w:gridCol w:w="3164"/>
        <w:gridCol w:w="2978"/>
        <w:gridCol w:w="1675"/>
      </w:tblGrid>
      <w:tr>
        <w:trPr>
          <w:tblHeader/>
        </w:trPr>
        <w:tc>
          <w:tcPr>
            <w:tcW w:type="dxa" w:w="148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Rule</w:t>
            </w:r>
          </w:p>
        </w:tc>
        <w:tc>
          <w:tcPr>
            <w:tcW w:type="dxa" w:w="316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Index / formula</w:t>
            </w:r>
          </w:p>
        </w:tc>
        <w:tc>
          <w:tcPr>
            <w:tcW w:type="dxa" w:w="29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Typical cause</w:t>
            </w:r>
          </w:p>
        </w:tc>
        <w:tc>
          <w:tcPr>
            <w:tcW w:type="dxa" w:w="167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Action</w:t>
            </w:r>
          </w:p>
        </w:tc>
      </w:tr>
      <w:tr>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Low NDVI</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NDVI &lt; 0.30 (R660–680, R790–810)</w:t>
            </w:r>
          </w:p>
        </w:tc>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Soil, water, dry residue, mixed pixel</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REMOVE</w:t>
            </w:r>
          </w:p>
        </w:tc>
      </w:tr>
      <w:tr>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red-edge</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R800 / R670 &lt; 2.0</w:t>
            </w:r>
          </w:p>
        </w:tc>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Anything that is not green canopy</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REMOVE</w:t>
            </w:r>
          </w:p>
        </w:tc>
      </w:tr>
      <w:tr>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Water</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NDWI = (R560 − R860)/(R560 + R860) &gt; 0 (McFeeters, 1996)</w:t>
            </w:r>
          </w:p>
        </w:tc>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Standing water</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REMOVE</w:t>
            </w:r>
          </w:p>
        </w:tc>
      </w:tr>
      <w:tr>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Too dark</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R800 &lt; 0.10</w:t>
            </w:r>
          </w:p>
        </w:tc>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Deep shadow or water</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REMOVE</w:t>
            </w:r>
          </w:p>
        </w:tc>
      </w:tr>
      <w:tr>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Bright visible</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mean R400–700 &gt; 0.25</w:t>
            </w:r>
          </w:p>
        </w:tc>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Specular glint, bright soil, white objects</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CHECK</w:t>
            </w:r>
          </w:p>
        </w:tc>
      </w:tr>
      <w:tr>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 green peak</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R550 ≤ R670</w:t>
            </w:r>
          </w:p>
        </w:tc>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Soil, </w:t>
            </w:r>
            <w:r>
              <w:rPr>
                <w:b/>
                <w:bCs/>
                <w:sz w:val="20"/>
                <w:szCs w:val="20"/>
              </w:rPr>
              <w:t xml:space="preserve">or</w:t>
            </w:r>
            <w:r>
              <w:rPr>
                <w:sz w:val="20"/>
                <w:szCs w:val="20"/>
              </w:rPr>
              <w:t xml:space="preserve"> brown/yellow diseased tissue</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CHECK</w:t>
            </w:r>
          </w:p>
        </w:tc>
      </w:tr>
      <w:tr>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Spike</w:t>
            </w:r>
          </w:p>
        </w:tc>
        <w:tc>
          <w:tcPr>
            <w:tcW w:type="dxa" w:w="31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 band deviates &gt; 0.03 from its 5-band running median</w:t>
            </w:r>
          </w:p>
        </w:tc>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Sensor noise, bad pixel</w:t>
            </w:r>
          </w:p>
        </w:tc>
        <w:tc>
          <w:tcPr>
            <w:tcW w:type="dxa" w:w="167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CHECK</w:t>
            </w:r>
          </w:p>
        </w:tc>
      </w:tr>
    </w:tbl>
    <w:p>
      <w:pPr>
        <w:spacing w:after="120"/>
      </w:pPr>
    </w:p>
    <w:p>
      <w:pPr>
        <w:spacing w:after="120"/>
      </w:pPr>
      <w:r>
        <w:rPr>
          <w:b/>
          <w:bCs/>
        </w:rPr>
        <w:t xml:space="preserve">Procedure:</w:t>
      </w:r>
    </w:p>
    <w:p>
      <w:pPr>
        <w:pStyle w:val="ListParagraph"/>
        <w:numPr>
          <w:ilvl w:val="0"/>
          <w:numId w:val="5"/>
        </w:numPr>
        <w:spacing w:after="60"/>
      </w:pPr>
      <w:r>
        <w:t xml:space="preserve">Run the notebook. It writes </w:t>
      </w:r>
      <w:r>
        <w:rPr>
          <w:rFonts w:ascii="Consolas" w:cs="Consolas" w:eastAsia="Consolas" w:hAnsi="Consolas"/>
          <w:sz w:val="19"/>
          <w:szCs w:val="19"/>
        </w:rPr>
        <w:t xml:space="preserve">endmembers_flagged.csv</w:t>
      </w:r>
      <w:r>
        <w:t xml:space="preserve">, which contains the flag (REMOVE / CHECK / ok), the reasons, the index values and a </w:t>
      </w:r>
      <w:r>
        <w:rPr>
          <w:rFonts w:ascii="Consolas" w:cs="Consolas" w:eastAsia="Consolas" w:hAnsi="Consolas"/>
          <w:sz w:val="19"/>
          <w:szCs w:val="19"/>
        </w:rPr>
        <w:t xml:space="preserve">keep</w:t>
      </w:r>
      <w:r>
        <w:t xml:space="preserve"> column (False for REMOVE, True otherwise).</w:t>
      </w:r>
    </w:p>
    <w:p>
      <w:pPr>
        <w:pStyle w:val="ListParagraph"/>
        <w:numPr>
          <w:ilvl w:val="0"/>
          <w:numId w:val="5"/>
        </w:numPr>
        <w:spacing w:after="60"/>
      </w:pPr>
      <w:r>
        <w:t xml:space="preserve">Inspect the plots. One figure shows all spectra coloured by flag; a second shows each flagged spectrum in its own panel.</w:t>
      </w:r>
    </w:p>
    <w:p>
      <w:pPr>
        <w:pStyle w:val="ListParagraph"/>
        <w:numPr>
          <w:ilvl w:val="0"/>
          <w:numId w:val="5"/>
        </w:numPr>
        <w:spacing w:after="60"/>
      </w:pPr>
      <w:r>
        <w:t xml:space="preserve">Check doubtful cases on the image using </w:t>
      </w:r>
      <w:r>
        <w:rPr>
          <w:rFonts w:ascii="Consolas" w:cs="Consolas" w:eastAsia="Consolas" w:hAnsi="Consolas"/>
          <w:sz w:val="19"/>
          <w:szCs w:val="19"/>
        </w:rPr>
        <w:t xml:space="preserve">row_0based + 1</w:t>
      </w:r>
      <w:r>
        <w:t xml:space="preserve"> and </w:t>
      </w:r>
      <w:r>
        <w:rPr>
          <w:rFonts w:ascii="Consolas" w:cs="Consolas" w:eastAsia="Consolas" w:hAnsi="Consolas"/>
          <w:sz w:val="19"/>
          <w:szCs w:val="19"/>
        </w:rPr>
        <w:t xml:space="preserve">col_0based + 1</w:t>
      </w:r>
      <w:r>
        <w:t xml:space="preserve"> in ENVI's Pixel Locator.</w:t>
      </w:r>
    </w:p>
    <w:p>
      <w:pPr>
        <w:pStyle w:val="ListParagraph"/>
        <w:numPr>
          <w:ilvl w:val="0"/>
          <w:numId w:val="5"/>
        </w:numPr>
        <w:spacing w:after="60"/>
      </w:pPr>
      <w:r>
        <w:t xml:space="preserve">Set </w:t>
      </w:r>
      <w:r>
        <w:rPr>
          <w:rFonts w:ascii="Consolas" w:cs="Consolas" w:eastAsia="Consolas" w:hAnsi="Consolas"/>
          <w:sz w:val="19"/>
          <w:szCs w:val="19"/>
        </w:rPr>
        <w:t xml:space="preserve">keep</w:t>
      </w:r>
      <w:r>
        <w:t xml:space="preserve"> to False for spectra that are not vegetation. Either edit the CSV in Excel, or list the endmember numbers in </w:t>
      </w:r>
      <w:r>
        <w:rPr>
          <w:rFonts w:ascii="Consolas" w:cs="Consolas" w:eastAsia="Consolas" w:hAnsi="Consolas"/>
          <w:sz w:val="19"/>
          <w:szCs w:val="19"/>
        </w:rPr>
        <w:t xml:space="preserve">MANUAL_REMOVE</w:t>
      </w:r>
      <w:r>
        <w:t xml:space="preserve"> / </w:t>
      </w:r>
      <w:r>
        <w:rPr>
          <w:rFonts w:ascii="Consolas" w:cs="Consolas" w:eastAsia="Consolas" w:hAnsi="Consolas"/>
          <w:sz w:val="19"/>
          <w:szCs w:val="19"/>
        </w:rPr>
        <w:t xml:space="preserve">MANUAL_KEEP</w:t>
      </w:r>
      <w:r>
        <w:t xml:space="preserve"> in the last cell.</w:t>
      </w:r>
    </w:p>
    <w:p>
      <w:pPr>
        <w:pStyle w:val="ListParagraph"/>
        <w:numPr>
          <w:ilvl w:val="0"/>
          <w:numId w:val="5"/>
        </w:numPr>
        <w:spacing w:after="60"/>
      </w:pPr>
      <w:r>
        <w:t xml:space="preserve">Run the last cell. It writes </w:t>
      </w:r>
      <w:r>
        <w:rPr>
          <w:rFonts w:ascii="Consolas" w:cs="Consolas" w:eastAsia="Consolas" w:hAnsi="Consolas"/>
          <w:sz w:val="19"/>
          <w:szCs w:val="19"/>
        </w:rPr>
        <w:t xml:space="preserve">endmembers_vegetation_only.csv</w:t>
      </w:r>
      <w:r>
        <w:t xml:space="preserve">.</w:t>
      </w:r>
    </w:p>
    <w:p>
      <w:pPr>
        <w:pBdr>
          <w:left w:val="single" w:color="E08A00" w:sz="18" w:space="8"/>
        </w:pBdr>
        <w:shd w:fill="FFF4E5" w:color="auto" w:val="clear"/>
        <w:spacing w:after="160" w:before="80"/>
        <w:ind w:left="200" w:right="200"/>
      </w:pPr>
      <w:r>
        <w:rPr>
          <w:b/>
          <w:bCs/>
        </w:rPr>
        <w:t xml:space="preserve">Do not remove CHECK spectra from the diseased class automatically.</w:t>
      </w:r>
      <w:r>
        <w:t xml:space="preserve"> Necrotic, chlorotic or senescent leaf tissue often lacks a green peak and has a lower NDVI while still showing a red-edge. That tissue is the disease signal. Remove a CHECK spectrum only if its shape and location show that it is not plant material. If many endmembers are removed, extract more (e.g. </w:t>
      </w:r>
      <w:r>
        <w:rPr>
          <w:rFonts w:ascii="Consolas" w:cs="Consolas" w:eastAsia="Consolas" w:hAnsi="Consolas"/>
          <w:sz w:val="19"/>
          <w:szCs w:val="19"/>
        </w:rPr>
        <w:t xml:space="preserve">N_ENDMEMBERS = 400</w:t>
      </w:r>
      <w:r>
        <w:t xml:space="preserve">) and keep the first 300 vegetation endmembers of each class, so the classes stay balanced.</w:t>
      </w:r>
    </w:p>
    <w:p>
      <w:pPr>
        <w:spacing w:after="120"/>
      </w:pPr>
      <w:r>
        <w:t xml:space="preserve">In a test with artificially inserted spectra, soil, water, shadow and glint spectra were all flagged REMOVE, while a brown-lesion spectrum and a spiky spectrum were flagged CHECK.</w:t>
      </w:r>
    </w:p>
    <w:p>
      <w:pPr>
        <w:pStyle w:val="Heading1"/>
      </w:pPr>
      <w:r>
        <w:t xml:space="preserve">8. Quality control of the code</w:t>
      </w:r>
    </w:p>
    <w:p>
      <w:pPr>
        <w:spacing w:after="120"/>
      </w:pPr>
      <w:r>
        <w:t xml:space="preserve">The original image could not be used during development because only its header was available. Both notebooks were therefore tested on a </w:t>
      </w:r>
      <w:r>
        <w:rPr>
          <w:b/>
          <w:bCs/>
        </w:rPr>
        <w:t xml:space="preserve">synthetic image</w:t>
      </w:r>
      <w:r>
        <w:t xml:space="preserve"> with the same header, wavelengths, BIL layout and georeferencing, but 10× coarser pixels (236 × 215 pixels, 483 bands). It contained simulated healthy and diseased canopy mixed with soil and shadow, plus a masked strip. The following checks passed:</w:t>
      </w:r>
    </w:p>
    <w:p>
      <w:pPr>
        <w:pStyle w:val="ListParagraph"/>
        <w:numPr>
          <w:ilvl w:val="0"/>
          <w:numId w:val="3"/>
        </w:numPr>
        <w:spacing w:after="60"/>
      </w:pPr>
      <w:r>
        <w:t xml:space="preserve">Every saved endmember spectrum was identical to the image spectrum at its saved row/column.</w:t>
      </w:r>
    </w:p>
    <w:p>
      <w:pPr>
        <w:pStyle w:val="ListParagraph"/>
        <w:numPr>
          <w:ilvl w:val="0"/>
          <w:numId w:val="3"/>
        </w:numPr>
        <w:spacing w:after="60"/>
      </w:pPr>
      <w:r>
        <w:t xml:space="preserve">All 300 + 300 saved lon/lat positions fell inside the correct ROI polygon, and no pixel was selected twice.</w:t>
      </w:r>
    </w:p>
    <w:p>
      <w:pPr>
        <w:pStyle w:val="ListParagraph"/>
        <w:numPr>
          <w:ilvl w:val="0"/>
          <w:numId w:val="3"/>
        </w:numPr>
        <w:spacing w:after="60"/>
      </w:pPr>
      <w:r>
        <w:t xml:space="preserve">The ENVI spectral libraries could be re-opened and matched the CSV.</w:t>
      </w:r>
    </w:p>
    <w:p>
      <w:pPr>
        <w:pStyle w:val="ListParagraph"/>
        <w:numPr>
          <w:ilvl w:val="0"/>
          <w:numId w:val="3"/>
        </w:numPr>
        <w:spacing w:after="60"/>
      </w:pPr>
      <w:r>
        <w:t xml:space="preserve">The abundance matrix was non-negative.</w:t>
      </w:r>
    </w:p>
    <w:p>
      <w:pPr>
        <w:pStyle w:val="ListParagraph"/>
        <w:numPr>
          <w:ilvl w:val="0"/>
          <w:numId w:val="3"/>
        </w:numPr>
        <w:spacing w:after="60"/>
      </w:pPr>
      <w:r>
        <w:t xml:space="preserve">The SMACC implementation agreed with </w:t>
      </w:r>
      <w:r>
        <w:rPr>
          <w:rFonts w:ascii="Consolas" w:cs="Consolas" w:eastAsia="Consolas" w:hAnsi="Consolas"/>
          <w:sz w:val="19"/>
          <w:szCs w:val="19"/>
        </w:rPr>
        <w:t xml:space="preserve">spectral.smacc</w:t>
      </w:r>
      <w:r>
        <w:t xml:space="preserve"> for the first selections on a mixed test data set and explained the data with a lower residual.</w:t>
      </w:r>
    </w:p>
    <w:p>
      <w:pPr>
        <w:pStyle w:val="ListParagraph"/>
        <w:numPr>
          <w:ilvl w:val="0"/>
          <w:numId w:val="3"/>
        </w:numPr>
        <w:spacing w:after="60"/>
      </w:pPr>
      <w:r>
        <w:t xml:space="preserve">The copy-paste (cell) version of the code ran end to end without errors.</w:t>
      </w:r>
    </w:p>
    <w:p>
      <w:pPr>
        <w:spacing w:after="120"/>
      </w:pPr>
      <w:r>
        <w:t xml:space="preserve">When the notebook is run on the real image, the printed pixel counts, the quick-look with ROI outlines and the endmember location map should be checked to confirm that the polygons fall on the intended areas.</w:t>
      </w:r>
    </w:p>
    <w:p>
      <w:pPr>
        <w:pStyle w:val="Heading1"/>
      </w:pPr>
      <w:r>
        <w:t xml:space="preserve">9. Methodological notes, limitations and recommended use</w:t>
      </w:r>
    </w:p>
    <w:p>
      <w:pPr>
        <w:pStyle w:val="Heading2"/>
      </w:pPr>
      <w:r>
        <w:t xml:space="preserve">9.1 What SMACC endmembers represent</w:t>
      </w:r>
    </w:p>
    <w:p>
      <w:pPr>
        <w:spacing w:after="120"/>
      </w:pPr>
      <w:r>
        <w:t xml:space="preserve">SMACC returns the corners of the data cloud: the purest and most extreme spectra in each ROI, such as the brightest and darkest leaves, the most chlorotic tissue and mixed edges. They are ideal for </w:t>
      </w:r>
      <w:r>
        <w:rPr>
          <w:b/>
          <w:bCs/>
        </w:rPr>
        <w:t xml:space="preserve">spectral unmixing</w:t>
      </w:r>
      <w:r>
        <w:t xml:space="preserve"> and for showing the range of spectral variation. They are </w:t>
      </w:r>
      <w:r>
        <w:rPr>
          <w:b/>
          <w:bCs/>
        </w:rPr>
        <w:t xml:space="preserve">not</w:t>
      </w:r>
      <w:r>
        <w:t xml:space="preserve"> a random sample of the canopy. In the four-tier analysis this has the following consequences: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Tier</w:t>
            </w:r>
          </w:p>
        </w:tc>
        <w:tc>
          <w:tcPr>
            <w:tcW w:type="dxa" w:w="725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Effect of using SMACC endmembers as samples</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ANOVA / t-test</w:t>
            </w:r>
          </w:p>
        </w:tc>
        <w:tc>
          <w:tcPr>
            <w:tcW w:type="dxa" w:w="72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Assumes a random sample from each class. p-values from endmembers do not describe the field population</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 CART</w:t>
            </w:r>
          </w:p>
        </w:tc>
        <w:tc>
          <w:tcPr>
            <w:tcW w:type="dxa" w:w="72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Thresholds are learned on extreme spectra and may not hold for typical pixels</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 J–M distance</w:t>
            </w:r>
          </w:p>
        </w:tc>
        <w:tc>
          <w:tcPr>
            <w:tcW w:type="dxa" w:w="72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Measures the separability of the extremes, which can over- or under-state real separability</w:t>
            </w:r>
          </w:p>
        </w:tc>
      </w:tr>
      <w:tr>
        <w:tc>
          <w:tcPr>
            <w:tcW w:type="dxa" w:w="20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 QDA</w:t>
            </w:r>
          </w:p>
        </w:tc>
        <w:tc>
          <w:tcPr>
            <w:tcW w:type="dxa" w:w="72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Class means are shifted and covariances inflated, so the model is fitted to the wrong distribution</w:t>
            </w:r>
          </w:p>
        </w:tc>
      </w:tr>
    </w:tbl>
    <w:p>
      <w:pPr>
        <w:spacing w:after="120"/>
      </w:pPr>
    </w:p>
    <w:p>
      <w:pPr>
        <w:spacing w:after="120"/>
      </w:pPr>
      <w:r>
        <w:rPr>
          <w:b/>
          <w:bCs/>
        </w:rPr>
        <w:t xml:space="preserve">Recommendation:</w:t>
      </w:r>
      <w:r>
        <w:t xml:space="preserve"> run the four tiers on both the SMACC endmembers and the random sample (Section 6). Use the random sample (or plot means) for the accuracy assessment. Alternatively, use the endmembers for linear spectral unmixing: compute the diseased-endmember abundance per pixel, average it per plot, and relate it to the field disease score.</w:t>
      </w:r>
    </w:p>
    <w:p>
      <w:pPr>
        <w:pStyle w:val="Heading2"/>
      </w:pPr>
      <w:r>
        <w:t xml:space="preserve">9.2 Two adjacent regions: disease and location are confounded</w:t>
      </w:r>
    </w:p>
    <w:p>
      <w:pPr>
        <w:spacing w:after="120"/>
      </w:pPr>
      <w:r>
        <w:t xml:space="preserve">All healthy samples come from one block and all diseased samples from the neighbouring block. Any difference between the blocks, such as soil, water, management, view angle or illumination, can be learned as "disease". A useful control is to split the healthy region into two halves and run the same analysis on half A vs half B. If these separate almost as well as healthy vs diseased, the results are mainly driven by location.</w:t>
      </w:r>
    </w:p>
    <w:p>
      <w:pPr>
        <w:pStyle w:val="Heading2"/>
      </w:pPr>
      <w:r>
        <w:t xml:space="preserve">9.3 Heterogeneity within plots</w:t>
      </w:r>
    </w:p>
    <w:p>
      <w:pPr>
        <w:spacing w:after="120"/>
      </w:pPr>
      <w:r>
        <w:t xml:space="preserve">At about 2 cm resolution a diseased area contains green healthy leaves, lesions, yellow leaves, shadow and soil. A healthy area also contains shadow and senescent lower leaves. Labelling every pixel by its region therefore introduces label noise. Recommended measures:</w:t>
      </w:r>
    </w:p>
    <w:p>
      <w:pPr>
        <w:pStyle w:val="ListParagraph"/>
        <w:numPr>
          <w:ilvl w:val="0"/>
          <w:numId w:val="3"/>
        </w:numPr>
        <w:spacing w:after="60"/>
      </w:pPr>
      <w:r>
        <w:t xml:space="preserve">Vegetation and sunlit-canopy masks (NDVI, NIR brightness) before sampling.</w:t>
      </w:r>
    </w:p>
    <w:p>
      <w:pPr>
        <w:pStyle w:val="ListParagraph"/>
        <w:numPr>
          <w:ilvl w:val="0"/>
          <w:numId w:val="3"/>
        </w:numPr>
        <w:spacing w:after="60"/>
      </w:pPr>
      <w:r>
        <w:t xml:space="preserve">Brightness normalisation (vector normalisation, first derivative or continuum removal) to reduce leaf-angle and illumination effects.</w:t>
      </w:r>
    </w:p>
    <w:p>
      <w:pPr>
        <w:pStyle w:val="ListParagraph"/>
        <w:numPr>
          <w:ilvl w:val="0"/>
          <w:numId w:val="3"/>
        </w:numPr>
        <w:spacing w:after="60"/>
      </w:pPr>
      <w:r>
        <w:t xml:space="preserve">Analysis at plot or grid-cell level (for example 0.5 × 0.5 m cells, about 22 × 22 pixels), using the mean spectrum of vegetation pixels per unit. Alternatively, a pixel-level reference of symptomatic vs green tissue if the aim is lesion detection.</w:t>
      </w:r>
    </w:p>
    <w:p>
      <w:pPr>
        <w:pStyle w:val="Heading2"/>
      </w:pPr>
      <w:r>
        <w:t xml:space="preserve">9.4 Pseudo-replication</w:t>
      </w:r>
    </w:p>
    <w:p>
      <w:pPr>
        <w:spacing w:after="120"/>
      </w:pPr>
      <w:r>
        <w:t xml:space="preserve">The independent experimental units are plots (or spatial blocks), not pixels. Neighbouring pixels at 2 cm are nearly identical, so 300 pixels from one region are far fewer than 300 independent observations. Tier 1 should therefore use plot or block means, or a mixed model with plot as a random effect: reflectance ~ class + (1 | plot). Apply a false-discovery-rate correction across bands. With two classes, Tukey's HSD and the "frequency of significant genotype pairs" plot of Das et al. (2020) do not apply. Plot the effect size or −log₁₀(p) against wavelength instead.</w:t>
      </w:r>
    </w:p>
    <w:p>
      <w:pPr>
        <w:pStyle w:val="Heading2"/>
      </w:pPr>
      <w:r>
        <w:t xml:space="preserve">9.5 Validation</w:t>
      </w:r>
    </w:p>
    <w:p>
      <w:pPr>
        <w:pStyle w:val="ListParagraph"/>
        <w:numPr>
          <w:ilvl w:val="0"/>
          <w:numId w:val="3"/>
        </w:numPr>
        <w:spacing w:after="60"/>
      </w:pPr>
      <w:r>
        <w:rPr>
          <w:b/>
          <w:bCs/>
        </w:rPr>
        <w:t xml:space="preserve">Random pixel cross-validation is not valid</w:t>
      </w:r>
      <w:r>
        <w:t xml:space="preserve"> for these data. Pixels in the test set have near-identical neighbours in the training set, so the reported accuracy mostly reflects recognition of the location rather than of the disease (Roberts et al., 2017; Karasiak et al., 2022).</w:t>
      </w:r>
    </w:p>
    <w:p>
      <w:pPr>
        <w:pStyle w:val="ListParagraph"/>
        <w:numPr>
          <w:ilvl w:val="0"/>
          <w:numId w:val="3"/>
        </w:numPr>
        <w:spacing w:after="60"/>
      </w:pPr>
      <w:r>
        <w:t xml:space="preserve">Assign a plot number to every sample using its lon/lat. Use plot-grouped (or spatial-block) cross-validation, e.g. repeated stratified group k-fold or leave-one-plot-out.</w:t>
      </w:r>
    </w:p>
    <w:p>
      <w:pPr>
        <w:pStyle w:val="ListParagraph"/>
        <w:numPr>
          <w:ilvl w:val="0"/>
          <w:numId w:val="3"/>
        </w:numPr>
        <w:spacing w:after="60"/>
      </w:pPr>
      <w:r>
        <w:t xml:space="preserve">All data-driven steps (vegetation thresholds if tuned, SMACC, ANOVA, CART, J–M, QDA) must be repeated inside each training fold (</w:t>
      </w:r>
      <w:r>
        <w:rPr>
          <w:b/>
          <w:bCs/>
        </w:rPr>
        <w:t xml:space="preserve">nested</w:t>
      </w:r>
      <w:r>
        <w:t xml:space="preserve"> validation). The test plots must not influence band selection.</w:t>
      </w:r>
    </w:p>
    <w:p>
      <w:pPr>
        <w:pStyle w:val="ListParagraph"/>
        <w:numPr>
          <w:ilvl w:val="0"/>
          <w:numId w:val="3"/>
        </w:numPr>
        <w:spacing w:after="60"/>
      </w:pPr>
      <w:r>
        <w:t xml:space="preserve">Test on random vegetation pixels or plot means of the held-out plots, never on endmembers. Report pixel-level and plot-level confusion matrices, overall, producer's and user's accuracy, balanced accuracy, kappa or MCC, and ROC-AUC as mean ± SD over repeats.</w:t>
      </w:r>
    </w:p>
    <w:p>
      <w:pPr>
        <w:pStyle w:val="ListParagraph"/>
        <w:numPr>
          <w:ilvl w:val="0"/>
          <w:numId w:val="3"/>
        </w:numPr>
        <w:spacing w:after="60"/>
      </w:pPr>
      <w:r>
        <w:t xml:space="preserve">Add a permutation test (shuffled plot labels) and the location-only control of Section 9.2. Report random-CV and spatial-CV accuracy side by side to show the optimism of random CV.</w:t>
      </w:r>
    </w:p>
    <w:p>
      <w:pPr>
        <w:pStyle w:val="ListParagraph"/>
        <w:numPr>
          <w:ilvl w:val="0"/>
          <w:numId w:val="3"/>
        </w:numPr>
        <w:spacing w:after="60"/>
      </w:pPr>
      <w:r>
        <w:t xml:space="preserve">If another acquisition date is available, apply the frozen band set and model to it, with fresh ground truth, as an independent temporal validation.</w:t>
      </w:r>
    </w:p>
    <w:p>
      <w:pPr>
        <w:pStyle w:val="Heading1"/>
      </w:pPr>
      <w:r>
        <w:t xml:space="preserve">10. Draft methods paragraph (adapt as needed)</w:t>
      </w:r>
    </w:p>
    <w:p>
      <w:pPr>
        <w:spacing w:after="120"/>
      </w:pPr>
      <w:r>
        <w:rPr>
          <w:i/>
          <w:iCs/>
        </w:rPr>
        <w:t xml:space="preserve">Hyperspectral data acquired on 24 February 2026 (483 bands, 399–2,398 nm; ground sampling distance ≈ 2.2 cm; water-absorption bands removed) were analysed in Python using the Spectral Python library. Two regions of interest representing healthy and diseased canopy were digitised in ENVI. The pixels inside each region were extracted, pixels outside the image mask were discarded, and non-vegetation pixels were removed using an NDVI threshold of 0.3 (R₈₀₀, R₆₇₀). A random subset of up to 100,000 pixels per class was retained. Endmembers were extracted separately for each class with the Sequential Maximum Angle Convex Cone algorithm (SMACC; Gruninger et al., 2004), using the positivity and convex-cone constraints over 420–2,350 nm, and 300 endmembers were retained per class. The endmember spectra were screened for non-vegetation signatures (NDVI &lt; 0.3, R₈₀₀/R₆₇₀ &lt; 2, NDWI &gt; 0, R₈₀₀ &lt; 0.10), and remaining doubtful spectra (high visible reflectance, absent green peak, spikes) were inspected visually before removal. For comparison, an equal-sized simple random sample was drawn from the same filtered pixels.</w:t>
      </w:r>
    </w:p>
    <w:p>
      <w:pPr>
        <w:spacing w:after="120"/>
      </w:pPr>
      <w:r>
        <w:t xml:space="preserve">If you follow the recommendations of Section 9, add a sentence describing the plot assignment and the plot-grouped, nested cross-validation.</w:t>
      </w:r>
    </w:p>
    <w:p>
      <w:pPr>
        <w:pStyle w:val="Heading1"/>
      </w:pPr>
      <w:r>
        <w:t xml:space="preserve">11. Running the code and troubleshooting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78"/>
        <w:gridCol w:w="6328"/>
      </w:tblGrid>
      <w:tr>
        <w:trPr>
          <w:tblHeader/>
        </w:trPr>
        <w:tc>
          <w:tcPr>
            <w:tcW w:type="dxa" w:w="29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Problem</w:t>
            </w:r>
          </w:p>
        </w:tc>
        <w:tc>
          <w:tcPr>
            <w:tcW w:type="dxa" w:w="63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20"/>
                <w:szCs w:val="20"/>
              </w:rPr>
              <w:t xml:space="preserve">Cause and solution</w:t>
            </w:r>
          </w:p>
        </w:tc>
      </w:tr>
      <w:tr>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0"/>
                <w:szCs w:val="20"/>
              </w:rPr>
              <w:t xml:space="preserve">NameError: name 'null' is not defined</w:t>
            </w:r>
          </w:p>
        </w:tc>
        <w:tc>
          <w:tcPr>
            <w:tcW w:type="dxa" w:w="63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w:t>
            </w:r>
            <w:r>
              <w:rPr>
                <w:rFonts w:ascii="Consolas" w:cs="Consolas" w:eastAsia="Consolas" w:hAnsi="Consolas"/>
                <w:sz w:val="20"/>
                <w:szCs w:val="20"/>
              </w:rPr>
              <w:t xml:space="preserve">.ipynb</w:t>
            </w:r>
            <w:r>
              <w:rPr>
                <w:sz w:val="20"/>
                <w:szCs w:val="20"/>
              </w:rPr>
              <w:t xml:space="preserve"> file (JSON text) was pasted into a code cell. Open the notebook with File → Open in Jupyter, or paste the plain-Python cells from </w:t>
            </w:r>
            <w:r>
              <w:rPr>
                <w:rFonts w:ascii="Consolas" w:cs="Consolas" w:eastAsia="Consolas" w:hAnsi="Consolas"/>
                <w:sz w:val="20"/>
                <w:szCs w:val="20"/>
              </w:rPr>
              <w:t xml:space="preserve">smacc_endmember_extraction_cells.py</w:t>
            </w:r>
          </w:p>
        </w:tc>
      </w:tr>
      <w:tr>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Image data file not found</w:t>
            </w:r>
          </w:p>
        </w:tc>
        <w:tc>
          <w:tcPr>
            <w:tcW w:type="dxa" w:w="63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data file must be next to the </w:t>
            </w:r>
            <w:r>
              <w:rPr>
                <w:rFonts w:ascii="Consolas" w:cs="Consolas" w:eastAsia="Consolas" w:hAnsi="Consolas"/>
                <w:sz w:val="20"/>
                <w:szCs w:val="20"/>
              </w:rPr>
              <w:t xml:space="preserve">.hdr</w:t>
            </w:r>
            <w:r>
              <w:rPr>
                <w:sz w:val="20"/>
                <w:szCs w:val="20"/>
              </w:rPr>
              <w:t xml:space="preserve"> with the same base name (no extension, </w:t>
            </w:r>
            <w:r>
              <w:rPr>
                <w:rFonts w:ascii="Consolas" w:cs="Consolas" w:eastAsia="Consolas" w:hAnsi="Consolas"/>
                <w:sz w:val="20"/>
                <w:szCs w:val="20"/>
              </w:rPr>
              <w:t xml:space="preserve">.dat</w:t>
            </w:r>
            <w:r>
              <w:rPr>
                <w:sz w:val="20"/>
                <w:szCs w:val="20"/>
              </w:rPr>
              <w:t xml:space="preserve"> or </w:t>
            </w:r>
            <w:r>
              <w:rPr>
                <w:rFonts w:ascii="Consolas" w:cs="Consolas" w:eastAsia="Consolas" w:hAnsi="Consolas"/>
                <w:sz w:val="20"/>
                <w:szCs w:val="20"/>
              </w:rPr>
              <w:t xml:space="preserve">.img</w:t>
            </w:r>
            <w:r>
              <w:rPr>
                <w:sz w:val="20"/>
                <w:szCs w:val="20"/>
              </w:rPr>
              <w:t xml:space="preserve">). Otherwise use </w:t>
            </w:r>
            <w:r>
              <w:rPr>
                <w:rFonts w:ascii="Consolas" w:cs="Consolas" w:eastAsia="Consolas" w:hAnsi="Consolas"/>
                <w:sz w:val="20"/>
                <w:szCs w:val="20"/>
              </w:rPr>
              <w:t xml:space="preserve">envi.open(IMG_HDR, r"path\to\datafile")</w:t>
            </w:r>
          </w:p>
        </w:tc>
      </w:tr>
      <w:tr>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"ROI … is not in map coordinates"</w:t>
            </w:r>
          </w:p>
        </w:tc>
        <w:tc>
          <w:tcPr>
            <w:tcW w:type="dxa" w:w="63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Re-export the ROI from ENVI as XML while the georeferenced image is open</w:t>
            </w:r>
          </w:p>
        </w:tc>
      </w:tr>
      <w:tr>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"only N usable pixels"</w:t>
            </w:r>
          </w:p>
        </w:tc>
        <w:tc>
          <w:tcPr>
            <w:tcW w:type="dxa" w:w="63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Too few pixels passed the filters. Lower </w:t>
            </w:r>
            <w:r>
              <w:rPr>
                <w:rFonts w:ascii="Consolas" w:cs="Consolas" w:eastAsia="Consolas" w:hAnsi="Consolas"/>
                <w:sz w:val="20"/>
                <w:szCs w:val="20"/>
              </w:rPr>
              <w:t xml:space="preserve">NDVI_MIN</w:t>
            </w:r>
            <w:r>
              <w:rPr>
                <w:sz w:val="20"/>
                <w:szCs w:val="20"/>
              </w:rPr>
              <w:t xml:space="preserve">, or check that the ROI lies on the image</w:t>
            </w:r>
          </w:p>
        </w:tc>
      </w:tr>
      <w:tr>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Memory error</w:t>
            </w:r>
          </w:p>
        </w:tc>
        <w:tc>
          <w:tcPr>
            <w:tcW w:type="dxa" w:w="63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Reduce </w:t>
            </w:r>
            <w:r>
              <w:rPr>
                <w:rFonts w:ascii="Consolas" w:cs="Consolas" w:eastAsia="Consolas" w:hAnsi="Consolas"/>
                <w:sz w:val="20"/>
                <w:szCs w:val="20"/>
              </w:rPr>
              <w:t xml:space="preserve">MAX_PIXELS</w:t>
            </w:r>
            <w:r>
              <w:rPr>
                <w:sz w:val="20"/>
                <w:szCs w:val="20"/>
              </w:rPr>
              <w:t xml:space="preserve"> (e.g. 50,000). Do not use </w:t>
            </w:r>
            <w:r>
              <w:rPr>
                <w:rFonts w:ascii="Consolas" w:cs="Consolas" w:eastAsia="Consolas" w:hAnsi="Consolas"/>
                <w:sz w:val="20"/>
                <w:szCs w:val="20"/>
              </w:rPr>
              <w:t xml:space="preserve">None</w:t>
            </w:r>
            <w:r>
              <w:rPr>
                <w:sz w:val="20"/>
                <w:szCs w:val="20"/>
              </w:rPr>
              <w:t xml:space="preserve"> on a PC with less than 16 GB of RAM</w:t>
            </w:r>
          </w:p>
        </w:tc>
      </w:tr>
      <w:tr>
        <w:tc>
          <w:tcPr>
            <w:tcW w:type="dxa" w:w="29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Different endmembers on a re-run</w:t>
            </w:r>
          </w:p>
        </w:tc>
        <w:tc>
          <w:tcPr>
            <w:tcW w:type="dxa" w:w="63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Change of </w:t>
            </w:r>
            <w:r>
              <w:rPr>
                <w:rFonts w:ascii="Consolas" w:cs="Consolas" w:eastAsia="Consolas" w:hAnsi="Consolas"/>
                <w:sz w:val="20"/>
                <w:szCs w:val="20"/>
              </w:rPr>
              <w:t xml:space="preserve">RANDOM_SEED</w:t>
            </w:r>
            <w:r>
              <w:rPr>
                <w:sz w:val="20"/>
                <w:szCs w:val="20"/>
              </w:rPr>
              <w:t xml:space="preserve">, </w:t>
            </w:r>
            <w:r>
              <w:rPr>
                <w:rFonts w:ascii="Consolas" w:cs="Consolas" w:eastAsia="Consolas" w:hAnsi="Consolas"/>
                <w:sz w:val="20"/>
                <w:szCs w:val="20"/>
              </w:rPr>
              <w:t xml:space="preserve">MAX_PIXELS</w:t>
            </w:r>
            <w:r>
              <w:rPr>
                <w:sz w:val="20"/>
                <w:szCs w:val="20"/>
              </w:rPr>
              <w:t xml:space="preserve"> or </w:t>
            </w:r>
            <w:r>
              <w:rPr>
                <w:rFonts w:ascii="Consolas" w:cs="Consolas" w:eastAsia="Consolas" w:hAnsi="Consolas"/>
                <w:sz w:val="20"/>
                <w:szCs w:val="20"/>
              </w:rPr>
              <w:t xml:space="preserve">NDVI_MIN</w:t>
            </w:r>
            <w:r>
              <w:rPr>
                <w:sz w:val="20"/>
                <w:szCs w:val="20"/>
              </w:rPr>
              <w:t xml:space="preserve">. With the same settings the result is reproducible</w:t>
            </w:r>
          </w:p>
        </w:tc>
      </w:tr>
    </w:tbl>
    <w:p>
      <w:pPr>
        <w:spacing w:after="120"/>
      </w:pPr>
    </w:p>
    <w:p>
      <w:pPr>
        <w:pStyle w:val="Heading1"/>
      </w:pPr>
      <w:r>
        <w:t xml:space="preserve">12. References</w:t>
      </w:r>
    </w:p>
    <w:p>
      <w:pPr>
        <w:spacing w:after="80"/>
        <w:ind w:left="400" w:hanging="400"/>
      </w:pPr>
      <w:r>
        <w:rPr>
          <w:sz w:val="20"/>
          <w:szCs w:val="20"/>
        </w:rPr>
        <w:t xml:space="preserve">Breiman L, Friedman J, Olshen R, Stone C. 1984. Classification and Regression Trees. Belmont (CA): Wadsworth.</w:t>
      </w:r>
    </w:p>
    <w:p>
      <w:pPr>
        <w:spacing w:after="80"/>
        <w:ind w:left="400" w:hanging="400"/>
      </w:pPr>
      <w:r>
        <w:rPr>
          <w:sz w:val="20"/>
          <w:szCs w:val="20"/>
        </w:rPr>
        <w:t xml:space="preserve">Das B, Sahoo RN, Biswas A, Pargal S, Krishna G, Verma R, Chinnusamy V, Sehgal VK, Gupta VK. 2020. Discrimination of rice genotypes using field spectroradiometry. Geocarto International 35(1):64–77. doi:10.1080/10106049.2018.1506507.</w:t>
      </w:r>
    </w:p>
    <w:p>
      <w:pPr>
        <w:spacing w:after="80"/>
        <w:ind w:left="400" w:hanging="400"/>
      </w:pPr>
      <w:r>
        <w:rPr>
          <w:sz w:val="20"/>
          <w:szCs w:val="20"/>
        </w:rPr>
        <w:t xml:space="preserve">Gruninger JH, Ratkowski AJ, Hoke ML. 2004. The sequential maximum angle convex cone (SMACC) endmember model. Proc. SPIE 5425, Algorithms and Technologies for Multispectral, Hyperspectral, and Ultraspectral Imagery X. doi:10.1117/12.543794.</w:t>
      </w:r>
    </w:p>
    <w:p>
      <w:pPr>
        <w:spacing w:after="80"/>
        <w:ind w:left="400" w:hanging="400"/>
      </w:pPr>
      <w:r>
        <w:rPr>
          <w:sz w:val="20"/>
          <w:szCs w:val="20"/>
        </w:rPr>
        <w:t xml:space="preserve">Karasiak N, Dejoux J-F, Monteil C, Sheeren D. 2022. Spatial dependence between training and test sets: another pitfall of classification accuracy assessment in remote sensing. Machine Learning 111:2715–2740.</w:t>
      </w:r>
    </w:p>
    <w:p>
      <w:pPr>
        <w:spacing w:after="80"/>
        <w:ind w:left="400" w:hanging="400"/>
      </w:pPr>
      <w:r>
        <w:rPr>
          <w:sz w:val="20"/>
          <w:szCs w:val="20"/>
        </w:rPr>
        <w:t xml:space="preserve">McFeeters SK. 1996. The use of the Normalized Difference Water Index (NDWI) in the delineation of open water features. International Journal of Remote Sensing 17(7):1425–1432.</w:t>
      </w:r>
    </w:p>
    <w:p>
      <w:pPr>
        <w:spacing w:after="80"/>
        <w:ind w:left="400" w:hanging="400"/>
      </w:pPr>
      <w:r>
        <w:rPr>
          <w:sz w:val="20"/>
          <w:szCs w:val="20"/>
        </w:rPr>
        <w:t xml:space="preserve">Richards JA. 2013. Remote Sensing Digital Image Analysis. 5th ed. Berlin: Springer.</w:t>
      </w:r>
    </w:p>
    <w:p>
      <w:pPr>
        <w:spacing w:after="80"/>
        <w:ind w:left="400" w:hanging="400"/>
      </w:pPr>
      <w:r>
        <w:rPr>
          <w:sz w:val="20"/>
          <w:szCs w:val="20"/>
        </w:rPr>
        <w:t xml:space="preserve">Roberts DR, Bahn V, Ciuti S, et al. 2017. Cross-validation strategies for data with temporal, spatial, hierarchical, or phylogenetic structure. Ecography 40:913–929.</w:t>
      </w:r>
    </w:p>
    <w:p>
      <w:pPr>
        <w:spacing w:after="80"/>
        <w:ind w:left="400" w:hanging="400"/>
      </w:pPr>
      <w:r>
        <w:rPr>
          <w:sz w:val="20"/>
          <w:szCs w:val="20"/>
        </w:rPr>
        <w:t xml:space="preserve">Rouse JW, Haas RH, Schell JA, Deering DW. 1974. Monitoring vegetation systems in the Great Plains with ERTS. NASA SP-351, 309–317.</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SMACC endmember extraction –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SMACC endmember extraction: procedure</dc:title>
  <dc:creator>Procedure note</dc:creator>
  <cp:lastModifiedBy>Un-named</cp:lastModifiedBy>
  <cp:revision>1</cp:revision>
  <dcterms:created xsi:type="dcterms:W3CDTF">2026-10-17T12:31:52.257Z</dcterms:created>
  <dcterms:modified xsi:type="dcterms:W3CDTF">2026-10-17T12:31:52.257Z</dcterms:modified>
</cp:coreProperties>
</file>

<file path=docProps/custom.xml><?xml version="1.0" encoding="utf-8"?>
<Properties xmlns="http://schemas.openxmlformats.org/officeDocument/2006/custom-properties" xmlns:vt="http://schemas.openxmlformats.org/officeDocument/2006/docPropsVTypes"/>
</file>