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800" w:after="240"/>
        <w:jc w:val="center"/>
        <w:rPr>
          <w:rFonts w:ascii="Calibri" w:hAnsi="Calibri"/>
          <w:b/>
          <w:i w:val="0"/>
          <w:color w:val="14233C"/>
          <w:sz w:val="60"/>
        </w:rPr>
      </w:pPr>
    </w:p>
    <w:p>
      <w:pPr>
        <w:spacing w:before="800" w:after="240"/>
        <w:jc w:val="center"/>
        <w:rPr>
          <w:rFonts w:ascii="Calibri" w:hAnsi="Calibri"/>
          <w:b/>
          <w:i w:val="0"/>
          <w:color w:val="14233C"/>
          <w:sz w:val="60"/>
        </w:rPr>
      </w:pPr>
      <w:r>
        <w:rPr>
          <w:rFonts w:ascii="Calibri" w:hAnsi="Calibri"/>
          <w:b/>
          <w:i w:val="0"/>
          <w:color w:val="14233C"/>
          <w:sz w:val="60"/>
        </w:rPr>
        <w:t xml:space="preserve">Name:AnimKumar </w:t>
      </w:r>
    </w:p>
    <w:p>
      <w:pPr>
        <w:spacing w:before="800" w:after="240"/>
        <w:jc w:val="both"/>
        <w:rPr>
          <w:rFonts w:ascii="Calibri" w:hAnsi="Calibri"/>
          <w:b/>
          <w:i w:val="0"/>
          <w:color w:val="14233C"/>
          <w:sz w:val="60"/>
        </w:rPr>
      </w:pPr>
      <w:bookmarkStart w:id="0" w:name="_GoBack"/>
      <w:bookmarkEnd w:id="0"/>
      <w:r>
        <w:rPr>
          <w:rFonts w:ascii="Calibri" w:hAnsi="Calibri"/>
          <w:b/>
          <w:i w:val="0"/>
          <w:color w:val="14233C"/>
          <w:sz w:val="60"/>
        </w:rPr>
        <w:t xml:space="preserve">     Data of submission :02/09/2026</w:t>
      </w:r>
    </w:p>
    <w:p>
      <w:pPr>
        <w:spacing w:before="800" w:after="240"/>
        <w:jc w:val="center"/>
        <w:rPr>
          <w:rFonts w:ascii="Calibri" w:hAnsi="Calibri"/>
          <w:b/>
          <w:i w:val="0"/>
          <w:color w:val="14233C"/>
          <w:sz w:val="60"/>
        </w:rPr>
      </w:pPr>
    </w:p>
    <w:p>
      <w:pPr>
        <w:spacing w:before="800" w:after="240"/>
        <w:jc w:val="center"/>
        <w:rPr>
          <w:rFonts w:ascii="Calibri" w:hAnsi="Calibri"/>
          <w:b/>
          <w:i w:val="0"/>
          <w:color w:val="14233C"/>
          <w:sz w:val="60"/>
        </w:rPr>
      </w:pPr>
    </w:p>
    <w:p>
      <w:pPr>
        <w:spacing w:before="800" w:after="240"/>
        <w:jc w:val="center"/>
        <w:rPr>
          <w:rFonts w:ascii="Calibri" w:hAnsi="Calibri"/>
          <w:b/>
          <w:i w:val="0"/>
          <w:color w:val="14233C"/>
          <w:sz w:val="60"/>
        </w:rPr>
      </w:pPr>
    </w:p>
    <w:p>
      <w:pPr>
        <w:spacing w:before="800" w:after="240"/>
        <w:jc w:val="center"/>
        <w:rPr>
          <w:rFonts w:ascii="Calibri" w:hAnsi="Calibri"/>
          <w:b/>
          <w:color w:val="14233C"/>
          <w:sz w:val="60"/>
        </w:rPr>
      </w:pPr>
      <w:r>
        <w:rPr>
          <w:rFonts w:ascii="Calibri" w:hAnsi="Calibri"/>
          <w:b/>
          <w:i w:val="0"/>
          <w:color w:val="14233C"/>
          <w:sz w:val="60"/>
        </w:rPr>
        <w:t>ACADEMIC &amp; INDUSTRY PROJECT REPORT</w:t>
      </w:r>
    </w:p>
    <w:p>
      <w:pPr>
        <w:spacing w:after="400"/>
        <w:jc w:val="center"/>
      </w:pPr>
      <w:r>
        <w:rPr>
          <w:rFonts w:ascii="Calibri" w:hAnsi="Calibri"/>
          <w:b w:val="0"/>
          <w:i/>
          <w:color w:val="0E7490"/>
          <w:sz w:val="48"/>
        </w:rPr>
        <w:t>Comprehensive Meta Ads Audience Architecture &amp; Go-To-Market Strategy for EdTech Digital Marketing Course</w:t>
      </w:r>
    </w:p>
    <w:p>
      <w:pPr>
        <w:spacing w:after="720"/>
        <w:jc w:val="center"/>
      </w:pPr>
      <w:r>
        <w:rPr>
          <w:rFonts w:ascii="Calibri" w:hAnsi="Calibri"/>
          <w:b w:val="0"/>
          <w:i w:val="0"/>
          <w:color w:val="64748B"/>
          <w:sz w:val="44"/>
        </w:rPr>
        <w:t>Course: Advanced Digital Marketing Practicum</w:t>
        <w:br/>
        <w:t>Domain: EdTech Performance Marketing &amp; Paid Social Architecture</w:t>
        <w:br/>
        <w:t>Prepared For: Industry Review &amp; Evaluation</w:t>
      </w:r>
    </w:p>
    <w:p>
      <w:pPr>
        <w:keepNext/>
        <w:spacing w:before="560" w:after="280"/>
      </w:pPr>
      <w:r>
        <w:rPr>
          <w:rFonts w:ascii="Calibri" w:hAnsi="Calibri"/>
          <w:b/>
          <w:i w:val="0"/>
          <w:color w:val="14233C"/>
          <w:sz w:val="56"/>
        </w:rPr>
        <w:t>Table of Contents</w:t>
      </w:r>
    </w:p>
    <w:p>
      <w:pPr>
        <w:pStyle w:val="27"/>
        <w:spacing w:before="80" w:after="200" w:line="288" w:lineRule="auto"/>
      </w:pPr>
      <w:r>
        <w:rPr>
          <w:rFonts w:ascii="Calibri" w:hAnsi="Calibri"/>
          <w:b w:val="0"/>
          <w:i w:val="0"/>
          <w:color w:val="1E293B"/>
          <w:sz w:val="48"/>
        </w:rPr>
        <w:t>1. Executive Summary &amp; Project Objectives</w:t>
      </w:r>
    </w:p>
    <w:p>
      <w:pPr>
        <w:pStyle w:val="27"/>
        <w:spacing w:before="80" w:after="200" w:line="288" w:lineRule="auto"/>
      </w:pPr>
      <w:r>
        <w:rPr>
          <w:rFonts w:ascii="Calibri" w:hAnsi="Calibri"/>
          <w:b w:val="0"/>
          <w:i w:val="0"/>
          <w:color w:val="1E293B"/>
          <w:sz w:val="48"/>
        </w:rPr>
        <w:t>2. Market Context &amp; EdTech Industry Analysis</w:t>
      </w:r>
    </w:p>
    <w:p>
      <w:pPr>
        <w:pStyle w:val="27"/>
        <w:spacing w:before="80" w:after="200" w:line="288" w:lineRule="auto"/>
      </w:pPr>
      <w:r>
        <w:rPr>
          <w:rFonts w:ascii="Calibri" w:hAnsi="Calibri"/>
          <w:b w:val="0"/>
          <w:i w:val="0"/>
          <w:color w:val="1E293B"/>
          <w:sz w:val="48"/>
        </w:rPr>
        <w:t>3. EdTech Product Anatomy &amp; Value Proposition</w:t>
      </w:r>
    </w:p>
    <w:p>
      <w:pPr>
        <w:pStyle w:val="27"/>
        <w:spacing w:before="80" w:after="200" w:line="288" w:lineRule="auto"/>
      </w:pPr>
      <w:r>
        <w:rPr>
          <w:rFonts w:ascii="Calibri" w:hAnsi="Calibri"/>
          <w:b w:val="0"/>
          <w:i w:val="0"/>
          <w:color w:val="1E293B"/>
          <w:sz w:val="48"/>
        </w:rPr>
        <w:t>4. Detailed Target Persona Architecture (3 Deep Personas)</w:t>
      </w:r>
    </w:p>
    <w:p>
      <w:pPr>
        <w:pStyle w:val="27"/>
        <w:spacing w:before="80" w:after="200" w:line="288" w:lineRule="auto"/>
      </w:pPr>
      <w:r>
        <w:rPr>
          <w:rFonts w:ascii="Calibri" w:hAnsi="Calibri"/>
          <w:b w:val="0"/>
          <w:i w:val="0"/>
          <w:color w:val="1E293B"/>
          <w:sz w:val="48"/>
        </w:rPr>
        <w:t>5. Meta Ads Audience Parameterization &amp; Targeting Matrix</w:t>
      </w:r>
    </w:p>
    <w:p>
      <w:pPr>
        <w:pStyle w:val="27"/>
        <w:spacing w:before="80" w:after="200" w:line="288" w:lineRule="auto"/>
      </w:pPr>
      <w:r>
        <w:rPr>
          <w:rFonts w:ascii="Calibri" w:hAnsi="Calibri"/>
          <w:b w:val="0"/>
          <w:i w:val="0"/>
          <w:color w:val="1E293B"/>
          <w:sz w:val="48"/>
        </w:rPr>
        <w:t>6. Demographic, Geographic &amp; Linguistic Stratification</w:t>
      </w:r>
    </w:p>
    <w:p>
      <w:pPr>
        <w:pStyle w:val="27"/>
        <w:spacing w:before="80" w:after="200" w:line="288" w:lineRule="auto"/>
      </w:pPr>
      <w:r>
        <w:rPr>
          <w:rFonts w:ascii="Calibri" w:hAnsi="Calibri"/>
          <w:b w:val="0"/>
          <w:i w:val="0"/>
          <w:color w:val="1E293B"/>
          <w:sz w:val="48"/>
        </w:rPr>
        <w:t>7. Psychographics, Behavioral Signals &amp; Interest Clusters</w:t>
      </w:r>
    </w:p>
    <w:p>
      <w:pPr>
        <w:pStyle w:val="27"/>
        <w:spacing w:before="80" w:after="200" w:line="288" w:lineRule="auto"/>
      </w:pPr>
      <w:r>
        <w:rPr>
          <w:rFonts w:ascii="Calibri" w:hAnsi="Calibri"/>
          <w:b w:val="0"/>
          <w:i w:val="0"/>
          <w:color w:val="1E293B"/>
          <w:sz w:val="48"/>
        </w:rPr>
        <w:t>8. Meta Ads Full-Funnel Architecture (TOFU, MOFU, BOFU)</w:t>
      </w:r>
    </w:p>
    <w:p>
      <w:pPr>
        <w:pStyle w:val="27"/>
        <w:spacing w:before="80" w:after="200" w:line="288" w:lineRule="auto"/>
      </w:pPr>
      <w:r>
        <w:rPr>
          <w:rFonts w:ascii="Calibri" w:hAnsi="Calibri"/>
          <w:b w:val="0"/>
          <w:i w:val="0"/>
          <w:color w:val="1E293B"/>
          <w:sz w:val="48"/>
        </w:rPr>
        <w:t>9. Custom Audiences &amp; Lookalike (LAL) Modeling Strategy</w:t>
      </w:r>
    </w:p>
    <w:p>
      <w:pPr>
        <w:pStyle w:val="27"/>
        <w:spacing w:before="80" w:after="200" w:line="288" w:lineRule="auto"/>
      </w:pPr>
      <w:r>
        <w:rPr>
          <w:rFonts w:ascii="Calibri" w:hAnsi="Calibri"/>
          <w:b w:val="0"/>
          <w:i w:val="0"/>
          <w:color w:val="1E293B"/>
          <w:sz w:val="48"/>
        </w:rPr>
        <w:t>10. High-Converting Creative &amp; Copywriting Framework</w:t>
      </w:r>
    </w:p>
    <w:p>
      <w:pPr>
        <w:pStyle w:val="27"/>
        <w:spacing w:before="80" w:after="200" w:line="288" w:lineRule="auto"/>
      </w:pPr>
      <w:r>
        <w:rPr>
          <w:rFonts w:ascii="Calibri" w:hAnsi="Calibri"/>
          <w:b w:val="0"/>
          <w:i w:val="0"/>
          <w:color w:val="1E293B"/>
          <w:sz w:val="48"/>
        </w:rPr>
        <w:t>11. Conversion Rate Optimization (CRO) &amp; Landing Page Funnel</w:t>
      </w:r>
    </w:p>
    <w:p>
      <w:pPr>
        <w:pStyle w:val="27"/>
        <w:spacing w:before="80" w:after="200" w:line="288" w:lineRule="auto"/>
      </w:pPr>
      <w:r>
        <w:rPr>
          <w:rFonts w:ascii="Calibri" w:hAnsi="Calibri"/>
          <w:b w:val="0"/>
          <w:i w:val="0"/>
          <w:color w:val="1E293B"/>
          <w:sz w:val="48"/>
        </w:rPr>
        <w:t>12. Lead Nurturing, WhatsApp Automation &amp; Inside Sales Bridge</w:t>
      </w:r>
    </w:p>
    <w:p>
      <w:pPr>
        <w:pStyle w:val="27"/>
        <w:spacing w:before="80" w:after="200" w:line="288" w:lineRule="auto"/>
      </w:pPr>
      <w:r>
        <w:rPr>
          <w:rFonts w:ascii="Calibri" w:hAnsi="Calibri"/>
          <w:b w:val="0"/>
          <w:i w:val="0"/>
          <w:color w:val="1E293B"/>
          <w:sz w:val="48"/>
        </w:rPr>
        <w:t>13. Media Planning, Budget Allocation &amp; Bidding Algorithms</w:t>
      </w:r>
    </w:p>
    <w:p>
      <w:pPr>
        <w:pStyle w:val="27"/>
        <w:spacing w:before="80" w:after="200" w:line="288" w:lineRule="auto"/>
      </w:pPr>
      <w:r>
        <w:rPr>
          <w:rFonts w:ascii="Calibri" w:hAnsi="Calibri"/>
          <w:b w:val="0"/>
          <w:i w:val="0"/>
          <w:color w:val="1E293B"/>
          <w:sz w:val="48"/>
        </w:rPr>
        <w:t>14. Key Performance Indicators (KPIs) &amp; Analytics Dashboard</w:t>
      </w:r>
    </w:p>
    <w:p>
      <w:pPr>
        <w:pStyle w:val="27"/>
        <w:spacing w:before="80" w:after="200" w:line="288" w:lineRule="auto"/>
      </w:pPr>
      <w:r>
        <w:rPr>
          <w:rFonts w:ascii="Calibri" w:hAnsi="Calibri"/>
          <w:b w:val="0"/>
          <w:i w:val="0"/>
          <w:color w:val="1E293B"/>
          <w:sz w:val="48"/>
        </w:rPr>
        <w:t>15. A/B Testing Framework &amp; Continuous Optimization Protocol</w:t>
      </w:r>
    </w:p>
    <w:p>
      <w:pPr>
        <w:pStyle w:val="27"/>
        <w:spacing w:before="80" w:after="200" w:line="288" w:lineRule="auto"/>
      </w:pPr>
      <w:r>
        <w:rPr>
          <w:rFonts w:ascii="Calibri" w:hAnsi="Calibri"/>
          <w:b w:val="0"/>
          <w:i w:val="0"/>
          <w:color w:val="1E293B"/>
          <w:sz w:val="48"/>
        </w:rPr>
        <w:t>16. Compliance, Policy Adherence &amp; Scalability Roadmap</w:t>
      </w:r>
    </w:p>
    <w:p>
      <w:pPr>
        <w:pStyle w:val="27"/>
        <w:spacing w:before="80" w:after="200" w:line="288" w:lineRule="auto"/>
      </w:pPr>
      <w:r>
        <w:rPr>
          <w:rFonts w:ascii="Calibri" w:hAnsi="Calibri"/>
          <w:b w:val="0"/>
          <w:i w:val="0"/>
          <w:color w:val="1E293B"/>
          <w:sz w:val="48"/>
        </w:rPr>
        <w:t>17. Conclusion &amp; Strategic Recommendations</w:t>
      </w:r>
    </w:p>
    <w:p>
      <w:pPr>
        <w:keepNext/>
        <w:spacing w:before="560" w:after="280"/>
      </w:pPr>
      <w:r>
        <w:rPr>
          <w:rFonts w:ascii="Calibri" w:hAnsi="Calibri"/>
          <w:b/>
          <w:i w:val="0"/>
          <w:color w:val="14233C"/>
          <w:sz w:val="56"/>
        </w:rPr>
        <w:t>Chapter 1: Executive Summary &amp; Project Objectives</w:t>
      </w:r>
    </w:p>
    <w:p>
      <w:pPr>
        <w:spacing w:before="80" w:after="280" w:line="288" w:lineRule="auto"/>
      </w:pPr>
      <w:r>
        <w:rPr>
          <w:rFonts w:ascii="Calibri" w:hAnsi="Calibri"/>
          <w:b w:val="0"/>
          <w:i w:val="0"/>
          <w:color w:val="1E293B"/>
          <w:sz w:val="48"/>
        </w:rPr>
        <w:t>The modern Indian educational technology (EdTech) landscape is witnessing a rapid structural transition. As traditional undergraduate curricula struggle to bridge the gap between academic theory and practical corporate execution, certified industry-grade skilling programs have become indispensable. This project presents an exhaustive, end-to-end Meta Ads audience targeting blueprint tailored specifically for an online Digital Marketing Certification Course.</w:t>
      </w:r>
    </w:p>
    <w:p>
      <w:pPr>
        <w:spacing w:before="80" w:after="280" w:line="288" w:lineRule="auto"/>
      </w:pPr>
      <w:r>
        <w:rPr>
          <w:rFonts w:ascii="Calibri" w:hAnsi="Calibri"/>
          <w:b w:val="0"/>
          <w:i w:val="0"/>
          <w:color w:val="1E293B"/>
          <w:sz w:val="48"/>
        </w:rPr>
        <w:t>Meta platforms—primarily Facebook and Instagram—command over 500 million active users in the target region. However, blind broad targeting or superficial keyword tagging leads to excessive ad spend, high Cost Per Lead (CPL), and dismal conversion rates. The objective of this comprehensive study is to construct a surgically precise, data-backed audience architecture that drives high-intent traffic, maximizes lead quality, lowers customer acquisition costs (CAC), and delivers an exceptional Return on Ad Spend (ROAS).</w:t>
      </w:r>
    </w:p>
    <w:p>
      <w:pPr>
        <w:keepNext/>
        <w:spacing w:before="440" w:after="200"/>
      </w:pPr>
      <w:r>
        <w:rPr>
          <w:rFonts w:ascii="Calibri" w:hAnsi="Calibri"/>
          <w:b/>
          <w:i w:val="0"/>
          <w:color w:val="0E7490"/>
          <w:sz w:val="52"/>
        </w:rPr>
        <w:t>1.1 Core Strategic Objectives</w:t>
      </w:r>
    </w:p>
    <w:p>
      <w:pPr>
        <w:pStyle w:val="27"/>
        <w:spacing w:before="80" w:after="200" w:line="288" w:lineRule="auto"/>
      </w:pPr>
      <w:r>
        <w:rPr>
          <w:rFonts w:ascii="Calibri" w:hAnsi="Calibri"/>
          <w:b/>
          <w:i w:val="0"/>
          <w:color w:val="14233C"/>
          <w:sz w:val="48"/>
        </w:rPr>
        <w:t xml:space="preserve">Target Precision: </w:t>
      </w:r>
      <w:r>
        <w:rPr>
          <w:rFonts w:ascii="Calibri" w:hAnsi="Calibri"/>
          <w:b w:val="0"/>
          <w:i w:val="0"/>
          <w:color w:val="1E293B"/>
          <w:sz w:val="48"/>
        </w:rPr>
        <w:t>Identify and isolate high-propensity learner cohorts across Tier-1 and Tier-2 educational hubs with verifiable intent for upskilling.</w:t>
      </w:r>
    </w:p>
    <w:p>
      <w:pPr>
        <w:pStyle w:val="27"/>
        <w:spacing w:before="80" w:after="200" w:line="288" w:lineRule="auto"/>
      </w:pPr>
      <w:r>
        <w:rPr>
          <w:rFonts w:ascii="Calibri" w:hAnsi="Calibri"/>
          <w:b/>
          <w:i w:val="0"/>
          <w:color w:val="14233C"/>
          <w:sz w:val="48"/>
        </w:rPr>
        <w:t xml:space="preserve">Lead Quality Optimization: </w:t>
      </w:r>
      <w:r>
        <w:rPr>
          <w:rFonts w:ascii="Calibri" w:hAnsi="Calibri"/>
          <w:b w:val="0"/>
          <w:i w:val="0"/>
          <w:color w:val="1E293B"/>
          <w:sz w:val="48"/>
        </w:rPr>
        <w:t>Eliminate junk and passive leads by implementing behavioral filters, engaged buyer parameters, and educational qualification criteria.</w:t>
      </w:r>
    </w:p>
    <w:p>
      <w:pPr>
        <w:pStyle w:val="27"/>
        <w:spacing w:before="80" w:after="200" w:line="288" w:lineRule="auto"/>
      </w:pPr>
      <w:r>
        <w:rPr>
          <w:rFonts w:ascii="Calibri" w:hAnsi="Calibri"/>
          <w:b/>
          <w:i w:val="0"/>
          <w:color w:val="14233C"/>
          <w:sz w:val="48"/>
        </w:rPr>
        <w:t xml:space="preserve">Full-Funnel Alignment: </w:t>
      </w:r>
      <w:r>
        <w:rPr>
          <w:rFonts w:ascii="Calibri" w:hAnsi="Calibri"/>
          <w:b w:val="0"/>
          <w:i w:val="0"/>
          <w:color w:val="1E293B"/>
          <w:sz w:val="48"/>
        </w:rPr>
        <w:t>Design tailored audience sets for Top-of-Funnel (TOFU) awareness, Middle-of-Funnel (MOFU) consideration/masterclasses, and Bottom-of-Funnel (BOFU) direct admissions.</w:t>
      </w:r>
    </w:p>
    <w:p>
      <w:pPr>
        <w:pStyle w:val="27"/>
        <w:spacing w:before="80" w:after="200" w:line="288" w:lineRule="auto"/>
      </w:pPr>
      <w:r>
        <w:rPr>
          <w:rFonts w:ascii="Calibri" w:hAnsi="Calibri"/>
          <w:b/>
          <w:i w:val="0"/>
          <w:color w:val="14233C"/>
          <w:sz w:val="48"/>
        </w:rPr>
        <w:t xml:space="preserve">Return on Investment (ROI): </w:t>
      </w:r>
      <w:r>
        <w:rPr>
          <w:rFonts w:ascii="Calibri" w:hAnsi="Calibri"/>
          <w:b w:val="0"/>
          <w:i w:val="0"/>
          <w:color w:val="1E293B"/>
          <w:sz w:val="48"/>
        </w:rPr>
        <w:t>Establish sustainable unit economics with an initial target ROAS of 3.5x to 5.0x within 90 days of campaign deployment.</w:t>
      </w:r>
    </w:p>
    <w:p>
      <w:pPr>
        <w:keepNext/>
        <w:spacing w:before="560" w:after="280"/>
      </w:pPr>
      <w:r>
        <w:rPr>
          <w:rFonts w:ascii="Calibri" w:hAnsi="Calibri"/>
          <w:b/>
          <w:i w:val="0"/>
          <w:color w:val="14233C"/>
          <w:sz w:val="56"/>
        </w:rPr>
        <w:t>Chapter 2: Market Context &amp; EdTech Industry Analysis</w:t>
      </w:r>
    </w:p>
    <w:p>
      <w:pPr>
        <w:spacing w:before="80" w:after="280" w:line="288" w:lineRule="auto"/>
      </w:pPr>
      <w:r>
        <w:rPr>
          <w:rFonts w:ascii="Calibri" w:hAnsi="Calibri"/>
          <w:b w:val="0"/>
          <w:i w:val="0"/>
          <w:color w:val="1E293B"/>
          <w:sz w:val="48"/>
        </w:rPr>
        <w:t>Digital marketing is currently one of the fastest-growing professional disciplines across South Asia. With over 900 million active internet users and the proliferation of Direct-to-Consumer (D2C) brands, small-and-medium enterprises (SMEs), e-commerce marketplaces, and corporate digital ecosystems, the demand for competent performance marketers, SEO strategists, social media managers, and content creators has multiplied exponentially.</w:t>
      </w:r>
    </w:p>
    <w:p>
      <w:pPr>
        <w:spacing w:before="80" w:after="280" w:line="288" w:lineRule="auto"/>
      </w:pPr>
      <w:r>
        <w:rPr>
          <w:rFonts w:ascii="Calibri" w:hAnsi="Calibri"/>
          <w:b w:val="0"/>
          <w:i w:val="0"/>
          <w:color w:val="1E293B"/>
          <w:sz w:val="48"/>
        </w:rPr>
        <w:t>Despite massive employment demand, companies frequently report that university graduates lack hands-on experience in campaign management, budget optimization, conversion tracking, analytics, and CRM integration. This creates a multi-billion dollar market for specialized EdTech upskilling programs.</w:t>
      </w:r>
    </w:p>
    <w:p>
      <w:pPr>
        <w:keepNext/>
        <w:spacing w:before="440" w:after="200"/>
      </w:pPr>
      <w:r>
        <w:rPr>
          <w:rFonts w:ascii="Calibri" w:hAnsi="Calibri"/>
          <w:b/>
          <w:i w:val="0"/>
          <w:color w:val="0E7490"/>
          <w:sz w:val="52"/>
        </w:rPr>
        <w:t>2.1 Competitive Landscape &amp; Ad Clutter</w:t>
      </w:r>
    </w:p>
    <w:p>
      <w:pPr>
        <w:spacing w:before="80" w:after="280" w:line="288" w:lineRule="auto"/>
      </w:pPr>
      <w:r>
        <w:rPr>
          <w:rFonts w:ascii="Calibri" w:hAnsi="Calibri"/>
          <w:b w:val="0"/>
          <w:i w:val="0"/>
          <w:color w:val="1E293B"/>
          <w:sz w:val="48"/>
        </w:rPr>
        <w:t>The Meta advertising ecosystem is heavily saturated with generic advertising messages offering 'Free 2-Hour Workshops' or 'Guaranteed Job Programs'. To overcome ad fatigue and capture mindshare, this strategy avoids generic messaging. Instead, it deploys hyper-segmented audience buckets that speak directly to the unique emotional triggers, career aspirations, and financial goals of distinct buyer personas.</w:t>
      </w:r>
    </w:p>
    <w:p>
      <w:pPr>
        <w:keepNext/>
        <w:spacing w:before="560" w:after="280"/>
      </w:pPr>
      <w:r>
        <w:rPr>
          <w:rFonts w:ascii="Calibri" w:hAnsi="Calibri"/>
          <w:b/>
          <w:i w:val="0"/>
          <w:color w:val="14233C"/>
          <w:sz w:val="56"/>
        </w:rPr>
        <w:t>Chapter 3: EdTech Product Anatomy &amp; Value Proposition</w:t>
      </w:r>
    </w:p>
    <w:p>
      <w:pPr>
        <w:spacing w:before="80" w:after="280" w:line="288" w:lineRule="auto"/>
      </w:pPr>
      <w:r>
        <w:rPr>
          <w:rFonts w:ascii="Calibri" w:hAnsi="Calibri"/>
          <w:b w:val="0"/>
          <w:i w:val="0"/>
          <w:color w:val="1E293B"/>
          <w:sz w:val="48"/>
        </w:rPr>
        <w:t>Before configuring audience targeting on Meta Ads Manager, it is vital to map the intrinsic product attributes of the Digital Marketing Course to prospective student expectations.</w:t>
      </w:r>
    </w:p>
    <w:p>
      <w:pPr>
        <w:keepNext/>
        <w:spacing w:before="440" w:after="200"/>
      </w:pPr>
      <w:r>
        <w:rPr>
          <w:rFonts w:ascii="Calibri" w:hAnsi="Calibri"/>
          <w:b/>
          <w:i w:val="0"/>
          <w:color w:val="0E7490"/>
          <w:sz w:val="52"/>
        </w:rPr>
        <w:t>3.1 Key Course Modules</w:t>
      </w:r>
    </w:p>
    <w:p>
      <w:pPr>
        <w:pStyle w:val="27"/>
        <w:spacing w:before="80" w:after="200" w:line="288" w:lineRule="auto"/>
      </w:pPr>
      <w:r>
        <w:rPr>
          <w:rFonts w:ascii="Calibri" w:hAnsi="Calibri"/>
          <w:b/>
          <w:i w:val="0"/>
          <w:color w:val="14233C"/>
          <w:sz w:val="48"/>
        </w:rPr>
        <w:t xml:space="preserve">Module 1 - Performance Marketing: </w:t>
      </w:r>
      <w:r>
        <w:rPr>
          <w:rFonts w:ascii="Calibri" w:hAnsi="Calibri"/>
          <w:b w:val="0"/>
          <w:i w:val="0"/>
          <w:color w:val="1E293B"/>
          <w:sz w:val="48"/>
        </w:rPr>
        <w:t>Meta Ads Manager, Google Ads (Search, Display, Video, Performance Max), LinkedIn Campaign Manager, TikTok/Regional Ad platforms.</w:t>
      </w:r>
    </w:p>
    <w:p>
      <w:pPr>
        <w:pStyle w:val="27"/>
        <w:spacing w:before="80" w:after="200" w:line="288" w:lineRule="auto"/>
      </w:pPr>
      <w:r>
        <w:rPr>
          <w:rFonts w:ascii="Calibri" w:hAnsi="Calibri"/>
          <w:b/>
          <w:i w:val="0"/>
          <w:color w:val="14233C"/>
          <w:sz w:val="48"/>
        </w:rPr>
        <w:t xml:space="preserve">Module 2 - Organic Growth &amp; SEO: </w:t>
      </w:r>
      <w:r>
        <w:rPr>
          <w:rFonts w:ascii="Calibri" w:hAnsi="Calibri"/>
          <w:b w:val="0"/>
          <w:i w:val="0"/>
          <w:color w:val="1E293B"/>
          <w:sz w:val="48"/>
        </w:rPr>
        <w:t>Search Engine Optimization (On-Page, Technical, Backlink Building), Google Search Console, Ahrefs, SEMrush, Content Strategy.</w:t>
      </w:r>
    </w:p>
    <w:p>
      <w:pPr>
        <w:pStyle w:val="27"/>
        <w:spacing w:before="80" w:after="200" w:line="288" w:lineRule="auto"/>
      </w:pPr>
      <w:r>
        <w:rPr>
          <w:rFonts w:ascii="Calibri" w:hAnsi="Calibri"/>
          <w:b/>
          <w:i w:val="0"/>
          <w:color w:val="14233C"/>
          <w:sz w:val="48"/>
        </w:rPr>
        <w:t xml:space="preserve">Module 3 - Social Media &amp; Brand Strategy: </w:t>
      </w:r>
      <w:r>
        <w:rPr>
          <w:rFonts w:ascii="Calibri" w:hAnsi="Calibri"/>
          <w:b w:val="0"/>
          <w:i w:val="0"/>
          <w:color w:val="1E293B"/>
          <w:sz w:val="48"/>
        </w:rPr>
        <w:t>Instagram Reels growth, YouTube Channel management, viral content scripting, community building, influencer outreach.</w:t>
      </w:r>
    </w:p>
    <w:p>
      <w:pPr>
        <w:pStyle w:val="27"/>
        <w:spacing w:before="80" w:after="200" w:line="288" w:lineRule="auto"/>
      </w:pPr>
      <w:r>
        <w:rPr>
          <w:rFonts w:ascii="Calibri" w:hAnsi="Calibri"/>
          <w:b/>
          <w:i w:val="0"/>
          <w:color w:val="14233C"/>
          <w:sz w:val="48"/>
        </w:rPr>
        <w:t xml:space="preserve">Module 4 - Creative &amp; CMS Tools: </w:t>
      </w:r>
      <w:r>
        <w:rPr>
          <w:rFonts w:ascii="Calibri" w:hAnsi="Calibri"/>
          <w:b w:val="0"/>
          <w:i w:val="0"/>
          <w:color w:val="1E293B"/>
          <w:sz w:val="48"/>
        </w:rPr>
        <w:t>Canva Pro design workflows, WordPress website design, Elementor, Shopify store setup, copywriting with Generative AI.</w:t>
      </w:r>
    </w:p>
    <w:p>
      <w:pPr>
        <w:pStyle w:val="27"/>
        <w:spacing w:before="80" w:after="200" w:line="288" w:lineRule="auto"/>
      </w:pPr>
      <w:r>
        <w:rPr>
          <w:rFonts w:ascii="Calibri" w:hAnsi="Calibri"/>
          <w:b/>
          <w:i w:val="0"/>
          <w:color w:val="14233C"/>
          <w:sz w:val="48"/>
        </w:rPr>
        <w:t xml:space="preserve">Module 5 - Web Analytics &amp; Conversion Optimization: </w:t>
      </w:r>
      <w:r>
        <w:rPr>
          <w:rFonts w:ascii="Calibri" w:hAnsi="Calibri"/>
          <w:b w:val="0"/>
          <w:i w:val="0"/>
          <w:color w:val="1E293B"/>
          <w:sz w:val="48"/>
        </w:rPr>
        <w:t>Google Analytics 4 (GA4), Google Tag Manager, Meta Pixel &amp; Conversions API, Heatmaps (Hotjar), Landing Page A/B testing.</w:t>
      </w:r>
    </w:p>
    <w:p>
      <w:pPr>
        <w:pStyle w:val="27"/>
        <w:spacing w:before="80" w:after="200" w:line="288" w:lineRule="auto"/>
      </w:pPr>
      <w:r>
        <w:rPr>
          <w:rFonts w:ascii="Calibri" w:hAnsi="Calibri"/>
          <w:b/>
          <w:i w:val="0"/>
          <w:color w:val="14233C"/>
          <w:sz w:val="48"/>
        </w:rPr>
        <w:t xml:space="preserve">Module 6 - Career Acceleration &amp; Placements: </w:t>
      </w:r>
      <w:r>
        <w:rPr>
          <w:rFonts w:ascii="Calibri" w:hAnsi="Calibri"/>
          <w:b w:val="0"/>
          <w:i w:val="0"/>
          <w:color w:val="1E293B"/>
          <w:sz w:val="48"/>
        </w:rPr>
        <w:t>Resume building, live portfolio creation, mock interviews, freelance client acquisition systems on Upwork and Fiverr.</w:t>
      </w:r>
    </w:p>
    <w:p>
      <w:pPr>
        <w:keepNext/>
        <w:spacing w:before="560" w:after="280"/>
      </w:pPr>
      <w:r>
        <w:rPr>
          <w:rFonts w:ascii="Calibri" w:hAnsi="Calibri"/>
          <w:b/>
          <w:i w:val="0"/>
          <w:color w:val="14233C"/>
          <w:sz w:val="56"/>
        </w:rPr>
        <w:t>Chapter 4: Detailed Target Persona Architecture</w:t>
      </w:r>
    </w:p>
    <w:p>
      <w:pPr>
        <w:spacing w:before="80" w:after="280" w:line="288" w:lineRule="auto"/>
      </w:pPr>
      <w:r>
        <w:rPr>
          <w:rFonts w:ascii="Calibri" w:hAnsi="Calibri"/>
          <w:b w:val="0"/>
          <w:i w:val="0"/>
          <w:color w:val="1E293B"/>
          <w:sz w:val="48"/>
        </w:rPr>
        <w:t>Audience targeting succeeds only when it is rooted in deep psychological empathy and demographic realities. We have identified three primary learner personas:</w:t>
      </w:r>
    </w:p>
    <w:p>
      <w:pPr>
        <w:keepNext/>
        <w:spacing w:before="440" w:after="200"/>
      </w:pPr>
      <w:r>
        <w:rPr>
          <w:rFonts w:ascii="Calibri" w:hAnsi="Calibri"/>
          <w:b/>
          <w:i w:val="0"/>
          <w:color w:val="0E7490"/>
          <w:sz w:val="52"/>
        </w:rPr>
        <w:t>4.1 Persona A: 'The Career Starter' (College Student / Recent Graduate)</w:t>
      </w:r>
    </w:p>
    <w:p>
      <w:pPr>
        <w:pStyle w:val="27"/>
        <w:spacing w:before="80" w:after="200" w:line="288" w:lineRule="auto"/>
      </w:pPr>
      <w:r>
        <w:rPr>
          <w:rFonts w:ascii="Calibri" w:hAnsi="Calibri"/>
          <w:b/>
          <w:i w:val="0"/>
          <w:color w:val="14233C"/>
          <w:sz w:val="48"/>
        </w:rPr>
        <w:t xml:space="preserve">Demographics: </w:t>
      </w:r>
      <w:r>
        <w:rPr>
          <w:rFonts w:ascii="Calibri" w:hAnsi="Calibri"/>
          <w:b w:val="0"/>
          <w:i w:val="0"/>
          <w:color w:val="1E293B"/>
          <w:sz w:val="48"/>
        </w:rPr>
        <w:t>Age 19–23; Final-year undergraduate or fresh graduate; Degrees in B.Com, BBA, BCA, BA, B.Tech (non-core); Located in Tier-1 &amp; Tier-2 university cities.</w:t>
      </w:r>
    </w:p>
    <w:p>
      <w:pPr>
        <w:pStyle w:val="27"/>
        <w:spacing w:before="80" w:after="200" w:line="288" w:lineRule="auto"/>
      </w:pPr>
      <w:r>
        <w:rPr>
          <w:rFonts w:ascii="Calibri" w:hAnsi="Calibri"/>
          <w:b/>
          <w:i w:val="0"/>
          <w:color w:val="14233C"/>
          <w:sz w:val="48"/>
        </w:rPr>
        <w:t xml:space="preserve">Pain Points: </w:t>
      </w:r>
      <w:r>
        <w:rPr>
          <w:rFonts w:ascii="Calibri" w:hAnsi="Calibri"/>
          <w:b w:val="0"/>
          <w:i w:val="0"/>
          <w:color w:val="1E293B"/>
          <w:sz w:val="48"/>
        </w:rPr>
        <w:t>Fear of campus unplacement, theoretical college curriculum lacking practical value, intense competition in traditional job exams, desire for immediate financial independence.</w:t>
      </w:r>
    </w:p>
    <w:p>
      <w:pPr>
        <w:pStyle w:val="27"/>
        <w:spacing w:before="80" w:after="200" w:line="288" w:lineRule="auto"/>
      </w:pPr>
      <w:r>
        <w:rPr>
          <w:rFonts w:ascii="Calibri" w:hAnsi="Calibri"/>
          <w:b/>
          <w:i w:val="0"/>
          <w:color w:val="14233C"/>
          <w:sz w:val="48"/>
        </w:rPr>
        <w:t xml:space="preserve">Aspirations: </w:t>
      </w:r>
      <w:r>
        <w:rPr>
          <w:rFonts w:ascii="Calibri" w:hAnsi="Calibri"/>
          <w:b w:val="0"/>
          <w:i w:val="0"/>
          <w:color w:val="1E293B"/>
          <w:sz w:val="48"/>
        </w:rPr>
        <w:t>Securing a starting salary of INR 3.5 to 6.5 LPA in a creative, growth-oriented agency or corporate digital marketing department.</w:t>
      </w:r>
    </w:p>
    <w:p>
      <w:pPr>
        <w:pStyle w:val="27"/>
        <w:spacing w:before="80" w:after="200" w:line="288" w:lineRule="auto"/>
      </w:pPr>
      <w:r>
        <w:rPr>
          <w:rFonts w:ascii="Calibri" w:hAnsi="Calibri"/>
          <w:b/>
          <w:i w:val="0"/>
          <w:color w:val="14233C"/>
          <w:sz w:val="48"/>
        </w:rPr>
        <w:t xml:space="preserve">Meta Behavioral Triggers: </w:t>
      </w:r>
      <w:r>
        <w:rPr>
          <w:rFonts w:ascii="Calibri" w:hAnsi="Calibri"/>
          <w:b w:val="0"/>
          <w:i w:val="0"/>
          <w:color w:val="1E293B"/>
          <w:sz w:val="48"/>
        </w:rPr>
        <w:t>Browses Instagram Reels on study hacks, follows startup pages, engages with internship portals (Internshala), seeks resume tips.</w:t>
      </w:r>
    </w:p>
    <w:p>
      <w:pPr>
        <w:keepNext/>
        <w:spacing w:before="440" w:after="200"/>
      </w:pPr>
      <w:r>
        <w:rPr>
          <w:rFonts w:ascii="Calibri" w:hAnsi="Calibri"/>
          <w:b/>
          <w:i w:val="0"/>
          <w:color w:val="0E7490"/>
          <w:sz w:val="52"/>
        </w:rPr>
        <w:t>4.2 Persona B: 'The Career Switcher' (Early-Career Working Professional)</w:t>
      </w:r>
    </w:p>
    <w:p>
      <w:pPr>
        <w:pStyle w:val="27"/>
        <w:spacing w:before="80" w:after="200" w:line="288" w:lineRule="auto"/>
      </w:pPr>
      <w:r>
        <w:rPr>
          <w:rFonts w:ascii="Calibri" w:hAnsi="Calibri"/>
          <w:b/>
          <w:i w:val="0"/>
          <w:color w:val="14233C"/>
          <w:sz w:val="48"/>
        </w:rPr>
        <w:t xml:space="preserve">Demographics: </w:t>
      </w:r>
      <w:r>
        <w:rPr>
          <w:rFonts w:ascii="Calibri" w:hAnsi="Calibri"/>
          <w:b w:val="0"/>
          <w:i w:val="0"/>
          <w:color w:val="1E293B"/>
          <w:sz w:val="48"/>
        </w:rPr>
        <w:t>Age 24–30; Currently employed in low-growth domains such as BPO/telecalling, retail counter sales, traditional offline marketing, or back-office administration.</w:t>
      </w:r>
    </w:p>
    <w:p>
      <w:pPr>
        <w:pStyle w:val="27"/>
        <w:spacing w:before="80" w:after="200" w:line="288" w:lineRule="auto"/>
      </w:pPr>
      <w:r>
        <w:rPr>
          <w:rFonts w:ascii="Calibri" w:hAnsi="Calibri"/>
          <w:b/>
          <w:i w:val="0"/>
          <w:color w:val="14233C"/>
          <w:sz w:val="48"/>
        </w:rPr>
        <w:t xml:space="preserve">Pain Points: </w:t>
      </w:r>
      <w:r>
        <w:rPr>
          <w:rFonts w:ascii="Calibri" w:hAnsi="Calibri"/>
          <w:b w:val="0"/>
          <w:i w:val="0"/>
          <w:color w:val="1E293B"/>
          <w:sz w:val="48"/>
        </w:rPr>
        <w:t>Stagnant salary progression, fear of automation and obsolescence, lack of creative fulfillment, exhausting physical commute and rigid hierarchies.</w:t>
      </w:r>
    </w:p>
    <w:p>
      <w:pPr>
        <w:pStyle w:val="27"/>
        <w:spacing w:before="80" w:after="200" w:line="288" w:lineRule="auto"/>
      </w:pPr>
      <w:r>
        <w:rPr>
          <w:rFonts w:ascii="Calibri" w:hAnsi="Calibri"/>
          <w:b/>
          <w:i w:val="0"/>
          <w:color w:val="14233C"/>
          <w:sz w:val="48"/>
        </w:rPr>
        <w:t xml:space="preserve">Aspirations: </w:t>
      </w:r>
      <w:r>
        <w:rPr>
          <w:rFonts w:ascii="Calibri" w:hAnsi="Calibri"/>
          <w:b w:val="0"/>
          <w:i w:val="0"/>
          <w:color w:val="1E293B"/>
          <w:sz w:val="48"/>
        </w:rPr>
        <w:t>Transitioning into a high-growth Digital Marketing Specialist role offering hybrid/remote flexibility, rapid appraisals, and modern skill equity.</w:t>
      </w:r>
    </w:p>
    <w:p>
      <w:pPr>
        <w:pStyle w:val="27"/>
        <w:spacing w:before="80" w:after="200" w:line="288" w:lineRule="auto"/>
      </w:pPr>
      <w:r>
        <w:rPr>
          <w:rFonts w:ascii="Calibri" w:hAnsi="Calibri"/>
          <w:b/>
          <w:i w:val="0"/>
          <w:color w:val="14233C"/>
          <w:sz w:val="48"/>
        </w:rPr>
        <w:t xml:space="preserve">Meta Behavioral Triggers: </w:t>
      </w:r>
      <w:r>
        <w:rPr>
          <w:rFonts w:ascii="Calibri" w:hAnsi="Calibri"/>
          <w:b w:val="0"/>
          <w:i w:val="0"/>
          <w:color w:val="1E293B"/>
          <w:sz w:val="48"/>
        </w:rPr>
        <w:t>Active on LinkedIn, reads articles on career transitions, follows marketing influencers, engages with weekend upskilling webinars.</w:t>
      </w:r>
    </w:p>
    <w:p>
      <w:pPr>
        <w:keepNext/>
        <w:spacing w:before="440" w:after="200"/>
      </w:pPr>
      <w:r>
        <w:rPr>
          <w:rFonts w:ascii="Calibri" w:hAnsi="Calibri"/>
          <w:b/>
          <w:i w:val="0"/>
          <w:color w:val="0E7490"/>
          <w:sz w:val="52"/>
        </w:rPr>
        <w:t>4.3 Persona C: 'The Growth Hacker' (Freelancer &amp; Small Business Owner)</w:t>
      </w:r>
    </w:p>
    <w:p>
      <w:pPr>
        <w:pStyle w:val="27"/>
        <w:spacing w:before="80" w:after="200" w:line="288" w:lineRule="auto"/>
      </w:pPr>
      <w:r>
        <w:rPr>
          <w:rFonts w:ascii="Calibri" w:hAnsi="Calibri"/>
          <w:b/>
          <w:i w:val="0"/>
          <w:color w:val="14233C"/>
          <w:sz w:val="48"/>
        </w:rPr>
        <w:t xml:space="preserve">Demographics: </w:t>
      </w:r>
      <w:r>
        <w:rPr>
          <w:rFonts w:ascii="Calibri" w:hAnsi="Calibri"/>
          <w:b w:val="0"/>
          <w:i w:val="0"/>
          <w:color w:val="1E293B"/>
          <w:sz w:val="48"/>
        </w:rPr>
        <w:t>Age 25–38; Solopreneurs, local boutique agency founders, Amazon/Shopify D2C sellers, traditional family business modernizers, content creators.</w:t>
      </w:r>
    </w:p>
    <w:p>
      <w:pPr>
        <w:pStyle w:val="27"/>
        <w:spacing w:before="80" w:after="200" w:line="288" w:lineRule="auto"/>
      </w:pPr>
      <w:r>
        <w:rPr>
          <w:rFonts w:ascii="Calibri" w:hAnsi="Calibri"/>
          <w:b/>
          <w:i w:val="0"/>
          <w:color w:val="14233C"/>
          <w:sz w:val="48"/>
        </w:rPr>
        <w:t xml:space="preserve">Pain Points: </w:t>
      </w:r>
      <w:r>
        <w:rPr>
          <w:rFonts w:ascii="Calibri" w:hAnsi="Calibri"/>
          <w:b w:val="0"/>
          <w:i w:val="0"/>
          <w:color w:val="1E293B"/>
          <w:sz w:val="48"/>
        </w:rPr>
        <w:t>High agency retainer fees with zero accountability, declining organic social reach, inability to profitably scale paid ad campaigns.</w:t>
      </w:r>
    </w:p>
    <w:p>
      <w:pPr>
        <w:pStyle w:val="27"/>
        <w:spacing w:before="80" w:after="200" w:line="288" w:lineRule="auto"/>
      </w:pPr>
      <w:r>
        <w:rPr>
          <w:rFonts w:ascii="Calibri" w:hAnsi="Calibri"/>
          <w:b/>
          <w:i w:val="0"/>
          <w:color w:val="14233C"/>
          <w:sz w:val="48"/>
        </w:rPr>
        <w:t xml:space="preserve">Aspirations: </w:t>
      </w:r>
      <w:r>
        <w:rPr>
          <w:rFonts w:ascii="Calibri" w:hAnsi="Calibri"/>
          <w:b w:val="0"/>
          <w:i w:val="0"/>
          <w:color w:val="1E293B"/>
          <w:sz w:val="48"/>
        </w:rPr>
        <w:t>Mastering in-house customer acquisition, generating predictable client leads, scaling monthly revenue past milestone targets without relying on external vendors.</w:t>
      </w:r>
    </w:p>
    <w:p>
      <w:pPr>
        <w:pStyle w:val="27"/>
        <w:spacing w:before="80" w:after="200" w:line="288" w:lineRule="auto"/>
      </w:pPr>
      <w:r>
        <w:rPr>
          <w:rFonts w:ascii="Calibri" w:hAnsi="Calibri"/>
          <w:b/>
          <w:i w:val="0"/>
          <w:color w:val="14233C"/>
          <w:sz w:val="48"/>
        </w:rPr>
        <w:t xml:space="preserve">Meta Behavioral Triggers: </w:t>
      </w:r>
      <w:r>
        <w:rPr>
          <w:rFonts w:ascii="Calibri" w:hAnsi="Calibri"/>
          <w:b w:val="0"/>
          <w:i w:val="0"/>
          <w:color w:val="1E293B"/>
          <w:sz w:val="48"/>
        </w:rPr>
        <w:t>Facebook Page Admins, Instagram Business Account owners, users engaging with Stripe/Shopify/SaaS business tools.</w:t>
      </w:r>
    </w:p>
    <w:p>
      <w:pPr>
        <w:keepNext/>
        <w:spacing w:before="560" w:after="280"/>
      </w:pPr>
      <w:r>
        <w:rPr>
          <w:rFonts w:ascii="Calibri" w:hAnsi="Calibri"/>
          <w:b/>
          <w:i w:val="0"/>
          <w:color w:val="14233C"/>
          <w:sz w:val="56"/>
        </w:rPr>
        <w:t>Chapter 5: Meta Ads Audience Parameterization Matrix</w:t>
      </w:r>
    </w:p>
    <w:p>
      <w:pPr>
        <w:spacing w:before="80" w:after="280" w:line="288" w:lineRule="auto"/>
      </w:pPr>
      <w:r>
        <w:rPr>
          <w:rFonts w:ascii="Calibri" w:hAnsi="Calibri"/>
          <w:b w:val="0"/>
          <w:i w:val="0"/>
          <w:color w:val="1E293B"/>
          <w:sz w:val="48"/>
        </w:rPr>
        <w:t>The table below presents the master targeting parameters designed for the primary campaign ad sets.</w:t>
      </w:r>
    </w:p>
    <w:tbl>
      <w:tblPr>
        <w:jc w:val="left"/>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2592"/>
        <w:gridCol w:w="3888"/>
        <w:gridCol w:w="3600"/>
      </w:tblGrid>
      <w:tr>
        <w:tc>
          <w:tcPr>
            <w:tcW w:w="2592" w:type="dxa"/>
            <w:shd w:val="clear" w:color="auto" w:fill="142B49"/>
          </w:tcPr>
          <w:p>
            <w:pPr>
              <w:spacing w:before="120" w:after="120"/>
            </w:pPr>
            <w:r>
              <w:rPr>
                <w:rFonts w:ascii="Calibri" w:hAnsi="Calibri"/>
                <w:b/>
                <w:i w:val="0"/>
                <w:color w:val="FFFFFF"/>
                <w:sz w:val="44"/>
              </w:rPr>
              <w:t>Parameter</w:t>
            </w:r>
          </w:p>
        </w:tc>
        <w:tc>
          <w:tcPr>
            <w:tcW w:w="3888" w:type="dxa"/>
            <w:shd w:val="clear" w:color="auto" w:fill="142B49"/>
          </w:tcPr>
          <w:p>
            <w:pPr>
              <w:spacing w:before="120" w:after="120"/>
            </w:pPr>
            <w:r>
              <w:rPr>
                <w:rFonts w:ascii="Calibri" w:hAnsi="Calibri"/>
                <w:b/>
                <w:i w:val="0"/>
                <w:color w:val="FFFFFF"/>
                <w:sz w:val="44"/>
              </w:rPr>
              <w:t>Target Specifications</w:t>
            </w:r>
          </w:p>
        </w:tc>
        <w:tc>
          <w:tcPr>
            <w:tcW w:w="3600" w:type="dxa"/>
            <w:shd w:val="clear" w:color="auto" w:fill="142B49"/>
          </w:tcPr>
          <w:p>
            <w:pPr>
              <w:spacing w:before="120" w:after="120"/>
            </w:pPr>
            <w:r>
              <w:rPr>
                <w:rFonts w:ascii="Calibri" w:hAnsi="Calibri"/>
                <w:b/>
                <w:i w:val="0"/>
                <w:color w:val="FFFFFF"/>
                <w:sz w:val="44"/>
              </w:rPr>
              <w:t>Strategic Rationale</w:t>
            </w:r>
          </w:p>
        </w:tc>
      </w:tr>
      <w:tr>
        <w:tc>
          <w:tcPr>
            <w:tcW w:w="2592" w:type="dxa"/>
            <w:shd w:val="clear" w:color="auto" w:fill="FFFFFF"/>
          </w:tcPr>
          <w:p>
            <w:pPr>
              <w:spacing w:before="120" w:after="120" w:line="276" w:lineRule="auto"/>
            </w:pPr>
            <w:r>
              <w:rPr>
                <w:rFonts w:ascii="Calibri" w:hAnsi="Calibri"/>
                <w:b w:val="0"/>
                <w:i w:val="0"/>
                <w:color w:val="1E293B"/>
                <w:sz w:val="44"/>
              </w:rPr>
              <w:t>Geographic Scope</w:t>
            </w:r>
          </w:p>
        </w:tc>
        <w:tc>
          <w:tcPr>
            <w:tcW w:w="3888" w:type="dxa"/>
            <w:shd w:val="clear" w:color="auto" w:fill="FFFFFF"/>
          </w:tcPr>
          <w:p>
            <w:pPr>
              <w:spacing w:before="120" w:after="120" w:line="276" w:lineRule="auto"/>
            </w:pPr>
            <w:r>
              <w:rPr>
                <w:rFonts w:ascii="Calibri" w:hAnsi="Calibri"/>
                <w:b w:val="0"/>
                <w:i w:val="0"/>
                <w:color w:val="1E293B"/>
                <w:sz w:val="44"/>
              </w:rPr>
              <w:t>India: Tier-1 Hubs (Delhi NCR, Mumbai, Bengaluru, Pune, Hyderabad, Chennai, Kolkata) + High-Growth Tier-2 (Ahmedabad, Jaipur, Lucknow, Indore, Chandigarh, Kochi, Patna, Bhopal).</w:t>
            </w:r>
          </w:p>
        </w:tc>
        <w:tc>
          <w:tcPr>
            <w:tcW w:w="3600" w:type="dxa"/>
            <w:shd w:val="clear" w:color="auto" w:fill="FFFFFF"/>
          </w:tcPr>
          <w:p>
            <w:pPr>
              <w:spacing w:before="120" w:after="120" w:line="276" w:lineRule="auto"/>
            </w:pPr>
            <w:r>
              <w:rPr>
                <w:rFonts w:ascii="Calibri" w:hAnsi="Calibri"/>
                <w:b w:val="0"/>
                <w:i w:val="0"/>
                <w:color w:val="1E293B"/>
                <w:sz w:val="44"/>
              </w:rPr>
              <w:t>Concentrates budget where internet speed, aspirational mindset, smartphone penetration, and job market opportunities are highest.</w:t>
            </w:r>
          </w:p>
        </w:tc>
      </w:tr>
      <w:tr>
        <w:tc>
          <w:tcPr>
            <w:tcW w:w="2592" w:type="dxa"/>
            <w:shd w:val="clear" w:color="auto" w:fill="F1F5F9"/>
          </w:tcPr>
          <w:p>
            <w:pPr>
              <w:spacing w:before="120" w:after="120" w:line="276" w:lineRule="auto"/>
            </w:pPr>
            <w:r>
              <w:rPr>
                <w:rFonts w:ascii="Calibri" w:hAnsi="Calibri"/>
                <w:b w:val="0"/>
                <w:i w:val="0"/>
                <w:color w:val="1E293B"/>
                <w:sz w:val="44"/>
              </w:rPr>
              <w:t>Age Bracket</w:t>
            </w:r>
          </w:p>
        </w:tc>
        <w:tc>
          <w:tcPr>
            <w:tcW w:w="3888" w:type="dxa"/>
            <w:shd w:val="clear" w:color="auto" w:fill="F1F5F9"/>
          </w:tcPr>
          <w:p>
            <w:pPr>
              <w:spacing w:before="120" w:after="120" w:line="276" w:lineRule="auto"/>
            </w:pPr>
            <w:r>
              <w:rPr>
                <w:rFonts w:ascii="Calibri" w:hAnsi="Calibri"/>
                <w:b w:val="0"/>
                <w:i w:val="0"/>
                <w:color w:val="1E293B"/>
                <w:sz w:val="44"/>
              </w:rPr>
              <w:t>19 to 32 Years Old (Segmented into 19-24 for Entry-Level &amp; 25-32 for Professional Upskilling).</w:t>
            </w:r>
          </w:p>
        </w:tc>
        <w:tc>
          <w:tcPr>
            <w:tcW w:w="3600" w:type="dxa"/>
            <w:shd w:val="clear" w:color="auto" w:fill="F1F5F9"/>
          </w:tcPr>
          <w:p>
            <w:pPr>
              <w:spacing w:before="120" w:after="120" w:line="276" w:lineRule="auto"/>
            </w:pPr>
            <w:r>
              <w:rPr>
                <w:rFonts w:ascii="Calibri" w:hAnsi="Calibri"/>
                <w:b w:val="0"/>
                <w:i w:val="0"/>
                <w:color w:val="1E293B"/>
                <w:sz w:val="44"/>
              </w:rPr>
              <w:t>Captures the entire active demographic seeking career entry, skill upgrades, or freelance side-hustle revenue.</w:t>
            </w:r>
          </w:p>
        </w:tc>
      </w:tr>
      <w:tr>
        <w:tc>
          <w:tcPr>
            <w:tcW w:w="2592" w:type="dxa"/>
            <w:shd w:val="clear" w:color="auto" w:fill="FFFFFF"/>
          </w:tcPr>
          <w:p>
            <w:pPr>
              <w:spacing w:before="120" w:after="120" w:line="276" w:lineRule="auto"/>
            </w:pPr>
            <w:r>
              <w:rPr>
                <w:rFonts w:ascii="Calibri" w:hAnsi="Calibri"/>
                <w:b w:val="0"/>
                <w:i w:val="0"/>
                <w:color w:val="1E293B"/>
                <w:sz w:val="44"/>
              </w:rPr>
              <w:t>Gender Selection</w:t>
            </w:r>
          </w:p>
        </w:tc>
        <w:tc>
          <w:tcPr>
            <w:tcW w:w="3888" w:type="dxa"/>
            <w:shd w:val="clear" w:color="auto" w:fill="FFFFFF"/>
          </w:tcPr>
          <w:p>
            <w:pPr>
              <w:spacing w:before="120" w:after="120" w:line="276" w:lineRule="auto"/>
            </w:pPr>
            <w:r>
              <w:rPr>
                <w:rFonts w:ascii="Calibri" w:hAnsi="Calibri"/>
                <w:b w:val="0"/>
                <w:i w:val="0"/>
                <w:color w:val="1E293B"/>
                <w:sz w:val="44"/>
              </w:rPr>
              <w:t>All Genders (Men &amp; Women balanced ~ 50:50).</w:t>
            </w:r>
          </w:p>
        </w:tc>
        <w:tc>
          <w:tcPr>
            <w:tcW w:w="3600" w:type="dxa"/>
            <w:shd w:val="clear" w:color="auto" w:fill="FFFFFF"/>
          </w:tcPr>
          <w:p>
            <w:pPr>
              <w:spacing w:before="120" w:after="120" w:line="276" w:lineRule="auto"/>
            </w:pPr>
            <w:r>
              <w:rPr>
                <w:rFonts w:ascii="Calibri" w:hAnsi="Calibri"/>
                <w:b w:val="0"/>
                <w:i w:val="0"/>
                <w:color w:val="1E293B"/>
                <w:sz w:val="44"/>
              </w:rPr>
              <w:t>Digital marketing offers completely gender-neutral career advancement with high female participation in content and social media.</w:t>
            </w:r>
          </w:p>
        </w:tc>
      </w:tr>
      <w:tr>
        <w:tc>
          <w:tcPr>
            <w:tcW w:w="2592" w:type="dxa"/>
            <w:shd w:val="clear" w:color="auto" w:fill="F1F5F9"/>
          </w:tcPr>
          <w:p>
            <w:pPr>
              <w:spacing w:before="120" w:after="120" w:line="276" w:lineRule="auto"/>
            </w:pPr>
            <w:r>
              <w:rPr>
                <w:rFonts w:ascii="Calibri" w:hAnsi="Calibri"/>
                <w:b w:val="0"/>
                <w:i w:val="0"/>
                <w:color w:val="1E293B"/>
                <w:sz w:val="44"/>
              </w:rPr>
              <w:t>Language Settings</w:t>
            </w:r>
          </w:p>
        </w:tc>
        <w:tc>
          <w:tcPr>
            <w:tcW w:w="3888" w:type="dxa"/>
            <w:shd w:val="clear" w:color="auto" w:fill="F1F5F9"/>
          </w:tcPr>
          <w:p>
            <w:pPr>
              <w:spacing w:before="120" w:after="120" w:line="276" w:lineRule="auto"/>
            </w:pPr>
            <w:r>
              <w:rPr>
                <w:rFonts w:ascii="Calibri" w:hAnsi="Calibri"/>
                <w:b w:val="0"/>
                <w:i w:val="0"/>
                <w:color w:val="1E293B"/>
                <w:sz w:val="44"/>
              </w:rPr>
              <w:t>English, Hindi (Ad copy written in English and conversational Hinglish).</w:t>
            </w:r>
          </w:p>
        </w:tc>
        <w:tc>
          <w:tcPr>
            <w:tcW w:w="3600" w:type="dxa"/>
            <w:shd w:val="clear" w:color="auto" w:fill="F1F5F9"/>
          </w:tcPr>
          <w:p>
            <w:pPr>
              <w:spacing w:before="120" w:after="120" w:line="276" w:lineRule="auto"/>
            </w:pPr>
            <w:r>
              <w:rPr>
                <w:rFonts w:ascii="Calibri" w:hAnsi="Calibri"/>
                <w:b w:val="0"/>
                <w:i w:val="0"/>
                <w:color w:val="1E293B"/>
                <w:sz w:val="44"/>
              </w:rPr>
              <w:t>Maximizes relatability and removes language intimidation while ensuring readiness for corporate English communication.</w:t>
            </w:r>
          </w:p>
        </w:tc>
      </w:tr>
      <w:tr>
        <w:tc>
          <w:tcPr>
            <w:tcW w:w="2592" w:type="dxa"/>
            <w:shd w:val="clear" w:color="auto" w:fill="FFFFFF"/>
          </w:tcPr>
          <w:p>
            <w:pPr>
              <w:spacing w:before="120" w:after="120" w:line="276" w:lineRule="auto"/>
            </w:pPr>
            <w:r>
              <w:rPr>
                <w:rFonts w:ascii="Calibri" w:hAnsi="Calibri"/>
                <w:b w:val="0"/>
                <w:i w:val="0"/>
                <w:color w:val="1E293B"/>
                <w:sz w:val="44"/>
              </w:rPr>
              <w:t>Education Level</w:t>
            </w:r>
          </w:p>
        </w:tc>
        <w:tc>
          <w:tcPr>
            <w:tcW w:w="3888" w:type="dxa"/>
            <w:shd w:val="clear" w:color="auto" w:fill="FFFFFF"/>
          </w:tcPr>
          <w:p>
            <w:pPr>
              <w:spacing w:before="120" w:after="120" w:line="276" w:lineRule="auto"/>
            </w:pPr>
            <w:r>
              <w:rPr>
                <w:rFonts w:ascii="Calibri" w:hAnsi="Calibri"/>
                <w:b w:val="0"/>
                <w:i w:val="0"/>
                <w:color w:val="1E293B"/>
                <w:sz w:val="44"/>
              </w:rPr>
              <w:t>In College, Associate Degree, College Graduate, Some College.</w:t>
            </w:r>
          </w:p>
        </w:tc>
        <w:tc>
          <w:tcPr>
            <w:tcW w:w="3600" w:type="dxa"/>
            <w:shd w:val="clear" w:color="auto" w:fill="FFFFFF"/>
          </w:tcPr>
          <w:p>
            <w:pPr>
              <w:spacing w:before="120" w:after="120" w:line="276" w:lineRule="auto"/>
            </w:pPr>
            <w:r>
              <w:rPr>
                <w:rFonts w:ascii="Calibri" w:hAnsi="Calibri"/>
                <w:b w:val="0"/>
                <w:i w:val="0"/>
                <w:color w:val="1E293B"/>
                <w:sz w:val="44"/>
              </w:rPr>
              <w:t>Filters out school students and targets individuals currently navigating degree completion or entry-level job hunting.</w:t>
            </w:r>
          </w:p>
        </w:tc>
      </w:tr>
      <w:tr>
        <w:tc>
          <w:tcPr>
            <w:tcW w:w="2592" w:type="dxa"/>
            <w:shd w:val="clear" w:color="auto" w:fill="F1F5F9"/>
          </w:tcPr>
          <w:p>
            <w:pPr>
              <w:spacing w:before="120" w:after="120" w:line="276" w:lineRule="auto"/>
            </w:pPr>
            <w:r>
              <w:rPr>
                <w:rFonts w:ascii="Calibri" w:hAnsi="Calibri"/>
                <w:b w:val="0"/>
                <w:i w:val="0"/>
                <w:color w:val="1E293B"/>
                <w:sz w:val="44"/>
              </w:rPr>
              <w:t>Field of Study</w:t>
            </w:r>
          </w:p>
        </w:tc>
        <w:tc>
          <w:tcPr>
            <w:tcW w:w="3888" w:type="dxa"/>
            <w:shd w:val="clear" w:color="auto" w:fill="F1F5F9"/>
          </w:tcPr>
          <w:p>
            <w:pPr>
              <w:spacing w:before="120" w:after="120" w:line="276" w:lineRule="auto"/>
            </w:pPr>
            <w:r>
              <w:rPr>
                <w:rFonts w:ascii="Calibri" w:hAnsi="Calibri"/>
                <w:b w:val="0"/>
                <w:i w:val="0"/>
                <w:color w:val="1E293B"/>
                <w:sz w:val="44"/>
              </w:rPr>
              <w:t>Commerce, Business Administration, Computer Science, Mass Comm, Advertising, IT, Economics, Marketing.</w:t>
            </w:r>
          </w:p>
        </w:tc>
        <w:tc>
          <w:tcPr>
            <w:tcW w:w="3600" w:type="dxa"/>
            <w:shd w:val="clear" w:color="auto" w:fill="F1F5F9"/>
          </w:tcPr>
          <w:p>
            <w:pPr>
              <w:spacing w:before="120" w:after="120" w:line="276" w:lineRule="auto"/>
            </w:pPr>
            <w:r>
              <w:rPr>
                <w:rFonts w:ascii="Calibri" w:hAnsi="Calibri"/>
                <w:b w:val="0"/>
                <w:i w:val="0"/>
                <w:color w:val="1E293B"/>
                <w:sz w:val="44"/>
              </w:rPr>
              <w:t>High degree of conceptual synergy; students from these branches grasp marketing metrics, creative layouts, and web concepts faster.</w:t>
            </w:r>
          </w:p>
        </w:tc>
      </w:tr>
    </w:tbl>
    <w:p>
      <w:pPr>
        <w:spacing w:before="0" w:after="240"/>
      </w:pPr>
    </w:p>
    <w:p>
      <w:pPr>
        <w:keepNext/>
        <w:spacing w:before="560" w:after="280"/>
      </w:pPr>
      <w:r>
        <w:rPr>
          <w:rFonts w:ascii="Calibri" w:hAnsi="Calibri"/>
          <w:b/>
          <w:i w:val="0"/>
          <w:color w:val="14233C"/>
          <w:sz w:val="56"/>
        </w:rPr>
        <w:t>Chapter 6: Geographic &amp; Linguistic Stratification</w:t>
      </w:r>
    </w:p>
    <w:p>
      <w:pPr>
        <w:spacing w:before="80" w:after="280" w:line="288" w:lineRule="auto"/>
      </w:pPr>
      <w:r>
        <w:rPr>
          <w:rFonts w:ascii="Calibri" w:hAnsi="Calibri"/>
          <w:b w:val="0"/>
          <w:i w:val="0"/>
          <w:color w:val="1E293B"/>
          <w:sz w:val="48"/>
        </w:rPr>
        <w:t>Geographic targeting in Meta Ads must not treat an entire subcontinent as a homogenous monolith. Spending ad budget equally across all 28 states and 8 union territories leads to massive budget dilution.</w:t>
      </w:r>
    </w:p>
    <w:p>
      <w:pPr>
        <w:keepNext/>
        <w:spacing w:before="440" w:after="200"/>
      </w:pPr>
      <w:r>
        <w:rPr>
          <w:rFonts w:ascii="Calibri" w:hAnsi="Calibri"/>
          <w:b/>
          <w:i w:val="0"/>
          <w:color w:val="0E7490"/>
          <w:sz w:val="52"/>
        </w:rPr>
        <w:t>6.1 Tier-1 Mega Metros (High Purchasing Power &amp; Rapid Conversion)</w:t>
      </w:r>
    </w:p>
    <w:p>
      <w:pPr>
        <w:spacing w:before="80" w:after="280" w:line="288" w:lineRule="auto"/>
      </w:pPr>
      <w:r>
        <w:rPr>
          <w:rFonts w:ascii="Calibri" w:hAnsi="Calibri"/>
          <w:b w:val="0"/>
          <w:i w:val="0"/>
          <w:color w:val="1E293B"/>
          <w:sz w:val="48"/>
        </w:rPr>
        <w:t>Cities: Bengaluru, Mumbai Metropolitan Region (MMR), Delhi-National Capital Region (Gurugram, Noida, Faridabad, Ghaziabad), Hyderabad, Pune, Chennai, Kolkata.</w:t>
      </w:r>
    </w:p>
    <w:p>
      <w:pPr>
        <w:pStyle w:val="27"/>
        <w:spacing w:before="80" w:after="200" w:line="288" w:lineRule="auto"/>
      </w:pPr>
      <w:r>
        <w:rPr>
          <w:rFonts w:ascii="Calibri" w:hAnsi="Calibri"/>
          <w:b/>
          <w:i w:val="0"/>
          <w:color w:val="14233C"/>
          <w:sz w:val="48"/>
        </w:rPr>
        <w:t xml:space="preserve">Characteristics: </w:t>
      </w:r>
      <w:r>
        <w:rPr>
          <w:rFonts w:ascii="Calibri" w:hAnsi="Calibri"/>
          <w:b w:val="0"/>
          <w:i w:val="0"/>
          <w:color w:val="1E293B"/>
          <w:sz w:val="48"/>
        </w:rPr>
        <w:t>High familiarity with online learning platforms, higher disposable income for upfront tuition payment, abundant digital marketing job openings.</w:t>
      </w:r>
    </w:p>
    <w:p>
      <w:pPr>
        <w:pStyle w:val="27"/>
        <w:spacing w:before="80" w:after="200" w:line="288" w:lineRule="auto"/>
      </w:pPr>
      <w:r>
        <w:rPr>
          <w:rFonts w:ascii="Calibri" w:hAnsi="Calibri"/>
          <w:b/>
          <w:i w:val="0"/>
          <w:color w:val="14233C"/>
          <w:sz w:val="48"/>
        </w:rPr>
        <w:t xml:space="preserve">Ad Creative Angle: </w:t>
      </w:r>
      <w:r>
        <w:rPr>
          <w:rFonts w:ascii="Calibri" w:hAnsi="Calibri"/>
          <w:b w:val="0"/>
          <w:i w:val="0"/>
          <w:color w:val="1E293B"/>
          <w:sz w:val="48"/>
        </w:rPr>
        <w:t>High-package agency placements, advanced AI-driven marketing strategies, masterclasses with industry directors.</w:t>
      </w:r>
    </w:p>
    <w:p>
      <w:pPr>
        <w:keepNext/>
        <w:spacing w:before="440" w:after="200"/>
      </w:pPr>
      <w:r>
        <w:rPr>
          <w:rFonts w:ascii="Calibri" w:hAnsi="Calibri"/>
          <w:b/>
          <w:i w:val="0"/>
          <w:color w:val="0E7490"/>
          <w:sz w:val="52"/>
        </w:rPr>
        <w:t>6.2 Tier-2 Emerging Skill Hubs (High Volume &amp; High Aspiration)</w:t>
      </w:r>
    </w:p>
    <w:p>
      <w:pPr>
        <w:spacing w:before="80" w:after="280" w:line="288" w:lineRule="auto"/>
      </w:pPr>
      <w:r>
        <w:rPr>
          <w:rFonts w:ascii="Calibri" w:hAnsi="Calibri"/>
          <w:b w:val="0"/>
          <w:i w:val="0"/>
          <w:color w:val="1E293B"/>
          <w:sz w:val="48"/>
        </w:rPr>
        <w:t>Cities: Jaipur, Lucknow, Indore, Ahmedabad, Surat, Nagpur, Chandigarh Tricity, Patna, Bhubaneswar, Coimbatore, Kochi, Vadodara, Visakhapatnam.</w:t>
      </w:r>
    </w:p>
    <w:p>
      <w:pPr>
        <w:pStyle w:val="27"/>
        <w:spacing w:before="80" w:after="200" w:line="288" w:lineRule="auto"/>
      </w:pPr>
      <w:r>
        <w:rPr>
          <w:rFonts w:ascii="Calibri" w:hAnsi="Calibri"/>
          <w:b/>
          <w:i w:val="0"/>
          <w:color w:val="14233C"/>
          <w:sz w:val="48"/>
        </w:rPr>
        <w:t xml:space="preserve">Characteristics: </w:t>
      </w:r>
      <w:r>
        <w:rPr>
          <w:rFonts w:ascii="Calibri" w:hAnsi="Calibri"/>
          <w:b w:val="0"/>
          <w:i w:val="0"/>
          <w:color w:val="1E293B"/>
          <w:sz w:val="48"/>
        </w:rPr>
        <w:t>Students eagerly seeking Tier-1 equivalent skills without incurring relocation expenses; strong motivation to secure remote freelance gigs or work-from-home contracts.</w:t>
      </w:r>
    </w:p>
    <w:p>
      <w:pPr>
        <w:pStyle w:val="27"/>
        <w:spacing w:before="80" w:after="200" w:line="288" w:lineRule="auto"/>
      </w:pPr>
      <w:r>
        <w:rPr>
          <w:rFonts w:ascii="Calibri" w:hAnsi="Calibri"/>
          <w:b/>
          <w:i w:val="0"/>
          <w:color w:val="14233C"/>
          <w:sz w:val="48"/>
        </w:rPr>
        <w:t xml:space="preserve">Ad Creative Angle: </w:t>
      </w:r>
      <w:r>
        <w:rPr>
          <w:rFonts w:ascii="Calibri" w:hAnsi="Calibri"/>
          <w:b w:val="0"/>
          <w:i w:val="0"/>
          <w:color w:val="1E293B"/>
          <w:sz w:val="48"/>
        </w:rPr>
        <w:t>Practical job readiness, Hindi/English bilingual instruction, step-by-step portfolio building, affordable EMI payment options.</w:t>
      </w:r>
    </w:p>
    <w:p>
      <w:pPr>
        <w:keepNext/>
        <w:spacing w:before="560" w:after="280"/>
      </w:pPr>
      <w:r>
        <w:rPr>
          <w:rFonts w:ascii="Calibri" w:hAnsi="Calibri"/>
          <w:b/>
          <w:i w:val="0"/>
          <w:color w:val="14233C"/>
          <w:sz w:val="56"/>
        </w:rPr>
        <w:t>Chapter 7: Psychographics, Behavioral Signals &amp; Interest Clusters</w:t>
      </w:r>
    </w:p>
    <w:p>
      <w:pPr>
        <w:spacing w:before="80" w:after="280" w:line="288" w:lineRule="auto"/>
      </w:pPr>
      <w:r>
        <w:rPr>
          <w:rFonts w:ascii="Calibri" w:hAnsi="Calibri"/>
          <w:b w:val="0"/>
          <w:i w:val="0"/>
          <w:color w:val="1E293B"/>
          <w:sz w:val="48"/>
        </w:rPr>
        <w:t>To avoid single-keyword bidding traps, we organize Meta detailed targeting into 4 distinct, non-overlapping interest clusters:</w:t>
      </w:r>
    </w:p>
    <w:p>
      <w:pPr>
        <w:keepNext/>
        <w:spacing w:before="440" w:after="200"/>
      </w:pPr>
      <w:r>
        <w:rPr>
          <w:rFonts w:ascii="Calibri" w:hAnsi="Calibri"/>
          <w:b/>
          <w:i w:val="0"/>
          <w:color w:val="0E7490"/>
          <w:sz w:val="52"/>
        </w:rPr>
        <w:t>7.1 Cluster A: Direct Digital Marketing Intent</w:t>
      </w:r>
    </w:p>
    <w:p>
      <w:pPr>
        <w:spacing w:before="80" w:after="280" w:line="288" w:lineRule="auto"/>
      </w:pPr>
      <w:r>
        <w:rPr>
          <w:rFonts w:ascii="Calibri" w:hAnsi="Calibri"/>
          <w:b w:val="0"/>
          <w:i w:val="0"/>
          <w:color w:val="1E293B"/>
          <w:sz w:val="48"/>
        </w:rPr>
        <w:t>Keywords &amp; Topics: Digital marketing, Social media marketing, Search engine optimization (SEO), Content marketing, Web analytics, Google Ads, Pay-per-click, Email marketing, Affiliate marketing.</w:t>
      </w:r>
    </w:p>
    <w:p>
      <w:pPr>
        <w:spacing w:before="80" w:after="280" w:line="288" w:lineRule="auto"/>
      </w:pPr>
      <w:r>
        <w:rPr>
          <w:rFonts w:ascii="Calibri" w:hAnsi="Calibri"/>
          <w:b w:val="0"/>
          <w:i w:val="0"/>
          <w:color w:val="1E293B"/>
          <w:sz w:val="48"/>
        </w:rPr>
        <w:t>Profile: Individuals who have already researched the field and need a structured, accredited certification to validate their skills.</w:t>
      </w:r>
    </w:p>
    <w:p>
      <w:pPr>
        <w:keepNext/>
        <w:spacing w:before="440" w:after="200"/>
      </w:pPr>
      <w:r>
        <w:rPr>
          <w:rFonts w:ascii="Calibri" w:hAnsi="Calibri"/>
          <w:b/>
          <w:i w:val="0"/>
          <w:color w:val="0E7490"/>
          <w:sz w:val="52"/>
        </w:rPr>
        <w:t>7.2 Cluster B: Business &amp; Creative Tool Mastery</w:t>
      </w:r>
    </w:p>
    <w:p>
      <w:pPr>
        <w:spacing w:before="80" w:after="280" w:line="288" w:lineRule="auto"/>
      </w:pPr>
      <w:r>
        <w:rPr>
          <w:rFonts w:ascii="Calibri" w:hAnsi="Calibri"/>
          <w:b w:val="0"/>
          <w:i w:val="0"/>
          <w:color w:val="1E293B"/>
          <w:sz w:val="48"/>
        </w:rPr>
        <w:t>Keywords &amp; Topics: Canva, WordPress, Shopify, Adobe Photoshop, Copywriting, Web design, E-commerce, Drop shipping.</w:t>
      </w:r>
    </w:p>
    <w:p>
      <w:pPr>
        <w:spacing w:before="80" w:after="280" w:line="288" w:lineRule="auto"/>
      </w:pPr>
      <w:r>
        <w:rPr>
          <w:rFonts w:ascii="Calibri" w:hAnsi="Calibri"/>
          <w:b w:val="0"/>
          <w:i w:val="0"/>
          <w:color w:val="1E293B"/>
          <w:sz w:val="48"/>
        </w:rPr>
        <w:t>Profile: Creators, designers, and web enthusiasts wanting to monetize their visual and technical skills through structured marketing execution.</w:t>
      </w:r>
    </w:p>
    <w:p>
      <w:pPr>
        <w:keepNext/>
        <w:spacing w:before="440" w:after="200"/>
      </w:pPr>
      <w:r>
        <w:rPr>
          <w:rFonts w:ascii="Calibri" w:hAnsi="Calibri"/>
          <w:b/>
          <w:i w:val="0"/>
          <w:color w:val="0E7490"/>
          <w:sz w:val="52"/>
        </w:rPr>
        <w:t>7.3 Cluster C: Career Advancement &amp; Job Portals</w:t>
      </w:r>
    </w:p>
    <w:p>
      <w:pPr>
        <w:spacing w:before="80" w:after="280" w:line="288" w:lineRule="auto"/>
      </w:pPr>
      <w:r>
        <w:rPr>
          <w:rFonts w:ascii="Calibri" w:hAnsi="Calibri"/>
          <w:b w:val="0"/>
          <w:i w:val="0"/>
          <w:color w:val="1E293B"/>
          <w:sz w:val="48"/>
        </w:rPr>
        <w:t>Keywords &amp; Topics: Internshala, LinkedIn, Naukri.com, Career development, Job hunting, Resume, Placement testing, Internship.</w:t>
      </w:r>
    </w:p>
    <w:p>
      <w:pPr>
        <w:spacing w:before="80" w:after="280" w:line="288" w:lineRule="auto"/>
      </w:pPr>
      <w:r>
        <w:rPr>
          <w:rFonts w:ascii="Calibri" w:hAnsi="Calibri"/>
          <w:b w:val="0"/>
          <w:i w:val="0"/>
          <w:color w:val="1E293B"/>
          <w:sz w:val="48"/>
        </w:rPr>
        <w:t>Profile: College seniors and unemployed graduates actively searching for immediate career entry points and corporate hiring pathways.</w:t>
      </w:r>
    </w:p>
    <w:p>
      <w:pPr>
        <w:keepNext/>
        <w:spacing w:before="440" w:after="200"/>
      </w:pPr>
      <w:r>
        <w:rPr>
          <w:rFonts w:ascii="Calibri" w:hAnsi="Calibri"/>
          <w:b/>
          <w:i w:val="0"/>
          <w:color w:val="0E7490"/>
          <w:sz w:val="52"/>
        </w:rPr>
        <w:t>7.4 Cluster D: Entrepreneurship &amp; Freelance Economy</w:t>
      </w:r>
    </w:p>
    <w:p>
      <w:pPr>
        <w:spacing w:before="80" w:after="280" w:line="288" w:lineRule="auto"/>
      </w:pPr>
      <w:r>
        <w:rPr>
          <w:rFonts w:ascii="Calibri" w:hAnsi="Calibri"/>
          <w:b w:val="0"/>
          <w:i w:val="0"/>
          <w:color w:val="1E293B"/>
          <w:sz w:val="48"/>
        </w:rPr>
        <w:t>Keywords &amp; Topics: Freelancer.com, Upwork, Fiverr, Startup company, Entrepreneurship, Small business, Side job, Passive income.</w:t>
      </w:r>
    </w:p>
    <w:p>
      <w:pPr>
        <w:spacing w:before="80" w:after="280" w:line="288" w:lineRule="auto"/>
      </w:pPr>
      <w:r>
        <w:rPr>
          <w:rFonts w:ascii="Calibri" w:hAnsi="Calibri"/>
          <w:b w:val="0"/>
          <w:i w:val="0"/>
          <w:color w:val="1E293B"/>
          <w:sz w:val="48"/>
        </w:rPr>
        <w:t>Profile: Self-starters looking to build their personal brand, launch an agency, or generate high-margin dollar income from international clients.</w:t>
      </w:r>
    </w:p>
    <w:p>
      <w:pPr>
        <w:keepNext/>
        <w:spacing w:before="560" w:after="280"/>
      </w:pPr>
      <w:r>
        <w:rPr>
          <w:rFonts w:ascii="Calibri" w:hAnsi="Calibri"/>
          <w:b/>
          <w:i w:val="0"/>
          <w:color w:val="14233C"/>
          <w:sz w:val="56"/>
        </w:rPr>
        <w:t>Chapter 8: Meta Ads Full-Funnel Architecture</w:t>
      </w:r>
    </w:p>
    <w:p>
      <w:pPr>
        <w:spacing w:before="80" w:after="280" w:line="288" w:lineRule="auto"/>
      </w:pPr>
      <w:r>
        <w:rPr>
          <w:rFonts w:ascii="Calibri" w:hAnsi="Calibri"/>
          <w:b w:val="0"/>
          <w:i w:val="0"/>
          <w:color w:val="1E293B"/>
          <w:sz w:val="48"/>
        </w:rPr>
        <w:t>A robust Meta Ads campaign relies on a structured, three-tier full-funnel marketing system:</w:t>
      </w:r>
    </w:p>
    <w:p>
      <w:pPr>
        <w:keepNext/>
        <w:spacing w:before="440" w:after="200"/>
      </w:pPr>
      <w:r>
        <w:rPr>
          <w:rFonts w:ascii="Calibri" w:hAnsi="Calibri"/>
          <w:b/>
          <w:i w:val="0"/>
          <w:color w:val="0E7490"/>
          <w:sz w:val="52"/>
        </w:rPr>
        <w:t>8.1 Top-of-Funnel (TOFU) - Problem Awareness &amp; Brand Discovery</w:t>
      </w:r>
    </w:p>
    <w:p>
      <w:pPr>
        <w:pStyle w:val="27"/>
        <w:spacing w:before="80" w:after="200" w:line="288" w:lineRule="auto"/>
      </w:pPr>
      <w:r>
        <w:rPr>
          <w:rFonts w:ascii="Calibri" w:hAnsi="Calibri"/>
          <w:b/>
          <w:i w:val="0"/>
          <w:color w:val="14233C"/>
          <w:sz w:val="48"/>
        </w:rPr>
        <w:t xml:space="preserve">Campaign Objective: </w:t>
      </w:r>
      <w:r>
        <w:rPr>
          <w:rFonts w:ascii="Calibri" w:hAnsi="Calibri"/>
          <w:b w:val="0"/>
          <w:i w:val="0"/>
          <w:color w:val="1E293B"/>
          <w:sz w:val="48"/>
        </w:rPr>
        <w:t>Video Views / Engagement / High-Volume Lead Generation.</w:t>
      </w:r>
    </w:p>
    <w:p>
      <w:pPr>
        <w:pStyle w:val="27"/>
        <w:spacing w:before="80" w:after="200" w:line="288" w:lineRule="auto"/>
      </w:pPr>
      <w:r>
        <w:rPr>
          <w:rFonts w:ascii="Calibri" w:hAnsi="Calibri"/>
          <w:b/>
          <w:i w:val="0"/>
          <w:color w:val="14233C"/>
          <w:sz w:val="48"/>
        </w:rPr>
        <w:t xml:space="preserve">Audience Target: </w:t>
      </w:r>
      <w:r>
        <w:rPr>
          <w:rFonts w:ascii="Calibri" w:hAnsi="Calibri"/>
          <w:b w:val="0"/>
          <w:i w:val="0"/>
          <w:color w:val="1E293B"/>
          <w:sz w:val="48"/>
        </w:rPr>
        <w:t>Broad Audience (Age 19–30, Urban Hubs) layered with Digital Marketing Interest Clusters.</w:t>
      </w:r>
    </w:p>
    <w:p>
      <w:pPr>
        <w:pStyle w:val="27"/>
        <w:spacing w:before="80" w:after="200" w:line="288" w:lineRule="auto"/>
      </w:pPr>
      <w:r>
        <w:rPr>
          <w:rFonts w:ascii="Calibri" w:hAnsi="Calibri"/>
          <w:b/>
          <w:i w:val="0"/>
          <w:color w:val="14233C"/>
          <w:sz w:val="48"/>
        </w:rPr>
        <w:t xml:space="preserve">Ad Content: </w:t>
      </w:r>
      <w:r>
        <w:rPr>
          <w:rFonts w:ascii="Calibri" w:hAnsi="Calibri"/>
          <w:b w:val="0"/>
          <w:i w:val="0"/>
          <w:color w:val="1E293B"/>
          <w:sz w:val="48"/>
        </w:rPr>
        <w:t>'3 High-Paying Digital Marketing Skills to Learn in 2026', 'Why Traditional Degrees Aren't Getting You Hired', Free Digital Marketing Salary Guide PDF download.</w:t>
      </w:r>
    </w:p>
    <w:p>
      <w:pPr>
        <w:pStyle w:val="27"/>
        <w:spacing w:before="80" w:after="200" w:line="288" w:lineRule="auto"/>
      </w:pPr>
      <w:r>
        <w:rPr>
          <w:rFonts w:ascii="Calibri" w:hAnsi="Calibri"/>
          <w:b/>
          <w:i w:val="0"/>
          <w:color w:val="14233C"/>
          <w:sz w:val="48"/>
        </w:rPr>
        <w:t xml:space="preserve">Goal: </w:t>
      </w:r>
      <w:r>
        <w:rPr>
          <w:rFonts w:ascii="Calibri" w:hAnsi="Calibri"/>
          <w:b w:val="0"/>
          <w:i w:val="0"/>
          <w:color w:val="1E293B"/>
          <w:sz w:val="48"/>
        </w:rPr>
        <w:t>Build broad brand trust, capture low-cost email/WhatsApp leads, and populate retargeting custom audiences.</w:t>
      </w:r>
    </w:p>
    <w:p>
      <w:pPr>
        <w:keepNext/>
        <w:spacing w:before="440" w:after="200"/>
      </w:pPr>
      <w:r>
        <w:rPr>
          <w:rFonts w:ascii="Calibri" w:hAnsi="Calibri"/>
          <w:b/>
          <w:i w:val="0"/>
          <w:color w:val="0E7490"/>
          <w:sz w:val="52"/>
        </w:rPr>
        <w:t>8.2 Middle-of-Funnel (MOFU) - Skill Evaluation &amp; Consideration</w:t>
      </w:r>
    </w:p>
    <w:p>
      <w:pPr>
        <w:pStyle w:val="27"/>
        <w:spacing w:before="80" w:after="200" w:line="288" w:lineRule="auto"/>
      </w:pPr>
      <w:r>
        <w:rPr>
          <w:rFonts w:ascii="Calibri" w:hAnsi="Calibri"/>
          <w:b/>
          <w:i w:val="0"/>
          <w:color w:val="14233C"/>
          <w:sz w:val="48"/>
        </w:rPr>
        <w:t xml:space="preserve">Campaign Objective: </w:t>
      </w:r>
      <w:r>
        <w:rPr>
          <w:rFonts w:ascii="Calibri" w:hAnsi="Calibri"/>
          <w:b w:val="0"/>
          <w:i w:val="0"/>
          <w:color w:val="1E293B"/>
          <w:sz w:val="48"/>
        </w:rPr>
        <w:t>Leads (Instant Forms &amp; Landing Page Webinar Registrations).</w:t>
      </w:r>
    </w:p>
    <w:p>
      <w:pPr>
        <w:pStyle w:val="27"/>
        <w:spacing w:before="80" w:after="200" w:line="288" w:lineRule="auto"/>
      </w:pPr>
      <w:r>
        <w:rPr>
          <w:rFonts w:ascii="Calibri" w:hAnsi="Calibri"/>
          <w:b/>
          <w:i w:val="0"/>
          <w:color w:val="14233C"/>
          <w:sz w:val="48"/>
        </w:rPr>
        <w:t xml:space="preserve">Audience Target: </w:t>
      </w:r>
      <w:r>
        <w:rPr>
          <w:rFonts w:ascii="Calibri" w:hAnsi="Calibri"/>
          <w:b w:val="0"/>
          <w:i w:val="0"/>
          <w:color w:val="1E293B"/>
          <w:sz w:val="48"/>
        </w:rPr>
        <w:t>Video 50%+ Viewers, Page Engagers (Past 90 Days), Lead Magnet Downloaders.</w:t>
      </w:r>
    </w:p>
    <w:p>
      <w:pPr>
        <w:pStyle w:val="27"/>
        <w:spacing w:before="80" w:after="200" w:line="288" w:lineRule="auto"/>
      </w:pPr>
      <w:r>
        <w:rPr>
          <w:rFonts w:ascii="Calibri" w:hAnsi="Calibri"/>
          <w:b/>
          <w:i w:val="0"/>
          <w:color w:val="14233C"/>
          <w:sz w:val="48"/>
        </w:rPr>
        <w:t xml:space="preserve">Ad Content: </w:t>
      </w:r>
      <w:r>
        <w:rPr>
          <w:rFonts w:ascii="Calibri" w:hAnsi="Calibri"/>
          <w:b w:val="0"/>
          <w:i w:val="0"/>
          <w:color w:val="1E293B"/>
          <w:sz w:val="48"/>
        </w:rPr>
        <w:t>Invitation to a 'Live 2-Hour Hands-on Masterclass: Launching Your First Meta &amp; Google Ad Campaign', live mentor Q&amp;A sessions.</w:t>
      </w:r>
    </w:p>
    <w:p>
      <w:pPr>
        <w:pStyle w:val="27"/>
        <w:spacing w:before="80" w:after="200" w:line="288" w:lineRule="auto"/>
      </w:pPr>
      <w:r>
        <w:rPr>
          <w:rFonts w:ascii="Calibri" w:hAnsi="Calibri"/>
          <w:b/>
          <w:i w:val="0"/>
          <w:color w:val="14233C"/>
          <w:sz w:val="48"/>
        </w:rPr>
        <w:t xml:space="preserve">Goal: </w:t>
      </w:r>
      <w:r>
        <w:rPr>
          <w:rFonts w:ascii="Calibri" w:hAnsi="Calibri"/>
          <w:b w:val="0"/>
          <w:i w:val="0"/>
          <w:color w:val="1E293B"/>
          <w:sz w:val="48"/>
        </w:rPr>
        <w:t>Demonstrate teaching quality, provide immediate value, and qualify committed students.</w:t>
      </w:r>
    </w:p>
    <w:p>
      <w:pPr>
        <w:keepNext/>
        <w:spacing w:before="440" w:after="200"/>
      </w:pPr>
      <w:r>
        <w:rPr>
          <w:rFonts w:ascii="Calibri" w:hAnsi="Calibri"/>
          <w:b/>
          <w:i w:val="0"/>
          <w:color w:val="0E7490"/>
          <w:sz w:val="52"/>
        </w:rPr>
        <w:t>8.3 Bottom-of-Funnel (BOFU) - Decision &amp; Direct Enrollment</w:t>
      </w:r>
    </w:p>
    <w:p>
      <w:pPr>
        <w:pStyle w:val="27"/>
        <w:spacing w:before="80" w:after="200" w:line="288" w:lineRule="auto"/>
      </w:pPr>
      <w:r>
        <w:rPr>
          <w:rFonts w:ascii="Calibri" w:hAnsi="Calibri"/>
          <w:b/>
          <w:i w:val="0"/>
          <w:color w:val="14233C"/>
          <w:sz w:val="48"/>
        </w:rPr>
        <w:t xml:space="preserve">Campaign Objective: </w:t>
      </w:r>
      <w:r>
        <w:rPr>
          <w:rFonts w:ascii="Calibri" w:hAnsi="Calibri"/>
          <w:b w:val="0"/>
          <w:i w:val="0"/>
          <w:color w:val="1E293B"/>
          <w:sz w:val="48"/>
        </w:rPr>
        <w:t>Conversions (Course Checkout / Counseling Booking).</w:t>
      </w:r>
    </w:p>
    <w:p>
      <w:pPr>
        <w:pStyle w:val="27"/>
        <w:spacing w:before="80" w:after="200" w:line="288" w:lineRule="auto"/>
      </w:pPr>
      <w:r>
        <w:rPr>
          <w:rFonts w:ascii="Calibri" w:hAnsi="Calibri"/>
          <w:b/>
          <w:i w:val="0"/>
          <w:color w:val="14233C"/>
          <w:sz w:val="48"/>
        </w:rPr>
        <w:t xml:space="preserve">Audience Target: </w:t>
      </w:r>
      <w:r>
        <w:rPr>
          <w:rFonts w:ascii="Calibri" w:hAnsi="Calibri"/>
          <w:b w:val="0"/>
          <w:i w:val="0"/>
          <w:color w:val="1E293B"/>
          <w:sz w:val="48"/>
        </w:rPr>
        <w:t>Masterclass Attendees, Website Abandoned Checkouts, Form Submissions without Payment.</w:t>
      </w:r>
    </w:p>
    <w:p>
      <w:pPr>
        <w:pStyle w:val="27"/>
        <w:spacing w:before="80" w:after="200" w:line="288" w:lineRule="auto"/>
      </w:pPr>
      <w:r>
        <w:rPr>
          <w:rFonts w:ascii="Calibri" w:hAnsi="Calibri"/>
          <w:b/>
          <w:i w:val="0"/>
          <w:color w:val="14233C"/>
          <w:sz w:val="48"/>
        </w:rPr>
        <w:t xml:space="preserve">Ad Content: </w:t>
      </w:r>
      <w:r>
        <w:rPr>
          <w:rFonts w:ascii="Calibri" w:hAnsi="Calibri"/>
          <w:b w:val="0"/>
          <w:i w:val="0"/>
          <w:color w:val="1E293B"/>
          <w:sz w:val="48"/>
        </w:rPr>
        <w:t>Student placement proof, salary hike testimonials, hiring partner logos, limited-seat scholarship countdown timers.</w:t>
      </w:r>
    </w:p>
    <w:p>
      <w:pPr>
        <w:pStyle w:val="27"/>
        <w:spacing w:before="80" w:after="200" w:line="288" w:lineRule="auto"/>
      </w:pPr>
      <w:r>
        <w:rPr>
          <w:rFonts w:ascii="Calibri" w:hAnsi="Calibri"/>
          <w:b/>
          <w:i w:val="0"/>
          <w:color w:val="14233C"/>
          <w:sz w:val="48"/>
        </w:rPr>
        <w:t xml:space="preserve">Goal: </w:t>
      </w:r>
      <w:r>
        <w:rPr>
          <w:rFonts w:ascii="Calibri" w:hAnsi="Calibri"/>
          <w:b w:val="0"/>
          <w:i w:val="0"/>
          <w:color w:val="1E293B"/>
          <w:sz w:val="48"/>
        </w:rPr>
        <w:t>Eliminate final hesitations, offer easy EMI plans, and close admissions.</w:t>
      </w:r>
    </w:p>
    <w:p>
      <w:pPr>
        <w:keepNext/>
        <w:spacing w:before="560" w:after="280"/>
      </w:pPr>
      <w:r>
        <w:rPr>
          <w:rFonts w:ascii="Calibri" w:hAnsi="Calibri"/>
          <w:b/>
          <w:i w:val="0"/>
          <w:color w:val="14233C"/>
          <w:sz w:val="56"/>
        </w:rPr>
        <w:t>Chapter 9: Custom Audiences &amp; Lookalike (LAL) Modeling Strategy</w:t>
      </w:r>
    </w:p>
    <w:p>
      <w:pPr>
        <w:spacing w:before="80" w:after="280" w:line="288" w:lineRule="auto"/>
      </w:pPr>
      <w:r>
        <w:rPr>
          <w:rFonts w:ascii="Calibri" w:hAnsi="Calibri"/>
          <w:b w:val="0"/>
          <w:i w:val="0"/>
          <w:color w:val="1E293B"/>
          <w:sz w:val="48"/>
        </w:rPr>
        <w:t>Custom and Lookalike Audiences represent the highest-ROAS asset in Meta Ads Manager once initial conversion data begins flowing.</w:t>
      </w:r>
    </w:p>
    <w:tbl>
      <w:tblPr>
        <w:jc w:val="left"/>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2880"/>
        <w:gridCol w:w="3744"/>
        <w:gridCol w:w="3456"/>
      </w:tblGrid>
      <w:tr>
        <w:tc>
          <w:tcPr>
            <w:tcW w:w="2880" w:type="dxa"/>
            <w:shd w:val="clear" w:color="auto" w:fill="142B49"/>
          </w:tcPr>
          <w:p>
            <w:pPr>
              <w:spacing w:before="120" w:after="120"/>
            </w:pPr>
            <w:r>
              <w:rPr>
                <w:rFonts w:ascii="Calibri" w:hAnsi="Calibri"/>
                <w:b/>
                <w:i w:val="0"/>
                <w:color w:val="FFFFFF"/>
                <w:sz w:val="44"/>
              </w:rPr>
              <w:t>Audience Asset</w:t>
            </w:r>
          </w:p>
        </w:tc>
        <w:tc>
          <w:tcPr>
            <w:tcW w:w="3744" w:type="dxa"/>
            <w:shd w:val="clear" w:color="auto" w:fill="142B49"/>
          </w:tcPr>
          <w:p>
            <w:pPr>
              <w:spacing w:before="120" w:after="120"/>
            </w:pPr>
            <w:r>
              <w:rPr>
                <w:rFonts w:ascii="Calibri" w:hAnsi="Calibri"/>
                <w:b/>
                <w:i w:val="0"/>
                <w:color w:val="FFFFFF"/>
                <w:sz w:val="44"/>
              </w:rPr>
              <w:t>Data Source</w:t>
            </w:r>
          </w:p>
        </w:tc>
        <w:tc>
          <w:tcPr>
            <w:tcW w:w="3456" w:type="dxa"/>
            <w:shd w:val="clear" w:color="auto" w:fill="142B49"/>
          </w:tcPr>
          <w:p>
            <w:pPr>
              <w:spacing w:before="120" w:after="120"/>
            </w:pPr>
            <w:r>
              <w:rPr>
                <w:rFonts w:ascii="Calibri" w:hAnsi="Calibri"/>
                <w:b/>
                <w:i w:val="0"/>
                <w:color w:val="FFFFFF"/>
                <w:sz w:val="44"/>
              </w:rPr>
              <w:t>Scale &amp; Application</w:t>
            </w:r>
          </w:p>
        </w:tc>
      </w:tr>
      <w:tr>
        <w:tc>
          <w:tcPr>
            <w:tcW w:w="2880" w:type="dxa"/>
            <w:shd w:val="clear" w:color="auto" w:fill="FFFFFF"/>
          </w:tcPr>
          <w:p>
            <w:pPr>
              <w:spacing w:before="120" w:after="120" w:line="276" w:lineRule="auto"/>
            </w:pPr>
            <w:r>
              <w:rPr>
                <w:rFonts w:ascii="Calibri" w:hAnsi="Calibri"/>
                <w:b w:val="0"/>
                <w:i w:val="0"/>
                <w:color w:val="1E293B"/>
                <w:sz w:val="44"/>
              </w:rPr>
              <w:t>Website / Pixel Audiences</w:t>
            </w:r>
          </w:p>
        </w:tc>
        <w:tc>
          <w:tcPr>
            <w:tcW w:w="3744" w:type="dxa"/>
            <w:shd w:val="clear" w:color="auto" w:fill="FFFFFF"/>
          </w:tcPr>
          <w:p>
            <w:pPr>
              <w:spacing w:before="120" w:after="120" w:line="276" w:lineRule="auto"/>
            </w:pPr>
            <w:r>
              <w:rPr>
                <w:rFonts w:ascii="Calibri" w:hAnsi="Calibri"/>
                <w:b w:val="0"/>
                <w:i w:val="0"/>
                <w:color w:val="1E293B"/>
                <w:sz w:val="44"/>
              </w:rPr>
              <w:t>Meta Pixel &amp; GA4 tracking on landing pages and checkout flows.</w:t>
            </w:r>
          </w:p>
        </w:tc>
        <w:tc>
          <w:tcPr>
            <w:tcW w:w="3456" w:type="dxa"/>
            <w:shd w:val="clear" w:color="auto" w:fill="FFFFFF"/>
          </w:tcPr>
          <w:p>
            <w:pPr>
              <w:spacing w:before="120" w:after="120" w:line="276" w:lineRule="auto"/>
            </w:pPr>
            <w:r>
              <w:rPr>
                <w:rFonts w:ascii="Calibri" w:hAnsi="Calibri"/>
                <w:b w:val="0"/>
                <w:i w:val="0"/>
                <w:color w:val="1E293B"/>
                <w:sz w:val="44"/>
              </w:rPr>
              <w:t>Retarget users who visited the curriculum page or initiated checkout in past 30 days.</w:t>
            </w:r>
          </w:p>
        </w:tc>
      </w:tr>
      <w:tr>
        <w:tc>
          <w:tcPr>
            <w:tcW w:w="2880" w:type="dxa"/>
            <w:shd w:val="clear" w:color="auto" w:fill="F1F5F9"/>
          </w:tcPr>
          <w:p>
            <w:pPr>
              <w:spacing w:before="120" w:after="120" w:line="276" w:lineRule="auto"/>
            </w:pPr>
            <w:r>
              <w:rPr>
                <w:rFonts w:ascii="Calibri" w:hAnsi="Calibri"/>
                <w:b w:val="0"/>
                <w:i w:val="0"/>
                <w:color w:val="1E293B"/>
                <w:sz w:val="44"/>
              </w:rPr>
              <w:t>Video Engagement Audiences</w:t>
            </w:r>
          </w:p>
        </w:tc>
        <w:tc>
          <w:tcPr>
            <w:tcW w:w="3744" w:type="dxa"/>
            <w:shd w:val="clear" w:color="auto" w:fill="F1F5F9"/>
          </w:tcPr>
          <w:p>
            <w:pPr>
              <w:spacing w:before="120" w:after="120" w:line="276" w:lineRule="auto"/>
            </w:pPr>
            <w:r>
              <w:rPr>
                <w:rFonts w:ascii="Calibri" w:hAnsi="Calibri"/>
                <w:b w:val="0"/>
                <w:i w:val="0"/>
                <w:color w:val="1E293B"/>
                <w:sz w:val="44"/>
              </w:rPr>
              <w:t>Meta Business Manager video view metrics.</w:t>
            </w:r>
          </w:p>
        </w:tc>
        <w:tc>
          <w:tcPr>
            <w:tcW w:w="3456" w:type="dxa"/>
            <w:shd w:val="clear" w:color="auto" w:fill="F1F5F9"/>
          </w:tcPr>
          <w:p>
            <w:pPr>
              <w:spacing w:before="120" w:after="120" w:line="276" w:lineRule="auto"/>
            </w:pPr>
            <w:r>
              <w:rPr>
                <w:rFonts w:ascii="Calibri" w:hAnsi="Calibri"/>
                <w:b w:val="0"/>
                <w:i w:val="0"/>
                <w:color w:val="1E293B"/>
                <w:sz w:val="44"/>
              </w:rPr>
              <w:t>Isolate users who watched 50%, 75%, or 95% of top-of-funnel educational videos for mid-funnel offers.</w:t>
            </w:r>
          </w:p>
        </w:tc>
      </w:tr>
      <w:tr>
        <w:tc>
          <w:tcPr>
            <w:tcW w:w="2880" w:type="dxa"/>
            <w:shd w:val="clear" w:color="auto" w:fill="FFFFFF"/>
          </w:tcPr>
          <w:p>
            <w:pPr>
              <w:spacing w:before="120" w:after="120" w:line="276" w:lineRule="auto"/>
            </w:pPr>
            <w:r>
              <w:rPr>
                <w:rFonts w:ascii="Calibri" w:hAnsi="Calibri"/>
                <w:b w:val="0"/>
                <w:i w:val="0"/>
                <w:color w:val="1E293B"/>
                <w:sz w:val="44"/>
              </w:rPr>
              <w:t>Lead Form Custom Audiences</w:t>
            </w:r>
          </w:p>
        </w:tc>
        <w:tc>
          <w:tcPr>
            <w:tcW w:w="3744" w:type="dxa"/>
            <w:shd w:val="clear" w:color="auto" w:fill="FFFFFF"/>
          </w:tcPr>
          <w:p>
            <w:pPr>
              <w:spacing w:before="120" w:after="120" w:line="276" w:lineRule="auto"/>
            </w:pPr>
            <w:r>
              <w:rPr>
                <w:rFonts w:ascii="Calibri" w:hAnsi="Calibri"/>
                <w:b w:val="0"/>
                <w:i w:val="0"/>
                <w:color w:val="1E293B"/>
                <w:sz w:val="44"/>
              </w:rPr>
              <w:t>Native Meta On-Facebook Instant Forms.</w:t>
            </w:r>
          </w:p>
        </w:tc>
        <w:tc>
          <w:tcPr>
            <w:tcW w:w="3456" w:type="dxa"/>
            <w:shd w:val="clear" w:color="auto" w:fill="FFFFFF"/>
          </w:tcPr>
          <w:p>
            <w:pPr>
              <w:spacing w:before="120" w:after="120" w:line="276" w:lineRule="auto"/>
            </w:pPr>
            <w:r>
              <w:rPr>
                <w:rFonts w:ascii="Calibri" w:hAnsi="Calibri"/>
                <w:b w:val="0"/>
                <w:i w:val="0"/>
                <w:color w:val="1E293B"/>
                <w:sz w:val="44"/>
              </w:rPr>
              <w:t>Segment users who opened the form but did not submit vs. users who submitted.</w:t>
            </w:r>
          </w:p>
        </w:tc>
      </w:tr>
      <w:tr>
        <w:tc>
          <w:tcPr>
            <w:tcW w:w="2880" w:type="dxa"/>
            <w:shd w:val="clear" w:color="auto" w:fill="F1F5F9"/>
          </w:tcPr>
          <w:p>
            <w:pPr>
              <w:spacing w:before="120" w:after="120" w:line="276" w:lineRule="auto"/>
            </w:pPr>
            <w:r>
              <w:rPr>
                <w:rFonts w:ascii="Calibri" w:hAnsi="Calibri"/>
                <w:b w:val="0"/>
                <w:i w:val="0"/>
                <w:color w:val="1E293B"/>
                <w:sz w:val="44"/>
              </w:rPr>
              <w:t>Customer List Audiences</w:t>
            </w:r>
          </w:p>
        </w:tc>
        <w:tc>
          <w:tcPr>
            <w:tcW w:w="3744" w:type="dxa"/>
            <w:shd w:val="clear" w:color="auto" w:fill="F1F5F9"/>
          </w:tcPr>
          <w:p>
            <w:pPr>
              <w:spacing w:before="120" w:after="120" w:line="276" w:lineRule="auto"/>
            </w:pPr>
            <w:r>
              <w:rPr>
                <w:rFonts w:ascii="Calibri" w:hAnsi="Calibri"/>
                <w:b w:val="0"/>
                <w:i w:val="0"/>
                <w:color w:val="1E293B"/>
                <w:sz w:val="44"/>
              </w:rPr>
              <w:t>CRM export of high-intent counseling inquiries and enrolled students.</w:t>
            </w:r>
          </w:p>
        </w:tc>
        <w:tc>
          <w:tcPr>
            <w:tcW w:w="3456" w:type="dxa"/>
            <w:shd w:val="clear" w:color="auto" w:fill="F1F5F9"/>
          </w:tcPr>
          <w:p>
            <w:pPr>
              <w:spacing w:before="120" w:after="120" w:line="276" w:lineRule="auto"/>
            </w:pPr>
            <w:r>
              <w:rPr>
                <w:rFonts w:ascii="Calibri" w:hAnsi="Calibri"/>
                <w:b w:val="0"/>
                <w:i w:val="0"/>
                <w:color w:val="1E293B"/>
                <w:sz w:val="44"/>
              </w:rPr>
              <w:t>Used for exclusion lists (to prevent wasting budget on already enrolled students) and LAL seeding.</w:t>
            </w:r>
          </w:p>
        </w:tc>
      </w:tr>
      <w:tr>
        <w:tc>
          <w:tcPr>
            <w:tcW w:w="2880" w:type="dxa"/>
            <w:shd w:val="clear" w:color="auto" w:fill="FFFFFF"/>
          </w:tcPr>
          <w:p>
            <w:pPr>
              <w:spacing w:before="120" w:after="120" w:line="276" w:lineRule="auto"/>
            </w:pPr>
            <w:r>
              <w:rPr>
                <w:rFonts w:ascii="Calibri" w:hAnsi="Calibri"/>
                <w:b w:val="0"/>
                <w:i w:val="0"/>
                <w:color w:val="1E293B"/>
                <w:sz w:val="44"/>
              </w:rPr>
              <w:t>1% Lookalike (High Affinity)</w:t>
            </w:r>
          </w:p>
        </w:tc>
        <w:tc>
          <w:tcPr>
            <w:tcW w:w="3744" w:type="dxa"/>
            <w:shd w:val="clear" w:color="auto" w:fill="FFFFFF"/>
          </w:tcPr>
          <w:p>
            <w:pPr>
              <w:spacing w:before="120" w:after="120" w:line="276" w:lineRule="auto"/>
            </w:pPr>
            <w:r>
              <w:rPr>
                <w:rFonts w:ascii="Calibri" w:hAnsi="Calibri"/>
                <w:b w:val="0"/>
                <w:i w:val="0"/>
                <w:color w:val="1E293B"/>
                <w:sz w:val="44"/>
              </w:rPr>
              <w:t>Top 1,000 enrolled paying students / high-score webinar attendees.</w:t>
            </w:r>
          </w:p>
        </w:tc>
        <w:tc>
          <w:tcPr>
            <w:tcW w:w="3456" w:type="dxa"/>
            <w:shd w:val="clear" w:color="auto" w:fill="FFFFFF"/>
          </w:tcPr>
          <w:p>
            <w:pPr>
              <w:spacing w:before="120" w:after="120" w:line="276" w:lineRule="auto"/>
            </w:pPr>
            <w:r>
              <w:rPr>
                <w:rFonts w:ascii="Calibri" w:hAnsi="Calibri"/>
                <w:b w:val="0"/>
                <w:i w:val="0"/>
                <w:color w:val="1E293B"/>
                <w:sz w:val="44"/>
              </w:rPr>
              <w:t>Target the top 1% most mathematically identical users across India for cold prospecting.</w:t>
            </w:r>
          </w:p>
        </w:tc>
      </w:tr>
      <w:tr>
        <w:tc>
          <w:tcPr>
            <w:tcW w:w="2880" w:type="dxa"/>
            <w:shd w:val="clear" w:color="auto" w:fill="F1F5F9"/>
          </w:tcPr>
          <w:p>
            <w:pPr>
              <w:spacing w:before="120" w:after="120" w:line="276" w:lineRule="auto"/>
            </w:pPr>
            <w:r>
              <w:rPr>
                <w:rFonts w:ascii="Calibri" w:hAnsi="Calibri"/>
                <w:b w:val="0"/>
                <w:i w:val="0"/>
                <w:color w:val="1E293B"/>
                <w:sz w:val="44"/>
              </w:rPr>
              <w:t>2% - 3% Lookalike (Scale)</w:t>
            </w:r>
          </w:p>
        </w:tc>
        <w:tc>
          <w:tcPr>
            <w:tcW w:w="3744" w:type="dxa"/>
            <w:shd w:val="clear" w:color="auto" w:fill="F1F5F9"/>
          </w:tcPr>
          <w:p>
            <w:pPr>
              <w:spacing w:before="120" w:after="120" w:line="276" w:lineRule="auto"/>
            </w:pPr>
            <w:r>
              <w:rPr>
                <w:rFonts w:ascii="Calibri" w:hAnsi="Calibri"/>
                <w:b w:val="0"/>
                <w:i w:val="0"/>
                <w:color w:val="1E293B"/>
                <w:sz w:val="44"/>
              </w:rPr>
              <w:t>Combined seed list of verified webinar attendees and qualified leads.</w:t>
            </w:r>
          </w:p>
        </w:tc>
        <w:tc>
          <w:tcPr>
            <w:tcW w:w="3456" w:type="dxa"/>
            <w:shd w:val="clear" w:color="auto" w:fill="F1F5F9"/>
          </w:tcPr>
          <w:p>
            <w:pPr>
              <w:spacing w:before="120" w:after="120" w:line="276" w:lineRule="auto"/>
            </w:pPr>
            <w:r>
              <w:rPr>
                <w:rFonts w:ascii="Calibri" w:hAnsi="Calibri"/>
                <w:b w:val="0"/>
                <w:i w:val="0"/>
                <w:color w:val="1E293B"/>
                <w:sz w:val="44"/>
              </w:rPr>
              <w:t>Used for scaling horizontal ad spend while maintaining steady Cost Per Lead.</w:t>
            </w:r>
          </w:p>
        </w:tc>
      </w:tr>
    </w:tbl>
    <w:p>
      <w:pPr>
        <w:spacing w:before="0" w:after="240"/>
      </w:pPr>
    </w:p>
    <w:p>
      <w:pPr>
        <w:keepNext/>
        <w:spacing w:before="560" w:after="280"/>
      </w:pPr>
      <w:r>
        <w:rPr>
          <w:rFonts w:ascii="Calibri" w:hAnsi="Calibri"/>
          <w:b/>
          <w:i w:val="0"/>
          <w:color w:val="14233C"/>
          <w:sz w:val="56"/>
        </w:rPr>
        <w:t>Chapter 10: High-Converting Creative &amp; Copywriting Framework</w:t>
      </w:r>
    </w:p>
    <w:p>
      <w:pPr>
        <w:spacing w:before="80" w:after="280" w:line="288" w:lineRule="auto"/>
      </w:pPr>
      <w:r>
        <w:rPr>
          <w:rFonts w:ascii="Calibri" w:hAnsi="Calibri"/>
          <w:b w:val="0"/>
          <w:i w:val="0"/>
          <w:color w:val="1E293B"/>
          <w:sz w:val="48"/>
        </w:rPr>
        <w:t>Targeting identifies the right people, but creative hooks convince them to click. Below are proven ad creative copy frameworks for the course:</w:t>
      </w:r>
    </w:p>
    <w:p>
      <w:pPr>
        <w:keepNext/>
        <w:spacing w:before="440" w:after="200"/>
      </w:pPr>
      <w:r>
        <w:rPr>
          <w:rFonts w:ascii="Calibri" w:hAnsi="Calibri"/>
          <w:b/>
          <w:i w:val="0"/>
          <w:color w:val="0E7490"/>
          <w:sz w:val="52"/>
        </w:rPr>
        <w:t>10.1 Ad Copy Angle 1: The 'Salary &amp; Career Transformation' Hook (For Graduates)</w:t>
      </w:r>
    </w:p>
    <w:p>
      <w:pPr>
        <w:spacing w:before="80" w:after="280" w:line="288" w:lineRule="auto"/>
      </w:pPr>
      <w:r>
        <w:rPr>
          <w:rFonts w:ascii="Calibri" w:hAnsi="Calibri"/>
          <w:b w:val="0"/>
          <w:i w:val="0"/>
          <w:color w:val="1E293B"/>
          <w:sz w:val="48"/>
        </w:rPr>
        <w:t>Primary Text: 'Still waiting for campus placements or tired of low-paying back-office jobs? Companies are aggressively looking for certified Performance Marketers and SEO specialists who can manage ad budgets and drive actual business revenue. In our 12-Week Live Digital Marketing Masterclass, you will build live campaigns with real ad budgets, earn 6+ industry certifications, and prepare for INR 4.5+ LPA roles. No prior coding or tech background needed!'</w:t>
      </w:r>
    </w:p>
    <w:p>
      <w:pPr>
        <w:spacing w:before="80" w:after="280" w:line="288" w:lineRule="auto"/>
      </w:pPr>
      <w:r>
        <w:rPr>
          <w:rFonts w:ascii="Calibri" w:hAnsi="Calibri"/>
          <w:b w:val="0"/>
          <w:i w:val="0"/>
          <w:color w:val="1E293B"/>
          <w:sz w:val="48"/>
        </w:rPr>
        <w:t>Headline: 'Master Digital Marketing &amp; Land a High-Paying Job | 100% Placement Support'</w:t>
      </w:r>
    </w:p>
    <w:p>
      <w:pPr>
        <w:spacing w:before="80" w:after="280" w:line="288" w:lineRule="auto"/>
      </w:pPr>
      <w:r>
        <w:rPr>
          <w:rFonts w:ascii="Calibri" w:hAnsi="Calibri"/>
          <w:b w:val="0"/>
          <w:i w:val="0"/>
          <w:color w:val="1E293B"/>
          <w:sz w:val="48"/>
        </w:rPr>
        <w:t>Call to Action: 'Apply Now / Download Syllabus'</w:t>
      </w:r>
    </w:p>
    <w:p>
      <w:pPr>
        <w:keepNext/>
        <w:spacing w:before="440" w:after="200"/>
      </w:pPr>
      <w:r>
        <w:rPr>
          <w:rFonts w:ascii="Calibri" w:hAnsi="Calibri"/>
          <w:b/>
          <w:i w:val="0"/>
          <w:color w:val="0E7490"/>
          <w:sz w:val="52"/>
        </w:rPr>
        <w:t>10.2 Ad Copy Angle 2: The 'Freelance &amp; Side-Hustle Freedom' Hook (For Freelancers)</w:t>
      </w:r>
    </w:p>
    <w:p>
      <w:pPr>
        <w:spacing w:before="80" w:after="280" w:line="288" w:lineRule="auto"/>
      </w:pPr>
      <w:r>
        <w:rPr>
          <w:rFonts w:ascii="Calibri" w:hAnsi="Calibri"/>
          <w:b w:val="0"/>
          <w:i w:val="0"/>
          <w:color w:val="1E293B"/>
          <w:sz w:val="48"/>
        </w:rPr>
        <w:t>Primary Text: 'Want to earn in US Dollars from the comfort of your home? Top digital marketing freelancers earn $25 to $50/hour managing Google Ads, Facebook Ads, and SEO for international clients. Learn the exact step-by-step blueprint to build high-converting landing pages, run ROI-positive ad campaigns, and close international freelance clients on Upwork and LinkedIn.'</w:t>
      </w:r>
    </w:p>
    <w:p>
      <w:pPr>
        <w:spacing w:before="80" w:after="280" w:line="288" w:lineRule="auto"/>
      </w:pPr>
      <w:r>
        <w:rPr>
          <w:rFonts w:ascii="Calibri" w:hAnsi="Calibri"/>
          <w:b w:val="0"/>
          <w:i w:val="0"/>
          <w:color w:val="1E293B"/>
          <w:sz w:val="48"/>
        </w:rPr>
        <w:t>Headline: 'Turn Your Laptop into an Income Stream | Become a Certified Marketer'</w:t>
      </w:r>
    </w:p>
    <w:p>
      <w:pPr>
        <w:spacing w:before="80" w:after="280" w:line="288" w:lineRule="auto"/>
      </w:pPr>
      <w:r>
        <w:rPr>
          <w:rFonts w:ascii="Calibri" w:hAnsi="Calibri"/>
          <w:b w:val="0"/>
          <w:i w:val="0"/>
          <w:color w:val="1E293B"/>
          <w:sz w:val="48"/>
        </w:rPr>
        <w:t>Call to Action: 'Book Free Demo Session'</w:t>
      </w:r>
    </w:p>
    <w:p>
      <w:pPr>
        <w:keepNext/>
        <w:spacing w:before="560" w:after="280"/>
      </w:pPr>
      <w:r>
        <w:rPr>
          <w:rFonts w:ascii="Calibri" w:hAnsi="Calibri"/>
          <w:b/>
          <w:i w:val="0"/>
          <w:color w:val="14233C"/>
          <w:sz w:val="56"/>
        </w:rPr>
        <w:t>Chapter 11: Landing Page Funnel &amp; Conversion Rate Optimization</w:t>
      </w:r>
    </w:p>
    <w:p>
      <w:pPr>
        <w:spacing w:before="80" w:after="280" w:line="288" w:lineRule="auto"/>
      </w:pPr>
      <w:r>
        <w:rPr>
          <w:rFonts w:ascii="Calibri" w:hAnsi="Calibri"/>
          <w:b w:val="0"/>
          <w:i w:val="0"/>
          <w:color w:val="1E293B"/>
          <w:sz w:val="48"/>
        </w:rPr>
        <w:t>Sending Meta traffic to a poorly structured website destroys campaign profitability. The conversion landing page must be engineered specifically for mobile-first user experience.</w:t>
      </w:r>
    </w:p>
    <w:p>
      <w:pPr>
        <w:keepNext/>
        <w:spacing w:before="440" w:after="200"/>
      </w:pPr>
      <w:r>
        <w:rPr>
          <w:rFonts w:ascii="Calibri" w:hAnsi="Calibri"/>
          <w:b/>
          <w:i w:val="0"/>
          <w:color w:val="0E7490"/>
          <w:sz w:val="52"/>
        </w:rPr>
        <w:t>11.1 Key Landing Page Elements</w:t>
      </w:r>
    </w:p>
    <w:p>
      <w:pPr>
        <w:pStyle w:val="27"/>
        <w:spacing w:before="80" w:after="200" w:line="288" w:lineRule="auto"/>
      </w:pPr>
      <w:r>
        <w:rPr>
          <w:rFonts w:ascii="Calibri" w:hAnsi="Calibri"/>
          <w:b/>
          <w:i w:val="0"/>
          <w:color w:val="14233C"/>
          <w:sz w:val="48"/>
        </w:rPr>
        <w:t xml:space="preserve">Sticky Mobile Header: </w:t>
      </w:r>
      <w:r>
        <w:rPr>
          <w:rFonts w:ascii="Calibri" w:hAnsi="Calibri"/>
          <w:b w:val="0"/>
          <w:i w:val="0"/>
          <w:color w:val="1E293B"/>
          <w:sz w:val="48"/>
        </w:rPr>
        <w:t>Course accreditation badge, enrollment countdown timer, and prominent 'Download Brochure' button.</w:t>
      </w:r>
    </w:p>
    <w:p>
      <w:pPr>
        <w:pStyle w:val="27"/>
        <w:spacing w:before="80" w:after="200" w:line="288" w:lineRule="auto"/>
      </w:pPr>
      <w:r>
        <w:rPr>
          <w:rFonts w:ascii="Calibri" w:hAnsi="Calibri"/>
          <w:b/>
          <w:i w:val="0"/>
          <w:color w:val="14233C"/>
          <w:sz w:val="48"/>
        </w:rPr>
        <w:t xml:space="preserve">Hero Section: </w:t>
      </w:r>
      <w:r>
        <w:rPr>
          <w:rFonts w:ascii="Calibri" w:hAnsi="Calibri"/>
          <w:b w:val="0"/>
          <w:i w:val="0"/>
          <w:color w:val="1E293B"/>
          <w:sz w:val="48"/>
        </w:rPr>
        <w:t>Clear headline stating the primary transformation: 'Become a Full-Stack Digital Marketer in 12 Weeks with 100% Practical Live Projects'.</w:t>
      </w:r>
    </w:p>
    <w:p>
      <w:pPr>
        <w:pStyle w:val="27"/>
        <w:spacing w:before="80" w:after="200" w:line="288" w:lineRule="auto"/>
      </w:pPr>
      <w:r>
        <w:rPr>
          <w:rFonts w:ascii="Calibri" w:hAnsi="Calibri"/>
          <w:b/>
          <w:i w:val="0"/>
          <w:color w:val="14233C"/>
          <w:sz w:val="48"/>
        </w:rPr>
        <w:t xml:space="preserve">Curriculum Deep-Dive: </w:t>
      </w:r>
      <w:r>
        <w:rPr>
          <w:rFonts w:ascii="Calibri" w:hAnsi="Calibri"/>
          <w:b w:val="0"/>
          <w:i w:val="0"/>
          <w:color w:val="1E293B"/>
          <w:sz w:val="48"/>
        </w:rPr>
        <w:t>Interactive accordion showcasing module-by-module topics, live project tools (Google Ads, Meta, Ahrefs, Canva, GA4).</w:t>
      </w:r>
    </w:p>
    <w:p>
      <w:pPr>
        <w:pStyle w:val="27"/>
        <w:spacing w:before="80" w:after="200" w:line="288" w:lineRule="auto"/>
      </w:pPr>
      <w:r>
        <w:rPr>
          <w:rFonts w:ascii="Calibri" w:hAnsi="Calibri"/>
          <w:b/>
          <w:i w:val="0"/>
          <w:color w:val="14233C"/>
          <w:sz w:val="48"/>
        </w:rPr>
        <w:t xml:space="preserve">Mentor Credibility: </w:t>
      </w:r>
      <w:r>
        <w:rPr>
          <w:rFonts w:ascii="Calibri" w:hAnsi="Calibri"/>
          <w:b w:val="0"/>
          <w:i w:val="0"/>
          <w:color w:val="1E293B"/>
          <w:sz w:val="48"/>
        </w:rPr>
        <w:t>Profiles of lead instructors with past agency experience, brands worked on, and verifiable industry credentials.</w:t>
      </w:r>
    </w:p>
    <w:p>
      <w:pPr>
        <w:pStyle w:val="27"/>
        <w:spacing w:before="80" w:after="200" w:line="288" w:lineRule="auto"/>
      </w:pPr>
      <w:r>
        <w:rPr>
          <w:rFonts w:ascii="Calibri" w:hAnsi="Calibri"/>
          <w:b/>
          <w:i w:val="0"/>
          <w:color w:val="14233C"/>
          <w:sz w:val="48"/>
        </w:rPr>
        <w:t xml:space="preserve">Social Proof &amp; Testimonials: </w:t>
      </w:r>
      <w:r>
        <w:rPr>
          <w:rFonts w:ascii="Calibri" w:hAnsi="Calibri"/>
          <w:b w:val="0"/>
          <w:i w:val="0"/>
          <w:color w:val="1E293B"/>
          <w:sz w:val="48"/>
        </w:rPr>
        <w:t>Video interviews of alumni discussing their salary hike, previous vs. current company, and hands-on learning experience.</w:t>
      </w:r>
    </w:p>
    <w:p>
      <w:pPr>
        <w:pStyle w:val="27"/>
        <w:spacing w:before="80" w:after="200" w:line="288" w:lineRule="auto"/>
      </w:pPr>
      <w:r>
        <w:rPr>
          <w:rFonts w:ascii="Calibri" w:hAnsi="Calibri"/>
          <w:b/>
          <w:i w:val="0"/>
          <w:color w:val="14233C"/>
          <w:sz w:val="48"/>
        </w:rPr>
        <w:t xml:space="preserve">Transparent FAQ Section: </w:t>
      </w:r>
      <w:r>
        <w:rPr>
          <w:rFonts w:ascii="Calibri" w:hAnsi="Calibri"/>
          <w:b w:val="0"/>
          <w:i w:val="0"/>
          <w:color w:val="1E293B"/>
          <w:sz w:val="48"/>
        </w:rPr>
        <w:t>Addressing eligibility, EMI financing, class schedules (weekend/evening batches for working professionals), and refund policies.</w:t>
      </w:r>
    </w:p>
    <w:p>
      <w:pPr>
        <w:keepNext/>
        <w:spacing w:before="560" w:after="280"/>
      </w:pPr>
      <w:r>
        <w:rPr>
          <w:rFonts w:ascii="Calibri" w:hAnsi="Calibri"/>
          <w:b/>
          <w:i w:val="0"/>
          <w:color w:val="14233C"/>
          <w:sz w:val="56"/>
        </w:rPr>
        <w:t>Chapter 12: Lead Nurturing &amp; Inside Sales Bridge</w:t>
      </w:r>
    </w:p>
    <w:p>
      <w:pPr>
        <w:spacing w:before="80" w:after="280" w:line="288" w:lineRule="auto"/>
      </w:pPr>
      <w:r>
        <w:rPr>
          <w:rFonts w:ascii="Calibri" w:hAnsi="Calibri"/>
          <w:b w:val="0"/>
          <w:i w:val="0"/>
          <w:color w:val="1E293B"/>
          <w:sz w:val="48"/>
        </w:rPr>
        <w:t>Over 70% of EdTech enrollments happen during post-ad follow-up. An automated nurturing system is critical to prevent lead leakage:</w:t>
      </w:r>
    </w:p>
    <w:p>
      <w:pPr>
        <w:keepNext/>
        <w:spacing w:before="440" w:after="200"/>
      </w:pPr>
      <w:r>
        <w:rPr>
          <w:rFonts w:ascii="Calibri" w:hAnsi="Calibri"/>
          <w:b/>
          <w:i w:val="0"/>
          <w:color w:val="0E7490"/>
          <w:sz w:val="52"/>
        </w:rPr>
        <w:t>12.1 Automated Multichannel Nurture Sequence</w:t>
      </w:r>
    </w:p>
    <w:p>
      <w:pPr>
        <w:pStyle w:val="27"/>
        <w:spacing w:before="80" w:after="200" w:line="288" w:lineRule="auto"/>
      </w:pPr>
      <w:r>
        <w:rPr>
          <w:rFonts w:ascii="Calibri" w:hAnsi="Calibri"/>
          <w:b/>
          <w:i w:val="0"/>
          <w:color w:val="14233C"/>
          <w:sz w:val="48"/>
        </w:rPr>
        <w:t xml:space="preserve">Minute 0 (Instant Trigger): </w:t>
      </w:r>
      <w:r>
        <w:rPr>
          <w:rFonts w:ascii="Calibri" w:hAnsi="Calibri"/>
          <w:b w:val="0"/>
          <w:i w:val="0"/>
          <w:color w:val="1E293B"/>
          <w:sz w:val="48"/>
        </w:rPr>
        <w:t>Instant WhatsApp message delivering the requested syllabus PDF, welcome video from the lead instructor, and quick webinar calendar link.</w:t>
      </w:r>
    </w:p>
    <w:p>
      <w:pPr>
        <w:pStyle w:val="27"/>
        <w:spacing w:before="80" w:after="200" w:line="288" w:lineRule="auto"/>
      </w:pPr>
      <w:r>
        <w:rPr>
          <w:rFonts w:ascii="Calibri" w:hAnsi="Calibri"/>
          <w:b/>
          <w:i w:val="0"/>
          <w:color w:val="14233C"/>
          <w:sz w:val="48"/>
        </w:rPr>
        <w:t xml:space="preserve">Hour 2: </w:t>
      </w:r>
      <w:r>
        <w:rPr>
          <w:rFonts w:ascii="Calibri" w:hAnsi="Calibri"/>
          <w:b w:val="0"/>
          <w:i w:val="0"/>
          <w:color w:val="1E293B"/>
          <w:sz w:val="48"/>
        </w:rPr>
        <w:t>SMS / Email delivering student case studies and salary transformation stories.</w:t>
      </w:r>
    </w:p>
    <w:p>
      <w:pPr>
        <w:pStyle w:val="27"/>
        <w:spacing w:before="80" w:after="200" w:line="288" w:lineRule="auto"/>
      </w:pPr>
      <w:r>
        <w:rPr>
          <w:rFonts w:ascii="Calibri" w:hAnsi="Calibri"/>
          <w:b/>
          <w:i w:val="0"/>
          <w:color w:val="14233C"/>
          <w:sz w:val="48"/>
        </w:rPr>
        <w:t xml:space="preserve">Day 1: </w:t>
      </w:r>
      <w:r>
        <w:rPr>
          <w:rFonts w:ascii="Calibri" w:hAnsi="Calibri"/>
          <w:b w:val="0"/>
          <w:i w:val="0"/>
          <w:color w:val="1E293B"/>
          <w:sz w:val="48"/>
        </w:rPr>
        <w:t>Personalized phone call from an Academic Career Counselor to understand candidate career goals and evaluate course eligibility.</w:t>
      </w:r>
    </w:p>
    <w:p>
      <w:pPr>
        <w:pStyle w:val="27"/>
        <w:spacing w:before="80" w:after="200" w:line="288" w:lineRule="auto"/>
      </w:pPr>
      <w:r>
        <w:rPr>
          <w:rFonts w:ascii="Calibri" w:hAnsi="Calibri"/>
          <w:b/>
          <w:i w:val="0"/>
          <w:color w:val="14233C"/>
          <w:sz w:val="48"/>
        </w:rPr>
        <w:t xml:space="preserve">Day 3: </w:t>
      </w:r>
      <w:r>
        <w:rPr>
          <w:rFonts w:ascii="Calibri" w:hAnsi="Calibri"/>
          <w:b w:val="0"/>
          <w:i w:val="0"/>
          <w:color w:val="1E293B"/>
          <w:sz w:val="48"/>
        </w:rPr>
        <w:t>Invitation to join an exclusive live Sunday Demo Class / Hands-on Marketing Workshop.</w:t>
      </w:r>
    </w:p>
    <w:p>
      <w:pPr>
        <w:pStyle w:val="27"/>
        <w:spacing w:before="80" w:after="200" w:line="288" w:lineRule="auto"/>
      </w:pPr>
      <w:r>
        <w:rPr>
          <w:rFonts w:ascii="Calibri" w:hAnsi="Calibri"/>
          <w:b/>
          <w:i w:val="0"/>
          <w:color w:val="14233C"/>
          <w:sz w:val="48"/>
        </w:rPr>
        <w:t xml:space="preserve">Day 5: </w:t>
      </w:r>
      <w:r>
        <w:rPr>
          <w:rFonts w:ascii="Calibri" w:hAnsi="Calibri"/>
          <w:b w:val="0"/>
          <w:i w:val="0"/>
          <w:color w:val="1E293B"/>
          <w:sz w:val="48"/>
        </w:rPr>
        <w:t>Limited-period scholarship offer with zero-cost EMI financing details (e.g., 'Pay INR 2,999/month').</w:t>
      </w:r>
    </w:p>
    <w:p>
      <w:pPr>
        <w:keepNext/>
        <w:spacing w:before="560" w:after="280"/>
      </w:pPr>
      <w:r>
        <w:rPr>
          <w:rFonts w:ascii="Calibri" w:hAnsi="Calibri"/>
          <w:b/>
          <w:i w:val="0"/>
          <w:color w:val="14233C"/>
          <w:sz w:val="56"/>
        </w:rPr>
        <w:t>Chapter 13: Media Planning, Budget Allocation &amp; Bidding Algorithms</w:t>
      </w:r>
    </w:p>
    <w:p>
      <w:pPr>
        <w:spacing w:before="80" w:after="280" w:line="288" w:lineRule="auto"/>
      </w:pPr>
      <w:r>
        <w:rPr>
          <w:rFonts w:ascii="Calibri" w:hAnsi="Calibri"/>
          <w:b w:val="0"/>
          <w:i w:val="0"/>
          <w:color w:val="1E293B"/>
          <w:sz w:val="48"/>
        </w:rPr>
        <w:t>A structured monthly budget distribution ensures stability across top, middle, and bottom funnel stages.</w:t>
      </w:r>
    </w:p>
    <w:tbl>
      <w:tblPr>
        <w:jc w:val="left"/>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2592"/>
        <w:gridCol w:w="2304"/>
        <w:gridCol w:w="3168"/>
        <w:gridCol w:w="2016"/>
      </w:tblGrid>
      <w:tr>
        <w:tc>
          <w:tcPr>
            <w:tcW w:w="2592" w:type="dxa"/>
            <w:shd w:val="clear" w:color="auto" w:fill="142B49"/>
          </w:tcPr>
          <w:p>
            <w:pPr>
              <w:spacing w:before="120" w:after="120"/>
            </w:pPr>
            <w:r>
              <w:rPr>
                <w:rFonts w:ascii="Calibri" w:hAnsi="Calibri"/>
                <w:b/>
                <w:i w:val="0"/>
                <w:color w:val="FFFFFF"/>
                <w:sz w:val="44"/>
              </w:rPr>
              <w:t>Funnel Stage</w:t>
            </w:r>
          </w:p>
        </w:tc>
        <w:tc>
          <w:tcPr>
            <w:tcW w:w="2304" w:type="dxa"/>
            <w:shd w:val="clear" w:color="auto" w:fill="142B49"/>
          </w:tcPr>
          <w:p>
            <w:pPr>
              <w:spacing w:before="120" w:after="120"/>
            </w:pPr>
            <w:r>
              <w:rPr>
                <w:rFonts w:ascii="Calibri" w:hAnsi="Calibri"/>
                <w:b/>
                <w:i w:val="0"/>
                <w:color w:val="FFFFFF"/>
                <w:sz w:val="44"/>
              </w:rPr>
              <w:t>Budget Allocation (%)</w:t>
            </w:r>
          </w:p>
        </w:tc>
        <w:tc>
          <w:tcPr>
            <w:tcW w:w="3168" w:type="dxa"/>
            <w:shd w:val="clear" w:color="auto" w:fill="142B49"/>
          </w:tcPr>
          <w:p>
            <w:pPr>
              <w:spacing w:before="120" w:after="120"/>
            </w:pPr>
            <w:r>
              <w:rPr>
                <w:rFonts w:ascii="Calibri" w:hAnsi="Calibri"/>
                <w:b/>
                <w:i w:val="0"/>
                <w:color w:val="FFFFFF"/>
                <w:sz w:val="44"/>
              </w:rPr>
              <w:t>Primary Objective</w:t>
            </w:r>
          </w:p>
        </w:tc>
        <w:tc>
          <w:tcPr>
            <w:tcW w:w="2016" w:type="dxa"/>
            <w:shd w:val="clear" w:color="auto" w:fill="142B49"/>
          </w:tcPr>
          <w:p>
            <w:pPr>
              <w:spacing w:before="120" w:after="120"/>
            </w:pPr>
            <w:r>
              <w:rPr>
                <w:rFonts w:ascii="Calibri" w:hAnsi="Calibri"/>
                <w:b/>
                <w:i w:val="0"/>
                <w:color w:val="FFFFFF"/>
                <w:sz w:val="44"/>
              </w:rPr>
              <w:t>Bidding Strategy</w:t>
            </w:r>
          </w:p>
        </w:tc>
      </w:tr>
      <w:tr>
        <w:tc>
          <w:tcPr>
            <w:tcW w:w="2592" w:type="dxa"/>
            <w:shd w:val="clear" w:color="auto" w:fill="FFFFFF"/>
          </w:tcPr>
          <w:p>
            <w:pPr>
              <w:spacing w:before="120" w:after="120" w:line="276" w:lineRule="auto"/>
            </w:pPr>
            <w:r>
              <w:rPr>
                <w:rFonts w:ascii="Calibri" w:hAnsi="Calibri"/>
                <w:b w:val="0"/>
                <w:i w:val="0"/>
                <w:color w:val="1E293B"/>
                <w:sz w:val="44"/>
              </w:rPr>
              <w:t>Top-of-Funnel (TOFU)</w:t>
            </w:r>
          </w:p>
        </w:tc>
        <w:tc>
          <w:tcPr>
            <w:tcW w:w="2304" w:type="dxa"/>
            <w:shd w:val="clear" w:color="auto" w:fill="FFFFFF"/>
          </w:tcPr>
          <w:p>
            <w:pPr>
              <w:spacing w:before="120" w:after="120" w:line="276" w:lineRule="auto"/>
            </w:pPr>
            <w:r>
              <w:rPr>
                <w:rFonts w:ascii="Calibri" w:hAnsi="Calibri"/>
                <w:b w:val="0"/>
                <w:i w:val="0"/>
                <w:color w:val="1E293B"/>
                <w:sz w:val="44"/>
              </w:rPr>
              <w:t>45%</w:t>
            </w:r>
          </w:p>
        </w:tc>
        <w:tc>
          <w:tcPr>
            <w:tcW w:w="3168" w:type="dxa"/>
            <w:shd w:val="clear" w:color="auto" w:fill="FFFFFF"/>
          </w:tcPr>
          <w:p>
            <w:pPr>
              <w:spacing w:before="120" w:after="120" w:line="276" w:lineRule="auto"/>
            </w:pPr>
            <w:r>
              <w:rPr>
                <w:rFonts w:ascii="Calibri" w:hAnsi="Calibri"/>
                <w:b w:val="0"/>
                <w:i w:val="0"/>
                <w:color w:val="1E293B"/>
                <w:sz w:val="44"/>
              </w:rPr>
              <w:t>Video Views &amp; Lead Generation (Cold Prospecting)</w:t>
            </w:r>
          </w:p>
        </w:tc>
        <w:tc>
          <w:tcPr>
            <w:tcW w:w="2016" w:type="dxa"/>
            <w:shd w:val="clear" w:color="auto" w:fill="FFFFFF"/>
          </w:tcPr>
          <w:p>
            <w:pPr>
              <w:spacing w:before="120" w:after="120" w:line="276" w:lineRule="auto"/>
            </w:pPr>
            <w:r>
              <w:rPr>
                <w:rFonts w:ascii="Calibri" w:hAnsi="Calibri"/>
                <w:b w:val="0"/>
                <w:i w:val="0"/>
                <w:color w:val="1E293B"/>
                <w:sz w:val="44"/>
              </w:rPr>
              <w:t>Highest Volume / Lowest Cost Bidding</w:t>
            </w:r>
          </w:p>
        </w:tc>
      </w:tr>
      <w:tr>
        <w:tc>
          <w:tcPr>
            <w:tcW w:w="2592" w:type="dxa"/>
            <w:shd w:val="clear" w:color="auto" w:fill="F1F5F9"/>
          </w:tcPr>
          <w:p>
            <w:pPr>
              <w:spacing w:before="120" w:after="120" w:line="276" w:lineRule="auto"/>
            </w:pPr>
            <w:r>
              <w:rPr>
                <w:rFonts w:ascii="Calibri" w:hAnsi="Calibri"/>
                <w:b w:val="0"/>
                <w:i w:val="0"/>
                <w:color w:val="1E293B"/>
                <w:sz w:val="44"/>
              </w:rPr>
              <w:t>Middle-of-Funnel (MOFU)</w:t>
            </w:r>
          </w:p>
        </w:tc>
        <w:tc>
          <w:tcPr>
            <w:tcW w:w="2304" w:type="dxa"/>
            <w:shd w:val="clear" w:color="auto" w:fill="F1F5F9"/>
          </w:tcPr>
          <w:p>
            <w:pPr>
              <w:spacing w:before="120" w:after="120" w:line="276" w:lineRule="auto"/>
            </w:pPr>
            <w:r>
              <w:rPr>
                <w:rFonts w:ascii="Calibri" w:hAnsi="Calibri"/>
                <w:b w:val="0"/>
                <w:i w:val="0"/>
                <w:color w:val="1E293B"/>
                <w:sz w:val="44"/>
              </w:rPr>
              <w:t>35%</w:t>
            </w:r>
          </w:p>
        </w:tc>
        <w:tc>
          <w:tcPr>
            <w:tcW w:w="3168" w:type="dxa"/>
            <w:shd w:val="clear" w:color="auto" w:fill="F1F5F9"/>
          </w:tcPr>
          <w:p>
            <w:pPr>
              <w:spacing w:before="120" w:after="120" w:line="276" w:lineRule="auto"/>
            </w:pPr>
            <w:r>
              <w:rPr>
                <w:rFonts w:ascii="Calibri" w:hAnsi="Calibri"/>
                <w:b w:val="0"/>
                <w:i w:val="0"/>
                <w:color w:val="1E293B"/>
                <w:sz w:val="44"/>
              </w:rPr>
              <w:t>Webinar Registrations / Demo Bookings</w:t>
            </w:r>
          </w:p>
        </w:tc>
        <w:tc>
          <w:tcPr>
            <w:tcW w:w="2016" w:type="dxa"/>
            <w:shd w:val="clear" w:color="auto" w:fill="F1F5F9"/>
          </w:tcPr>
          <w:p>
            <w:pPr>
              <w:spacing w:before="120" w:after="120" w:line="276" w:lineRule="auto"/>
            </w:pPr>
            <w:r>
              <w:rPr>
                <w:rFonts w:ascii="Calibri" w:hAnsi="Calibri"/>
                <w:b w:val="0"/>
                <w:i w:val="0"/>
                <w:color w:val="1E293B"/>
                <w:sz w:val="44"/>
              </w:rPr>
              <w:t>Cost Cap Bidding on Cost Per Registration</w:t>
            </w:r>
          </w:p>
        </w:tc>
      </w:tr>
      <w:tr>
        <w:tc>
          <w:tcPr>
            <w:tcW w:w="2592" w:type="dxa"/>
            <w:shd w:val="clear" w:color="auto" w:fill="FFFFFF"/>
          </w:tcPr>
          <w:p>
            <w:pPr>
              <w:spacing w:before="120" w:after="120" w:line="276" w:lineRule="auto"/>
            </w:pPr>
            <w:r>
              <w:rPr>
                <w:rFonts w:ascii="Calibri" w:hAnsi="Calibri"/>
                <w:b w:val="0"/>
                <w:i w:val="0"/>
                <w:color w:val="1E293B"/>
                <w:sz w:val="44"/>
              </w:rPr>
              <w:t>Bottom-of-Funnel (BOFU)</w:t>
            </w:r>
          </w:p>
        </w:tc>
        <w:tc>
          <w:tcPr>
            <w:tcW w:w="2304" w:type="dxa"/>
            <w:shd w:val="clear" w:color="auto" w:fill="FFFFFF"/>
          </w:tcPr>
          <w:p>
            <w:pPr>
              <w:spacing w:before="120" w:after="120" w:line="276" w:lineRule="auto"/>
            </w:pPr>
            <w:r>
              <w:rPr>
                <w:rFonts w:ascii="Calibri" w:hAnsi="Calibri"/>
                <w:b w:val="0"/>
                <w:i w:val="0"/>
                <w:color w:val="1E293B"/>
                <w:sz w:val="44"/>
              </w:rPr>
              <w:t>20%</w:t>
            </w:r>
          </w:p>
        </w:tc>
        <w:tc>
          <w:tcPr>
            <w:tcW w:w="3168" w:type="dxa"/>
            <w:shd w:val="clear" w:color="auto" w:fill="FFFFFF"/>
          </w:tcPr>
          <w:p>
            <w:pPr>
              <w:spacing w:before="120" w:after="120" w:line="276" w:lineRule="auto"/>
            </w:pPr>
            <w:r>
              <w:rPr>
                <w:rFonts w:ascii="Calibri" w:hAnsi="Calibri"/>
                <w:b w:val="0"/>
                <w:i w:val="0"/>
                <w:color w:val="1E293B"/>
                <w:sz w:val="44"/>
              </w:rPr>
              <w:t>Direct Course Admissions / Retargeting</w:t>
            </w:r>
          </w:p>
        </w:tc>
        <w:tc>
          <w:tcPr>
            <w:tcW w:w="2016" w:type="dxa"/>
            <w:shd w:val="clear" w:color="auto" w:fill="FFFFFF"/>
          </w:tcPr>
          <w:p>
            <w:pPr>
              <w:spacing w:before="120" w:after="120" w:line="276" w:lineRule="auto"/>
            </w:pPr>
            <w:r>
              <w:rPr>
                <w:rFonts w:ascii="Calibri" w:hAnsi="Calibri"/>
                <w:b w:val="0"/>
                <w:i w:val="0"/>
                <w:color w:val="1E293B"/>
                <w:sz w:val="44"/>
              </w:rPr>
              <w:t>Highest Value / Target CPA Bidding</w:t>
            </w:r>
          </w:p>
        </w:tc>
      </w:tr>
    </w:tbl>
    <w:p>
      <w:pPr>
        <w:spacing w:before="0" w:after="240"/>
      </w:pPr>
    </w:p>
    <w:p>
      <w:pPr>
        <w:keepNext/>
        <w:spacing w:before="440" w:after="200"/>
      </w:pPr>
      <w:r>
        <w:rPr>
          <w:rFonts w:ascii="Calibri" w:hAnsi="Calibri"/>
          <w:b/>
          <w:i w:val="0"/>
          <w:color w:val="0E7490"/>
          <w:sz w:val="52"/>
        </w:rPr>
        <w:t>13.1 Campaign Budget Optimization (CBO) vs. ABO</w:t>
      </w:r>
    </w:p>
    <w:p>
      <w:pPr>
        <w:spacing w:before="80" w:after="280" w:line="288" w:lineRule="auto"/>
      </w:pPr>
      <w:r>
        <w:rPr>
          <w:rFonts w:ascii="Calibri" w:hAnsi="Calibri"/>
          <w:b w:val="0"/>
          <w:i w:val="0"/>
          <w:color w:val="1E293B"/>
          <w:sz w:val="48"/>
        </w:rPr>
        <w:t>We recommend deploying Advantage Campaign Budget (CBO) for cold prospecting ad sets containing 3–4 segmented interest groups, allowing Meta's machine learning algorithm to dynamically distribute budget to the best-performing ad set. For bottom-of-funnel retargeting, Ad Set Budget Optimization (ABO) is utilized to ensure dedicated spend across high-intent website visitors.</w:t>
      </w:r>
    </w:p>
    <w:p>
      <w:pPr>
        <w:keepNext/>
        <w:spacing w:before="560" w:after="280"/>
      </w:pPr>
      <w:r>
        <w:rPr>
          <w:rFonts w:ascii="Calibri" w:hAnsi="Calibri"/>
          <w:b/>
          <w:i w:val="0"/>
          <w:color w:val="14233C"/>
          <w:sz w:val="56"/>
        </w:rPr>
        <w:t>Chapter 14: Key Performance Indicators &amp; Analytics Dashboard</w:t>
      </w:r>
    </w:p>
    <w:p>
      <w:pPr>
        <w:spacing w:before="80" w:after="280" w:line="288" w:lineRule="auto"/>
      </w:pPr>
      <w:r>
        <w:rPr>
          <w:rFonts w:ascii="Calibri" w:hAnsi="Calibri"/>
          <w:b w:val="0"/>
          <w:i w:val="0"/>
          <w:color w:val="1E293B"/>
          <w:sz w:val="48"/>
        </w:rPr>
        <w:t>Campaign success is evaluated across the following baseline metrics:</w:t>
      </w:r>
    </w:p>
    <w:tbl>
      <w:tblPr>
        <w:jc w:val="left"/>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2880"/>
        <w:gridCol w:w="2592"/>
        <w:gridCol w:w="4608"/>
      </w:tblGrid>
      <w:tr>
        <w:tc>
          <w:tcPr>
            <w:tcW w:w="2880" w:type="dxa"/>
            <w:shd w:val="clear" w:color="auto" w:fill="142B49"/>
          </w:tcPr>
          <w:p>
            <w:pPr>
              <w:spacing w:before="120" w:after="120"/>
            </w:pPr>
            <w:r>
              <w:rPr>
                <w:rFonts w:ascii="Calibri" w:hAnsi="Calibri"/>
                <w:b/>
                <w:i w:val="0"/>
                <w:color w:val="FFFFFF"/>
                <w:sz w:val="44"/>
              </w:rPr>
              <w:t>Metric Name</w:t>
            </w:r>
          </w:p>
        </w:tc>
        <w:tc>
          <w:tcPr>
            <w:tcW w:w="2592" w:type="dxa"/>
            <w:shd w:val="clear" w:color="auto" w:fill="142B49"/>
          </w:tcPr>
          <w:p>
            <w:pPr>
              <w:spacing w:before="120" w:after="120"/>
            </w:pPr>
            <w:r>
              <w:rPr>
                <w:rFonts w:ascii="Calibri" w:hAnsi="Calibri"/>
                <w:b/>
                <w:i w:val="0"/>
                <w:color w:val="FFFFFF"/>
                <w:sz w:val="44"/>
              </w:rPr>
              <w:t>Benchmark Target</w:t>
            </w:r>
          </w:p>
        </w:tc>
        <w:tc>
          <w:tcPr>
            <w:tcW w:w="4608" w:type="dxa"/>
            <w:shd w:val="clear" w:color="auto" w:fill="142B49"/>
          </w:tcPr>
          <w:p>
            <w:pPr>
              <w:spacing w:before="120" w:after="120"/>
            </w:pPr>
            <w:r>
              <w:rPr>
                <w:rFonts w:ascii="Calibri" w:hAnsi="Calibri"/>
                <w:b/>
                <w:i w:val="0"/>
                <w:color w:val="FFFFFF"/>
                <w:sz w:val="44"/>
              </w:rPr>
              <w:t>Strategic Remediation if Missed</w:t>
            </w:r>
          </w:p>
        </w:tc>
      </w:tr>
      <w:tr>
        <w:tc>
          <w:tcPr>
            <w:tcW w:w="2880" w:type="dxa"/>
            <w:shd w:val="clear" w:color="auto" w:fill="FFFFFF"/>
          </w:tcPr>
          <w:p>
            <w:pPr>
              <w:spacing w:before="120" w:after="120" w:line="276" w:lineRule="auto"/>
            </w:pPr>
            <w:r>
              <w:rPr>
                <w:rFonts w:ascii="Calibri" w:hAnsi="Calibri"/>
                <w:b w:val="0"/>
                <w:i w:val="0"/>
                <w:color w:val="1E293B"/>
                <w:sz w:val="44"/>
              </w:rPr>
              <w:t>Click-Through Rate (CTR Link)</w:t>
            </w:r>
          </w:p>
        </w:tc>
        <w:tc>
          <w:tcPr>
            <w:tcW w:w="2592" w:type="dxa"/>
            <w:shd w:val="clear" w:color="auto" w:fill="FFFFFF"/>
          </w:tcPr>
          <w:p>
            <w:pPr>
              <w:spacing w:before="120" w:after="120" w:line="276" w:lineRule="auto"/>
            </w:pPr>
            <w:r>
              <w:rPr>
                <w:rFonts w:ascii="Calibri" w:hAnsi="Calibri"/>
                <w:b w:val="0"/>
                <w:i w:val="0"/>
                <w:color w:val="1E293B"/>
                <w:sz w:val="44"/>
              </w:rPr>
              <w:t>2.2% – 4.5%</w:t>
            </w:r>
          </w:p>
        </w:tc>
        <w:tc>
          <w:tcPr>
            <w:tcW w:w="4608" w:type="dxa"/>
            <w:shd w:val="clear" w:color="auto" w:fill="FFFFFF"/>
          </w:tcPr>
          <w:p>
            <w:pPr>
              <w:spacing w:before="120" w:after="120" w:line="276" w:lineRule="auto"/>
            </w:pPr>
            <w:r>
              <w:rPr>
                <w:rFonts w:ascii="Calibri" w:hAnsi="Calibri"/>
                <w:b w:val="0"/>
                <w:i w:val="0"/>
                <w:color w:val="1E293B"/>
                <w:sz w:val="44"/>
              </w:rPr>
              <w:t>Refresh ad hook, enhance visual thumbnail contrast, sharpen headline text.</w:t>
            </w:r>
          </w:p>
        </w:tc>
      </w:tr>
      <w:tr>
        <w:tc>
          <w:tcPr>
            <w:tcW w:w="2880" w:type="dxa"/>
            <w:shd w:val="clear" w:color="auto" w:fill="F1F5F9"/>
          </w:tcPr>
          <w:p>
            <w:pPr>
              <w:spacing w:before="120" w:after="120" w:line="276" w:lineRule="auto"/>
            </w:pPr>
            <w:r>
              <w:rPr>
                <w:rFonts w:ascii="Calibri" w:hAnsi="Calibri"/>
                <w:b w:val="0"/>
                <w:i w:val="0"/>
                <w:color w:val="1E293B"/>
                <w:sz w:val="44"/>
              </w:rPr>
              <w:t>Cost Per Click (CPC)</w:t>
            </w:r>
          </w:p>
        </w:tc>
        <w:tc>
          <w:tcPr>
            <w:tcW w:w="2592" w:type="dxa"/>
            <w:shd w:val="clear" w:color="auto" w:fill="F1F5F9"/>
          </w:tcPr>
          <w:p>
            <w:pPr>
              <w:spacing w:before="120" w:after="120" w:line="276" w:lineRule="auto"/>
            </w:pPr>
            <w:r>
              <w:rPr>
                <w:rFonts w:ascii="Calibri" w:hAnsi="Calibri"/>
                <w:b w:val="0"/>
                <w:i w:val="0"/>
                <w:color w:val="1E293B"/>
                <w:sz w:val="44"/>
              </w:rPr>
              <w:t>INR 12 – INR 25</w:t>
            </w:r>
          </w:p>
        </w:tc>
        <w:tc>
          <w:tcPr>
            <w:tcW w:w="4608" w:type="dxa"/>
            <w:shd w:val="clear" w:color="auto" w:fill="F1F5F9"/>
          </w:tcPr>
          <w:p>
            <w:pPr>
              <w:spacing w:before="120" w:after="120" w:line="276" w:lineRule="auto"/>
            </w:pPr>
            <w:r>
              <w:rPr>
                <w:rFonts w:ascii="Calibri" w:hAnsi="Calibri"/>
                <w:b w:val="0"/>
                <w:i w:val="0"/>
                <w:color w:val="1E293B"/>
                <w:sz w:val="44"/>
              </w:rPr>
              <w:t>Broaden audience parameters or expand creative variations.</w:t>
            </w:r>
          </w:p>
        </w:tc>
      </w:tr>
      <w:tr>
        <w:tc>
          <w:tcPr>
            <w:tcW w:w="2880" w:type="dxa"/>
            <w:shd w:val="clear" w:color="auto" w:fill="FFFFFF"/>
          </w:tcPr>
          <w:p>
            <w:pPr>
              <w:spacing w:before="120" w:after="120" w:line="276" w:lineRule="auto"/>
            </w:pPr>
            <w:r>
              <w:rPr>
                <w:rFonts w:ascii="Calibri" w:hAnsi="Calibri"/>
                <w:b w:val="0"/>
                <w:i w:val="0"/>
                <w:color w:val="1E293B"/>
                <w:sz w:val="44"/>
              </w:rPr>
              <w:t>Lead Form Completion Rate</w:t>
            </w:r>
          </w:p>
        </w:tc>
        <w:tc>
          <w:tcPr>
            <w:tcW w:w="2592" w:type="dxa"/>
            <w:shd w:val="clear" w:color="auto" w:fill="FFFFFF"/>
          </w:tcPr>
          <w:p>
            <w:pPr>
              <w:spacing w:before="120" w:after="120" w:line="276" w:lineRule="auto"/>
            </w:pPr>
            <w:r>
              <w:rPr>
                <w:rFonts w:ascii="Calibri" w:hAnsi="Calibri"/>
                <w:b w:val="0"/>
                <w:i w:val="0"/>
                <w:color w:val="1E293B"/>
                <w:sz w:val="44"/>
              </w:rPr>
              <w:t>18% – 28%</w:t>
            </w:r>
          </w:p>
        </w:tc>
        <w:tc>
          <w:tcPr>
            <w:tcW w:w="4608" w:type="dxa"/>
            <w:shd w:val="clear" w:color="auto" w:fill="FFFFFF"/>
          </w:tcPr>
          <w:p>
            <w:pPr>
              <w:spacing w:before="120" w:after="120" w:line="276" w:lineRule="auto"/>
            </w:pPr>
            <w:r>
              <w:rPr>
                <w:rFonts w:ascii="Calibri" w:hAnsi="Calibri"/>
                <w:b w:val="0"/>
                <w:i w:val="0"/>
                <w:color w:val="1E293B"/>
                <w:sz w:val="44"/>
              </w:rPr>
              <w:t>Shorten form fields, remove unnecessary friction, enable auto-fill.</w:t>
            </w:r>
          </w:p>
        </w:tc>
      </w:tr>
      <w:tr>
        <w:tc>
          <w:tcPr>
            <w:tcW w:w="2880" w:type="dxa"/>
            <w:shd w:val="clear" w:color="auto" w:fill="F1F5F9"/>
          </w:tcPr>
          <w:p>
            <w:pPr>
              <w:spacing w:before="120" w:after="120" w:line="276" w:lineRule="auto"/>
            </w:pPr>
            <w:r>
              <w:rPr>
                <w:rFonts w:ascii="Calibri" w:hAnsi="Calibri"/>
                <w:b w:val="0"/>
                <w:i w:val="0"/>
                <w:color w:val="1E293B"/>
                <w:sz w:val="44"/>
              </w:rPr>
              <w:t>Cost Per Lead (CPL - Cold)</w:t>
            </w:r>
          </w:p>
        </w:tc>
        <w:tc>
          <w:tcPr>
            <w:tcW w:w="2592" w:type="dxa"/>
            <w:shd w:val="clear" w:color="auto" w:fill="F1F5F9"/>
          </w:tcPr>
          <w:p>
            <w:pPr>
              <w:spacing w:before="120" w:after="120" w:line="276" w:lineRule="auto"/>
            </w:pPr>
            <w:r>
              <w:rPr>
                <w:rFonts w:ascii="Calibri" w:hAnsi="Calibri"/>
                <w:b w:val="0"/>
                <w:i w:val="0"/>
                <w:color w:val="1E293B"/>
                <w:sz w:val="44"/>
              </w:rPr>
              <w:t>INR 90 – INR 180</w:t>
            </w:r>
          </w:p>
        </w:tc>
        <w:tc>
          <w:tcPr>
            <w:tcW w:w="4608" w:type="dxa"/>
            <w:shd w:val="clear" w:color="auto" w:fill="F1F5F9"/>
          </w:tcPr>
          <w:p>
            <w:pPr>
              <w:spacing w:before="120" w:after="120" w:line="276" w:lineRule="auto"/>
            </w:pPr>
            <w:r>
              <w:rPr>
                <w:rFonts w:ascii="Calibri" w:hAnsi="Calibri"/>
                <w:b w:val="0"/>
                <w:i w:val="0"/>
                <w:color w:val="1E293B"/>
                <w:sz w:val="44"/>
              </w:rPr>
              <w:t>Refine interest layering, add exclusion parameters for junk accounts.</w:t>
            </w:r>
          </w:p>
        </w:tc>
      </w:tr>
      <w:tr>
        <w:tc>
          <w:tcPr>
            <w:tcW w:w="2880" w:type="dxa"/>
            <w:shd w:val="clear" w:color="auto" w:fill="FFFFFF"/>
          </w:tcPr>
          <w:p>
            <w:pPr>
              <w:spacing w:before="120" w:after="120" w:line="276" w:lineRule="auto"/>
            </w:pPr>
            <w:r>
              <w:rPr>
                <w:rFonts w:ascii="Calibri" w:hAnsi="Calibri"/>
                <w:b w:val="0"/>
                <w:i w:val="0"/>
                <w:color w:val="1E293B"/>
                <w:sz w:val="44"/>
              </w:rPr>
              <w:t>Webinar Attendance Rate</w:t>
            </w:r>
          </w:p>
        </w:tc>
        <w:tc>
          <w:tcPr>
            <w:tcW w:w="2592" w:type="dxa"/>
            <w:shd w:val="clear" w:color="auto" w:fill="FFFFFF"/>
          </w:tcPr>
          <w:p>
            <w:pPr>
              <w:spacing w:before="120" w:after="120" w:line="276" w:lineRule="auto"/>
            </w:pPr>
            <w:r>
              <w:rPr>
                <w:rFonts w:ascii="Calibri" w:hAnsi="Calibri"/>
                <w:b w:val="0"/>
                <w:i w:val="0"/>
                <w:color w:val="1E293B"/>
                <w:sz w:val="44"/>
              </w:rPr>
              <w:t>40% – 55%</w:t>
            </w:r>
          </w:p>
        </w:tc>
        <w:tc>
          <w:tcPr>
            <w:tcW w:w="4608" w:type="dxa"/>
            <w:shd w:val="clear" w:color="auto" w:fill="FFFFFF"/>
          </w:tcPr>
          <w:p>
            <w:pPr>
              <w:spacing w:before="120" w:after="120" w:line="276" w:lineRule="auto"/>
            </w:pPr>
            <w:r>
              <w:rPr>
                <w:rFonts w:ascii="Calibri" w:hAnsi="Calibri"/>
                <w:b w:val="0"/>
                <w:i w:val="0"/>
                <w:color w:val="1E293B"/>
                <w:sz w:val="44"/>
              </w:rPr>
              <w:t>Automate WhatsApp calendar reminders and pre-session workbook distribution.</w:t>
            </w:r>
          </w:p>
        </w:tc>
      </w:tr>
      <w:tr>
        <w:tc>
          <w:tcPr>
            <w:tcW w:w="2880" w:type="dxa"/>
            <w:shd w:val="clear" w:color="auto" w:fill="F1F5F9"/>
          </w:tcPr>
          <w:p>
            <w:pPr>
              <w:spacing w:before="120" w:after="120" w:line="276" w:lineRule="auto"/>
            </w:pPr>
            <w:r>
              <w:rPr>
                <w:rFonts w:ascii="Calibri" w:hAnsi="Calibri"/>
                <w:b w:val="0"/>
                <w:i w:val="0"/>
                <w:color w:val="1E293B"/>
                <w:sz w:val="44"/>
              </w:rPr>
              <w:t>Lead-to-Admission Rate</w:t>
            </w:r>
          </w:p>
        </w:tc>
        <w:tc>
          <w:tcPr>
            <w:tcW w:w="2592" w:type="dxa"/>
            <w:shd w:val="clear" w:color="auto" w:fill="F1F5F9"/>
          </w:tcPr>
          <w:p>
            <w:pPr>
              <w:spacing w:before="120" w:after="120" w:line="276" w:lineRule="auto"/>
            </w:pPr>
            <w:r>
              <w:rPr>
                <w:rFonts w:ascii="Calibri" w:hAnsi="Calibri"/>
                <w:b w:val="0"/>
                <w:i w:val="0"/>
                <w:color w:val="1E293B"/>
                <w:sz w:val="44"/>
              </w:rPr>
              <w:t>5.0% – 8.5%</w:t>
            </w:r>
          </w:p>
        </w:tc>
        <w:tc>
          <w:tcPr>
            <w:tcW w:w="4608" w:type="dxa"/>
            <w:shd w:val="clear" w:color="auto" w:fill="F1F5F9"/>
          </w:tcPr>
          <w:p>
            <w:pPr>
              <w:spacing w:before="120" w:after="120" w:line="276" w:lineRule="auto"/>
            </w:pPr>
            <w:r>
              <w:rPr>
                <w:rFonts w:ascii="Calibri" w:hAnsi="Calibri"/>
                <w:b w:val="0"/>
                <w:i w:val="0"/>
                <w:color w:val="1E293B"/>
                <w:sz w:val="44"/>
              </w:rPr>
              <w:t>Improve sales counseling quality, introduce flexible EMI payment solutions.</w:t>
            </w:r>
          </w:p>
        </w:tc>
      </w:tr>
      <w:tr>
        <w:tc>
          <w:tcPr>
            <w:tcW w:w="2880" w:type="dxa"/>
            <w:shd w:val="clear" w:color="auto" w:fill="FFFFFF"/>
          </w:tcPr>
          <w:p>
            <w:pPr>
              <w:spacing w:before="120" w:after="120" w:line="276" w:lineRule="auto"/>
            </w:pPr>
            <w:r>
              <w:rPr>
                <w:rFonts w:ascii="Calibri" w:hAnsi="Calibri"/>
                <w:b w:val="0"/>
                <w:i w:val="0"/>
                <w:color w:val="1E293B"/>
                <w:sz w:val="44"/>
              </w:rPr>
              <w:t>Return on Ad Spend (ROAS)</w:t>
            </w:r>
          </w:p>
        </w:tc>
        <w:tc>
          <w:tcPr>
            <w:tcW w:w="2592" w:type="dxa"/>
            <w:shd w:val="clear" w:color="auto" w:fill="FFFFFF"/>
          </w:tcPr>
          <w:p>
            <w:pPr>
              <w:spacing w:before="120" w:after="120" w:line="276" w:lineRule="auto"/>
            </w:pPr>
            <w:r>
              <w:rPr>
                <w:rFonts w:ascii="Calibri" w:hAnsi="Calibri"/>
                <w:b w:val="0"/>
                <w:i w:val="0"/>
                <w:color w:val="1E293B"/>
                <w:sz w:val="44"/>
              </w:rPr>
              <w:t>3.5x – 5.0x+</w:t>
            </w:r>
          </w:p>
        </w:tc>
        <w:tc>
          <w:tcPr>
            <w:tcW w:w="4608" w:type="dxa"/>
            <w:shd w:val="clear" w:color="auto" w:fill="FFFFFF"/>
          </w:tcPr>
          <w:p>
            <w:pPr>
              <w:spacing w:before="120" w:after="120" w:line="276" w:lineRule="auto"/>
            </w:pPr>
            <w:r>
              <w:rPr>
                <w:rFonts w:ascii="Calibri" w:hAnsi="Calibri"/>
                <w:b w:val="0"/>
                <w:i w:val="0"/>
                <w:color w:val="1E293B"/>
                <w:sz w:val="44"/>
              </w:rPr>
              <w:t>Optimize full-funnel conversion velocity and scale top lookalike audiences.</w:t>
            </w:r>
          </w:p>
        </w:tc>
      </w:tr>
    </w:tbl>
    <w:p>
      <w:pPr>
        <w:spacing w:before="0" w:after="240"/>
      </w:pPr>
    </w:p>
    <w:p>
      <w:pPr>
        <w:keepNext/>
        <w:spacing w:before="560" w:after="280"/>
      </w:pPr>
      <w:r>
        <w:rPr>
          <w:rFonts w:ascii="Calibri" w:hAnsi="Calibri"/>
          <w:b/>
          <w:i w:val="0"/>
          <w:color w:val="14233C"/>
          <w:sz w:val="56"/>
        </w:rPr>
        <w:t>Chapter 15: A/B Testing Framework &amp; Continuous Optimization</w:t>
      </w:r>
    </w:p>
    <w:p>
      <w:pPr>
        <w:spacing w:before="80" w:after="280" w:line="288" w:lineRule="auto"/>
      </w:pPr>
      <w:r>
        <w:rPr>
          <w:rFonts w:ascii="Calibri" w:hAnsi="Calibri"/>
          <w:b w:val="0"/>
          <w:i w:val="0"/>
          <w:color w:val="1E293B"/>
          <w:sz w:val="48"/>
        </w:rPr>
        <w:t>To avoid campaign stagnation, a disciplined testing framework is maintained continuously across three variables:</w:t>
      </w:r>
    </w:p>
    <w:p>
      <w:pPr>
        <w:keepNext/>
        <w:spacing w:before="440" w:after="200"/>
      </w:pPr>
      <w:r>
        <w:rPr>
          <w:rFonts w:ascii="Calibri" w:hAnsi="Calibri"/>
          <w:b/>
          <w:i w:val="0"/>
          <w:color w:val="0E7490"/>
          <w:sz w:val="52"/>
        </w:rPr>
        <w:t>15.1 Testing Vectors</w:t>
      </w:r>
    </w:p>
    <w:p>
      <w:pPr>
        <w:pStyle w:val="27"/>
        <w:spacing w:before="80" w:after="200" w:line="288" w:lineRule="auto"/>
      </w:pPr>
      <w:r>
        <w:rPr>
          <w:rFonts w:ascii="Calibri" w:hAnsi="Calibri"/>
          <w:b/>
          <w:i w:val="0"/>
          <w:color w:val="14233C"/>
          <w:sz w:val="48"/>
        </w:rPr>
        <w:t xml:space="preserve">Creative Format Split: </w:t>
      </w:r>
      <w:r>
        <w:rPr>
          <w:rFonts w:ascii="Calibri" w:hAnsi="Calibri"/>
          <w:b w:val="0"/>
          <w:i w:val="0"/>
          <w:color w:val="1E293B"/>
          <w:sz w:val="48"/>
        </w:rPr>
        <w:t>Static High-Contrast Infographics vs. UGC (User Generated Content) Student Selfie Videos vs. Motion Graphic Explainer Animations.</w:t>
      </w:r>
    </w:p>
    <w:p>
      <w:pPr>
        <w:pStyle w:val="27"/>
        <w:spacing w:before="80" w:after="200" w:line="288" w:lineRule="auto"/>
      </w:pPr>
      <w:r>
        <w:rPr>
          <w:rFonts w:ascii="Calibri" w:hAnsi="Calibri"/>
          <w:b/>
          <w:i w:val="0"/>
          <w:color w:val="14233C"/>
          <w:sz w:val="48"/>
        </w:rPr>
        <w:t xml:space="preserve">Ad Hook Testing: </w:t>
      </w:r>
      <w:r>
        <w:rPr>
          <w:rFonts w:ascii="Calibri" w:hAnsi="Calibri"/>
          <w:b w:val="0"/>
          <w:i w:val="0"/>
          <w:color w:val="1E293B"/>
          <w:sz w:val="48"/>
        </w:rPr>
        <w:t>'High Salary / Job Placement' hook vs. 'Freelance Dollar Income' hook vs. 'Practical Tool Mastery' hook.</w:t>
      </w:r>
    </w:p>
    <w:p>
      <w:pPr>
        <w:pStyle w:val="27"/>
        <w:spacing w:before="80" w:after="200" w:line="288" w:lineRule="auto"/>
      </w:pPr>
      <w:r>
        <w:rPr>
          <w:rFonts w:ascii="Calibri" w:hAnsi="Calibri"/>
          <w:b/>
          <w:i w:val="0"/>
          <w:color w:val="14233C"/>
          <w:sz w:val="48"/>
        </w:rPr>
        <w:t xml:space="preserve">Landing Page Variations: </w:t>
      </w:r>
      <w:r>
        <w:rPr>
          <w:rFonts w:ascii="Calibri" w:hAnsi="Calibri"/>
          <w:b w:val="0"/>
          <w:i w:val="0"/>
          <w:color w:val="1E293B"/>
          <w:sz w:val="48"/>
        </w:rPr>
        <w:t>Long-form curriculum page vs. Short-form interactive career quiz landing page.</w:t>
      </w:r>
    </w:p>
    <w:p>
      <w:pPr>
        <w:keepNext/>
        <w:spacing w:before="560" w:after="280"/>
      </w:pPr>
      <w:r>
        <w:rPr>
          <w:rFonts w:ascii="Calibri" w:hAnsi="Calibri"/>
          <w:b/>
          <w:i w:val="0"/>
          <w:color w:val="14233C"/>
          <w:sz w:val="56"/>
        </w:rPr>
        <w:t>Chapter 16: Compliance, Policy Adherence &amp; Scalability Roadmap</w:t>
      </w:r>
    </w:p>
    <w:p>
      <w:pPr>
        <w:spacing w:before="80" w:after="280" w:line="288" w:lineRule="auto"/>
      </w:pPr>
      <w:r>
        <w:rPr>
          <w:rFonts w:ascii="Calibri" w:hAnsi="Calibri"/>
          <w:b w:val="0"/>
          <w:i w:val="0"/>
          <w:color w:val="1E293B"/>
          <w:sz w:val="48"/>
        </w:rPr>
        <w:t>Meta enforces stringent advertising policies regarding educational claims, income guarantees, and employment advertising:</w:t>
      </w:r>
    </w:p>
    <w:p>
      <w:pPr>
        <w:keepNext/>
        <w:spacing w:before="440" w:after="200"/>
      </w:pPr>
      <w:r>
        <w:rPr>
          <w:rFonts w:ascii="Calibri" w:hAnsi="Calibri"/>
          <w:b/>
          <w:i w:val="0"/>
          <w:color w:val="0E7490"/>
          <w:sz w:val="52"/>
        </w:rPr>
        <w:t>16.1 Policy Compliance Guardrails</w:t>
      </w:r>
    </w:p>
    <w:p>
      <w:pPr>
        <w:pStyle w:val="27"/>
        <w:spacing w:before="80" w:after="200" w:line="288" w:lineRule="auto"/>
      </w:pPr>
      <w:r>
        <w:rPr>
          <w:rFonts w:ascii="Calibri" w:hAnsi="Calibri"/>
          <w:b/>
          <w:i w:val="0"/>
          <w:color w:val="14233C"/>
          <w:sz w:val="48"/>
        </w:rPr>
        <w:t xml:space="preserve">Prohibited Claims: </w:t>
      </w:r>
      <w:r>
        <w:rPr>
          <w:rFonts w:ascii="Calibri" w:hAnsi="Calibri"/>
          <w:b w:val="0"/>
          <w:i w:val="0"/>
          <w:color w:val="1E293B"/>
          <w:sz w:val="48"/>
        </w:rPr>
        <w:t>Avoid sensationalist promises such as 'Guaranteed 10 Lakh Salary in 30 Days' or 'Work 1 Hour and Get Rich'.</w:t>
      </w:r>
    </w:p>
    <w:p>
      <w:pPr>
        <w:pStyle w:val="27"/>
        <w:spacing w:before="80" w:after="200" w:line="288" w:lineRule="auto"/>
      </w:pPr>
      <w:r>
        <w:rPr>
          <w:rFonts w:ascii="Calibri" w:hAnsi="Calibri"/>
          <w:b/>
          <w:i w:val="0"/>
          <w:color w:val="14233C"/>
          <w:sz w:val="48"/>
        </w:rPr>
        <w:t xml:space="preserve">Approved Claims: </w:t>
      </w:r>
      <w:r>
        <w:rPr>
          <w:rFonts w:ascii="Calibri" w:hAnsi="Calibri"/>
          <w:b w:val="0"/>
          <w:i w:val="0"/>
          <w:color w:val="1E293B"/>
          <w:sz w:val="48"/>
        </w:rPr>
        <w:t>Use compliant language: '100% Placement Assistance &amp; Live Project Portfolio Building', 'Learn In-Demand Skills Taught by Industry Practitioners'.</w:t>
      </w:r>
    </w:p>
    <w:p>
      <w:pPr>
        <w:pStyle w:val="27"/>
        <w:spacing w:before="80" w:after="200" w:line="288" w:lineRule="auto"/>
      </w:pPr>
      <w:r>
        <w:rPr>
          <w:rFonts w:ascii="Calibri" w:hAnsi="Calibri"/>
          <w:b/>
          <w:i w:val="0"/>
          <w:color w:val="14233C"/>
          <w:sz w:val="48"/>
        </w:rPr>
        <w:t xml:space="preserve">Data Privacy &amp; Pixel Consent: </w:t>
      </w:r>
      <w:r>
        <w:rPr>
          <w:rFonts w:ascii="Calibri" w:hAnsi="Calibri"/>
          <w:b w:val="0"/>
          <w:i w:val="0"/>
          <w:color w:val="1E293B"/>
          <w:sz w:val="48"/>
        </w:rPr>
        <w:t>Implement Conversions API (CAPI) alongside the Meta browser pixel to ensure 100% accurate event tracking post-iOS 14 privacy changes.</w:t>
      </w:r>
    </w:p>
    <w:p>
      <w:pPr>
        <w:keepNext/>
        <w:spacing w:before="560" w:after="280"/>
      </w:pPr>
      <w:r>
        <w:rPr>
          <w:rFonts w:ascii="Calibri" w:hAnsi="Calibri"/>
          <w:b/>
          <w:i w:val="0"/>
          <w:color w:val="14233C"/>
          <w:sz w:val="56"/>
        </w:rPr>
        <w:t>Chapter 17: Conclusion &amp; Strategic Recommendations</w:t>
      </w:r>
    </w:p>
    <w:p>
      <w:pPr>
        <w:spacing w:before="80" w:after="280" w:line="288" w:lineRule="auto"/>
      </w:pPr>
      <w:r>
        <w:rPr>
          <w:rFonts w:ascii="Calibri" w:hAnsi="Calibri"/>
          <w:b w:val="0"/>
          <w:i w:val="0"/>
          <w:color w:val="1E293B"/>
          <w:sz w:val="48"/>
        </w:rPr>
        <w:t>Creating a high-performing Meta Ads audience for an EdTech Digital Marketing course requires moving beyond surface-level keyword selection. By combining detailed demographic stratification across Tier-1 and Tier-2 educational hubs, rigorous interest clustering, full-funnel multi-stage retargeting, and automated lead nurturing, this blueprint establishes a scalable, high-ROI customer acquisition engine.</w:t>
      </w:r>
    </w:p>
    <w:p>
      <w:pPr>
        <w:spacing w:before="80" w:after="280" w:line="288" w:lineRule="auto"/>
      </w:pPr>
      <w:r>
        <w:rPr>
          <w:rFonts w:ascii="Calibri" w:hAnsi="Calibri"/>
          <w:b w:val="0"/>
          <w:i w:val="0"/>
          <w:color w:val="1E293B"/>
          <w:sz w:val="48"/>
        </w:rPr>
        <w:t>When executed systematically, this audience architecture ensures that every marketing rupee invested generates qualified inquiries, builds long-term brand authority, and drives sustainable institutional enrollment growth.</w:t>
      </w:r>
    </w:p>
    <w:p>
      <w:pPr>
        <w:spacing w:before="600"/>
        <w:jc w:val="center"/>
      </w:pPr>
      <w:r>
        <w:rPr>
          <w:rFonts w:ascii="Calibri" w:hAnsi="Calibri"/>
          <w:b/>
          <w:i/>
          <w:color w:val="64748B"/>
          <w:sz w:val="48"/>
        </w:rPr>
        <w:t>― End of Project Report ―</w:t>
      </w:r>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9</TotalTime>
  <Application>Yozo_Office</Application>
  <Pages>43</Pages>
  <Words>3036</Words>
  <Characters>19470</Characters>
  <Lines>797</Lines>
  <Paragraphs>238</Paragraphs>
  <CharactersWithSpaces>22274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2026-09-02T12:10:42Z</dcterms:modified>
</cp:coreProperties>
</file>