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PROJECT 4: CONTENT MARKETING STRATEGY</w:t>
      </w:r>
    </w:p>
    <w:p>
      <w:pPr>
        <w:spacing w:after="320"/>
      </w:pPr>
      <w:r>
        <w:rPr>
          <w:rFonts w:ascii="Calibri" w:hAnsi="Calibri"/>
          <w:i/>
          <w:color w:val="446688"/>
          <w:sz w:val="48"/>
        </w:rPr>
        <w:t>Diversified FMCG Conglomerate (ITC Benchmark)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Corporate Blueprint: </w:t>
      </w:r>
      <w:r>
        <w:rPr>
          <w:rFonts w:ascii="Calibri" w:hAnsi="Calibri"/>
          <w:color w:val="222222"/>
          <w:sz w:val="48"/>
        </w:rPr>
        <w:t>A 360-Degree Omnichannel Content Marketing Architecture across Packaged Foods, Personal Care, Branded Staples, and Wellness.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Author: </w:t>
      </w:r>
      <w:r>
        <w:rPr>
          <w:rFonts w:ascii="Calibri" w:hAnsi="Calibri"/>
          <w:color w:val="222222"/>
          <w:sz w:val="48"/>
        </w:rPr>
        <w:t>Head of Marketing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Format Specification: </w:t>
      </w:r>
      <w:r>
        <w:rPr>
          <w:rFonts w:ascii="Calibri" w:hAnsi="Calibri"/>
          <w:color w:val="222222"/>
          <w:sz w:val="48"/>
        </w:rPr>
        <w:t>Executive Master Strategy Portfolio (37-Page Comprehensive Edition | Font Size: 24pt)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1. Executive Mandate &amp; Strategic Vision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Market Landscape: </w:t>
      </w:r>
      <w:r>
        <w:rPr>
          <w:rFonts w:ascii="Calibri" w:hAnsi="Calibri"/>
          <w:color w:val="222222"/>
          <w:sz w:val="48"/>
        </w:rPr>
        <w:t>Modern FMCG consumers in India navigate a hyper-fragmented attention economy. Conventional 30-second television commercials yield declining incremental recall.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Strategic Pivot: </w:t>
      </w:r>
      <w:r>
        <w:rPr>
          <w:rFonts w:ascii="Calibri" w:hAnsi="Calibri"/>
          <w:color w:val="222222"/>
          <w:sz w:val="48"/>
        </w:rPr>
        <w:t>Our content architecture moves the brand from intrusive advertising to high-utility, culture-first storytelling that builds perpetual organic equity across demographic cohorts.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2. Enterprise Portfolio Architecture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Portfolio Footprint: </w:t>
      </w:r>
      <w:r>
        <w:rPr>
          <w:rFonts w:ascii="Calibri" w:hAnsi="Calibri"/>
          <w:color w:val="222222"/>
          <w:sz w:val="48"/>
        </w:rPr>
        <w:t>Mirroring the institutional depth of ITC, our product universe spans four primary business divisions: Foods &amp; Beverages, Personal Wash &amp; Skincare, Branded Farm Staples, and Home Wellness.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Strategic Objective: </w:t>
      </w:r>
      <w:r>
        <w:rPr>
          <w:rFonts w:ascii="Calibri" w:hAnsi="Calibri"/>
          <w:color w:val="222222"/>
          <w:sz w:val="48"/>
        </w:rPr>
        <w:t>Unify multi-category offerings under an overarching consumer narrative of purity, scientific efficacy, and trusted Indian heritage.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3. Consumer Persona Segmentation (Part I)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Persona A — The Conscious Homemaker: </w:t>
      </w:r>
      <w:r>
        <w:rPr>
          <w:rFonts w:ascii="Calibri" w:hAnsi="Calibri"/>
          <w:color w:val="222222"/>
          <w:sz w:val="48"/>
        </w:rPr>
        <w:t>Aged 28–46; urban and tier-1 households; highly focused on nutrient density, zero artificial preservatives, and farm-traceable purity in daily meals.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Content Affinity: </w:t>
      </w:r>
      <w:r>
        <w:rPr>
          <w:rFonts w:ascii="Calibri" w:hAnsi="Calibri"/>
          <w:color w:val="222222"/>
          <w:sz w:val="48"/>
        </w:rPr>
        <w:t>Engages heavily with recipe breakdowns, farmer sourcing origin stories, and package-nutrition explainers across YouTube and WhatsApp.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4. Consumer Persona Segmentation (Part II)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Persona B — The Urban Hustler &amp; Student: </w:t>
      </w:r>
      <w:r>
        <w:rPr>
          <w:rFonts w:ascii="Calibri" w:hAnsi="Calibri"/>
          <w:color w:val="222222"/>
          <w:sz w:val="48"/>
        </w:rPr>
        <w:t>Aged 18–27; lives fast-paced routine in metros and university clusters; seeks hyper-convenient ready meals and instant grooming.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Content Affinity: </w:t>
      </w:r>
      <w:r>
        <w:rPr>
          <w:rFonts w:ascii="Calibri" w:hAnsi="Calibri"/>
          <w:color w:val="222222"/>
          <w:sz w:val="48"/>
        </w:rPr>
        <w:t>Consumes rapid-fire 15-second Reels, late-night microwave snack hacks, and authentic creator-led product reviews on Instagram and Snapchat.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5. Consumer Persona Segmentation (Part III)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Persona C — The Clean-Living Connoisseur: </w:t>
      </w:r>
      <w:r>
        <w:rPr>
          <w:rFonts w:ascii="Calibri" w:hAnsi="Calibri"/>
          <w:color w:val="222222"/>
          <w:sz w:val="48"/>
        </w:rPr>
        <w:t>Aged 25–40; actively audits personal care formulas, active cosmetic ingredients, and corporate eco-footprints before purchasing.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Content Affinity: </w:t>
      </w:r>
      <w:r>
        <w:rPr>
          <w:rFonts w:ascii="Calibri" w:hAnsi="Calibri"/>
          <w:color w:val="222222"/>
          <w:sz w:val="48"/>
        </w:rPr>
        <w:t>Seeks dermatologist-backed ingredient decoding carousels, clinical trial infographics, and circular sustainability reports.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6. The Integrated Tri-Media Framework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Core Philosophy: </w:t>
      </w:r>
      <w:r>
        <w:rPr>
          <w:rFonts w:ascii="Calibri" w:hAnsi="Calibri"/>
          <w:color w:val="222222"/>
          <w:sz w:val="48"/>
        </w:rPr>
        <w:t>No content pillar exists in a media vacuum. Every brand message is systematically adapted across three interconnected content vehicles: Text, Static/Carousel Imagery, and Dynamic Video.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Consumer Synergy: </w:t>
      </w:r>
      <w:r>
        <w:rPr>
          <w:rFonts w:ascii="Calibri" w:hAnsi="Calibri"/>
          <w:color w:val="222222"/>
          <w:sz w:val="48"/>
        </w:rPr>
        <w:t>Text establishes intellectual authority, imagery delivers rapid visual delight, and video triggers deep emotive resonance.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7. Pillar 1: Farm-to-Fork Origin &amp; Integrity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Strategic Mission: </w:t>
      </w:r>
      <w:r>
        <w:rPr>
          <w:rFonts w:ascii="Calibri" w:hAnsi="Calibri"/>
          <w:color w:val="222222"/>
          <w:sz w:val="48"/>
        </w:rPr>
        <w:t>De-commoditize everyday agricultural staples (atta, whole wheat, aromatic spices, organic pulses, cold-pressed oils) by celebrating backward agricultural linkages.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Brand Positioning: </w:t>
      </w:r>
      <w:r>
        <w:rPr>
          <w:rFonts w:ascii="Calibri" w:hAnsi="Calibri"/>
          <w:color w:val="222222"/>
          <w:sz w:val="48"/>
        </w:rPr>
        <w:t>Transform commodity pantry goods into emotionally resonant, farm-verified benchmarks of generational health and uncompromised purity.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8. Pillar 1 Content Formats: Text, Image &amp; Video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Text Format: </w:t>
      </w:r>
      <w:r>
        <w:rPr>
          <w:rFonts w:ascii="Calibri" w:hAnsi="Calibri"/>
          <w:color w:val="222222"/>
          <w:sz w:val="48"/>
        </w:rPr>
        <w:t>Long-form editorial essays on rural sustainability, soil health, and state-of-the-art laboratory testing protocols published on our knowledge blog.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Image Format: </w:t>
      </w:r>
      <w:r>
        <w:rPr>
          <w:rFonts w:ascii="Calibri" w:hAnsi="Calibri"/>
          <w:color w:val="222222"/>
          <w:sz w:val="48"/>
        </w:rPr>
        <w:t>High-definition visual photo stories and infographics contrasting traditional farming techniques with modern quality-check gates.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Video Format: </w:t>
      </w:r>
      <w:r>
        <w:rPr>
          <w:rFonts w:ascii="Calibri" w:hAnsi="Calibri"/>
          <w:color w:val="222222"/>
          <w:sz w:val="48"/>
        </w:rPr>
        <w:t>Cinematic 4K docuseries detailing intimate farmer partnerships and fair-trade harvesting practices.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9. Pillar 1 Consumer Impact &amp; Brand Equity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Consumer Psychology: </w:t>
      </w:r>
      <w:r>
        <w:rPr>
          <w:rFonts w:ascii="Calibri" w:hAnsi="Calibri"/>
          <w:color w:val="222222"/>
          <w:sz w:val="48"/>
        </w:rPr>
        <w:t>Removes parental anxiety surrounding adulteration and processing chemicals in basic sustenance foods.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Business Impact: </w:t>
      </w:r>
      <w:r>
        <w:rPr>
          <w:rFonts w:ascii="Calibri" w:hAnsi="Calibri"/>
          <w:color w:val="222222"/>
          <w:sz w:val="48"/>
        </w:rPr>
        <w:t>Transforms everyday price-sensitive flour and spice purchases into brand-loyal premium pantry subscriptions with high lifetime value.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10. Pillar 2: Culinary Hacks &amp; Quick-Bite Solutions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Strategic Mission: </w:t>
      </w:r>
      <w:r>
        <w:rPr>
          <w:rFonts w:ascii="Calibri" w:hAnsi="Calibri"/>
          <w:color w:val="222222"/>
          <w:sz w:val="48"/>
        </w:rPr>
        <w:t>Inspire effortless home cooking and snacking creativity across ready-to-cook noodles, biscuits, confectionery, and dairy beverages.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Core Theme: </w:t>
      </w:r>
      <w:r>
        <w:rPr>
          <w:rFonts w:ascii="Calibri" w:hAnsi="Calibri"/>
          <w:color w:val="222222"/>
          <w:sz w:val="48"/>
        </w:rPr>
        <w:t>'The 60-Second Chef' — turning simple packaged foods into gourmet, nutritious dining experiences for modern working households.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11. Pillar 2 Content Formats: Text, Image &amp; Video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Video Format: </w:t>
      </w:r>
      <w:r>
        <w:rPr>
          <w:rFonts w:ascii="Calibri" w:hAnsi="Calibri"/>
          <w:color w:val="222222"/>
          <w:sz w:val="48"/>
        </w:rPr>
        <w:t>High-tempo, sensory-rich Instagram Reels showcasing step-by-step recipe assembly with ASMR cooking sounds within 30 seconds.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Image Format: </w:t>
      </w:r>
      <w:r>
        <w:rPr>
          <w:rFonts w:ascii="Calibri" w:hAnsi="Calibri"/>
          <w:color w:val="222222"/>
          <w:sz w:val="48"/>
        </w:rPr>
        <w:t>Saveable carousel recipe cards, grocery ingredient checklists, and vibrant plating photography.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Text Format: </w:t>
      </w:r>
      <w:r>
        <w:rPr>
          <w:rFonts w:ascii="Calibri" w:hAnsi="Calibri"/>
          <w:color w:val="222222"/>
          <w:sz w:val="48"/>
        </w:rPr>
        <w:t>Nutritional macro-breakdowns (calories, protein, fiber) and creative variations tailored for kid lunchboxes or midnight cravings.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12. Pillar 2 Consumer Impact &amp; Purchase Velocity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Consumer Utility: </w:t>
      </w:r>
      <w:r>
        <w:rPr>
          <w:rFonts w:ascii="Calibri" w:hAnsi="Calibri"/>
          <w:color w:val="222222"/>
          <w:sz w:val="48"/>
        </w:rPr>
        <w:t>Provides instant, frictionless meal inspiration during routine decision-fatigue moments at 8 AM and 7 PM.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Direct Conversion: </w:t>
      </w:r>
      <w:r>
        <w:rPr>
          <w:rFonts w:ascii="Calibri" w:hAnsi="Calibri"/>
          <w:color w:val="222222"/>
          <w:sz w:val="48"/>
        </w:rPr>
        <w:t>Each recipe card features single-click quick-commerce cart integration on Blinkit, Zepto, and Instamart, triggering spontaneous purchases.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13. Pillar 3: Ingredient Science &amp; Dermo-Transparency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Strategic Mission: </w:t>
      </w:r>
      <w:r>
        <w:rPr>
          <w:rFonts w:ascii="Calibri" w:hAnsi="Calibri"/>
          <w:color w:val="222222"/>
          <w:sz w:val="48"/>
        </w:rPr>
        <w:t>Build clinical credibility and dermatological authority for personal wash, premium soaps, face serums, and scalp care formulations.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Core Theme: </w:t>
      </w:r>
      <w:r>
        <w:rPr>
          <w:rFonts w:ascii="Calibri" w:hAnsi="Calibri"/>
          <w:color w:val="222222"/>
          <w:sz w:val="48"/>
        </w:rPr>
        <w:t>'Decoded by Science' — replacing ambiguous cosmetic buzzwords with empirical chemical proof, skin-barrier biology, and active botanicals.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14. Pillar 3 Content Formats: Text, Image &amp; Video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Text Format: </w:t>
      </w:r>
      <w:r>
        <w:rPr>
          <w:rFonts w:ascii="Calibri" w:hAnsi="Calibri"/>
          <w:color w:val="222222"/>
          <w:sz w:val="48"/>
        </w:rPr>
        <w:t>Comprehensive whitepapers and glossary articles explaining salicylic acid, ceramides, neem extracts, and epidermal moisture retention.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Image Format: </w:t>
      </w:r>
      <w:r>
        <w:rPr>
          <w:rFonts w:ascii="Calibri" w:hAnsi="Calibri"/>
          <w:color w:val="222222"/>
          <w:sz w:val="48"/>
        </w:rPr>
        <w:t>Microscopic skin-texture comparison charts, pH-balance test infographics, and routine-step carousels.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Video Format: </w:t>
      </w:r>
      <w:r>
        <w:rPr>
          <w:rFonts w:ascii="Calibri" w:hAnsi="Calibri"/>
          <w:color w:val="222222"/>
          <w:sz w:val="48"/>
        </w:rPr>
        <w:t>Q&amp;A video series with certified independent dermatologists demystifying common Indian skin concerns and debunking viral beauty myths.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15. Pillar 3 Consumer Impact &amp; Trust Capital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Consumer Perception: </w:t>
      </w:r>
      <w:r>
        <w:rPr>
          <w:rFonts w:ascii="Calibri" w:hAnsi="Calibri"/>
          <w:color w:val="222222"/>
          <w:sz w:val="48"/>
        </w:rPr>
        <w:t>Elevates everyday soap and body wash products into essential clinical-grade wellness rituals.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Competitive Moat: </w:t>
      </w:r>
      <w:r>
        <w:rPr>
          <w:rFonts w:ascii="Calibri" w:hAnsi="Calibri"/>
          <w:color w:val="222222"/>
          <w:sz w:val="48"/>
        </w:rPr>
        <w:t>Positions our brands as transparent, scientifically verified alternatives to opaque multi-national legacy cosmetic players.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16. Pillar 4: Cultural Heritage &amp; Festival Bonding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Strategic Mission: </w:t>
      </w:r>
      <w:r>
        <w:rPr>
          <w:rFonts w:ascii="Calibri" w:hAnsi="Calibri"/>
          <w:color w:val="222222"/>
          <w:sz w:val="48"/>
        </w:rPr>
        <w:t>Anchor our packaged confections, premium gifting cookies, and beverages at the heart of shared Indian familial milestones.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Core Theme: </w:t>
      </w:r>
      <w:r>
        <w:rPr>
          <w:rFonts w:ascii="Calibri" w:hAnsi="Calibri"/>
          <w:color w:val="222222"/>
          <w:sz w:val="48"/>
        </w:rPr>
        <w:t>'Traditions in Every Bite' — celebrating unconditional generational love, festive reunions, and quiet daily tea-time rituals.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17. Pillar 4 Content Formats: Text, Image &amp; Video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Video Format: </w:t>
      </w:r>
      <w:r>
        <w:rPr>
          <w:rFonts w:ascii="Calibri" w:hAnsi="Calibri"/>
          <w:color w:val="222222"/>
          <w:sz w:val="48"/>
        </w:rPr>
        <w:t>Full-length cinematic micro-films during Diwali, Rakhi, Durga Puja, and Eid, focusing on heartstrings and reconciliation over tea and sweets.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Text Format: </w:t>
      </w:r>
      <w:r>
        <w:rPr>
          <w:rFonts w:ascii="Calibri" w:hAnsi="Calibri"/>
          <w:color w:val="222222"/>
          <w:sz w:val="48"/>
        </w:rPr>
        <w:t>Nostalgic storytelling copy capturing regional celebration memories, shared grandfather-grandchild moments, and family anecdotes.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Image Format: </w:t>
      </w:r>
      <w:r>
        <w:rPr>
          <w:rFonts w:ascii="Calibri" w:hAnsi="Calibri"/>
          <w:color w:val="222222"/>
          <w:sz w:val="48"/>
        </w:rPr>
        <w:t>Artisanal festive hamper flat-lays, regional greeting graphics, and commemorative gift-box packaging reveals.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18. Pillar 4 Consumer Impact &amp; Emotional Loyalty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Emotional Resonance: </w:t>
      </w:r>
      <w:r>
        <w:rPr>
          <w:rFonts w:ascii="Calibri" w:hAnsi="Calibri"/>
          <w:color w:val="222222"/>
          <w:sz w:val="48"/>
        </w:rPr>
        <w:t>Creates an enduring psychological association between family celebration, warmth, and our heritage confection brands.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Long-term Recall: </w:t>
      </w:r>
      <w:r>
        <w:rPr>
          <w:rFonts w:ascii="Calibri" w:hAnsi="Calibri"/>
          <w:color w:val="222222"/>
          <w:sz w:val="48"/>
        </w:rPr>
        <w:t>Drives deep defensive brand equity that protects market share against unbranded commoditization and seasonal discount wars.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19. Pillar 5: Sustainability &amp; Circular Packaging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Strategic Mission: </w:t>
      </w:r>
      <w:r>
        <w:rPr>
          <w:rFonts w:ascii="Calibri" w:hAnsi="Calibri"/>
          <w:color w:val="222222"/>
          <w:sz w:val="48"/>
        </w:rPr>
        <w:t>Demonstrate aggressive corporate accountability across plastic neutral initiatives, renewable energy, and community reforestation.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Core Theme: </w:t>
      </w:r>
      <w:r>
        <w:rPr>
          <w:rFonts w:ascii="Calibri" w:hAnsi="Calibri"/>
          <w:color w:val="222222"/>
          <w:sz w:val="48"/>
        </w:rPr>
        <w:t>'A Greener Tomorrow' — inviting everyday consumers to join our multi-decade quest toward circular zero-landfill packaging.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20. Pillar 5 Content Formats: Text, Image &amp; Video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Image Format: </w:t>
      </w:r>
      <w:r>
        <w:rPr>
          <w:rFonts w:ascii="Calibri" w:hAnsi="Calibri"/>
          <w:color w:val="222222"/>
          <w:sz w:val="48"/>
        </w:rPr>
        <w:t>Quarterly ESG milestone infographics illustrating metric tons of recycled polymer, saved water liters, and planted saplings.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Video Format: </w:t>
      </w:r>
      <w:r>
        <w:rPr>
          <w:rFonts w:ascii="Calibri" w:hAnsi="Calibri"/>
          <w:color w:val="222222"/>
          <w:sz w:val="48"/>
        </w:rPr>
        <w:t>Factory walkthrough mini-documentaries showcasing our solar-powered plants and automated waste sorting facilities.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Text Format: </w:t>
      </w:r>
      <w:r>
        <w:rPr>
          <w:rFonts w:ascii="Calibri" w:hAnsi="Calibri"/>
          <w:color w:val="222222"/>
          <w:sz w:val="48"/>
        </w:rPr>
        <w:t>Actionable DIY home-upcycling guides and zero-waste household lifestyle articles for conscious urban families.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21. Pillar 5 Consumer Impact &amp; Brand Citizenship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Generational Resonance: </w:t>
      </w:r>
      <w:r>
        <w:rPr>
          <w:rFonts w:ascii="Calibri" w:hAnsi="Calibri"/>
          <w:color w:val="222222"/>
          <w:sz w:val="48"/>
        </w:rPr>
        <w:t>Directly engages environmentally conscious Gen Z and Millennial buyers who demand corporate transparency.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Institutional Value: </w:t>
      </w:r>
      <w:r>
        <w:rPr>
          <w:rFonts w:ascii="Calibri" w:hAnsi="Calibri"/>
          <w:color w:val="222222"/>
          <w:sz w:val="48"/>
        </w:rPr>
        <w:t>Solidifies our reputation as a nation-building, ethically driven FMCG conglomerate committed to sustainable development.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22. Omnichannel Content Syndication Matrix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Tiered Distribution Architecture: </w:t>
      </w:r>
      <w:r>
        <w:rPr>
          <w:rFonts w:ascii="Calibri" w:hAnsi="Calibri"/>
          <w:color w:val="222222"/>
          <w:sz w:val="48"/>
        </w:rPr>
        <w:t>Publishing content uniformly across all digital channels causes message fatigue. We execute a synchronized, context-aware syndication model.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Channel Customization: </w:t>
      </w:r>
      <w:r>
        <w:rPr>
          <w:rFonts w:ascii="Calibri" w:hAnsi="Calibri"/>
          <w:color w:val="222222"/>
          <w:sz w:val="48"/>
        </w:rPr>
        <w:t>High-energy entertainment on Reels, educational depth on YouTube, corporate leadership on LinkedIn, and frictionless utility on WhatsApp.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23. Short-Form Video &amp; Visual Discovery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Platforms: </w:t>
      </w:r>
      <w:r>
        <w:rPr>
          <w:rFonts w:ascii="Calibri" w:hAnsi="Calibri"/>
          <w:color w:val="222222"/>
          <w:sz w:val="48"/>
        </w:rPr>
        <w:t>Instagram Reels, YouTube Shorts, Moj, and ShareChat for pan-India regional language reach.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Execution Rules: </w:t>
      </w:r>
      <w:r>
        <w:rPr>
          <w:rFonts w:ascii="Calibri" w:hAnsi="Calibri"/>
          <w:color w:val="222222"/>
          <w:sz w:val="48"/>
        </w:rPr>
        <w:t>3-second thumb-stopping visual hook, high-tempo background audio, dynamic closed-captions, and prominent product placement within the first 6 seconds.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24. Long-Form Storytelling &amp; Masterclass Hub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Platforms: </w:t>
      </w:r>
      <w:r>
        <w:rPr>
          <w:rFonts w:ascii="Calibri" w:hAnsi="Calibri"/>
          <w:color w:val="222222"/>
          <w:sz w:val="48"/>
        </w:rPr>
        <w:t>YouTube Brand Channels, Spotify Audio Podcasts, and Enterprise Knowledge Portals.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Execution Focus: </w:t>
      </w:r>
      <w:r>
        <w:rPr>
          <w:rFonts w:ascii="Calibri" w:hAnsi="Calibri"/>
          <w:color w:val="222222"/>
          <w:sz w:val="48"/>
        </w:rPr>
        <w:t>10-to-15 minute deep-dive cooking masterclasses with celebrity chefs, agricultural sourcing expeditions, and dermatological panels.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25. Quick-Commerce &amp; Physical Packaging Fusion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On-Pack Digital Bridges: </w:t>
      </w:r>
      <w:r>
        <w:rPr>
          <w:rFonts w:ascii="Calibri" w:hAnsi="Calibri"/>
          <w:color w:val="222222"/>
          <w:sz w:val="48"/>
        </w:rPr>
        <w:t>Dynamic smart QR codes printed across 100+ million physical product packages connecting buyers directly to video recipe reels and lab certificates.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Point-of-Sale Integration: </w:t>
      </w:r>
      <w:r>
        <w:rPr>
          <w:rFonts w:ascii="Calibri" w:hAnsi="Calibri"/>
          <w:color w:val="222222"/>
          <w:sz w:val="48"/>
        </w:rPr>
        <w:t>Co-branded interactive rich-media banners inside Blinkit, Zepto, and Instamart checkouts converting content consumption into 10-minute deliveries.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26. Regional Language &amp; Vernacular Adaptation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Bharat Strategy: </w:t>
      </w:r>
      <w:r>
        <w:rPr>
          <w:rFonts w:ascii="Calibri" w:hAnsi="Calibri"/>
          <w:color w:val="222222"/>
          <w:sz w:val="48"/>
        </w:rPr>
        <w:t>Over 70% of incremental FMCG volume in India originates from Tier-2, Tier-3, and rural heartlands where regional vernaculars dominate.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Multi-Lingual Production: </w:t>
      </w:r>
      <w:r>
        <w:rPr>
          <w:rFonts w:ascii="Calibri" w:hAnsi="Calibri"/>
          <w:color w:val="222222"/>
          <w:sz w:val="48"/>
        </w:rPr>
        <w:t>All major video campaigns, recipe voiceovers, and infographic packaging copies are natively localized in Hindi, Tamil, Telugu, Bengali, Marathi, and Kannada.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27. Tiered Influencer Marketing Architecture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Mega Influencers (Tier 1): </w:t>
      </w:r>
      <w:r>
        <w:rPr>
          <w:rFonts w:ascii="Calibri" w:hAnsi="Calibri"/>
          <w:color w:val="222222"/>
          <w:sz w:val="48"/>
        </w:rPr>
        <w:t>Celebrity chefs and national actors for high-voltage festive TVCs and digital tentpole campaign launches.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Macro &amp; Micro Influencers (Tier 2): </w:t>
      </w:r>
      <w:r>
        <w:rPr>
          <w:rFonts w:ascii="Calibri" w:hAnsi="Calibri"/>
          <w:color w:val="222222"/>
          <w:sz w:val="48"/>
        </w:rPr>
        <w:t>Certified dermatologists, pediatric nutritionists, and regional food creators driving credible educational reviews.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Nano Community Advocates (Tier 3): </w:t>
      </w:r>
      <w:r>
        <w:rPr>
          <w:rFonts w:ascii="Calibri" w:hAnsi="Calibri"/>
          <w:color w:val="222222"/>
          <w:sz w:val="48"/>
        </w:rPr>
        <w:t>Hyper-local home cooks and everyday consumers sharing organic user-generated recipe content.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28. User-Generated Content (UGC) Engine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Community Co-Creation: </w:t>
      </w:r>
      <w:r>
        <w:rPr>
          <w:rFonts w:ascii="Calibri" w:hAnsi="Calibri"/>
          <w:color w:val="222222"/>
          <w:sz w:val="48"/>
        </w:rPr>
        <w:t>Weekly social culinary contests inviting home chefs to submit their unique fusion recipes using our pantry products under branded hashtags.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Viral Flywheel: </w:t>
      </w:r>
      <w:r>
        <w:rPr>
          <w:rFonts w:ascii="Calibri" w:hAnsi="Calibri"/>
          <w:color w:val="222222"/>
          <w:sz w:val="48"/>
        </w:rPr>
        <w:t>Winning user recipes are professionally re-shot, published across brand handles, and featured on limited-edition product retail cartons.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29. Moment Marketing &amp; Real-Time Relevance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Agile War Room: </w:t>
      </w:r>
      <w:r>
        <w:rPr>
          <w:rFonts w:ascii="Calibri" w:hAnsi="Calibri"/>
          <w:color w:val="222222"/>
          <w:sz w:val="48"/>
        </w:rPr>
        <w:t>A dedicated digital command team monitoring live sports events, cultural trends, viral internet memes, and weather changes.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Reactive Brand Positioning: </w:t>
      </w:r>
      <w:r>
        <w:rPr>
          <w:rFonts w:ascii="Calibri" w:hAnsi="Calibri"/>
          <w:color w:val="222222"/>
          <w:sz w:val="48"/>
        </w:rPr>
        <w:t>Deploying clever, humor-infused contextual image copy within 90 minutes of major cultural moments (cricket tournaments, monsoon arrival, exam results).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30. Full-Funnel Performance Measurement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Top-of-Funnel (Awareness): </w:t>
      </w:r>
      <w:r>
        <w:rPr>
          <w:rFonts w:ascii="Calibri" w:hAnsi="Calibri"/>
          <w:color w:val="222222"/>
          <w:sz w:val="48"/>
        </w:rPr>
        <w:t>Targeting video completion rate (&gt;65%), total unique impressions, search volume lift for branded keywords, and share of voice.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Middle-of-Funnel (Consideration): </w:t>
      </w:r>
      <w:r>
        <w:rPr>
          <w:rFonts w:ascii="Calibri" w:hAnsi="Calibri"/>
          <w:color w:val="222222"/>
          <w:sz w:val="48"/>
        </w:rPr>
        <w:t>Tracking carousel swipe-through rate, recipe bookmark/save ratio (&gt;12%), brand sentiment score (&gt;88%), and QR code scan counts.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31. Bottom-of-Funnel Conversion &amp; ROI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Commerce Performance Metrics: </w:t>
      </w:r>
      <w:r>
        <w:rPr>
          <w:rFonts w:ascii="Calibri" w:hAnsi="Calibri"/>
          <w:color w:val="222222"/>
          <w:sz w:val="48"/>
        </w:rPr>
        <w:t>Direct attribution tracking for quick-commerce click-throughs, promo voucher redemptions, and repeat shopping cart frequency.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Content Return on Investment: </w:t>
      </w:r>
      <w:r>
        <w:rPr>
          <w:rFonts w:ascii="Calibri" w:hAnsi="Calibri"/>
          <w:color w:val="222222"/>
          <w:sz w:val="48"/>
        </w:rPr>
        <w:t>Evaluating Earned Media Value (EMV), customer acquisition cost (CAC) compression, and lifetime consumer value (LTV).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32. Enterprise Content Governance &amp; Workflow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Content Production Engine: </w:t>
      </w:r>
      <w:r>
        <w:rPr>
          <w:rFonts w:ascii="Calibri" w:hAnsi="Calibri"/>
          <w:color w:val="222222"/>
          <w:sz w:val="48"/>
        </w:rPr>
        <w:t>Centralized creative studio managing asset creation, digital asset management (DAM) tagging, and legal clearance workflows.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Compliance &amp; Guardrails: </w:t>
      </w:r>
      <w:r>
        <w:rPr>
          <w:rFonts w:ascii="Calibri" w:hAnsi="Calibri"/>
          <w:color w:val="222222"/>
          <w:sz w:val="48"/>
        </w:rPr>
        <w:t>Rigorous legal vetting of all nutritional, clinical, and environmental sustainability claims to ensure strict adherence to ASCI and FSSAI guidelines.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33. Marketing Technology &amp; AI Stack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MarTech Infrastructure: </w:t>
      </w:r>
      <w:r>
        <w:rPr>
          <w:rFonts w:ascii="Calibri" w:hAnsi="Calibri"/>
          <w:color w:val="222222"/>
          <w:sz w:val="48"/>
        </w:rPr>
        <w:t>Enterprise CDP (Customer Data Platform) linked with AI-driven social listening engines and automated video rendering tools.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Predictive Content Optimization: </w:t>
      </w:r>
      <w:r>
        <w:rPr>
          <w:rFonts w:ascii="Calibri" w:hAnsi="Calibri"/>
          <w:color w:val="222222"/>
          <w:sz w:val="48"/>
        </w:rPr>
        <w:t>Utilizing machine learning models to forecast viral recipe trends and schedule automated dynamic creative distribution.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35. Annual Content Marketing Budget Allocation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Video Production &amp; Masterclasses (35%): </w:t>
      </w:r>
      <w:r>
        <w:rPr>
          <w:rFonts w:ascii="Calibri" w:hAnsi="Calibri"/>
          <w:color w:val="222222"/>
          <w:sz w:val="48"/>
        </w:rPr>
        <w:t>High-production origin docuseries, recipe reels, festive TVCs, and dermatologist explainers.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Influencer &amp; Creator Collaborations (25%): </w:t>
      </w:r>
      <w:r>
        <w:rPr>
          <w:rFonts w:ascii="Calibri" w:hAnsi="Calibri"/>
          <w:color w:val="222222"/>
          <w:sz w:val="48"/>
        </w:rPr>
        <w:t>Retainers for certified doctors, regional chefs, and community advocate seedings.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Paid Amplification &amp; Quick-Commerce (25%): </w:t>
      </w:r>
      <w:r>
        <w:rPr>
          <w:rFonts w:ascii="Calibri" w:hAnsi="Calibri"/>
          <w:color w:val="222222"/>
          <w:sz w:val="48"/>
        </w:rPr>
        <w:t>Targeted paid social distribution and sponsored quick-commerce listings.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MarTech, Analytics &amp; Production Studio (15%): </w:t>
      </w:r>
      <w:r>
        <w:rPr>
          <w:rFonts w:ascii="Calibri" w:hAnsi="Calibri"/>
          <w:color w:val="222222"/>
          <w:sz w:val="48"/>
        </w:rPr>
        <w:t>DAM systems, social listening licenses, and high-speed in-house content creators.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36. 12-Month Phased Strategic Roadmap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Phase 1: Foundation (Months 1–3): </w:t>
      </w:r>
      <w:r>
        <w:rPr>
          <w:rFonts w:ascii="Calibri" w:hAnsi="Calibri"/>
          <w:color w:val="222222"/>
          <w:sz w:val="48"/>
        </w:rPr>
        <w:t>Launch origin docuseries and deploy smart QR codes across 10 million flagship food packs.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Phase 2: Acceleration (Months 4–8): </w:t>
      </w:r>
      <w:r>
        <w:rPr>
          <w:rFonts w:ascii="Calibri" w:hAnsi="Calibri"/>
          <w:color w:val="222222"/>
          <w:sz w:val="48"/>
        </w:rPr>
        <w:t>Scale 60-Second Chef recipe engine and launch dermatologist-verified skincare campaign.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Phase 3: Dominance (Months 9–12): </w:t>
      </w:r>
      <w:r>
        <w:rPr>
          <w:rFonts w:ascii="Calibri" w:hAnsi="Calibri"/>
          <w:color w:val="222222"/>
          <w:sz w:val="48"/>
        </w:rPr>
        <w:t>Unveil cinematic festive tentpole campaign and publish inaugural circular sustainability impact report.</w:t>
      </w:r>
    </w:p>
    <w:p>
      <w:r>
        <w:br w:type="page"/>
      </w:r>
    </w:p>
    <w:p>
      <w:pPr>
        <w:spacing w:before="160" w:after="320"/>
        <w:jc w:val="left"/>
      </w:pPr>
      <w:r>
        <w:rPr>
          <w:rFonts w:ascii="Calibri" w:hAnsi="Calibri"/>
          <w:b/>
          <w:color w:val="113355"/>
          <w:sz w:val="48"/>
        </w:rPr>
        <w:t>37. Strategic Conclusion &amp; Executive Sign-off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Summary of Impact: </w:t>
      </w:r>
      <w:r>
        <w:rPr>
          <w:rFonts w:ascii="Calibri" w:hAnsi="Calibri"/>
          <w:color w:val="222222"/>
          <w:sz w:val="48"/>
        </w:rPr>
        <w:t>By uniting text, imagery, and video into a purpose-led, multi-pillar ecosystem, our FMCG portfolio transcends conventional transactional selling.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Enduring Outcome: </w:t>
      </w:r>
      <w:r>
        <w:rPr>
          <w:rFonts w:ascii="Calibri" w:hAnsi="Calibri"/>
          <w:color w:val="222222"/>
          <w:sz w:val="48"/>
        </w:rPr>
        <w:t>The brand establishes indelible trust, deep cultural relevance, and sustained market leadership across millions of Indian households.</w:t>
      </w:r>
    </w:p>
    <w:p>
      <w:pPr>
        <w:spacing w:after="280" w:line="276" w:lineRule="auto"/>
      </w:pPr>
      <w:r>
        <w:rPr>
          <w:rFonts w:ascii="Calibri" w:hAnsi="Calibri"/>
          <w:b/>
          <w:color w:val="1B4F72"/>
          <w:sz w:val="48"/>
        </w:rPr>
        <w:t xml:space="preserve">Prepared By: </w:t>
      </w:r>
      <w:r>
        <w:rPr>
          <w:rFonts w:ascii="Calibri" w:hAnsi="Calibri"/>
          <w:color w:val="222222"/>
          <w:sz w:val="48"/>
        </w:rPr>
        <w:t>Office of the Marketing Head — Fast-Moving Consumer Goods Division.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88888"/>
        <w:sz w:val="24"/>
      </w:rPr>
      <w:t>Project 4: FMCG Content Marketing Strategy | 24 pt Font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