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pict>
          <v:shape id="cover1" type="#_x0000_t202" style="position:absolute;margin-left:57.6pt;margin-top:49pt;width:499.2pt;height:23pt;z-index:1;mso-position-horizontal-relative:page;mso-position-vertical-relative:page" filled="f" stroked="f">
            <v:textbox inset="0,0,0,0">
              <w:txbxContent>
                <w:p>
                  <w:pPr>
                    <w:jc w:val="center"/>
                    <w:spacing w:before="0" w:after="0" w:line="333" w:lineRule="exact"/>
                  </w:pPr>
                  <w:r>
                    <w:rPr>
                      <w:rFonts w:ascii="Times New Roman" w:hAnsi="Times New Roman"/>
                      <w:sz w:val="32"/>
                      <w:b/>
                      <w:color w:val="000000"/>
                    </w:rPr>
                    <w:t>VELLORE INSTITUTE OF TECHNOLOGY</w:t>
                  </w:r>
                </w:p>
              </w:txbxContent>
            </v:textbox>
          </v:shape>
        </w:pict>
      </w:r>
      <w:r>
        <w:pict>
          <v:shape id="cover2" type="#_x0000_t202" style="position:absolute;margin-left:57.6pt;margin-top:75pt;width:499.2pt;height:21pt;z-index:1;mso-position-horizontal-relative:page;mso-position-vertical-relative:page" filled="f" stroked="f">
            <v:textbox inset="0,0,0,0">
              <w:txbxContent>
                <w:p>
                  <w:pPr>
                    <w:jc w:val="center"/>
                    <w:spacing w:before="0" w:after="0" w:line="292" w:lineRule="exact"/>
                  </w:pPr>
                  <w:r>
                    <w:rPr>
                      <w:rFonts w:ascii="Times New Roman" w:hAnsi="Times New Roman"/>
                      <w:sz w:val="28"/>
                      <w:b/>
                      <w:color w:val="000000"/>
                    </w:rPr>
                    <w:t>SCHOOL OF COMPUTER SCIENCE ENGINEERING</w:t>
                  </w:r>
                </w:p>
              </w:txbxContent>
            </v:textbox>
          </v:shape>
        </w:pict>
      </w:r>
      <w:r>
        <w:pict>
          <v:shape id="cover3" type="#_x0000_t202" style="position:absolute;margin-left:57.6pt;margin-top:98.4pt;width:499.2pt;height:21pt;z-index:1;mso-position-horizontal-relative:page;mso-position-vertical-relative:page" filled="f" stroked="f">
            <v:textbox inset="0,0,0,0">
              <w:txbxContent>
                <w:p>
                  <w:pPr>
                    <w:jc w:val="center"/>
                    <w:spacing w:before="0" w:after="0" w:line="292" w:lineRule="exact"/>
                  </w:pPr>
                  <w:r>
                    <w:rPr>
                      <w:rFonts w:ascii="Times New Roman" w:hAnsi="Times New Roman"/>
                      <w:sz w:val="28"/>
                      <w:b/>
                      <w:color w:val="000000"/>
                    </w:rPr>
                    <w:t>AND INFORMATION SYSTEMS</w:t>
                  </w:r>
                </w:p>
              </w:txbxContent>
            </v:textbox>
          </v:shape>
        </w:pict>
      </w:r>
      <w:r>
        <w:pict>
          <v:shape id="vitlogo" type="#_x0000_t75" style="position:absolute;margin-left:247.6pt;margin-top:157pt;width:115.45pt;height:120pt;z-index:2;mso-position-horizontal-relative:page;mso-position-vertical-relative:page" filled="f" stroked="f">
            <v:imagedata r:id="rId10" o:title="VIT logo"/>
          </v:shape>
        </w:pict>
      </w:r>
      <w:r>
        <w:pict>
          <v:shape id="cover5" type="#_x0000_t202" style="position:absolute;margin-left:57.6pt;margin-top:299pt;width:499.2pt;height:22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A Case Study</w:t>
                  </w:r>
                </w:p>
              </w:txbxContent>
            </v:textbox>
          </v:shape>
        </w:pict>
      </w:r>
      <w:r>
        <w:pict>
          <v:shape id="cover6" type="#_x0000_t202" style="position:absolute;margin-left:57.6pt;margin-top:322.4pt;width:499.2pt;height:22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on</w:t>
                  </w:r>
                </w:p>
              </w:txbxContent>
            </v:textbox>
          </v:shape>
        </w:pict>
      </w:r>
      <w:r>
        <w:pict>
          <v:shape id="cover7" type="#_x0000_t202" style="position:absolute;margin-left:57.6pt;margin-top:353pt;width:499.2pt;height:42pt;z-index:1;mso-position-horizontal-relative:page;mso-position-vertical-relative:page" filled="f" stroked="f">
            <v:textbox inset="0,0,0,0">
              <w:txbxContent>
                <w:p>
                  <w:pPr>
                    <w:pStyle w:val="Title"/>
                    <w:jc w:val="center"/>
                    <w:spacing w:before="0" w:after="0" w:line="292" w:lineRule="exact"/>
                  </w:pPr>
                  <w:r>
                    <w:rPr>
                      <w:rFonts w:ascii="Times New Roman" w:hAnsi="Times New Roman"/>
                      <w:sz w:val="28"/>
                      <w:b/>
                      <w:color w:val="000000"/>
                    </w:rPr>
                    <w:t>Designing a Technically Coherent NFVI Architecture</w:t>
                  </w:r>
                  <w:r>
                    <w:br/>
                  </w:r>
                  <w:r>
                    <w:rPr>
                      <w:rFonts w:ascii="Times New Roman" w:hAnsi="Times New Roman"/>
                      <w:sz w:val="28"/>
                      <w:b/>
                      <w:color w:val="000000"/>
                    </w:rPr>
                    <w:t>for Educational Evaluation</w:t>
                  </w:r>
                </w:p>
              </w:txbxContent>
            </v:textbox>
          </v:shape>
        </w:pict>
      </w:r>
      <w:r>
        <w:pict>
          <v:shape id="cover8" type="#_x0000_t202" style="position:absolute;margin-left:57.6pt;margin-top:392.4pt;width:499.2pt;height:22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(Network Functions Virtualisation Infrastructure)</w:t>
                  </w:r>
                </w:p>
              </w:txbxContent>
            </v:textbox>
          </v:shape>
        </w:pict>
      </w:r>
      <w:r>
        <w:pict>
          <v:shape id="cover9" type="#_x0000_t202" style="position:absolute;margin-left:80.064pt;margin-top:556.1pt;width:17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Submitted By</w:t>
                  </w:r>
                </w:p>
              </w:txbxContent>
            </v:textbox>
          </v:shape>
        </w:pict>
      </w:r>
      <w:r>
        <w:pict>
          <v:shape id="cover10" type="#_x0000_t202" style="position:absolute;margin-left:385pt;margin-top:556.1pt;width:170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Under the Guidance of</w:t>
                  </w:r>
                </w:p>
              </w:txbxContent>
            </v:textbox>
          </v:shape>
        </w:pict>
      </w:r>
      <w:r>
        <w:pict>
          <v:shape id="cover11" type="#_x0000_t202" style="position:absolute;margin-left:80.064pt;margin-top:602.8pt;width:18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Aniket verma</w:t>
                  </w:r>
                </w:p>
              </w:txbxContent>
            </v:textbox>
          </v:shape>
        </w:pict>
      </w:r>
      <w:r>
        <w:pict>
          <v:shape id="cover12" type="#_x0000_t202" style="position:absolute;margin-left:78.504pt;margin-top:626.2pt;width:18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23BIT0014</w:t>
                  </w:r>
                </w:p>
              </w:txbxContent>
            </v:textbox>
          </v:shape>
        </w:pict>
      </w:r>
      <w:r>
        <w:pict>
          <v:shape id="cover13" type="#_x0000_t202" style="position:absolute;margin-left:78.504pt;margin-top:649.6pt;width:18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SCORE</w:t>
                  </w:r>
                </w:p>
              </w:txbxContent>
            </v:textbox>
          </v:shape>
        </w:pict>
      </w:r>
      <w:r>
        <w:pict>
          <v:shape id="cover14" type="#_x0000_t202" style="position:absolute;margin-left:420pt;margin-top:602.8pt;width:135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Prof. Suresh V J</w:t>
                  </w:r>
                </w:p>
              </w:txbxContent>
            </v:textbox>
          </v:shape>
        </w:pict>
      </w:r>
      <w:r>
        <w:pict>
          <v:shape id="cover15" type="#_x0000_t202" style="position:absolute;margin-left:420pt;margin-top:626.2pt;width:135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SCORE</w:t>
                  </w:r>
                </w:p>
              </w:txbxContent>
            </v:textbox>
          </v:shape>
        </w:pict>
      </w:r>
      <w:r>
        <w:pict>
          <v:shape id="cover16" type="#_x0000_t202" style="position:absolute;margin-left:420pt;margin-top:649.6pt;width:135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VIT</w:t>
                  </w:r>
                </w:p>
              </w:txbxContent>
            </v:textbox>
          </v:shape>
        </w:pict>
      </w:r>
    </w:p>
    <w:p>
      <w:r>
        <w:br w:type="page"/>
      </w:r>
    </w:p>
    <w:p>
      <w:pPr>
        <w:pStyle w:val="Heading1"/>
      </w:pPr>
      <w:r>
        <w:rPr>
          <w:b w:val="0"/>
          <w:i w:val="0"/>
        </w:rPr>
        <w:t>1. ABSTRACT</w:t>
      </w:r>
    </w:p>
    <w:p>
      <w:pPr>
        <w:jc w:val="both"/>
      </w:pPr>
      <w:r>
        <w:rPr>
          <w:b w:val="0"/>
          <w:i w:val="0"/>
        </w:rPr>
        <w:t>This case study designs a technically coherent Network Functions Virtualisation Infrastructure (NFVI) for educational evaluation. The proposed laboratory separates physical compute, storage and networking resources from their virtual abstractions, the infrastructure manager and the network functions deployed above them. A VM-based baseline uses Linux KVM, Open vSwitch and OpenStack to host repeatable tenant network services. One controller and three compute hosts provide a feasible teaching platform; the controller is explicitly a single point of failure, so the laboratory is not presented as a highly available production cloud. Management, tenant, external and storage traffic have distinct logical domains. A worked capacity model, tenant isolation controls, placement procedure, service path, fault scenarios and evaluation protocol make the architecture testable. Numerical values are design assumptions and calculated allocations, not measured performance. The study demonstrates how to evaluate resource feasibility, correct forwarding, isolation and recovery while preserving a clear boundary between an educational demonstrator and a carrier-grade NFV platform.</w:t>
      </w:r>
    </w:p>
    <w:p>
      <w:pPr>
        <w:pStyle w:val="Heading1"/>
      </w:pPr>
      <w:r>
        <w:rPr>
          <w:b w:val="0"/>
          <w:i w:val="0"/>
        </w:rPr>
        <w:t>2. INTRODUCTION</w:t>
      </w:r>
    </w:p>
    <w:p>
      <w:pPr>
        <w:jc w:val="both"/>
      </w:pPr>
      <w:r>
        <w:rPr>
          <w:b w:val="0"/>
          <w:i w:val="0"/>
        </w:rPr>
        <w:t>Network Functions Virtualisation replaces selected dedicated network appliances with software functions running on general-purpose infrastructure. NFVI is the infrastructure foundation: physical compute, storage and network resources together with the virtualisation layer that exposes virtual resources to workloads. The ETSI NFV architectural framework distinguishes NFVI, virtual network functions and management and orchestration responsibilities [1]. This separation is central to the design: a firewall VM is a workload, not the infrastructure manager.</w:t>
      </w:r>
    </w:p>
    <w:p>
      <w:pPr>
        <w:jc w:val="both"/>
      </w:pPr>
      <w:r>
        <w:rPr>
          <w:b w:val="0"/>
          <w:i w:val="0"/>
        </w:rPr>
        <w:t>An educational NFVI should be understandable, reproducible and safe to experiment with. Students should be able to create isolated networks, instantiate functions, observe traffic, exhaust a declared quota and remove a compute node without losing the distinction between a planned capability and an observed result. A technically coherent design must explain which component allocates CPU, which establishes connectivity, where persistent data resides and which failures the laboratory can tolerate.</w:t>
      </w:r>
    </w:p>
    <w:p>
      <w:pPr>
        <w:jc w:val="both"/>
      </w:pPr>
      <w:r>
        <w:rPr>
          <w:b w:val="0"/>
          <w:i w:val="0"/>
        </w:rPr>
        <w:t>The baseline uses virtual machines rather than combining multiple orchestration systems in one unexplained stack. OpenStack manages infrastructure resources, KVM provides VM execution and Open vSwitch participates in virtual networking. Containers can be evaluated later as a separate extension. OpenStack is not assumed to provide a complete ETSI NFV Orchestrator or VNF Manager simply because it provisions VMs.</w:t>
      </w:r>
    </w:p>
    <w:p>
      <w:pPr>
        <w:jc w:val="both"/>
      </w:pPr>
      <w:r>
        <w:rPr>
          <w:b w:val="0"/>
          <w:i w:val="0"/>
        </w:rPr>
        <w:t>The design adapts the deployment-and-validation problem in the historical NTT industry case [5] to one controller and three compute hosts connected to a managed switch. A small tenant service places a firewall and a router in series between a client network and a protected server network. An observation VM receives only explicitly mirrored traffic. The laboratory evaluates forwarding and tenant boundaries rather than claiming 5G radio performance, production availability or universal line-rate packet processing.</w:t>
      </w:r>
    </w:p>
    <w:p>
      <w:r>
        <w:br w:type="page"/>
      </w:r>
    </w:p>
    <w:p>
      <w:pPr>
        <w:pStyle w:val="Heading2"/>
      </w:pPr>
      <w:r>
        <w:rPr>
          <w:b w:val="0"/>
          <w:i w:val="0"/>
        </w:rPr>
        <w:t>2.1 Industry Case and Educational Adaptation</w:t>
      </w:r>
    </w:p>
    <w:p>
      <w:pPr>
        <w:jc w:val="both"/>
      </w:pPr>
      <w:r>
        <w:rPr>
          <w:b/>
          <w:i w:val="0"/>
        </w:rPr>
        <w:t>Primary source.</w:t>
      </w:r>
      <w:r>
        <w:rPr>
          <w:b w:val="0"/>
          <w:i w:val="0"/>
        </w:rPr>
        <w:t xml:space="preserve"> The OpenStack Foundation white paper </w:t>
      </w:r>
      <w:r>
        <w:rPr>
          <w:b w:val="0"/>
          <w:i/>
        </w:rPr>
        <w:t>Accelerating NFV Delivery with OpenStack</w:t>
      </w:r>
      <w:r>
        <w:rPr>
          <w:b w:val="0"/>
          <w:i w:val="0"/>
        </w:rPr>
        <w:t xml:space="preserve"> (2016), printed page 20, documents an NTT Communications proof of concept [5]. It is historical evidence, not a description of current NTT infrastructure.</w:t>
      </w:r>
    </w:p>
    <w:p>
      <w:pPr>
        <w:jc w:val="both"/>
      </w:pPr>
      <w:r>
        <w:rPr>
          <w:b/>
          <w:i w:val="0"/>
        </w:rPr>
        <w:t>Documented issue.</w:t>
      </w:r>
      <w:r>
        <w:rPr>
          <w:b w:val="0"/>
          <w:i w:val="0"/>
        </w:rPr>
        <w:t xml:space="preserve"> NTT sought to federate network services across heterogeneous carrier, cloud and customer sites. Its proof of concept represented the architecture and topology of its commercial network.</w:t>
      </w:r>
    </w:p>
    <w:p>
      <w:pPr>
        <w:jc w:val="both"/>
      </w:pPr>
      <w:r>
        <w:rPr>
          <w:b/>
          <w:i w:val="0"/>
        </w:rPr>
        <w:t>Documented approach.</w:t>
      </w:r>
      <w:r>
        <w:rPr>
          <w:b w:val="0"/>
          <w:i w:val="0"/>
        </w:rPr>
        <w:t xml:space="preserve"> The source reports tests of deployment, orchestration, interoperability and monitoring for commercial functions including virtual firewalls and routers. It describes evaluating OpenStack as infrastructure management alongside orchestration options, including early Heat, Tacker and Mistral work and commercial products. Planned enterprise service launches are reported as plans, not completed outcomes [5].</w:t>
      </w:r>
    </w:p>
    <w:p>
      <w:pPr>
        <w:jc w:val="both"/>
      </w:pPr>
      <w:r>
        <w:rPr>
          <w:b/>
          <w:i w:val="0"/>
        </w:rPr>
        <w:t>Lesson for this design.</w:t>
      </w:r>
      <w:r>
        <w:rPr>
          <w:b w:val="0"/>
          <w:i w:val="0"/>
        </w:rPr>
        <w:t xml:space="preserve"> A VNF starting successfully is insufficient evidence of a working service. The proposed assessment therefore checks connectivity, policy, resource ownership and restoration independently. This is an engineering inference from the case, not an NTT benchmark.</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60"/>
        <w:gridCol w:w="7524"/>
      </w:tblGrid>
      <w:tr>
        <w:trPr>
          <w:cantSplit/>
          <w:tblHeader/>
        </w:trPr>
        <w:tc>
          <w:tcPr>
            <w:tcW w:type="dxa" w:w="246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Design dimension</w:t>
            </w:r>
          </w:p>
        </w:tc>
        <w:tc>
          <w:tcPr>
            <w:tcW w:type="dxa" w:w="752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Educational adaptation</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b w:val="0"/>
                <w:i w:val="0"/>
                <w:sz w:val="18"/>
              </w:rPr>
              <w:t>Service composition</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b w:val="0"/>
                <w:i w:val="0"/>
                <w:sz w:val="18"/>
              </w:rPr>
              <w:t>Reduce the function set to an inspectable firewall/router path and a separate observer.</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b w:val="0"/>
                <w:i w:val="0"/>
                <w:sz w:val="18"/>
              </w:rPr>
              <w:t>Infrastructure diversity</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b w:val="0"/>
                <w:i w:val="0"/>
                <w:sz w:val="18"/>
              </w:rPr>
              <w:t>Use three equal workers in one lab; do not simulate geographic federation as actual resilience.</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b w:val="0"/>
                <w:i w:val="0"/>
                <w:sz w:val="18"/>
              </w:rPr>
              <w:t>Lifecycle management</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b w:val="0"/>
                <w:i w:val="0"/>
                <w:sz w:val="18"/>
              </w:rPr>
              <w:t>Use instructor-controlled descriptors and cleanup rather than claiming a full commercial NFV-MANO implementation.</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b w:val="0"/>
                <w:i w:val="0"/>
                <w:sz w:val="18"/>
              </w:rPr>
              <w:t>Evidence</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b w:val="0"/>
                <w:i w:val="0"/>
                <w:sz w:val="18"/>
              </w:rPr>
              <w:t>Collect topology, allocation, packet and failure evidence; keep predictions separate from observations.</w:t>
            </w:r>
          </w:p>
        </w:tc>
      </w:tr>
    </w:tbl>
    <w:p>
      <w:pPr>
        <w:spacing w:after="0" w:line="60" w:lineRule="exact" w:before="0"/>
      </w:pPr>
      <w:r>
        <w:rPr>
          <w:sz w:val="2"/>
        </w:rPr>
      </w:r>
    </w:p>
    <w:p>
      <w:pPr>
        <w:jc w:val="both"/>
      </w:pPr>
      <w:r>
        <w:rPr>
          <w:b w:val="0"/>
          <w:i w:val="0"/>
        </w:rPr>
        <w:t>The resulting classroom problem is narrower: admit bounded workloads, preserve project isolation and verify an ordered path on limited hosts. Commercial interoperability, federation and carrier availability remain outside the study. The local capacities, addressing and admission algorithm are original design choices.</w:t>
      </w:r>
    </w:p>
    <w:p>
      <w:r>
        <w:br w:type="page"/>
      </w:r>
    </w:p>
    <w:p>
      <w:pPr>
        <w:pStyle w:val="Heading1"/>
      </w:pPr>
      <w:r>
        <w:rPr>
          <w:b w:val="0"/>
          <w:i w:val="0"/>
        </w:rPr>
        <w:t>3. PROBLEM STATEMENT</w:t>
      </w:r>
    </w:p>
    <w:p>
      <w:pPr>
        <w:jc w:val="both"/>
      </w:pPr>
      <w:r>
        <w:rPr>
          <w:b w:val="0"/>
          <w:i w:val="0"/>
        </w:rPr>
        <w:t>Design an NFVI laboratory that can host multiple isolated VM-based network services, expose measurable resource limits and support controlled failure experiments. The architecture must map each requirement to an actual infrastructure component and define how correctness will be checked. It must remain feasible for an institutional laboratory without describing a single-controller installation as a fault-tolerant production platform.</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20"/>
        <w:gridCol w:w="4580"/>
        <w:gridCol w:w="3284"/>
      </w:tblGrid>
      <w:tr>
        <w:trPr>
          <w:cantSplit/>
          <w:tblHeader/>
        </w:trPr>
        <w:tc>
          <w:tcPr>
            <w:tcW w:type="dxa" w:w="212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Requirement</w:t>
            </w:r>
          </w:p>
        </w:tc>
        <w:tc>
          <w:tcPr>
            <w:tcW w:type="dxa" w:w="458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Design response</w:t>
            </w:r>
          </w:p>
        </w:tc>
        <w:tc>
          <w:tcPr>
            <w:tcW w:type="dxa" w:w="328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Evaluation evidence</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Compute abstraction</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b w:val="0"/>
                <w:i w:val="0"/>
                <w:sz w:val="18"/>
              </w:rPr>
              <w:t>KVM/libvirt on three dedicated compute hosts; Nova and Placement manage allocations.</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b w:val="0"/>
                <w:i w:val="0"/>
                <w:sz w:val="18"/>
              </w:rPr>
              <w:t>VM inventory, host assignments and resource counters.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Network isolation</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b w:val="0"/>
                <w:i w:val="0"/>
                <w:sz w:val="18"/>
              </w:rPr>
              <w:t>OpenStack projects, Neutron networks, isolated overlays and scoped security groups.</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b w:val="0"/>
                <w:i w:val="0"/>
                <w:sz w:val="18"/>
              </w:rPr>
              <w:t>Cross-tenant negative connectivity tests.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Service forwarding</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b w:val="0"/>
                <w:i w:val="0"/>
                <w:sz w:val="18"/>
              </w:rPr>
              <w:t>Two-interface firewall and router VMs form the mandatory client-to-server path.</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b w:val="0"/>
                <w:i w:val="0"/>
                <w:sz w:val="18"/>
              </w:rPr>
              <w:t>Packet captures and firewall counters in the required order.</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Resource feasibility</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b w:val="0"/>
                <w:i w:val="0"/>
                <w:sz w:val="18"/>
              </w:rPr>
              <w:t>Explicit host reserve, no baseline CPU overcommit and tenant quotas.</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b w:val="0"/>
                <w:i w:val="0"/>
                <w:sz w:val="18"/>
              </w:rPr>
              <w:t>Capacity worksheet and rejected oversized requests.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Recoverability</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b w:val="0"/>
                <w:i w:val="0"/>
                <w:sz w:val="18"/>
              </w:rPr>
              <w:t>Recreate workloads from approved images and backed-up configuration.</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b w:val="0"/>
                <w:i w:val="0"/>
                <w:sz w:val="18"/>
              </w:rPr>
              <w:t>Observed restoration time and explicit state-loss record.</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Repeatability</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b w:val="0"/>
                <w:i w:val="0"/>
                <w:sz w:val="18"/>
              </w:rPr>
              <w:t>Versioned images, descriptors and configuration automation.</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b w:val="0"/>
                <w:i w:val="0"/>
                <w:sz w:val="18"/>
              </w:rPr>
              <w:t>Recreated topology matches the declared manifest.</w:t>
            </w:r>
          </w:p>
        </w:tc>
      </w:tr>
    </w:tbl>
    <w:p>
      <w:pPr>
        <w:spacing w:after="0" w:line="60" w:lineRule="exact" w:before="0"/>
      </w:pPr>
      <w:r>
        <w:rPr>
          <w:sz w:val="2"/>
        </w:rPr>
      </w:r>
    </w:p>
    <w:p>
      <w:pPr>
        <w:pStyle w:val="Heading1"/>
      </w:pPr>
      <w:r>
        <w:rPr>
          <w:b w:val="0"/>
          <w:i w:val="0"/>
        </w:rPr>
        <w:t>4. MOTIVATION OF THE CASE STUDY</w:t>
      </w:r>
    </w:p>
    <w:p>
      <w:pPr>
        <w:jc w:val="both"/>
      </w:pPr>
      <w:r>
        <w:rPr>
          <w:b w:val="0"/>
          <w:i w:val="0"/>
        </w:rPr>
        <w:t>An NFV diagram can look complete while omitting basic operational dependencies. For example, a virtual link cannot isolate tenants if its identifiers are reused incorrectly; a second VM does not create high availability if both copies share the same host; and a snapshot does not replace tested backup and restoration. This study makes those dependencies explicit.</w:t>
      </w:r>
    </w:p>
    <w:p>
      <w:pPr>
        <w:jc w:val="both"/>
      </w:pPr>
      <w:r>
        <w:rPr>
          <w:b w:val="0"/>
          <w:i w:val="0"/>
        </w:rPr>
        <w:t xml:space="preserve">• </w:t>
      </w:r>
      <w:r>
        <w:rPr>
          <w:b/>
          <w:i w:val="0"/>
        </w:rPr>
        <w:t>Learning motivation:</w:t>
      </w:r>
      <w:r>
        <w:rPr>
          <w:b w:val="0"/>
          <w:i w:val="0"/>
        </w:rPr>
        <w:t xml:space="preserve"> relate hardware capacity, hypervisor scheduling, virtual networks and network-function behavior through visible laboratory experiments.</w:t>
      </w:r>
    </w:p>
    <w:p>
      <w:pPr>
        <w:jc w:val="both"/>
      </w:pPr>
      <w:r>
        <w:rPr>
          <w:b w:val="0"/>
          <w:i w:val="0"/>
        </w:rPr>
        <w:t xml:space="preserve">• </w:t>
      </w:r>
      <w:r>
        <w:rPr>
          <w:b/>
          <w:i w:val="0"/>
        </w:rPr>
        <w:t>Engineering motivation:</w:t>
      </w:r>
      <w:r>
        <w:rPr>
          <w:b w:val="0"/>
          <w:i w:val="0"/>
        </w:rPr>
        <w:t xml:space="preserve"> use a small, internally consistent stack with documented ownership of compute, networking, images and identity.</w:t>
      </w:r>
    </w:p>
    <w:p>
      <w:pPr>
        <w:jc w:val="both"/>
      </w:pPr>
      <w:r>
        <w:rPr>
          <w:b w:val="0"/>
          <w:i w:val="0"/>
        </w:rPr>
        <w:t xml:space="preserve">• </w:t>
      </w:r>
      <w:r>
        <w:rPr>
          <w:b/>
          <w:i w:val="0"/>
        </w:rPr>
        <w:t>Evaluation motivation:</w:t>
      </w:r>
      <w:r>
        <w:rPr>
          <w:b w:val="0"/>
          <w:i w:val="0"/>
        </w:rPr>
        <w:t xml:space="preserve"> define pass conditions and collect evidence for isolation, forwarding, resource accounting and controlled recovery.</w:t>
      </w:r>
    </w:p>
    <w:p>
      <w:pPr>
        <w:jc w:val="both"/>
      </w:pPr>
      <w:r>
        <w:rPr>
          <w:b w:val="0"/>
          <w:i w:val="0"/>
        </w:rPr>
        <w:t>The expected benefit is clearer assessment and repeatable experimentation. A monetary saving or throughput improvement is not claimed without measurements from the actual laboratory.</w:t>
      </w:r>
    </w:p>
    <w:p>
      <w:r>
        <w:br w:type="page"/>
      </w:r>
    </w:p>
    <w:p>
      <w:pPr>
        <w:pStyle w:val="Heading1"/>
      </w:pPr>
      <w:r>
        <w:rPr>
          <w:b w:val="0"/>
          <w:i w:val="0"/>
        </w:rPr>
        <w:t>5. OBJECTIVE</w:t>
      </w:r>
    </w:p>
    <w:p>
      <w:pPr>
        <w:jc w:val="both"/>
      </w:pPr>
      <w:r>
        <w:rPr>
          <w:b/>
          <w:i w:val="0"/>
        </w:rPr>
        <w:t>To design and evaluate a resource-aware, tenant-isolated NFVI architecture for deploying virtual network functions in an educational laboratory.</w:t>
      </w:r>
    </w:p>
    <w:p>
      <w:pPr>
        <w:jc w:val="both"/>
      </w:pPr>
      <w:r>
        <w:rPr>
          <w:b w:val="0"/>
          <w:i w:val="0"/>
        </w:rPr>
        <w:t>Evaluation means a calculated design assessment and a defined laboratory acceptance procedure. This report does not claim completed deployment measurements. The following criteria make the single objective assessable.</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20"/>
        <w:gridCol w:w="7564"/>
      </w:tblGrid>
      <w:tr>
        <w:trPr>
          <w:cantSplit/>
          <w:tblHeader/>
        </w:trPr>
        <w:tc>
          <w:tcPr>
            <w:tcW w:type="dxa" w:w="242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Success criterion</w:t>
            </w:r>
          </w:p>
        </w:tc>
        <w:tc>
          <w:tcPr>
            <w:tcW w:type="dxa" w:w="756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Acceptance evidence</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b w:val="0"/>
                <w:i w:val="0"/>
                <w:sz w:val="18"/>
              </w:rPr>
              <w:t>Resource feasibility</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b w:val="0"/>
                <w:i w:val="0"/>
                <w:sz w:val="18"/>
              </w:rPr>
              <w:t>The complete declared load fits every host and the two-worker reconstruction budget.</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b w:val="0"/>
                <w:i w:val="0"/>
                <w:sz w:val="18"/>
              </w:rPr>
              <w:t>Tenant isolation</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b w:val="0"/>
                <w:i w:val="0"/>
                <w:sz w:val="18"/>
              </w:rPr>
              <w:t>All specified cross-project API and private-network access attempts are denied.</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b w:val="0"/>
                <w:i w:val="0"/>
                <w:sz w:val="18"/>
              </w:rPr>
              <w:t>Correct forwarding</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b w:val="0"/>
                <w:i w:val="0"/>
                <w:sz w:val="18"/>
              </w:rPr>
              <w:t>Allowed packets traverse client, firewall, router and server in order; bypass and forbidden-port tests fail.</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b w:val="0"/>
                <w:i w:val="0"/>
                <w:sz w:val="18"/>
              </w:rPr>
              <w:t>Reproducibility</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b w:val="0"/>
                <w:i w:val="0"/>
                <w:sz w:val="18"/>
              </w:rPr>
              <w:t>Approved image hashes, descriptor and policy regenerate the same logical topology.</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b w:val="0"/>
                <w:i w:val="0"/>
                <w:sz w:val="18"/>
              </w:rPr>
              <w:t>Recovery transparency</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b w:val="0"/>
                <w:i w:val="0"/>
                <w:sz w:val="18"/>
              </w:rPr>
              <w:t>Worker and controller faults have separately recorded impact, reconstruction time and state loss.</w:t>
            </w:r>
          </w:p>
        </w:tc>
      </w:tr>
    </w:tbl>
    <w:p>
      <w:pPr>
        <w:spacing w:after="0" w:line="60" w:lineRule="exact" w:before="0"/>
      </w:pPr>
      <w:r>
        <w:rPr>
          <w:sz w:val="2"/>
        </w:rPr>
      </w:r>
    </w:p>
    <w:p>
      <w:pPr>
        <w:pStyle w:val="Heading1"/>
      </w:pPr>
      <w:r>
        <w:rPr>
          <w:b w:val="0"/>
          <w:i w:val="0"/>
        </w:rPr>
        <w:t>6. METHODOLOGY</w:t>
      </w:r>
    </w:p>
    <w:p>
      <w:pPr>
        <w:jc w:val="both"/>
      </w:pPr>
      <w:r>
        <w:rPr>
          <w:b w:val="0"/>
          <w:i w:val="0"/>
        </w:rPr>
        <w:t>The method begins with a conventional ETSI NFV reference model, then selects one implementable educational stack. A component map assigns every architectural function to software or hardware. A capacity budget reserves infrastructure overhead before admitting workloads. Network paths and trust boundaries are specified before service deployment. Finally, acceptance tests define how each requirement would be observed in a controlled laboratory.</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00"/>
        <w:gridCol w:w="4800"/>
        <w:gridCol w:w="3584"/>
      </w:tblGrid>
      <w:tr>
        <w:trPr>
          <w:cantSplit/>
          <w:tblHeader/>
        </w:trPr>
        <w:tc>
          <w:tcPr>
            <w:tcW w:type="dxa" w:w="160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Stage</w:t>
            </w:r>
          </w:p>
        </w:tc>
        <w:tc>
          <w:tcPr>
            <w:tcW w:type="dxa" w:w="480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Activity</w:t>
            </w:r>
          </w:p>
        </w:tc>
        <w:tc>
          <w:tcPr>
            <w:tcW w:type="dxa" w:w="358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Output</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b w:val="0"/>
                <w:i w:val="0"/>
                <w:sz w:val="18"/>
              </w:rPr>
              <w:t>Model</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b w:val="0"/>
                <w:i w:val="0"/>
                <w:sz w:val="18"/>
              </w:rPr>
              <w:t>Separate infrastructure, workloads and orchestration.</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b w:val="0"/>
                <w:i w:val="0"/>
                <w:sz w:val="18"/>
              </w:rPr>
              <w:t>Layered architecture and responsibility table.</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b w:val="0"/>
                <w:i w:val="0"/>
                <w:sz w:val="18"/>
              </w:rPr>
              <w:t>Size</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b w:val="0"/>
                <w:i w:val="0"/>
                <w:sz w:val="18"/>
              </w:rPr>
              <w:t>Reserve host overhead and calculate normal/failure capacity.</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b w:val="0"/>
                <w:i w:val="0"/>
                <w:sz w:val="18"/>
              </w:rPr>
              <w:t>Resource budget and admission limits.</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b w:val="0"/>
                <w:i w:val="0"/>
                <w:sz w:val="18"/>
              </w:rPr>
              <w:t>Connect</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b w:val="0"/>
                <w:i w:val="0"/>
                <w:sz w:val="18"/>
              </w:rPr>
              <w:t>Define segments, gateways and firewall interfaces.</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b w:val="0"/>
                <w:i w:val="0"/>
                <w:sz w:val="18"/>
              </w:rPr>
              <w:t>Address plan and explicit forwarding path.</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b w:val="0"/>
                <w:i w:val="0"/>
                <w:sz w:val="18"/>
              </w:rPr>
              <w:t>Control</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b w:val="0"/>
                <w:i w:val="0"/>
                <w:sz w:val="18"/>
              </w:rPr>
              <w:t>Define tenant roles, quotas and ownership.</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b w:val="0"/>
                <w:i w:val="0"/>
                <w:sz w:val="18"/>
              </w:rPr>
              <w:t>Access policy and cleanup procedure.</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b w:val="0"/>
                <w:i w:val="0"/>
                <w:sz w:val="18"/>
              </w:rPr>
              <w:t>Evaluate</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b w:val="0"/>
                <w:i w:val="0"/>
                <w:sz w:val="18"/>
              </w:rPr>
              <w:t>Specify load, fault and denial tests.</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b w:val="0"/>
                <w:i w:val="0"/>
                <w:sz w:val="18"/>
              </w:rPr>
              <w:t>Evidence checklist and result recording template.</w:t>
            </w:r>
          </w:p>
        </w:tc>
      </w:tr>
    </w:tbl>
    <w:p>
      <w:pPr>
        <w:spacing w:after="0" w:line="60" w:lineRule="exact" w:before="0"/>
      </w:pPr>
      <w:r>
        <w:rPr>
          <w:sz w:val="2"/>
        </w:rPr>
      </w:r>
    </w:p>
    <w:p>
      <w:pPr>
        <w:jc w:val="both"/>
      </w:pPr>
      <w:r>
        <w:rPr>
          <w:b w:val="0"/>
          <w:i w:val="0"/>
        </w:rPr>
        <w:t>This is an architecture and evaluation design. The capacity worksheet is calculated from declared assumptions; no OpenStack cluster or production network was deployed for this report. Evaluation outcomes remain to be measured, and the proposed test matrix does not imply that those tests have already passed.</w:t>
      </w:r>
    </w:p>
    <w:p>
      <w:pPr>
        <w:pStyle w:val="Heading2"/>
      </w:pPr>
      <w:r>
        <w:rPr>
          <w:b w:val="0"/>
          <w:i w:val="0"/>
        </w:rPr>
        <w:t>6.1 Proposed Framework / Architecture</w:t>
      </w:r>
    </w:p>
    <w:p>
      <w:pPr>
        <w:jc w:val="both"/>
      </w:pPr>
      <w:r>
        <w:rPr>
          <w:b w:val="0"/>
          <w:i w:val="0"/>
        </w:rPr>
        <w:t>The baseline consists of one controller C0, three compute hosts W1-W3 and a managed Ethernet switch. C0 also hosts the baseline Neutron network-service processes. An optional external laboratory gateway is outside the measured private test path. The controller runs management services; worker hosts execute tenant VMs. All four machines require hardware virtualisation support where appropriate, consistent time synchronisation and controlled administrative access. C0 management and image/database capacity are not counted as tenant capacity.</w:t>
      </w:r>
    </w:p>
    <w:p>
      <w:r>
        <w:br w:type="page"/>
      </w:r>
    </w:p>
    <w:p>
      <w:pPr>
        <w:pStyle w:val="Heading2"/>
      </w:pPr>
      <w:r>
        <w:rPr>
          <w:b w:val="0"/>
          <w:i w:val="0"/>
        </w:rPr>
        <w:t>6.1 Proposed Framework / Architecture</w:t>
      </w:r>
    </w:p>
    <w:p>
      <w:pPr>
        <w:keepNext/>
        <w:spacing w:after="0"/>
      </w:pPr>
      <w:r>
        <w:drawing>
          <wp:inline xmlns:a="http://schemas.openxmlformats.org/drawingml/2006/main" xmlns:pic="http://schemas.openxmlformats.org/drawingml/2006/picture">
            <wp:extent cx="6339840" cy="3365500"/>
            <wp:docPr id="1" name="Picture 1"/>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6339840" cy="3365500"/>
                    </a:xfrm>
                    <a:prstGeom prst="rect"/>
                  </pic:spPr>
                </pic:pic>
              </a:graphicData>
            </a:graphic>
          </wp:inline>
        </w:drawing>
      </w:r>
    </w:p>
    <w:p>
      <w:pPr>
        <w:keepNext w:val="0"/>
        <w:jc w:val="center"/>
      </w:pPr>
      <w:r>
        <w:rPr>
          <w:rFonts w:ascii="Times New Roman" w:hAnsi="Times New Roman"/>
          <w:b w:val="0"/>
          <w:i w:val="0"/>
          <w:sz w:val="18"/>
        </w:rPr>
        <w:t>Fig. 1. Educational NFVI topology. C0 is intentionally a single controller and is not highly available.</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0"/>
        <w:gridCol w:w="4680"/>
        <w:gridCol w:w="3364"/>
      </w:tblGrid>
      <w:tr>
        <w:trPr>
          <w:cantSplit/>
          <w:tblHeader/>
        </w:trPr>
        <w:tc>
          <w:tcPr>
            <w:tcW w:type="dxa" w:w="194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Layer</w:t>
            </w:r>
          </w:p>
        </w:tc>
        <w:tc>
          <w:tcPr>
            <w:tcW w:type="dxa" w:w="468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Selected implementation</w:t>
            </w:r>
          </w:p>
        </w:tc>
        <w:tc>
          <w:tcPr>
            <w:tcW w:type="dxa" w:w="336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Boundary</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b w:val="0"/>
                <w:i w:val="0"/>
                <w:sz w:val="18"/>
              </w:rPr>
              <w:t>Physical resources</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b w:val="0"/>
                <w:i w:val="0"/>
                <w:sz w:val="18"/>
              </w:rPr>
              <w:t>Three compute servers, controller, SSDs, Ethernet NICs and managed switch.</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b w:val="0"/>
                <w:i w:val="0"/>
                <w:sz w:val="18"/>
              </w:rPr>
              <w:t>Real capacity and shared failure dependencies.</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b w:val="0"/>
                <w:i w:val="0"/>
                <w:sz w:val="18"/>
              </w:rPr>
              <w:t>Virtualisation</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b w:val="0"/>
                <w:i w:val="0"/>
                <w:sz w:val="18"/>
              </w:rPr>
              <w:t>KVM, libvirt and virtual switching.</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b w:val="0"/>
                <w:i w:val="0"/>
                <w:sz w:val="18"/>
              </w:rPr>
              <w:t>VM execution and virtual interface attachment.</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b w:val="0"/>
                <w:i w:val="0"/>
                <w:sz w:val="18"/>
              </w:rPr>
              <w:t>Virtual resources</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b w:val="0"/>
                <w:i w:val="0"/>
                <w:sz w:val="18"/>
              </w:rPr>
              <w:t>vCPU, guest RAM, ephemeral disk and Neutron ports/networks.</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b w:val="0"/>
                <w:i w:val="0"/>
                <w:sz w:val="18"/>
              </w:rPr>
              <w:t>Allocated resources visible to tenant workloads.</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b w:val="0"/>
                <w:i w:val="0"/>
                <w:sz w:val="18"/>
              </w:rPr>
              <w:t>Infrastructure management</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b w:val="0"/>
                <w:i w:val="0"/>
                <w:sz w:val="18"/>
              </w:rPr>
              <w:t>OpenStack Nova/Placement, Neutron, Glance and Keystone.</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b w:val="0"/>
                <w:i w:val="0"/>
                <w:sz w:val="18"/>
              </w:rPr>
              <w:t>Infrastructure provisioning and API-level authorization.</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b w:val="0"/>
                <w:i w:val="0"/>
                <w:sz w:val="18"/>
              </w:rPr>
              <w:t>Network functions</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b w:val="0"/>
                <w:i w:val="0"/>
                <w:sz w:val="18"/>
              </w:rPr>
              <w:t>Linux router/firewall and optional observation VMs.</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b w:val="0"/>
                <w:i w:val="0"/>
                <w:sz w:val="18"/>
              </w:rPr>
              <w:t>Service behavior and application state.</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b w:val="0"/>
                <w:i w:val="0"/>
                <w:sz w:val="18"/>
              </w:rPr>
              <w:t>Service lifecycle</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b w:val="0"/>
                <w:i w:val="0"/>
                <w:sz w:val="18"/>
              </w:rPr>
              <w:t>Instructor-controlled descriptors and automation.</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b w:val="0"/>
                <w:i w:val="0"/>
                <w:sz w:val="18"/>
              </w:rPr>
              <w:t>Limited educational workflow; not a full ETSI NFVO/VNFM.</w:t>
            </w:r>
          </w:p>
        </w:tc>
      </w:tr>
    </w:tbl>
    <w:p>
      <w:pPr>
        <w:spacing w:after="0" w:line="60" w:lineRule="exact" w:before="0"/>
      </w:pPr>
      <w:r>
        <w:rPr>
          <w:sz w:val="2"/>
        </w:rPr>
      </w:r>
    </w:p>
    <w:p>
      <w:pPr>
        <w:jc w:val="both"/>
      </w:pPr>
      <w:r>
        <w:rPr>
          <w:b w:val="0"/>
          <w:i w:val="0"/>
        </w:rPr>
        <w:t>Nova and Placement provide compute resource management, while Neutron provides networking. Glance distributes approved images [9]; Keystone provides API authentication and authorization [10]. The baseline uses ephemeral VM disks; Cinder is optional and excluded from the capacity arithmetic. Adding Cinder requires an explicitly sized and protected storage backend rather than assuming that a service name supplies redundant storage.</w:t>
      </w:r>
    </w:p>
    <w:p>
      <w:pPr>
        <w:jc w:val="both"/>
      </w:pPr>
      <w:r>
        <w:rPr>
          <w:b w:val="0"/>
          <w:i w:val="0"/>
        </w:rPr>
        <w:t>OpenStack control services also depend on their database and message queue [2]. C0 and the switch are shared dependencies. Losing C0 can interrupt management operations while existing guest forwarding may continue; the actual behavior must be measured for the selected deployment and network agents.</w:t>
      </w:r>
    </w:p>
    <w:p>
      <w:r>
        <w:br w:type="page"/>
      </w:r>
    </w:p>
    <w:p>
      <w:pPr>
        <w:pStyle w:val="Heading3"/>
      </w:pPr>
      <w:r>
        <w:rPr>
          <w:b w:val="0"/>
          <w:i w:val="0"/>
        </w:rPr>
        <w:t>6.1.1 Network and Storage Design</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4780"/>
        <w:gridCol w:w="3104"/>
      </w:tblGrid>
      <w:tr>
        <w:trPr>
          <w:cantSplit/>
          <w:tblHeader/>
        </w:trPr>
        <w:tc>
          <w:tcPr>
            <w:tcW w:type="dxa" w:w="210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Domain</w:t>
            </w:r>
          </w:p>
        </w:tc>
        <w:tc>
          <w:tcPr>
            <w:tcW w:type="dxa" w:w="478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Example addressing / mechanism</w:t>
            </w:r>
          </w:p>
        </w:tc>
        <w:tc>
          <w:tcPr>
            <w:tcW w:type="dxa" w:w="310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Access rule</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Management</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b w:val="0"/>
                <w:i w:val="0"/>
                <w:sz w:val="18"/>
              </w:rPr>
              <w:t>VLAN 10; 10.10.10.0/24; C0 and W1-W3 management interfaces.</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b w:val="0"/>
                <w:i w:val="0"/>
                <w:sz w:val="18"/>
              </w:rPr>
              <w:t>Only administrator jump host and required service peers.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Tenant transport</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b w:val="0"/>
                <w:i w:val="0"/>
                <w:sz w:val="18"/>
              </w:rPr>
              <w:t>VLAN 20; 10.10.20.0/24 tunnel endpoints; VXLAN overlays.</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b w:val="0"/>
                <w:i w:val="0"/>
                <w:sz w:val="18"/>
              </w:rPr>
              <w:t>No direct student access to tunnel or host interfaces.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External laboratory</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b w:val="0"/>
                <w:i w:val="0"/>
                <w:sz w:val="18"/>
              </w:rPr>
              <w:t>VLAN 30; 192.0.2.0/24 documentation-only example.</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b w:val="0"/>
                <w:i w:val="0"/>
                <w:sz w:val="18"/>
              </w:rPr>
              <w:t>Controlled gateway; no unintended route to campus networks.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Storage / backup</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b w:val="0"/>
                <w:i w:val="0"/>
                <w:sz w:val="18"/>
              </w:rPr>
              <w:t>VLAN 40; 10.10.40.0/24 when a backup target is provided.</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b w:val="0"/>
                <w:i w:val="0"/>
                <w:sz w:val="18"/>
              </w:rPr>
              <w:t>Administrator and backup services only.</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Tenant A networks</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10.101.1.0/24 client; 10.101.2.0/24 protected.</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b w:val="0"/>
                <w:i w:val="0"/>
                <w:sz w:val="18"/>
              </w:rPr>
              <w:t>Only Tenant A project ports and declared inter-network route.</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Tenant B networks</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10.102.1.0/24 client; 10.102.2.0/24 protected.</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b w:val="0"/>
                <w:i w:val="0"/>
                <w:sz w:val="18"/>
              </w:rPr>
              <w:t>No permitted path from Tenant A without an explicit exception.</w:t>
            </w:r>
          </w:p>
        </w:tc>
      </w:tr>
    </w:tbl>
    <w:p>
      <w:pPr>
        <w:spacing w:after="0" w:line="60" w:lineRule="exact" w:before="0"/>
      </w:pPr>
      <w:r>
        <w:rPr>
          <w:sz w:val="2"/>
        </w:rPr>
      </w:r>
    </w:p>
    <w:p>
      <w:pPr>
        <w:jc w:val="both"/>
      </w:pPr>
      <w:r>
        <w:rPr>
          <w:b w:val="0"/>
          <w:i w:val="0"/>
        </w:rPr>
        <w:t>The external 192.0.2.0/24 range is illustrative and must be replaced by an approved laboratory allocation. VLANs are logical separation on the same switch, not independent physical redundancy. A single physical NIC may carry tagged domains for a low-cost lab, but separate NICs improve administrative separation and reduce interference. Neither arrangement alone proves throughput isolation.</w:t>
      </w:r>
    </w:p>
    <w:p>
      <w:pPr>
        <w:jc w:val="both"/>
      </w:pPr>
      <w:r>
        <w:rPr>
          <w:b w:val="0"/>
          <w:i w:val="0"/>
        </w:rPr>
        <w:t>VXLAN introduces encapsulation overhead. Configure a guest MTU compatible with the entire underlay and verify it using nonfragmenting probes; do not assume a 1500-byte guest packet fits a 1500-byte tunnel underlay. Overlay identifiers must be unique within their intended scope, and the selected Neutron backend must be configured consistently [3].</w:t>
      </w:r>
    </w:p>
    <w:p>
      <w:pPr>
        <w:jc w:val="both"/>
      </w:pPr>
      <w:r>
        <w:rPr>
          <w:b w:val="0"/>
          <w:i w:val="0"/>
        </w:rPr>
        <w:t>Ephemeral disks contain disposable guest images and temporary workload data. Store descriptors, firewall rules and image checksums outside the tenant VMs, then back them up to an independent target. A copy on C0 alone does not protect against loss of C0. Stateful firewall sessions are not preserved merely by backing up configuration.</w:t>
      </w:r>
    </w:p>
    <w:p>
      <w:pPr>
        <w:pStyle w:val="Heading3"/>
      </w:pPr>
      <w:r>
        <w:rPr>
          <w:b w:val="0"/>
          <w:i w:val="0"/>
        </w:rPr>
        <w:t>6.1.2 Explicit Service Forwarding</w:t>
      </w:r>
    </w:p>
    <w:p>
      <w:pPr>
        <w:jc w:val="both"/>
      </w:pPr>
      <w:r>
        <w:rPr>
          <w:b w:val="0"/>
          <w:i w:val="0"/>
        </w:rPr>
        <w:t>The evaluated path is client -&gt; firewall -&gt; router -&gt; protected server [6]. For Tenant A, the firewall links client subnet 10.101.1.0/24 to transit subnet 10.101.254.0/30; the router links that transit subnet to protected subnet 10.101.2.0/24. The client uses the firewall as its gateway, and the server uses the router. Forward and return routes traverse both functions. The firewall has a route to 10.101.2.0/24 via transit peer 10.101.254.2; the router has a return route to 10.101.1.0/24 via 10.101.254.1. A direct bridge or alternate router between the subnets would bypass the evaluated function and must be absent. Security groups complement this topology; they do not automatically enforce service-chain order.</w:t>
      </w:r>
    </w:p>
    <w:p>
      <w:pPr>
        <w:jc w:val="both"/>
      </w:pPr>
      <w:r>
        <w:rPr>
          <w:b w:val="0"/>
          <w:i w:val="0"/>
        </w:rPr>
        <w:t>An observation VM is attached to a separate monitor network and receives an explicitly configured mirror when supported, such as an instructor-configured OVS mirror on the firewall host. It is not automatically an inline forwarding hop. Interface forwarding and any exceptions to Neutron anti-spoofing or port-security rules must be narrowly scoped to the approved router/firewall ports; tenant-wide disabling is not required.</w:t>
      </w:r>
    </w:p>
    <w:p>
      <w:r>
        <w:br w:type="page"/>
      </w:r>
    </w:p>
    <w:p>
      <w:pPr>
        <w:pStyle w:val="Heading3"/>
      </w:pPr>
      <w:r>
        <w:rPr>
          <w:b w:val="0"/>
          <w:i w:val="0"/>
        </w:rPr>
        <w:t>6.1.3 Addressing and Forwarding Diagram</w:t>
      </w:r>
    </w:p>
    <w:p>
      <w:pPr>
        <w:keepNext/>
        <w:spacing w:after="0"/>
      </w:pPr>
      <w:r>
        <w:drawing>
          <wp:inline xmlns:a="http://schemas.openxmlformats.org/drawingml/2006/main" xmlns:pic="http://schemas.openxmlformats.org/drawingml/2006/picture">
            <wp:extent cx="6339840" cy="2641600"/>
            <wp:docPr id="2" name="Picture 2"/>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6339840" cy="2641600"/>
                    </a:xfrm>
                    <a:prstGeom prst="rect"/>
                  </pic:spPr>
                </pic:pic>
              </a:graphicData>
            </a:graphic>
          </wp:inline>
        </w:drawing>
      </w:r>
    </w:p>
    <w:p>
      <w:pPr>
        <w:keepNext w:val="0"/>
        <w:jc w:val="center"/>
      </w:pPr>
      <w:r>
        <w:rPr>
          <w:rFonts w:ascii="Times New Roman" w:hAnsi="Times New Roman"/>
          <w:b w:val="0"/>
          <w:i w:val="0"/>
          <w:sz w:val="18"/>
        </w:rPr>
        <w:t>Fig. 2. One tenant replica. Abbreviated interface addresses are expanded in Table 1.</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3480"/>
        <w:gridCol w:w="3864"/>
      </w:tblGrid>
      <w:tr>
        <w:trPr>
          <w:cantSplit/>
          <w:tblHeader/>
        </w:trPr>
        <w:tc>
          <w:tcPr>
            <w:tcW w:type="dxa" w:w="264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Link / interface</w:t>
            </w:r>
          </w:p>
        </w:tc>
        <w:tc>
          <w:tcPr>
            <w:tcW w:type="dxa" w:w="348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Address</w:t>
            </w:r>
          </w:p>
        </w:tc>
        <w:tc>
          <w:tcPr>
            <w:tcW w:type="dxa" w:w="386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Role</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b w:val="0"/>
                <w:i w:val="0"/>
                <w:sz w:val="18"/>
              </w:rPr>
              <w:t>Client / gateway</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10.101.1.10/24; gateway 10.101.1.1</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b w:val="0"/>
                <w:i w:val="0"/>
                <w:sz w:val="18"/>
              </w:rPr>
              <w:t>Generates allowed and forbidden flows.</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b w:val="0"/>
                <w:i w:val="0"/>
                <w:sz w:val="18"/>
              </w:rPr>
              <w:t>Firewall client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10.101.1.1/24</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b w:val="0"/>
                <w:i w:val="0"/>
                <w:sz w:val="18"/>
              </w:rPr>
              <w:t>Client-side next hop.</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b w:val="0"/>
                <w:i w:val="0"/>
                <w:sz w:val="18"/>
              </w:rPr>
              <w:t>Firewall transit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10.101.254.1/30</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b w:val="0"/>
                <w:i w:val="0"/>
                <w:sz w:val="18"/>
              </w:rPr>
              <w:t>Next hop for router return traffic.</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b w:val="0"/>
                <w:i w:val="0"/>
                <w:sz w:val="18"/>
              </w:rPr>
              <w:t>Router transit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10.101.254.2/30</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b w:val="0"/>
                <w:i w:val="0"/>
                <w:sz w:val="18"/>
              </w:rPr>
              <w:t>Firewall route toward protected network.</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b w:val="0"/>
                <w:i w:val="0"/>
                <w:sz w:val="18"/>
              </w:rPr>
              <w:t>Router server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10.101.2.1/24</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b w:val="0"/>
                <w:i w:val="0"/>
                <w:sz w:val="18"/>
              </w:rPr>
              <w:t>Server-side gateway.</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b w:val="0"/>
                <w:i w:val="0"/>
                <w:sz w:val="18"/>
              </w:rPr>
              <w:t>Server / gateway</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b w:val="0"/>
                <w:i w:val="0"/>
                <w:sz w:val="18"/>
              </w:rPr>
              <w:t>10.101.2.10/24; gateway 10.101.2.1</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b w:val="0"/>
                <w:i w:val="0"/>
                <w:sz w:val="18"/>
              </w:rPr>
              <w:t>Receives authorized test traffic.</w:t>
            </w:r>
          </w:p>
        </w:tc>
      </w:tr>
    </w:tbl>
    <w:p>
      <w:pPr>
        <w:spacing w:after="0" w:line="60" w:lineRule="exact" w:before="0"/>
      </w:pPr>
      <w:r>
        <w:rPr>
          <w:sz w:val="2"/>
        </w:rPr>
      </w:r>
    </w:p>
    <w:p>
      <w:pPr>
        <w:keepNext w:val="0"/>
        <w:jc w:val="center"/>
      </w:pPr>
      <w:r>
        <w:rPr>
          <w:rFonts w:ascii="Times New Roman" w:hAnsi="Times New Roman"/>
          <w:b w:val="0"/>
          <w:i w:val="0"/>
          <w:sz w:val="18"/>
        </w:rPr>
        <w:t>Table 1. Example interface plan for project A, replica 1.</w:t>
      </w:r>
    </w:p>
    <w:p>
      <w:pPr>
        <w:jc w:val="both"/>
      </w:pPr>
      <w:r>
        <w:rPr>
          <w:b w:val="0"/>
          <w:i w:val="0"/>
        </w:rPr>
        <w:t>Project B uses 10.102.1.0/24, 10.102.254.0/30 and 10.102.2.0/24. Replica 2 uses separate network objects, with no connection to replica 1. The management interface, when present, has no route that bypasses the evaluated data path.</w:t>
      </w:r>
    </w:p>
    <w:p>
      <w:pPr>
        <w:jc w:val="both"/>
      </w:pPr>
      <w:r>
        <w:rPr>
          <w:b w:val="0"/>
          <w:i w:val="0"/>
        </w:rPr>
        <w:t>Enable guest IP forwarding on the firewall and router. Permit the intended forwarded source prefixes in narrowly scoped Neutron allowed-address-pair/port-security configuration appropriate to the backend. Test those exceptions; do not disable project-wide protections. Allow management SSH through the management domain, not through the evaluated protected-server policy.</w:t>
      </w:r>
    </w:p>
    <w:p>
      <w:pPr>
        <w:jc w:val="both"/>
      </w:pPr>
      <w:r>
        <w:rPr>
          <w:b w:val="0"/>
          <w:i w:val="0"/>
        </w:rPr>
        <w:t>Use a tenant VXLAN network for each declared logical segment. MTU must reflect the encapsulation overhead; for a consistent 1500-byte IPv4 VXLAN underlay, a 1450-byte guest MTU is an initial configuration example to verify, not a universal value [8].</w:t>
      </w:r>
    </w:p>
    <w:p>
      <w:r>
        <w:br w:type="page"/>
      </w:r>
    </w:p>
    <w:p>
      <w:pPr>
        <w:pStyle w:val="Heading2"/>
      </w:pPr>
      <w:r>
        <w:rPr>
          <w:b w:val="0"/>
          <w:i w:val="0"/>
        </w:rPr>
        <w:t>6.2 Working Process</w:t>
      </w:r>
    </w:p>
    <w:p>
      <w:pPr>
        <w:jc w:val="both"/>
      </w:pPr>
      <w:r>
        <w:rPr>
          <w:b w:val="0"/>
          <w:i w:val="0"/>
        </w:rPr>
        <w:t xml:space="preserve">1. </w:t>
      </w:r>
      <w:r>
        <w:rPr>
          <w:b/>
          <w:i w:val="0"/>
        </w:rPr>
        <w:t>Prepare:</w:t>
      </w:r>
      <w:r>
        <w:rPr>
          <w:b w:val="0"/>
          <w:i w:val="0"/>
        </w:rPr>
        <w:t xml:space="preserve"> verify hardware virtualisation, management access, time synchronisation, underlay connectivity and approved addressing.</w:t>
      </w:r>
    </w:p>
    <w:p>
      <w:pPr>
        <w:jc w:val="both"/>
      </w:pPr>
      <w:r>
        <w:rPr>
          <w:b w:val="0"/>
          <w:i w:val="0"/>
        </w:rPr>
        <w:t xml:space="preserve">2. </w:t>
      </w:r>
      <w:r>
        <w:rPr>
          <w:b/>
          <w:i w:val="0"/>
        </w:rPr>
        <w:t>Install:</w:t>
      </w:r>
      <w:r>
        <w:rPr>
          <w:b w:val="0"/>
          <w:i w:val="0"/>
        </w:rPr>
        <w:t xml:space="preserve"> configure one consistent supported OpenStack release, KVM workers and the selected Neutron networking backend. Pin configuration and image versions.</w:t>
      </w:r>
    </w:p>
    <w:p>
      <w:pPr>
        <w:jc w:val="both"/>
      </w:pPr>
      <w:r>
        <w:rPr>
          <w:b w:val="0"/>
          <w:i w:val="0"/>
        </w:rPr>
        <w:t xml:space="preserve">3. </w:t>
      </w:r>
      <w:r>
        <w:rPr>
          <w:b/>
          <w:i w:val="0"/>
        </w:rPr>
        <w:t>Register:</w:t>
      </w:r>
      <w:r>
        <w:rPr>
          <w:b w:val="0"/>
          <w:i w:val="0"/>
        </w:rPr>
        <w:t xml:space="preserve"> create instructor and student roles, projects, approved images, flavors and quotas. Keep administration credentials outside student guests.</w:t>
      </w:r>
    </w:p>
    <w:p>
      <w:pPr>
        <w:jc w:val="both"/>
      </w:pPr>
      <w:r>
        <w:rPr>
          <w:b w:val="0"/>
          <w:i w:val="0"/>
        </w:rPr>
        <w:t xml:space="preserve">4. </w:t>
      </w:r>
      <w:r>
        <w:rPr>
          <w:b/>
          <w:i w:val="0"/>
        </w:rPr>
        <w:t>Describe:</w:t>
      </w:r>
      <w:r>
        <w:rPr>
          <w:b w:val="0"/>
          <w:i w:val="0"/>
        </w:rPr>
        <w:t xml:space="preserve"> record the service interfaces, image IDs, CPU/RAM/disk requests, tenant ID, security rules and permitted host separation.</w:t>
      </w:r>
    </w:p>
    <w:p>
      <w:pPr>
        <w:jc w:val="both"/>
      </w:pPr>
      <w:r>
        <w:rPr>
          <w:b w:val="0"/>
          <w:i w:val="0"/>
        </w:rPr>
        <w:t xml:space="preserve">5. </w:t>
      </w:r>
      <w:r>
        <w:rPr>
          <w:b/>
          <w:i w:val="0"/>
        </w:rPr>
        <w:t>Admit:</w:t>
      </w:r>
      <w:r>
        <w:rPr>
          <w:b w:val="0"/>
          <w:i w:val="0"/>
        </w:rPr>
        <w:t xml:space="preserve"> validate project quota, residual capacity and replica placement before creating resources. Reject incomplete or oversized requests.</w:t>
      </w:r>
    </w:p>
    <w:p>
      <w:pPr>
        <w:jc w:val="both"/>
      </w:pPr>
      <w:r>
        <w:rPr>
          <w:b w:val="0"/>
          <w:i w:val="0"/>
        </w:rPr>
        <w:t xml:space="preserve">6. </w:t>
      </w:r>
      <w:r>
        <w:rPr>
          <w:b/>
          <w:i w:val="0"/>
        </w:rPr>
        <w:t>Provision:</w:t>
      </w:r>
      <w:r>
        <w:rPr>
          <w:b w:val="0"/>
          <w:i w:val="0"/>
        </w:rPr>
        <w:t xml:space="preserve"> create tenant networks and ports, instantiate VMs, apply routes and firewall policy, then verify guest readiness.</w:t>
      </w:r>
    </w:p>
    <w:p>
      <w:pPr>
        <w:jc w:val="both"/>
      </w:pPr>
      <w:r>
        <w:rPr>
          <w:b w:val="0"/>
          <w:i w:val="0"/>
        </w:rPr>
        <w:t xml:space="preserve">7. </w:t>
      </w:r>
      <w:r>
        <w:rPr>
          <w:b/>
          <w:i w:val="0"/>
        </w:rPr>
        <w:t>Validate:</w:t>
      </w:r>
      <w:r>
        <w:rPr>
          <w:b w:val="0"/>
          <w:i w:val="0"/>
        </w:rPr>
        <w:t xml:space="preserve"> test the allowed path, a blocked flow, a bypass attempt and cross-project denial. Collect counters and captures.</w:t>
      </w:r>
    </w:p>
    <w:p>
      <w:pPr>
        <w:jc w:val="both"/>
      </w:pPr>
      <w:r>
        <w:rPr>
          <w:b w:val="0"/>
          <w:i w:val="0"/>
        </w:rPr>
        <w:t xml:space="preserve">8. </w:t>
      </w:r>
      <w:r>
        <w:rPr>
          <w:b/>
          <w:i w:val="0"/>
        </w:rPr>
        <w:t>Evaluate:</w:t>
      </w:r>
      <w:r>
        <w:rPr>
          <w:b w:val="0"/>
          <w:i w:val="0"/>
        </w:rPr>
        <w:t xml:space="preserve"> apply controlled traffic and failure scenarios, record measurements, then restore the declared baseline.</w:t>
      </w:r>
    </w:p>
    <w:p>
      <w:pPr>
        <w:jc w:val="both"/>
      </w:pPr>
      <w:r>
        <w:rPr>
          <w:b w:val="0"/>
          <w:i w:val="0"/>
        </w:rPr>
        <w:t xml:space="preserve">9. </w:t>
      </w:r>
      <w:r>
        <w:rPr>
          <w:b/>
          <w:i w:val="0"/>
        </w:rPr>
        <w:t>Clean up:</w:t>
      </w:r>
      <w:r>
        <w:rPr>
          <w:b w:val="0"/>
          <w:i w:val="0"/>
        </w:rPr>
        <w:t xml:space="preserve"> delete only resources tagged to the experiment, release quotas and confirm no residual ports, disks or credentials remain.</w:t>
      </w:r>
    </w:p>
    <w:p>
      <w:pPr>
        <w:pStyle w:val="Heading2"/>
      </w:pPr>
      <w:r>
        <w:rPr>
          <w:b w:val="0"/>
          <w:i w:val="0"/>
        </w:rPr>
        <w:t>6.3 Resource Admission and Placement Algorithm</w:t>
      </w:r>
    </w:p>
    <w:p>
      <w:pPr>
        <w:jc w:val="both"/>
      </w:pPr>
      <w:r>
        <w:rPr>
          <w:b w:val="0"/>
          <w:i w:val="0"/>
        </w:rPr>
        <w:t>Use an explainable capacity-first policy. The baseline applies a 1:1 vCPU-to-available-physical-core budget for teaching clarity; an actual hypervisor scheduler does not guarantee a dedicated physical core without additional pinning policy. RAM and disk admission use explicit allocations. The placement plan keeps complete replicas apart. Nova server groups apply affinity rules to VM instances [7]; enforcing co-location within a multi-VM replica and separation between replicas requires coordinated placement constraints or instructor-controlled host selection, not a single magical group policy.</w:t>
      </w:r>
    </w:p>
    <w:p>
      <w:pPr>
        <w:spacing w:line="216" w:lineRule="exact" w:after="0"/>
      </w:pPr>
      <w:r>
        <w:rPr>
          <w:rFonts w:ascii="Consolas" w:hAnsi="Consolas"/>
          <w:b w:val="0"/>
          <w:i w:val="0"/>
          <w:sz w:val="16"/>
        </w:rPr>
        <w:t>ADMIT(service, inventory, project_quota)</w:t>
      </w:r>
    </w:p>
    <w:p>
      <w:pPr>
        <w:spacing w:line="216" w:lineRule="exact" w:after="0"/>
      </w:pPr>
      <w:r>
        <w:rPr>
          <w:rFonts w:ascii="Consolas" w:hAnsi="Consolas"/>
          <w:b w:val="0"/>
          <w:i w:val="0"/>
          <w:sz w:val="16"/>
        </w:rPr>
        <w:t xml:space="preserve">  validate identity, descriptor, units and image approval</w:t>
      </w:r>
    </w:p>
    <w:p>
      <w:pPr>
        <w:spacing w:line="216" w:lineRule="exact" w:after="0"/>
      </w:pPr>
      <w:r>
        <w:rPr>
          <w:rFonts w:ascii="Consolas" w:hAnsi="Consolas"/>
          <w:b w:val="0"/>
          <w:i w:val="0"/>
          <w:sz w:val="16"/>
        </w:rPr>
        <w:t xml:space="preserve">  calculate complete CPU, RAM and disk demand</w:t>
      </w:r>
    </w:p>
    <w:p>
      <w:pPr>
        <w:spacing w:line="216" w:lineRule="exact" w:after="0"/>
      </w:pPr>
      <w:r>
        <w:rPr>
          <w:rFonts w:ascii="Consolas" w:hAnsi="Consolas"/>
          <w:b w:val="0"/>
          <w:i w:val="0"/>
          <w:sz w:val="16"/>
        </w:rPr>
        <w:t xml:space="preserve">  reject if project quota or global budget is exceeded</w:t>
      </w:r>
    </w:p>
    <w:p>
      <w:pPr>
        <w:spacing w:line="216" w:lineRule="exact" w:after="0"/>
      </w:pPr>
      <w:r>
        <w:rPr>
          <w:rFonts w:ascii="Consolas" w:hAnsi="Consolas"/>
          <w:b w:val="0"/>
          <w:i w:val="0"/>
          <w:sz w:val="16"/>
        </w:rPr>
        <w:t xml:space="preserve">  reserve a private copy of current inventory</w:t>
      </w:r>
    </w:p>
    <w:p>
      <w:pPr>
        <w:spacing w:line="216" w:lineRule="exact" w:after="0"/>
      </w:pPr>
      <w:r>
        <w:rPr>
          <w:rFonts w:ascii="Consolas" w:hAnsi="Consolas"/>
          <w:b w:val="0"/>
          <w:i w:val="0"/>
          <w:sz w:val="16"/>
        </w:rPr>
        <w:t xml:space="preserve">  for each service replica:</w:t>
      </w:r>
    </w:p>
    <w:p>
      <w:pPr>
        <w:spacing w:line="216" w:lineRule="exact" w:after="0"/>
      </w:pPr>
      <w:r>
        <w:rPr>
          <w:rFonts w:ascii="Consolas" w:hAnsi="Consolas"/>
          <w:b w:val="0"/>
          <w:i w:val="0"/>
          <w:sz w:val="16"/>
        </w:rPr>
        <w:t xml:space="preserve">    filter hosts by capacity and replica anti-affinity</w:t>
      </w:r>
    </w:p>
    <w:p>
      <w:pPr>
        <w:spacing w:line="216" w:lineRule="exact" w:after="0"/>
      </w:pPr>
      <w:r>
        <w:rPr>
          <w:rFonts w:ascii="Consolas" w:hAnsi="Consolas"/>
          <w:b w:val="0"/>
          <w:i w:val="0"/>
          <w:sz w:val="16"/>
        </w:rPr>
        <w:t xml:space="preserve">    rank by remaining resource headroom, then host ID</w:t>
      </w:r>
    </w:p>
    <w:p>
      <w:pPr>
        <w:spacing w:line="216" w:lineRule="exact" w:after="0"/>
      </w:pPr>
      <w:r>
        <w:rPr>
          <w:rFonts w:ascii="Consolas" w:hAnsi="Consolas"/>
          <w:b w:val="0"/>
          <w:i w:val="0"/>
          <w:sz w:val="16"/>
        </w:rPr>
        <w:t xml:space="preserve">    reserve all functions of this replica on chosen host</w:t>
      </w:r>
    </w:p>
    <w:p>
      <w:pPr>
        <w:spacing w:line="216" w:lineRule="exact" w:after="0"/>
      </w:pPr>
      <w:r>
        <w:rPr>
          <w:rFonts w:ascii="Consolas" w:hAnsi="Consolas"/>
          <w:b w:val="0"/>
          <w:i w:val="0"/>
          <w:sz w:val="16"/>
        </w:rPr>
        <w:t xml:space="preserve">    reject and discard reservations if no host fits</w:t>
      </w:r>
    </w:p>
    <w:p>
      <w:pPr>
        <w:spacing w:line="216" w:lineRule="exact" w:after="0"/>
      </w:pPr>
      <w:r>
        <w:rPr>
          <w:rFonts w:ascii="Consolas" w:hAnsi="Consolas"/>
          <w:b w:val="0"/>
          <w:i w:val="0"/>
          <w:sz w:val="16"/>
        </w:rPr>
        <w:t xml:space="preserve">  validate intended links, routes and policy</w:t>
      </w:r>
    </w:p>
    <w:p>
      <w:pPr>
        <w:spacing w:line="216" w:lineRule="exact" w:after="0"/>
      </w:pPr>
      <w:r>
        <w:rPr>
          <w:rFonts w:ascii="Consolas" w:hAnsi="Consolas"/>
          <w:b w:val="0"/>
          <w:i w:val="0"/>
          <w:sz w:val="16"/>
        </w:rPr>
        <w:t xml:space="preserve">  return complete plan for controlled provisioning</w:t>
      </w:r>
    </w:p>
    <w:p>
      <w:pPr>
        <w:jc w:val="both"/>
      </w:pPr>
      <w:r>
        <w:rPr>
          <w:b w:val="0"/>
          <w:i w:val="0"/>
        </w:rPr>
        <w:t>For R replicas and H hosts, a straightforward per-replica candidate scan and sort costs O(RH log H), excluding API operations and network validation. This simple heuristic can reject placements that another packing might admit; it is not an optimal bin-packing solver. Concurrent admissions need a consistent reservation mechanism rather than independent stale snapshots.</w:t>
      </w:r>
    </w:p>
    <w:p>
      <w:r>
        <w:br w:type="page"/>
      </w:r>
    </w:p>
    <w:p>
      <w:pPr>
        <w:pStyle w:val="Heading2"/>
      </w:pPr>
      <w:r>
        <w:rPr>
          <w:b w:val="0"/>
          <w:i w:val="0"/>
        </w:rPr>
        <w:t>6.4 Implementation Approach</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60"/>
        <w:gridCol w:w="4080"/>
        <w:gridCol w:w="3944"/>
      </w:tblGrid>
      <w:tr>
        <w:trPr>
          <w:cantSplit/>
          <w:tblHeader/>
        </w:trPr>
        <w:tc>
          <w:tcPr>
            <w:tcW w:type="dxa" w:w="196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Component</w:t>
            </w:r>
          </w:p>
        </w:tc>
        <w:tc>
          <w:tcPr>
            <w:tcW w:type="dxa" w:w="408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Implementation choice</w:t>
            </w:r>
          </w:p>
        </w:tc>
        <w:tc>
          <w:tcPr>
            <w:tcW w:type="dxa" w:w="394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Reason</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Compute</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Linux + KVM/libvirt; Nova compute agent.</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VM lifecycle with visible host-level resource control.</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Infrastructure control</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OpenStack controller APIs, scheduler and Placement.</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Separates infrastructure allocation from guest services.</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Virtual networking</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Neutron with a supported Open vSwitch-based backend.</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Project networks, ports and explicit routed topology.</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Images</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Minimal approved Linux images in Glance.</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Repeatable functions with known software provenance.</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Guest functions</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Linux routing and firewall rules; optional traffic tools.</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Inspectable forwarding without vendor-specific telecom software.</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Automation</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Versioned descriptors and configuration scripts.</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Repeatability, ownership tracking and safe teardown.</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Observability</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Host/VM metrics, virtual-switch counters and packet captures.</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Correlates infrastructure load and service behavior.</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b w:val="0"/>
                <w:i w:val="0"/>
                <w:sz w:val="18"/>
              </w:rPr>
              <w:t>Backup</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b w:val="0"/>
                <w:i w:val="0"/>
                <w:sz w:val="18"/>
              </w:rPr>
              <w:t>Descriptors and configuration copied to an independent target.</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b w:val="0"/>
                <w:i w:val="0"/>
                <w:sz w:val="18"/>
              </w:rPr>
              <w:t>Restoration evidence rather than an untested backup claim.</w:t>
            </w:r>
          </w:p>
        </w:tc>
      </w:tr>
    </w:tbl>
    <w:p>
      <w:pPr>
        <w:spacing w:after="0" w:line="60" w:lineRule="exact" w:before="0"/>
      </w:pPr>
      <w:r>
        <w:rPr>
          <w:sz w:val="2"/>
        </w:rPr>
      </w:r>
    </w:p>
    <w:p>
      <w:pPr>
        <w:pStyle w:val="Heading3"/>
      </w:pPr>
      <w:r>
        <w:rPr>
          <w:b w:val="0"/>
          <w:i w:val="0"/>
        </w:rPr>
        <w:t>Security and Management Controls</w:t>
      </w:r>
    </w:p>
    <w:p>
      <w:pPr>
        <w:jc w:val="both"/>
      </w:pPr>
      <w:r>
        <w:rPr>
          <w:b w:val="0"/>
          <w:i w:val="0"/>
        </w:rPr>
        <w:t>Assign each student group a separate project and limited API role. Apply project quotas to VM instances, vCPUs, RAM, networks and ports. Restrict metadata and management endpoints as appropriate. Restrict guest SSH to authorized sources, protect image integrity and review any privileged networking exception. A shared host remains a shared security boundary and is not equivalent to a physically separate laboratory. Consult release-specific security guidance; reference [4] is an older conceptual guide, not a current configuration checklist.</w:t>
      </w:r>
    </w:p>
    <w:p>
      <w:pPr>
        <w:jc w:val="both"/>
      </w:pPr>
      <w:r>
        <w:rPr>
          <w:b w:val="0"/>
          <w:i w:val="0"/>
        </w:rPr>
        <w:t>Use host firewalls and switch policies to protect management networks, scoped security groups for allowed guest flows and guest firewall policy for the service being evaluated. These controls operate at different points; one cannot silently replace the others. Collect security evidence through negative tests as well as successful pings.</w:t>
      </w:r>
    </w:p>
    <w:p>
      <w:pPr>
        <w:pStyle w:val="Heading3"/>
      </w:pPr>
      <w:r>
        <w:rPr>
          <w:b w:val="0"/>
          <w:i w:val="0"/>
        </w:rPr>
        <w:t>Failure and Rollback Model</w:t>
      </w:r>
    </w:p>
    <w:p>
      <w:pPr>
        <w:jc w:val="both"/>
      </w:pPr>
      <w:r>
        <w:rPr>
          <w:b w:val="0"/>
          <w:i w:val="0"/>
        </w:rPr>
        <w:t>A failed provisioning operation should remove only experiment-owned resources in reverse dependency order. If a worker fails, rebuild the affected disposable VMs from approved images on a surviving worker after capacity admission. Reapply configuration and validate the path before declaring the service restored. This is restart/recreation, not transparent live migration or stateful session preservation.</w:t>
      </w:r>
    </w:p>
    <w:p>
      <w:pPr>
        <w:jc w:val="both"/>
      </w:pPr>
      <w:r>
        <w:rPr>
          <w:b w:val="0"/>
          <w:i w:val="0"/>
        </w:rPr>
        <w:t>Application replicas require explicit traffic selection, health checks and state handling. Host anti-affinity alone does not implement automatic failover. The baseline assesses whether enough surviving capacity exists; it leaves actual restoration time and flow interruption as laboratory measurements. Because C0 hosts baseline network-service processes, DHCP, gateway and new-flow behavior during a controller outage must be checked separately from already established private forwarding.</w:t>
      </w:r>
    </w:p>
    <w:p>
      <w:r>
        <w:br w:type="page"/>
      </w:r>
    </w:p>
    <w:p>
      <w:pPr>
        <w:pStyle w:val="Heading1"/>
      </w:pPr>
      <w:r>
        <w:rPr>
          <w:b w:val="0"/>
          <w:i w:val="0"/>
        </w:rPr>
        <w:t>7. ENVIRONMENTAL SETUP</w:t>
      </w:r>
    </w:p>
    <w:p>
      <w:pPr>
        <w:pStyle w:val="Heading2"/>
      </w:pPr>
      <w:r>
        <w:rPr>
          <w:b w:val="0"/>
          <w:i w:val="0"/>
        </w:rPr>
        <w:t>7.1 Hardware Requirements</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4960"/>
        <w:gridCol w:w="2924"/>
      </w:tblGrid>
      <w:tr>
        <w:trPr>
          <w:cantSplit/>
          <w:tblHeader/>
        </w:trPr>
        <w:tc>
          <w:tcPr>
            <w:tcW w:type="dxa" w:w="210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Item</w:t>
            </w:r>
          </w:p>
        </w:tc>
        <w:tc>
          <w:tcPr>
            <w:tcW w:type="dxa" w:w="496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Proposed laboratory specification</w:t>
            </w:r>
          </w:p>
        </w:tc>
        <w:tc>
          <w:tcPr>
            <w:tcW w:type="dxa" w:w="292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Accounting</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Controller C0</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b w:val="0"/>
                <w:i w:val="0"/>
                <w:sz w:val="18"/>
              </w:rPr>
              <w:t>8 CPU cores, 32 GiB RAM, 240 GiB SSD, management NIC.</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b w:val="0"/>
                <w:i w:val="0"/>
                <w:sz w:val="18"/>
              </w:rPr>
              <w:t>Separate control capacity; not counted for tenant VNFs.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Workers W1-W3</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b w:val="0"/>
                <w:i w:val="0"/>
                <w:sz w:val="18"/>
              </w:rPr>
              <w:t>Each: 16 physical CPU cores, 64 GiB RAM, 480 GiB SSD.</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b w:val="0"/>
                <w:i w:val="0"/>
                <w:sz w:val="18"/>
              </w:rPr>
              <w:t>Three equal-capacity compute nodes.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Per-worker host reserve</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b w:val="0"/>
                <w:i w:val="0"/>
                <w:sz w:val="18"/>
              </w:rPr>
              <w:t>4 cores, 16 GiB RAM and 80 GiB disk.</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b w:val="0"/>
                <w:i w:val="0"/>
                <w:sz w:val="18"/>
              </w:rPr>
              <w:t>Leaves 12 cores, 48 GiB RAM, 400 GiB disk per worker.</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Networking</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b w:val="0"/>
                <w:i w:val="0"/>
                <w:sz w:val="18"/>
              </w:rPr>
              <w:t>Managed VLAN-capable switch; 1 GbE minimum for teaching, faster NICs optional.</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b w:val="0"/>
                <w:i w:val="0"/>
                <w:sz w:val="18"/>
              </w:rPr>
              <w:t>Link capacity is evaluated separately from CPU capacity.</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Backup target</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b w:val="0"/>
                <w:i w:val="0"/>
                <w:sz w:val="18"/>
              </w:rPr>
              <w:t>Independent machine or approved protected storage.</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b w:val="0"/>
                <w:i w:val="0"/>
                <w:sz w:val="18"/>
              </w:rPr>
              <w:t>Required to claim recovery after controller/storage loss.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Student access</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b w:val="0"/>
                <w:i w:val="0"/>
                <w:sz w:val="18"/>
              </w:rPr>
              <w:t>Browser/SSH clients through controlled access.</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b w:val="0"/>
                <w:i w:val="0"/>
                <w:sz w:val="18"/>
              </w:rPr>
              <w:t>No unrestricted campus or internet attack traffic.</w:t>
            </w:r>
          </w:p>
        </w:tc>
      </w:tr>
    </w:tbl>
    <w:p>
      <w:pPr>
        <w:spacing w:after="0" w:line="60" w:lineRule="exact" w:before="0"/>
      </w:pPr>
      <w:r>
        <w:rPr>
          <w:sz w:val="2"/>
        </w:rPr>
      </w:r>
    </w:p>
    <w:p>
      <w:pPr>
        <w:pStyle w:val="Heading2"/>
      </w:pPr>
      <w:r>
        <w:rPr>
          <w:b w:val="0"/>
          <w:i w:val="0"/>
        </w:rPr>
        <w:t>7.2 Software Requirements</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60"/>
        <w:gridCol w:w="6724"/>
      </w:tblGrid>
      <w:tr>
        <w:trPr>
          <w:cantSplit/>
          <w:tblHeader/>
        </w:trPr>
        <w:tc>
          <w:tcPr>
            <w:tcW w:type="dxa" w:w="326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Software</w:t>
            </w:r>
          </w:p>
        </w:tc>
        <w:tc>
          <w:tcPr>
            <w:tcW w:type="dxa" w:w="672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Purpose</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b w:val="0"/>
                <w:i w:val="0"/>
                <w:sz w:val="18"/>
              </w:rPr>
              <w:t>Supported Linux distribution</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b w:val="0"/>
                <w:i w:val="0"/>
                <w:sz w:val="18"/>
              </w:rPr>
              <w:t>Consistent base operating system and security updates.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b w:val="0"/>
                <w:i w:val="0"/>
                <w:sz w:val="18"/>
              </w:rPr>
              <w:t>KVM / libvirt</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b w:val="0"/>
                <w:i w:val="0"/>
                <w:sz w:val="18"/>
              </w:rPr>
              <w:t>Hardware-assisted VM execution and management.</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b w:val="0"/>
                <w:i w:val="0"/>
                <w:sz w:val="18"/>
              </w:rPr>
              <w:t>One supported OpenStack release</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b w:val="0"/>
                <w:i w:val="0"/>
                <w:sz w:val="18"/>
              </w:rPr>
              <w:t>Nova, Placement, Neutron, Keystone, Glance and required control dependencies.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b w:val="0"/>
                <w:i w:val="0"/>
                <w:sz w:val="18"/>
              </w:rPr>
              <w:t>Open vSwitch and compatible networking agents</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b w:val="0"/>
                <w:i w:val="0"/>
                <w:sz w:val="18"/>
              </w:rPr>
              <w:t>Virtual switching and supported tenant overlay integration.</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b w:val="0"/>
                <w:i w:val="0"/>
                <w:sz w:val="18"/>
              </w:rPr>
              <w:t>Minimal Linux guest images</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b w:val="0"/>
                <w:i w:val="0"/>
                <w:sz w:val="18"/>
              </w:rPr>
              <w:t>Router/firewall, client, server and observation functions.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b w:val="0"/>
                <w:i w:val="0"/>
                <w:sz w:val="18"/>
              </w:rPr>
              <w:t>Traffic and diagnostic tools</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b w:val="0"/>
                <w:i w:val="0"/>
                <w:sz w:val="18"/>
              </w:rPr>
              <w:t>iperf3, ping, packet capture and interface counters.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b w:val="0"/>
                <w:i w:val="0"/>
                <w:sz w:val="18"/>
              </w:rPr>
              <w:t>Configuration/version control</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b w:val="0"/>
                <w:i w:val="0"/>
                <w:sz w:val="18"/>
              </w:rPr>
              <w:t>Repeatable deployment definitions, backups and test records.</w:t>
            </w:r>
          </w:p>
        </w:tc>
      </w:tr>
    </w:tbl>
    <w:p>
      <w:pPr>
        <w:spacing w:after="0" w:line="60" w:lineRule="exact" w:before="0"/>
      </w:pPr>
      <w:r>
        <w:rPr>
          <w:sz w:val="2"/>
        </w:rPr>
      </w:r>
    </w:p>
    <w:p>
      <w:pPr>
        <w:jc w:val="both"/>
      </w:pPr>
      <w:r>
        <w:rPr>
          <w:b w:val="0"/>
          <w:i w:val="0"/>
        </w:rPr>
        <w:t>Choose versions from the selected release compatibility guidance before installation. This report does not assert that an arbitrary combination of current operating system, OpenStack and networking versions is supported. Container infrastructure and acceleration are optional later experiments, not hidden prerequisites for the VM baseline.</w:t>
      </w:r>
    </w:p>
    <w:p>
      <w:pPr>
        <w:pStyle w:val="Heading2"/>
      </w:pPr>
      <w:r>
        <w:rPr>
          <w:b w:val="0"/>
          <w:i w:val="0"/>
        </w:rPr>
        <w:t>7.3 Minimum and Recommended Deployment</w:t>
      </w:r>
    </w:p>
    <w:p>
      <w:pPr>
        <w:jc w:val="both"/>
      </w:pPr>
      <w:r>
        <w:rPr>
          <w:b w:val="0"/>
          <w:i w:val="0"/>
        </w:rPr>
        <w:t>For a minimum functional demonstration, one workstation with hardware-assisted virtualisation, approximately 8 CPU cores, 32 GiB RAM and 250 GiB free SSD can host a reduced nested environment. Fit the actual guest load to this smaller budget; it cannot run the full capacity example by assumption. The recommended evaluation setup is the four-machine specification above. If only one workstation is available, use nested virtualisation with reduced scale. Label all simulated workers as sharing one physical failure domain. Such a setup can evaluate API workflows and logical tenant separation, but cannot substantiate multi-host resilience, hardware independence or production packet-processing performance.</w:t>
      </w:r>
    </w:p>
    <w:p>
      <w:r>
        <w:br w:type="page"/>
      </w:r>
    </w:p>
    <w:p>
      <w:pPr>
        <w:pStyle w:val="Heading1"/>
      </w:pPr>
      <w:r>
        <w:rPr>
          <w:b w:val="0"/>
          <w:i w:val="0"/>
        </w:rPr>
        <w:t>8. TARGET OR PREDICTED OUTPUT</w:t>
      </w:r>
    </w:p>
    <w:p>
      <w:pPr>
        <w:jc w:val="both"/>
      </w:pPr>
      <w:r>
        <w:rPr>
          <w:b w:val="0"/>
          <w:i w:val="0"/>
        </w:rPr>
        <w:t>Targets are acceptance criteria for the proposed laboratory. They are not measured results. Record actual values, test conditions and deviations when the architecture is implemented.</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20"/>
        <w:gridCol w:w="4920"/>
        <w:gridCol w:w="2944"/>
      </w:tblGrid>
      <w:tr>
        <w:trPr>
          <w:cantSplit/>
          <w:tblHeader/>
        </w:trPr>
        <w:tc>
          <w:tcPr>
            <w:tcW w:type="dxa" w:w="212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Criterion</w:t>
            </w:r>
          </w:p>
        </w:tc>
        <w:tc>
          <w:tcPr>
            <w:tcW w:type="dxa" w:w="492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Proposed acceptance condition</w:t>
            </w:r>
          </w:p>
        </w:tc>
        <w:tc>
          <w:tcPr>
            <w:tcW w:type="dxa" w:w="294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Evidence</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Resource accounting</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Every admitted workload fits declared quotas and residual CPU/RAM/disk.</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Allocation table and rejected oversized request.</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Allowed forwarding</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Approved client traffic reaches server through the firewall.</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Packet captures and matching firewall counters.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Blocked forwarding</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A declared forbidden protocol or port is denied.</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Connection failure plus deny log/counter.</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Tenant isolation</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Tenant A cannot access Tenant B private network or resources.</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Negative network/API tests with timestamps.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No bypass</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Client cannot reach protected server around the firewall.</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Route audit and capture at all service interfaces.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Reproducibility</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Recreated service matches descriptor and expected policy.</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Image hashes, configuration and topology comparison.</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Worker recovery</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Affected VMs can be recreated within remaining capacity.</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Observed interruption, rebuild and readiness times.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b w:val="0"/>
                <w:i w:val="0"/>
                <w:sz w:val="18"/>
              </w:rPr>
              <w:t>Controller failure</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b w:val="0"/>
                <w:i w:val="0"/>
                <w:sz w:val="18"/>
              </w:rPr>
              <w:t>Management impact is recorded without assuming guest failure.</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b w:val="0"/>
                <w:i w:val="0"/>
                <w:sz w:val="18"/>
              </w:rPr>
              <w:t>Separate API and existing-flow observations.</w:t>
            </w:r>
          </w:p>
        </w:tc>
      </w:tr>
    </w:tbl>
    <w:p>
      <w:pPr>
        <w:spacing w:after="0" w:line="60" w:lineRule="exact" w:before="0"/>
      </w:pPr>
      <w:r>
        <w:rPr>
          <w:sz w:val="2"/>
        </w:rPr>
      </w:r>
    </w:p>
    <w:p>
      <w:pPr>
        <w:pStyle w:val="Heading2"/>
      </w:pPr>
      <w:r>
        <w:rPr>
          <w:b w:val="0"/>
          <w:i w:val="0"/>
        </w:rPr>
        <w:t>8.1 Sample Input and Output</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40"/>
        <w:gridCol w:w="7144"/>
      </w:tblGrid>
      <w:tr>
        <w:trPr>
          <w:cantSplit/>
          <w:tblHeader/>
        </w:trPr>
        <w:tc>
          <w:tcPr>
            <w:tcW w:type="dxa" w:w="284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Service descriptor</w:t>
            </w:r>
          </w:p>
        </w:tc>
        <w:tc>
          <w:tcPr>
            <w:tcW w:type="dxa" w:w="714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Example</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b w:val="0"/>
                <w:i w:val="0"/>
                <w:sz w:val="18"/>
              </w:rPr>
              <w:t>Tenant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b w:val="0"/>
                <w:i w:val="0"/>
                <w:sz w:val="18"/>
              </w:rPr>
              <w:t>Student project A; separate identity and quota.</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b w:val="0"/>
                <w:i w:val="0"/>
                <w:sz w:val="18"/>
              </w:rPr>
              <w:t>Functions per replica</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b w:val="0"/>
                <w:i w:val="0"/>
                <w:sz w:val="18"/>
              </w:rPr>
              <w:t>Firewall: 2 vCPU/4 GiB RAM/10 GiB disk; router: 1/2/8; observer: 1/2/8.</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b w:val="0"/>
                <w:i w:val="0"/>
                <w:sz w:val="18"/>
              </w:rPr>
              <w:t>Replica resource sum</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b w:val="0"/>
                <w:i w:val="0"/>
                <w:sz w:val="18"/>
              </w:rPr>
              <w:t>4 vCPU, 8 GiB RAM, 26 GiB disk. Observer is monitored separately, not an inline chain hop.</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b w:val="0"/>
                <w:i w:val="0"/>
                <w:sz w:val="18"/>
              </w:rPr>
              <w:t>Replica count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b w:val="0"/>
                <w:i w:val="0"/>
                <w:sz w:val="18"/>
              </w:rPr>
              <w:t>Two, with anti-affinity across workers.</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b w:val="0"/>
                <w:i w:val="0"/>
                <w:sz w:val="18"/>
              </w:rPr>
              <w:t>Network intent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b w:val="0"/>
                <w:i w:val="0"/>
                <w:sz w:val="18"/>
              </w:rPr>
              <w:t>Client -&gt; firewall -&gt; router -&gt; protected server; separate mirror/monitor network.</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b w:val="0"/>
                <w:i w:val="0"/>
                <w:sz w:val="18"/>
              </w:rPr>
              <w:t>Expected output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b w:val="0"/>
                <w:i w:val="0"/>
                <w:sz w:val="18"/>
              </w:rPr>
              <w:t>Host assignments, owned networks/ports, configured routes, policy and validation checklist.</w:t>
            </w:r>
          </w:p>
        </w:tc>
      </w:tr>
    </w:tbl>
    <w:p>
      <w:pPr>
        <w:spacing w:after="0" w:line="60" w:lineRule="exact" w:before="0"/>
      </w:pPr>
      <w:r>
        <w:rPr>
          <w:sz w:val="2"/>
        </w:rPr>
      </w:r>
    </w:p>
    <w:p>
      <w:pPr>
        <w:jc w:val="both"/>
      </w:pPr>
      <w:r>
        <w:rPr>
          <w:b w:val="0"/>
          <w:i w:val="0"/>
        </w:rPr>
        <w:t>Client and protected server test generators are additional workload resources. Their budget is reserved separately in the worked example, preventing the evaluation tools from being silently omitted. The dedicated router is the protected-side next hop after the firewall; the observer receives a mirror. Returning a valid placement does not mean the network service is ready until interface configuration and packet tests succeed.</w:t>
      </w:r>
    </w:p>
    <w:p>
      <w:r>
        <w:br w:type="page"/>
      </w:r>
    </w:p>
    <w:p>
      <w:pPr>
        <w:pStyle w:val="Heading2"/>
      </w:pPr>
      <w:r>
        <w:rPr>
          <w:b w:val="0"/>
          <w:i w:val="0"/>
        </w:rPr>
        <w:t>8.2 Worked Capacity and Failure-Domain Analysis</w:t>
      </w:r>
    </w:p>
    <w:p>
      <w:pPr>
        <w:jc w:val="both"/>
      </w:pPr>
      <w:r>
        <w:rPr>
          <w:b w:val="0"/>
          <w:i w:val="0"/>
        </w:rPr>
        <w:t>Three workers provide 3 x 12 = 36 allocatable CPU cores, 3 x 48 = 144 GiB RAM and 3 x 400 = 1,200 GiB local disk after host reserves. With one worker unavailable, nominal surviving capacity is 24 cores, 96 GiB RAM and 800 GiB local disk. These totals establish resource feasibility only; they do not prove service continuity or storage accessibility.</w:t>
      </w:r>
    </w:p>
    <w:p>
      <w:pPr>
        <w:jc w:val="both"/>
      </w:pPr>
      <w:r>
        <w:rPr>
          <w:b w:val="0"/>
          <w:i w:val="0"/>
        </w:rPr>
        <w:t>To retain explicit capacity for test endpoints, admit two tenant services with two replicas each. Each replica uses 4 vCPU, 8 GiB RAM and 26 GiB disk. Four replicas therefore use 16 vCPU, 32 GiB RAM and 104 GiB disk. Reserve four lightweight client/server test VMs, each with 1 vCPU, 2 GiB RAM and 8 GiB disk: another 4 vCPU, 8 GiB RAM and 32 GiB disk.</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020"/>
        <w:gridCol w:w="1500"/>
        <w:gridCol w:w="1700"/>
        <w:gridCol w:w="1764"/>
      </w:tblGrid>
      <w:tr>
        <w:trPr>
          <w:cantSplit/>
          <w:tblHeader/>
        </w:trPr>
        <w:tc>
          <w:tcPr>
            <w:tcW w:type="dxa" w:w="502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Allocation</w:t>
            </w:r>
          </w:p>
        </w:tc>
        <w:tc>
          <w:tcPr>
            <w:tcW w:type="dxa" w:w="150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vCPU</w:t>
            </w:r>
          </w:p>
        </w:tc>
        <w:tc>
          <w:tcPr>
            <w:tcW w:type="dxa" w:w="170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RAM GiB</w:t>
            </w:r>
          </w:p>
        </w:tc>
        <w:tc>
          <w:tcPr>
            <w:tcW w:type="dxa" w:w="176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Disk GiB</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b w:val="0"/>
                <w:i w:val="0"/>
                <w:sz w:val="18"/>
              </w:rPr>
              <w:t>Four service replicas</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b w:val="0"/>
                <w:i w:val="0"/>
                <w:sz w:val="18"/>
              </w:rPr>
              <w:t>16</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b w:val="0"/>
                <w:i w:val="0"/>
                <w:sz w:val="18"/>
              </w:rPr>
              <w:t>32</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b w:val="0"/>
                <w:i w:val="0"/>
                <w:sz w:val="18"/>
              </w:rPr>
              <w:t>104</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b w:val="0"/>
                <w:i w:val="0"/>
                <w:sz w:val="18"/>
              </w:rPr>
              <w:t>Four test endpoint VMs</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b w:val="0"/>
                <w:i w:val="0"/>
                <w:sz w:val="18"/>
              </w:rPr>
              <w:t>4</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b w:val="0"/>
                <w:i w:val="0"/>
                <w:sz w:val="18"/>
              </w:rPr>
              <w:t>8</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b w:val="0"/>
                <w:i w:val="0"/>
                <w:sz w:val="18"/>
              </w:rPr>
              <w:t>32</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b w:val="0"/>
                <w:i w:val="0"/>
                <w:sz w:val="18"/>
              </w:rPr>
              <w:t>Total admitted evaluation load</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b w:val="0"/>
                <w:i w:val="0"/>
                <w:sz w:val="18"/>
              </w:rPr>
              <w:t>20</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b w:val="0"/>
                <w:i w:val="0"/>
                <w:sz w:val="18"/>
              </w:rPr>
              <w:t>40</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b w:val="0"/>
                <w:i w:val="0"/>
                <w:sz w:val="18"/>
              </w:rPr>
              <w:t>136</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b w:val="0"/>
                <w:i w:val="0"/>
                <w:sz w:val="18"/>
              </w:rPr>
              <w:t>Three-worker allocatable capacity</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b w:val="0"/>
                <w:i w:val="0"/>
                <w:sz w:val="18"/>
              </w:rPr>
              <w:t>36</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b w:val="0"/>
                <w:i w:val="0"/>
                <w:sz w:val="18"/>
              </w:rPr>
              <w:t>144</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b w:val="0"/>
                <w:i w:val="0"/>
                <w:sz w:val="18"/>
              </w:rPr>
              <w:t>1,200</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b w:val="0"/>
                <w:i w:val="0"/>
                <w:sz w:val="18"/>
              </w:rPr>
              <w:t>Two-worker surviving capacity</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b w:val="0"/>
                <w:i w:val="0"/>
                <w:sz w:val="18"/>
              </w:rPr>
              <w:t>24</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b w:val="0"/>
                <w:i w:val="0"/>
                <w:sz w:val="18"/>
              </w:rPr>
              <w:t>96</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b w:val="0"/>
                <w:i w:val="0"/>
                <w:sz w:val="18"/>
              </w:rPr>
              <w:t>800</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b w:val="0"/>
                <w:i w:val="0"/>
                <w:sz w:val="18"/>
              </w:rPr>
              <w:t>Headroom after one-worker loss</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b w:val="0"/>
                <w:i w:val="0"/>
                <w:sz w:val="18"/>
              </w:rPr>
              <w:t>4</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b w:val="0"/>
                <w:i w:val="0"/>
                <w:sz w:val="18"/>
              </w:rPr>
              <w:t>56</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b w:val="0"/>
                <w:i w:val="0"/>
                <w:sz w:val="18"/>
              </w:rPr>
              <w:t>664</w:t>
            </w:r>
          </w:p>
        </w:tc>
      </w:tr>
    </w:tbl>
    <w:p>
      <w:pPr>
        <w:spacing w:after="0" w:line="60" w:lineRule="exact" w:before="0"/>
      </w:pPr>
      <w:r>
        <w:rPr>
          <w:sz w:val="2"/>
        </w:rPr>
      </w:r>
    </w:p>
    <w:p>
      <w:pPr>
        <w:jc w:val="both"/>
      </w:pPr>
      <w:r>
        <w:rPr>
          <w:b w:val="0"/>
          <w:i w:val="0"/>
        </w:rPr>
        <w:t>A valid normal placement is A1 and B1 on W1, A2 on W2 and B2 on W3, with the four endpoints distributed without exceeding host capacity. A simpler failure-compatible target is A1/B1 plus two endpoints on one surviving host and A2/B2 plus two endpoints on the other. Each surviving host then uses 10 vCPU, 20 GiB RAM and 68 GiB disk, below its 12/48/400 budget.</w:t>
      </w:r>
    </w:p>
    <w:p>
      <w:pPr>
        <w:jc w:val="both"/>
      </w:pPr>
      <w:r>
        <w:rPr>
          <w:b w:val="0"/>
          <w:i w:val="0"/>
        </w:rPr>
        <w:t>Each tenant has two independently isolated replica topologies, identified by different Neutron network and port IDs. They can reuse the example addresses because they are not interconnected. One client/server pair per tenant is attached to only the replica under test; move the pair in a controlled, stopped test before evaluating the other replica. This is manual selection, not automatic failover.</w:t>
      </w:r>
    </w:p>
    <w:p>
      <w:pPr>
        <w:jc w:val="both"/>
      </w:pPr>
      <w:r>
        <w:rPr>
          <w:b w:val="0"/>
          <w:i w:val="0"/>
        </w:rPr>
        <w:t>Both copies of each tenant remain on different workers after rebuilding. If an unavailable worker had the only current copy of ephemeral state, spare disk on another host cannot recover that state. The calculation supports reconstruction from image and backed-up configuration; stateful connection preservation is outside the baseline.</w:t>
      </w:r>
    </w:p>
    <w:p>
      <w:pPr>
        <w:pStyle w:val="Heading3"/>
      </w:pPr>
      <w:r>
        <w:rPr>
          <w:b w:val="0"/>
          <w:i w:val="0"/>
        </w:rPr>
        <w:t>Network Capacity Is an Independent Constraint</w:t>
      </w:r>
    </w:p>
    <w:p>
      <w:pPr>
        <w:jc w:val="both"/>
      </w:pPr>
      <w:r>
        <w:rPr>
          <w:b w:val="0"/>
          <w:i w:val="0"/>
        </w:rPr>
        <w:t>A 1 GbE NIC does not imply 1 Gbit/s usable service throughput after encapsulation, packet-size effects, guest processing and shared traffic. Measure the direct baseline and the function path under identical conditions. Monitor both link directions and aggregate traffic across tenants. Set offered load below the observed loss boundary for latency experiments; report saturation experiments separately.</w:t>
      </w:r>
    </w:p>
    <w:p>
      <w:pPr>
        <w:jc w:val="both"/>
      </w:pPr>
      <w:r>
        <w:rPr>
          <w:b w:val="0"/>
          <w:i w:val="0"/>
        </w:rPr>
        <w:t>For each test, record packet size, direction, number of flows, offered rate, duration, VM placement, CPU allocation and background traffic. Without those conditions, a throughput number cannot be compared meaningfully with another run.</w:t>
      </w:r>
    </w:p>
    <w:p>
      <w:r>
        <w:br w:type="page"/>
      </w:r>
    </w:p>
    <w:p>
      <w:pPr>
        <w:pStyle w:val="Heading1"/>
      </w:pPr>
      <w:r>
        <w:rPr>
          <w:b w:val="0"/>
          <w:i w:val="0"/>
        </w:rPr>
        <w:t>9. RESULTS AND DISCUSSION</w:t>
      </w:r>
    </w:p>
    <w:p>
      <w:pPr>
        <w:jc w:val="both"/>
      </w:pPr>
      <w:r>
        <w:rPr>
          <w:b/>
          <w:i w:val="0"/>
        </w:rPr>
        <w:t>Calculated findings.</w:t>
      </w:r>
      <w:r>
        <w:rPr>
          <w:b w:val="0"/>
          <w:i w:val="0"/>
        </w:rPr>
        <w:t xml:space="preserve"> The completed result of this study is a coherent architecture and a calculated resource budget. No physical laboratory measurements are available. The capacity arithmetic shows that the declared 20-vCPU, 40-GiB evaluation load fits the normal cluster and can be reconstructed on two surviving workers with the stated placement. Network performance, interruption time and operational isolation remain to be tested.</w:t>
      </w:r>
    </w:p>
    <w:p>
      <w:pPr>
        <w:jc w:val="both"/>
      </w:pPr>
      <w:r>
        <w:rPr>
          <w:b/>
          <w:i w:val="0"/>
        </w:rPr>
        <w:t>Predicted outcomes.</w:t>
      </w:r>
      <w:r>
        <w:rPr>
          <w:b w:val="0"/>
          <w:i w:val="0"/>
        </w:rPr>
        <w:t xml:space="preserve"> The test matrix below specifies expected evidence; its operational tests have not been executed. </w:t>
      </w:r>
      <w:r>
        <w:rPr>
          <w:b/>
          <w:i w:val="0"/>
        </w:rPr>
        <w:t>Measured laboratory results.</w:t>
      </w:r>
      <w:r>
        <w:rPr>
          <w:b w:val="0"/>
          <w:i w:val="0"/>
        </w:rPr>
        <w:t xml:space="preserve"> None are claimed. CPU, RAM and disk totals are arithmetic findings, not observations of a running cloud.</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4980"/>
        <w:gridCol w:w="2904"/>
      </w:tblGrid>
      <w:tr>
        <w:trPr>
          <w:cantSplit/>
          <w:tblHeader/>
        </w:trPr>
        <w:tc>
          <w:tcPr>
            <w:tcW w:type="dxa" w:w="210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Experiment</w:t>
            </w:r>
          </w:p>
        </w:tc>
        <w:tc>
          <w:tcPr>
            <w:tcW w:type="dxa" w:w="4980"/>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Procedure</w:t>
            </w:r>
          </w:p>
        </w:tc>
        <w:tc>
          <w:tcPr>
            <w:tcW w:type="dxa" w:w="2904"/>
            <w:vAlign w:val="center"/>
            <w:tcMar>
              <w:top w:w="70" w:type="dxa"/>
              <w:bottom w:w="70" w:type="dxa"/>
              <w:left w:w="104" w:type="dxa"/>
              <w:right w:w="104" w:type="dxa"/>
            </w:tcMar>
            <w:shd w:fill="D9EAF7"/>
          </w:tcPr>
          <w:p>
            <w:pPr>
              <w:spacing w:after="0" w:line="223" w:lineRule="exact"/>
            </w:pPr>
            <w:r>
              <w:rPr>
                <w:rFonts w:ascii="Times New Roman" w:hAnsi="Times New Roman"/>
                <w:b/>
                <w:i w:val="0"/>
                <w:sz w:val="18"/>
              </w:rPr>
              <w:t>Record after implementation</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Direct baseline</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Send client/server traffic without the evaluated function path in an isolated comparison topology.</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Goodput, RTT, loss and host/guest CPU.</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Function path</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Use identical load through firewall and router.</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Forwarding evidence and performance difference.</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Blocked / bypass</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Try TCP 22 when only TCP 5201 is allowed; remove the approved firewall route in a controlled test.</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Denial log and failed bypass probe; allowed test still succeeds when restored.</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Isolation</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Attempt forbidden cross-project API and packet access.</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Denied/succeeded, exact rule and supporting logs.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Noisy neighbor</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Increase load in one tenant while observing another.</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Per-tenant goodput, delay and shared NIC/CPU counters.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Capacity rejection</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Request more than remaining quota or host capacity.</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Rejection reason and unchanged allocations.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Worker loss</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Stop one worker under instructor control; recreate affected VMs.</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Outage, detection, recreation, configuration and ready times.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Controller outage</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Stop management services while observing existing guest traffic.</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API availability and forwarding continuity separately.</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b w:val="0"/>
                <w:i w:val="0"/>
                <w:sz w:val="18"/>
              </w:rPr>
              <w:t>Teardown / restore</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b w:val="0"/>
                <w:i w:val="0"/>
                <w:sz w:val="18"/>
              </w:rPr>
              <w:t>Remove owned resources, recreate from approved descriptor.</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b w:val="0"/>
                <w:i w:val="0"/>
                <w:sz w:val="18"/>
              </w:rPr>
              <w:t>Residual-object audit and restored topology.</w:t>
            </w:r>
          </w:p>
        </w:tc>
      </w:tr>
    </w:tbl>
    <w:p>
      <w:pPr>
        <w:spacing w:after="0" w:line="60" w:lineRule="exact" w:before="0"/>
      </w:pPr>
      <w:r>
        <w:rPr>
          <w:sz w:val="2"/>
        </w:rPr>
      </w:r>
    </w:p>
    <w:p>
      <w:pPr>
        <w:jc w:val="both"/>
      </w:pPr>
      <w:r>
        <w:rPr>
          <w:b w:val="0"/>
          <w:i w:val="0"/>
        </w:rPr>
        <w:t>Run a warm-up before timing, repeat each performance test at least five times and keep both individual results and summary statistics. Use a monotonic clock for durations. Small samples justify reporting their range and median, but not strong population claims. Packet captures should use synthetic traffic and avoid collecting personal or campus network data.</w:t>
      </w:r>
    </w:p>
    <w:p>
      <w:pPr>
        <w:pStyle w:val="Heading2"/>
      </w:pPr>
      <w:r>
        <w:rPr>
          <w:b w:val="0"/>
          <w:i w:val="0"/>
        </w:rPr>
        <w:t>9.1 Advantages</w:t>
      </w:r>
    </w:p>
    <w:p>
      <w:pPr>
        <w:jc w:val="both"/>
      </w:pPr>
      <w:r>
        <w:rPr>
          <w:b w:val="0"/>
          <w:i w:val="0"/>
        </w:rPr>
        <w:t>• The VM baseline maps every responsibility to an identified component and avoids treating the infrastructure manager as a full service orchestrator.</w:t>
      </w:r>
    </w:p>
    <w:p>
      <w:pPr>
        <w:jc w:val="both"/>
      </w:pPr>
      <w:r>
        <w:rPr>
          <w:b w:val="0"/>
          <w:i w:val="0"/>
        </w:rPr>
        <w:t>• The resource worksheet includes host overhead, replicas and test generators, making placement and failure experiments reviewable.</w:t>
      </w:r>
    </w:p>
    <w:p>
      <w:pPr>
        <w:jc w:val="both"/>
      </w:pPr>
      <w:r>
        <w:rPr>
          <w:b w:val="0"/>
          <w:i w:val="0"/>
        </w:rPr>
        <w:t>• The explicit routed path and negative tests support assessment of forwarding correctness and tenant isolation.</w:t>
      </w:r>
    </w:p>
    <w:p>
      <w:pPr>
        <w:jc w:val="both"/>
      </w:pPr>
      <w:r>
        <w:rPr>
          <w:b w:val="0"/>
          <w:i w:val="0"/>
        </w:rPr>
        <w:t>• Versioned images and descriptors support repeatable classroom exercises and controlled teardown.</w:t>
      </w:r>
    </w:p>
    <w:p>
      <w:pPr>
        <w:pStyle w:val="Heading2"/>
      </w:pPr>
      <w:r>
        <w:rPr>
          <w:b w:val="0"/>
          <w:i w:val="0"/>
        </w:rPr>
        <w:t>9.2 Limitations</w:t>
      </w:r>
    </w:p>
    <w:p>
      <w:pPr>
        <w:jc w:val="both"/>
      </w:pPr>
      <w:r>
        <w:rPr>
          <w:b w:val="0"/>
          <w:i w:val="0"/>
        </w:rPr>
        <w:t>The single controller, switch and optional shared storage are common failure dependencies. The design is not production HA. Local disks are disposable, stateful failover is unimplemented, CPU isolation requires more than a simple vCPU count, and logical network isolation must be verified. The proposed results cannot establish carrier-grade availability, radio performance, universal VNF compatibility or cloud cost savings.</w:t>
      </w:r>
    </w:p>
    <w:p>
      <w:r>
        <w:br w:type="page"/>
      </w:r>
    </w:p>
    <w:p>
      <w:pPr>
        <w:pStyle w:val="Heading1"/>
      </w:pPr>
      <w:r>
        <w:rPr>
          <w:b w:val="0"/>
          <w:i w:val="0"/>
        </w:rPr>
        <w:t>10. CONCLUSION</w:t>
      </w:r>
    </w:p>
    <w:p>
      <w:pPr>
        <w:jc w:val="both"/>
      </w:pPr>
      <w:r>
        <w:rPr>
          <w:b w:val="0"/>
          <w:i w:val="0"/>
        </w:rPr>
        <w:t>A technically coherent NFVI for educational evaluation requires more than a collection of virtual machines. The infrastructure must expose bounded compute, storage and networking resources, define who manages them and show how workload traffic traverses the intended functions. This case study supplies those elements through a conventional VM-based laboratory with explicit management, tenant and external boundaries.</w:t>
      </w:r>
    </w:p>
    <w:p>
      <w:pPr>
        <w:jc w:val="both"/>
      </w:pPr>
      <w:r>
        <w:rPr>
          <w:b w:val="0"/>
          <w:i w:val="0"/>
        </w:rPr>
        <w:t>The proposed one-controller, three-worker design is feasible as a teaching architecture while openly retaining its shared failure dependencies. Its resource budget includes infrastructure reserves, two tenant services with independent replicas and separate test endpoints. The admitted load fits two surviving workers by calculation, but restoration and service behavior must still be demonstrated through controlled tests. Thus the selected objective is addressed at design level by bounded admission, project isolation and explicit forwarding; operational validation remains the next step.</w:t>
      </w:r>
    </w:p>
    <w:p>
      <w:pPr>
        <w:jc w:val="both"/>
      </w:pPr>
      <w:r>
        <w:rPr>
          <w:b w:val="0"/>
          <w:i w:val="0"/>
        </w:rPr>
        <w:t>The evaluation method separates capacity feasibility, forwarding correctness, isolation and observed performance. This allows students to explain why an experiment succeeds or fails without confusing a design target with a measured outcome. The architecture is therefore suitable as a reproducible baseline for learning NFV infrastructure management and evaluating future improvements.</w:t>
      </w:r>
    </w:p>
    <w:p>
      <w:pPr>
        <w:pStyle w:val="Heading1"/>
      </w:pPr>
      <w:r>
        <w:rPr>
          <w:b w:val="0"/>
          <w:i w:val="0"/>
        </w:rPr>
        <w:t>11. FUTURE ENHANCEMENT</w:t>
      </w:r>
    </w:p>
    <w:p>
      <w:pPr>
        <w:jc w:val="both"/>
      </w:pPr>
      <w:r>
        <w:rPr>
          <w:b w:val="0"/>
          <w:i w:val="0"/>
        </w:rPr>
        <w:t>1. Introduce a multi-controller design with properly configured database and message-queue resilience; test quorum and failure behavior.</w:t>
      </w:r>
    </w:p>
    <w:p>
      <w:pPr>
        <w:jc w:val="both"/>
      </w:pPr>
      <w:r>
        <w:rPr>
          <w:b w:val="0"/>
          <w:i w:val="0"/>
        </w:rPr>
        <w:t>2. Add independent switch/uplink paths and explicitly validate redundancy instead of counting logical VLANs as fault domains.</w:t>
      </w:r>
    </w:p>
    <w:p>
      <w:pPr>
        <w:jc w:val="both"/>
      </w:pPr>
      <w:r>
        <w:rPr>
          <w:b w:val="0"/>
          <w:i w:val="0"/>
        </w:rPr>
        <w:t>3. Evaluate shared persistent storage with a declared replication, failure and backup model before hosting stateful functions.</w:t>
      </w:r>
    </w:p>
    <w:p>
      <w:pPr>
        <w:jc w:val="both"/>
      </w:pPr>
      <w:r>
        <w:rPr>
          <w:b w:val="0"/>
          <w:i w:val="0"/>
        </w:rPr>
        <w:t>4. Add an ETSI-aligned NFV Orchestrator and VNF Manager integration, clearly separating infrastructure and service lifecycle responsibilities.</w:t>
      </w:r>
    </w:p>
    <w:p>
      <w:pPr>
        <w:jc w:val="both"/>
      </w:pPr>
      <w:r>
        <w:rPr>
          <w:b w:val="0"/>
          <w:i w:val="0"/>
        </w:rPr>
        <w:t>5. Compare ordinary virtual switching with CPU pinning, huge pages, DPDK or SR-IOV in controlled experiments; account for lost flexibility and hardware requirements.</w:t>
      </w:r>
    </w:p>
    <w:p>
      <w:pPr>
        <w:jc w:val="both"/>
      </w:pPr>
      <w:r>
        <w:rPr>
          <w:b w:val="0"/>
          <w:i w:val="0"/>
        </w:rPr>
        <w:t>6. Add a separate container-based extension and explain its orchestration, resource, network and isolation boundaries rather than assuming Kubernetes and OpenStack are interchangeable.</w:t>
      </w:r>
    </w:p>
    <w:p>
      <w:pPr>
        <w:jc w:val="both"/>
      </w:pPr>
      <w:r>
        <w:rPr>
          <w:b w:val="0"/>
          <w:i w:val="0"/>
        </w:rPr>
        <w:t>7. Automate the complete experiment lifecycle and collect comparable workload traces, repeated measurements and reproducibility artifacts.</w:t>
      </w:r>
    </w:p>
    <w:p>
      <w:r>
        <w:br w:type="page"/>
      </w:r>
    </w:p>
    <w:p>
      <w:pPr>
        <w:pStyle w:val="Heading1"/>
      </w:pPr>
      <w:r>
        <w:rPr>
          <w:b w:val="0"/>
          <w:i w:val="0"/>
        </w:rPr>
        <w:t>12. REFERENCES</w:t>
      </w:r>
    </w:p>
    <w:p>
      <w:pPr>
        <w:spacing w:after="160" w:line="240" w:lineRule="exact"/>
        <w:jc w:val="left"/>
      </w:pPr>
      <w:r>
        <w:rPr>
          <w:rFonts w:ascii="Times New Roman" w:hAnsi="Times New Roman"/>
          <w:b w:val="0"/>
          <w:i w:val="0"/>
          <w:sz w:val="18"/>
        </w:rPr>
        <w:t xml:space="preserve">[1] ETSI. </w:t>
      </w:r>
      <w:r>
        <w:rPr>
          <w:rFonts w:ascii="Times New Roman" w:hAnsi="Times New Roman"/>
          <w:b/>
          <w:i w:val="0"/>
          <w:sz w:val="18"/>
        </w:rPr>
        <w:t>GS NFV 002 V1.1.1 Network Functions Virtualisation Architectural Framework.</w:t>
      </w:r>
      <w:r>
        <w:rPr>
          <w:rFonts w:ascii="Times New Roman" w:hAnsi="Times New Roman"/>
          <w:b w:val="0"/>
          <w:i w:val="0"/>
          <w:sz w:val="18"/>
        </w:rPr>
        <w:t xml:space="preserve"> October 2013. Foundational model; not a claim of the latest NFV architecture.</w:t>
      </w:r>
      <w:r>
        <w:rPr>
          <w:rFonts w:ascii="Times New Roman" w:hAnsi="Times New Roman"/>
          <w:sz w:val="18"/>
        </w:rPr>
        <w:br/>
      </w:r>
      <w:hyperlink r:id="rId13">
        <w:r>
          <w:rPr>
            <w:color w:val="365F91"/>
          </w:rPr>
          <w:t>https://www.etsi.org/deliver/etsi_gs/NFV/001_099/002/01.01.01_60/gs_NFV002v010101p.pdf</w:t>
        </w:r>
      </w:hyperlink>
    </w:p>
    <w:p>
      <w:pPr>
        <w:spacing w:after="160" w:line="240" w:lineRule="exact"/>
        <w:jc w:val="left"/>
      </w:pPr>
      <w:r>
        <w:rPr>
          <w:rFonts w:ascii="Times New Roman" w:hAnsi="Times New Roman"/>
          <w:b w:val="0"/>
          <w:i w:val="0"/>
          <w:sz w:val="18"/>
        </w:rPr>
        <w:t xml:space="preserve">[2] OpenStack. </w:t>
      </w:r>
      <w:r>
        <w:rPr>
          <w:rFonts w:ascii="Times New Roman" w:hAnsi="Times New Roman"/>
          <w:b/>
          <w:i w:val="0"/>
          <w:sz w:val="18"/>
        </w:rPr>
        <w:t>Nova System Architecture.</w:t>
      </w:r>
      <w:r>
        <w:rPr>
          <w:rFonts w:ascii="Times New Roman" w:hAnsi="Times New Roman"/>
          <w:b w:val="0"/>
          <w:i w:val="0"/>
          <w:sz w:val="18"/>
        </w:rPr>
        <w:t xml:space="preserve"> Official architecture and component responsibilities. Accessed 23 October 2026.</w:t>
      </w:r>
      <w:r>
        <w:rPr>
          <w:rFonts w:ascii="Times New Roman" w:hAnsi="Times New Roman"/>
          <w:sz w:val="18"/>
        </w:rPr>
        <w:br/>
      </w:r>
      <w:hyperlink r:id="rId14">
        <w:r>
          <w:rPr>
            <w:color w:val="365F91"/>
          </w:rPr>
          <w:t>https://docs.openstack.org/nova/latest/admin/architecture.html</w:t>
        </w:r>
      </w:hyperlink>
    </w:p>
    <w:p>
      <w:pPr>
        <w:spacing w:after="160" w:line="240" w:lineRule="exact"/>
        <w:jc w:val="left"/>
      </w:pPr>
      <w:r>
        <w:rPr>
          <w:rFonts w:ascii="Times New Roman" w:hAnsi="Times New Roman"/>
          <w:b w:val="0"/>
          <w:i w:val="0"/>
          <w:sz w:val="18"/>
        </w:rPr>
        <w:t xml:space="preserve">[3] OpenStack. </w:t>
      </w:r>
      <w:r>
        <w:rPr>
          <w:rFonts w:ascii="Times New Roman" w:hAnsi="Times New Roman"/>
          <w:b/>
          <w:i w:val="0"/>
          <w:sz w:val="18"/>
        </w:rPr>
        <w:t>OpenStack Networking Guide.</w:t>
      </w:r>
      <w:r>
        <w:rPr>
          <w:rFonts w:ascii="Times New Roman" w:hAnsi="Times New Roman"/>
          <w:b w:val="0"/>
          <w:i w:val="0"/>
          <w:sz w:val="18"/>
        </w:rPr>
        <w:t xml:space="preserve"> Neutron networking concepts and operations. Accessed 23 October 2026.</w:t>
      </w:r>
      <w:r>
        <w:rPr>
          <w:rFonts w:ascii="Times New Roman" w:hAnsi="Times New Roman"/>
          <w:sz w:val="18"/>
        </w:rPr>
        <w:br/>
      </w:r>
      <w:hyperlink r:id="rId15">
        <w:r>
          <w:rPr>
            <w:color w:val="365F91"/>
          </w:rPr>
          <w:t>https://docs.openstack.org/neutron/latest/admin/</w:t>
        </w:r>
      </w:hyperlink>
    </w:p>
    <w:p>
      <w:pPr>
        <w:spacing w:after="160" w:line="240" w:lineRule="exact"/>
        <w:jc w:val="left"/>
      </w:pPr>
      <w:r>
        <w:rPr>
          <w:rFonts w:ascii="Times New Roman" w:hAnsi="Times New Roman"/>
          <w:b w:val="0"/>
          <w:i w:val="0"/>
          <w:sz w:val="18"/>
        </w:rPr>
        <w:t xml:space="preserve">[4] OpenStack. </w:t>
      </w:r>
      <w:r>
        <w:rPr>
          <w:rFonts w:ascii="Times New Roman" w:hAnsi="Times New Roman"/>
          <w:b/>
          <w:i w:val="0"/>
          <w:sz w:val="18"/>
        </w:rPr>
        <w:t>Security Guide.</w:t>
      </w:r>
      <w:r>
        <w:rPr>
          <w:rFonts w:ascii="Times New Roman" w:hAnsi="Times New Roman"/>
          <w:b w:val="0"/>
          <w:i w:val="0"/>
          <w:sz w:val="18"/>
        </w:rPr>
        <w:t xml:space="preserve"> Historical conceptual guidance; the page states it was last updated for the Train-era releases. Use release-specific security instructions for installation.</w:t>
      </w:r>
      <w:r>
        <w:rPr>
          <w:rFonts w:ascii="Times New Roman" w:hAnsi="Times New Roman"/>
          <w:sz w:val="18"/>
        </w:rPr>
        <w:br/>
      </w:r>
      <w:hyperlink r:id="rId16">
        <w:r>
          <w:rPr>
            <w:color w:val="365F91"/>
          </w:rPr>
          <w:t>https://docs.openstack.org/security-guide/</w:t>
        </w:r>
      </w:hyperlink>
    </w:p>
    <w:p>
      <w:pPr>
        <w:spacing w:after="160" w:line="240" w:lineRule="exact"/>
        <w:jc w:val="left"/>
      </w:pPr>
      <w:r>
        <w:rPr>
          <w:rFonts w:ascii="Times New Roman" w:hAnsi="Times New Roman"/>
          <w:b w:val="0"/>
          <w:i w:val="0"/>
          <w:sz w:val="18"/>
        </w:rPr>
        <w:t xml:space="preserve">[5] OpenStack Foundation. </w:t>
      </w:r>
      <w:r>
        <w:rPr>
          <w:rFonts w:ascii="Times New Roman" w:hAnsi="Times New Roman"/>
          <w:b/>
          <w:i w:val="0"/>
          <w:sz w:val="18"/>
        </w:rPr>
        <w:t>Accelerating NFV Delivery with OpenStack.</w:t>
      </w:r>
      <w:r>
        <w:rPr>
          <w:rFonts w:ascii="Times New Roman" w:hAnsi="Times New Roman"/>
          <w:b w:val="0"/>
          <w:i w:val="0"/>
          <w:sz w:val="18"/>
        </w:rPr>
        <w:t xml:space="preserve"> 2016. NTT Group case, printed page 20 (PDF page 20). Primary industry white paper.</w:t>
      </w:r>
      <w:r>
        <w:rPr>
          <w:rFonts w:ascii="Times New Roman" w:hAnsi="Times New Roman"/>
          <w:sz w:val="18"/>
        </w:rPr>
        <w:br/>
      </w:r>
      <w:hyperlink r:id="rId17">
        <w:r>
          <w:rPr>
            <w:color w:val="365F91"/>
          </w:rPr>
          <w:t>https://www.openstack.org/assets/marketing/OpenStack-NFV-A4.pdf</w:t>
        </w:r>
      </w:hyperlink>
    </w:p>
    <w:p>
      <w:pPr>
        <w:spacing w:after="160" w:line="240" w:lineRule="exact"/>
        <w:jc w:val="left"/>
      </w:pPr>
      <w:r>
        <w:rPr>
          <w:rFonts w:ascii="Times New Roman" w:hAnsi="Times New Roman"/>
          <w:b w:val="0"/>
          <w:i w:val="0"/>
          <w:sz w:val="18"/>
        </w:rPr>
        <w:t xml:space="preserve">[6] IETF. </w:t>
      </w:r>
      <w:r>
        <w:rPr>
          <w:rFonts w:ascii="Times New Roman" w:hAnsi="Times New Roman"/>
          <w:b/>
          <w:i w:val="0"/>
          <w:sz w:val="18"/>
        </w:rPr>
        <w:t>RFC 7665 Service Function Chaining Architecture.</w:t>
      </w:r>
      <w:r>
        <w:rPr>
          <w:rFonts w:ascii="Times New Roman" w:hAnsi="Times New Roman"/>
          <w:b w:val="0"/>
          <w:i w:val="0"/>
          <w:sz w:val="18"/>
        </w:rPr>
        <w:t xml:space="preserve"> October 2015.</w:t>
      </w:r>
      <w:r>
        <w:rPr>
          <w:rFonts w:ascii="Times New Roman" w:hAnsi="Times New Roman"/>
          <w:sz w:val="18"/>
        </w:rPr>
        <w:br/>
      </w:r>
      <w:hyperlink r:id="rId18">
        <w:r>
          <w:rPr>
            <w:color w:val="365F91"/>
          </w:rPr>
          <w:t>https://www.rfc-editor.org/rfc/rfc7665</w:t>
        </w:r>
      </w:hyperlink>
    </w:p>
    <w:p>
      <w:pPr>
        <w:spacing w:after="160" w:line="240" w:lineRule="exact"/>
        <w:jc w:val="left"/>
      </w:pPr>
      <w:r>
        <w:rPr>
          <w:rFonts w:ascii="Times New Roman" w:hAnsi="Times New Roman"/>
          <w:b w:val="0"/>
          <w:i w:val="0"/>
          <w:sz w:val="18"/>
        </w:rPr>
        <w:t xml:space="preserve">[7] OpenStack. </w:t>
      </w:r>
      <w:r>
        <w:rPr>
          <w:rFonts w:ascii="Times New Roman" w:hAnsi="Times New Roman"/>
          <w:b/>
          <w:i w:val="0"/>
          <w:sz w:val="18"/>
        </w:rPr>
        <w:t>Compute schedulers.</w:t>
      </w:r>
      <w:r>
        <w:rPr>
          <w:rFonts w:ascii="Times New Roman" w:hAnsi="Times New Roman"/>
          <w:b w:val="0"/>
          <w:i w:val="0"/>
          <w:sz w:val="18"/>
        </w:rPr>
        <w:t xml:space="preserve"> Host filtering and server-group affinity/anti-affinity. Accessed 23 October 2026.</w:t>
      </w:r>
      <w:r>
        <w:rPr>
          <w:rFonts w:ascii="Times New Roman" w:hAnsi="Times New Roman"/>
          <w:sz w:val="18"/>
        </w:rPr>
        <w:br/>
      </w:r>
      <w:hyperlink r:id="rId19">
        <w:r>
          <w:rPr>
            <w:color w:val="365F91"/>
          </w:rPr>
          <w:t>https://docs.openstack.org/nova/latest/admin/scheduling.html</w:t>
        </w:r>
      </w:hyperlink>
    </w:p>
    <w:p>
      <w:pPr>
        <w:spacing w:after="160" w:line="240" w:lineRule="exact"/>
        <w:jc w:val="left"/>
      </w:pPr>
      <w:r>
        <w:rPr>
          <w:rFonts w:ascii="Times New Roman" w:hAnsi="Times New Roman"/>
          <w:b w:val="0"/>
          <w:i w:val="0"/>
          <w:sz w:val="18"/>
        </w:rPr>
        <w:t xml:space="preserve">[8] OpenStack. </w:t>
      </w:r>
      <w:r>
        <w:rPr>
          <w:rFonts w:ascii="Times New Roman" w:hAnsi="Times New Roman"/>
          <w:b/>
          <w:i w:val="0"/>
          <w:sz w:val="18"/>
        </w:rPr>
        <w:t>MTU Considerations.</w:t>
      </w:r>
      <w:r>
        <w:rPr>
          <w:rFonts w:ascii="Times New Roman" w:hAnsi="Times New Roman"/>
          <w:b w:val="0"/>
          <w:i w:val="0"/>
          <w:sz w:val="18"/>
        </w:rPr>
        <w:t xml:space="preserve"> Underlay and overlay MTU relationships. Accessed 23 October 2026.</w:t>
      </w:r>
      <w:r>
        <w:rPr>
          <w:rFonts w:ascii="Times New Roman" w:hAnsi="Times New Roman"/>
          <w:sz w:val="18"/>
        </w:rPr>
        <w:br/>
      </w:r>
      <w:hyperlink r:id="rId20">
        <w:r>
          <w:rPr>
            <w:color w:val="365F91"/>
          </w:rPr>
          <w:t>https://docs.openstack.org/neutron/latest/admin/config-mtu.html</w:t>
        </w:r>
      </w:hyperlink>
    </w:p>
    <w:p>
      <w:pPr>
        <w:spacing w:after="160" w:line="240" w:lineRule="exact"/>
        <w:jc w:val="left"/>
      </w:pPr>
      <w:r>
        <w:rPr>
          <w:rFonts w:ascii="Times New Roman" w:hAnsi="Times New Roman"/>
          <w:b w:val="0"/>
          <w:i w:val="0"/>
          <w:sz w:val="18"/>
        </w:rPr>
        <w:t xml:space="preserve">[9] OpenStack. </w:t>
      </w:r>
      <w:r>
        <w:rPr>
          <w:rFonts w:ascii="Times New Roman" w:hAnsi="Times New Roman"/>
          <w:b/>
          <w:i w:val="0"/>
          <w:sz w:val="18"/>
        </w:rPr>
        <w:t>Glance documentation.</w:t>
      </w:r>
      <w:r>
        <w:rPr>
          <w:rFonts w:ascii="Times New Roman" w:hAnsi="Times New Roman"/>
          <w:b w:val="0"/>
          <w:i w:val="0"/>
          <w:sz w:val="18"/>
        </w:rPr>
        <w:t xml:space="preserve"> Image discovery, registration and retrieval. Accessed 23 October 2026.</w:t>
      </w:r>
      <w:r>
        <w:rPr>
          <w:rFonts w:ascii="Times New Roman" w:hAnsi="Times New Roman"/>
          <w:sz w:val="18"/>
        </w:rPr>
        <w:br/>
      </w:r>
      <w:hyperlink r:id="rId21">
        <w:r>
          <w:rPr>
            <w:color w:val="365F91"/>
          </w:rPr>
          <w:t>https://docs.openstack.org/glance/latest/</w:t>
        </w:r>
      </w:hyperlink>
    </w:p>
    <w:p>
      <w:pPr>
        <w:spacing w:after="160" w:line="240" w:lineRule="exact"/>
        <w:jc w:val="left"/>
      </w:pPr>
      <w:r>
        <w:rPr>
          <w:rFonts w:ascii="Times New Roman" w:hAnsi="Times New Roman"/>
          <w:b w:val="0"/>
          <w:i w:val="0"/>
          <w:sz w:val="18"/>
        </w:rPr>
        <w:t xml:space="preserve">[10] OpenStack. </w:t>
      </w:r>
      <w:r>
        <w:rPr>
          <w:rFonts w:ascii="Times New Roman" w:hAnsi="Times New Roman"/>
          <w:b/>
          <w:i w:val="0"/>
          <w:sz w:val="18"/>
        </w:rPr>
        <w:t>Keystone the OpenStack Identity Service.</w:t>
      </w:r>
      <w:r>
        <w:rPr>
          <w:rFonts w:ascii="Times New Roman" w:hAnsi="Times New Roman"/>
          <w:b w:val="0"/>
          <w:i w:val="0"/>
          <w:sz w:val="18"/>
        </w:rPr>
        <w:t xml:space="preserve"> Authentication, service discovery and authorization. Accessed 23 October 2026.</w:t>
      </w:r>
      <w:r>
        <w:rPr>
          <w:rFonts w:ascii="Times New Roman" w:hAnsi="Times New Roman"/>
          <w:sz w:val="18"/>
        </w:rPr>
        <w:br/>
      </w:r>
      <w:hyperlink r:id="rId22">
        <w:r>
          <w:rPr>
            <w:color w:val="365F91"/>
          </w:rPr>
          <w:t>https://docs.openstack.org/keystone/latest/</w:t>
        </w:r>
      </w:hyperlink>
    </w:p>
    <w:p>
      <w:pPr>
        <w:pStyle w:val="Heading2"/>
      </w:pPr>
      <w:r>
        <w:rPr>
          <w:b w:val="0"/>
          <w:i w:val="0"/>
        </w:rPr>
        <w:t>Appendix A - Key Assumptions</w:t>
      </w:r>
    </w:p>
    <w:p>
      <w:pPr>
        <w:jc w:val="both"/>
      </w:pPr>
      <w:r>
        <w:rPr>
          <w:b w:val="0"/>
          <w:i w:val="0"/>
        </w:rPr>
        <w:t>• This is an educational architecture design; hardware, software installation and traffic measurements are not claimed as completed.</w:t>
      </w:r>
    </w:p>
    <w:p>
      <w:pPr>
        <w:jc w:val="both"/>
      </w:pPr>
      <w:r>
        <w:rPr>
          <w:b w:val="0"/>
          <w:i w:val="0"/>
        </w:rPr>
        <w:t>• One controller and three physically distinct workers are assumed. Nested alternatives share a physical failure domain.</w:t>
      </w:r>
    </w:p>
    <w:p>
      <w:pPr>
        <w:jc w:val="both"/>
      </w:pPr>
      <w:r>
        <w:rPr>
          <w:b w:val="0"/>
          <w:i w:val="0"/>
        </w:rPr>
        <w:t>• CPU admission uses a conservative 1:1 budget after host reserves; dedicated-core guarantees require additional scheduling configuration.</w:t>
      </w:r>
    </w:p>
    <w:p>
      <w:pPr>
        <w:jc w:val="both"/>
      </w:pPr>
      <w:r>
        <w:rPr>
          <w:b w:val="0"/>
          <w:i w:val="0"/>
        </w:rPr>
        <w:t>• VM disks are ephemeral. Rebuild uses approved images and separately backed-up configuration; stateful sessions may be lost.</w:t>
      </w:r>
    </w:p>
    <w:p>
      <w:pPr>
        <w:jc w:val="both"/>
      </w:pPr>
      <w:r>
        <w:rPr>
          <w:b w:val="0"/>
          <w:i w:val="0"/>
        </w:rPr>
        <w:t>• The declared capacity calculation includes four service replicas and four test endpoints. Controller and network capacity are accounted separately.</w:t>
      </w:r>
    </w:p>
    <w:p>
      <w:pPr>
        <w:jc w:val="both"/>
      </w:pPr>
      <w:r>
        <w:rPr>
          <w:b w:val="0"/>
          <w:i w:val="0"/>
        </w:rPr>
        <w:t>• All private/example addresses require instructor approval before use. Experiments remain isolated from unrelated campus and internet traffic.</w:t>
      </w:r>
    </w:p>
    <w:sectPr w:rsidR="00FC693F" w:rsidRPr="0006063C" w:rsidSect="00034616">
      <w:footerReference w:type="default" r:id="rId9"/>
      <w:pgSz w:w="12240" w:h="15840"/>
      <w:pgMar w:top="1032" w:right="1104" w:bottom="1120" w:left="1152" w:header="720" w:footer="6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ANIKET VERMA | 23BIT0014 | NFVI Architecture for Educational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1" w:lineRule="exact"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exact"/>
      <w:outlineLvl w:val="0"/>
    </w:pPr>
    <w:rPr>
      <w:rFonts w:asciiTheme="majorHAnsi" w:eastAsiaTheme="majorEastAsia" w:hAnsiTheme="majorHAnsi" w:cstheme="majorBidi" w:ascii="Calibri" w:hAnsi="Calibri"/>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exact"/>
      <w:outlineLvl w:val="1"/>
    </w:pPr>
    <w:rPr>
      <w:rFonts w:asciiTheme="majorHAnsi" w:eastAsiaTheme="majorEastAsia" w:hAnsiTheme="majorHAnsi" w:cstheme="majorBidi" w:ascii="Calibri" w:hAnsi="Calibri"/>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61" w:lineRule="exact"/>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1" w:lineRule="exact"/>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etsi.org/deliver/etsi_gs/NFV/001_099/002/01.01.01_60/gs_NFV002v010101p.pdf" TargetMode="External"/><Relationship Id="rId14" Type="http://schemas.openxmlformats.org/officeDocument/2006/relationships/hyperlink" Target="https://docs.openstack.org/nova/latest/admin/architecture.html" TargetMode="External"/><Relationship Id="rId15" Type="http://schemas.openxmlformats.org/officeDocument/2006/relationships/hyperlink" Target="https://docs.openstack.org/neutron/latest/admin/" TargetMode="External"/><Relationship Id="rId16" Type="http://schemas.openxmlformats.org/officeDocument/2006/relationships/hyperlink" Target="https://docs.openstack.org/security-guide/" TargetMode="External"/><Relationship Id="rId17" Type="http://schemas.openxmlformats.org/officeDocument/2006/relationships/hyperlink" Target="https://www.openstack.org/assets/marketing/OpenStack-NFV-A4.pdf" TargetMode="External"/><Relationship Id="rId18" Type="http://schemas.openxmlformats.org/officeDocument/2006/relationships/hyperlink" Target="https://www.rfc-editor.org/rfc/rfc7665" TargetMode="External"/><Relationship Id="rId19" Type="http://schemas.openxmlformats.org/officeDocument/2006/relationships/hyperlink" Target="https://docs.openstack.org/nova/latest/admin/scheduling.html" TargetMode="External"/><Relationship Id="rId20" Type="http://schemas.openxmlformats.org/officeDocument/2006/relationships/hyperlink" Target="https://docs.openstack.org/neutron/latest/admin/config-mtu.html" TargetMode="External"/><Relationship Id="rId21" Type="http://schemas.openxmlformats.org/officeDocument/2006/relationships/hyperlink" Target="https://docs.openstack.org/glance/latest/" TargetMode="External"/><Relationship Id="rId22" Type="http://schemas.openxmlformats.org/officeDocument/2006/relationships/hyperlink" Target="https://docs.openstack.org/keystone/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 Technically Coherent NFVI Architecture for Educational Evaluation</dc:title>
  <dc:subject>Network Management case study</dc:subject>
  <dc:creator>Aniket verma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