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0B4F6C"/>
          <w:sz w:val="44"/>
        </w:rPr>
        <w:t>PROJECT BEACON</w:t>
      </w:r>
    </w:p>
    <w:p>
      <w:pPr>
        <w:spacing w:before="200" w:after="160"/>
      </w:pPr>
      <w:r>
        <w:rPr>
          <w:b/>
          <w:color w:val="0B4F6C"/>
          <w:sz w:val="28"/>
        </w:rPr>
        <w:t>US Oncologist Brand Demand Study — Quantitative Survey Instrument</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r>
          </w:p>
        </w:tc>
        <w:tc>
          <w:tcPr>
            <w:tcW w:type="dxa" w:w="4896"/>
            <w:shd w:val="clear" w:fill="0B4F6C"/>
          </w:tcPr>
          <w:p>
            <w:r/>
            <w:r>
              <w:rPr>
                <w:b/>
                <w:color w:val="FFFFFF"/>
                <w:sz w:val="18"/>
              </w:rPr>
            </w:r>
          </w:p>
        </w:tc>
      </w:tr>
      <w:tr>
        <w:tc>
          <w:tcPr>
            <w:tcW w:type="dxa" w:w="4896"/>
          </w:tcPr>
          <w:p>
            <w:r/>
            <w:r>
              <w:rPr>
                <w:sz w:val="18"/>
              </w:rPr>
              <w:t>*Study*</w:t>
            </w:r>
          </w:p>
        </w:tc>
        <w:tc>
          <w:tcPr>
            <w:tcW w:type="dxa" w:w="4896"/>
          </w:tcPr>
          <w:p>
            <w:r/>
            <w:r>
              <w:rPr>
                <w:sz w:val="18"/>
              </w:rPr>
              <w:t>PROJECT BEACON — pre-launch demand assessment for a new oncology brand</w:t>
            </w:r>
          </w:p>
        </w:tc>
      </w:tr>
      <w:tr>
        <w:tc>
          <w:tcPr>
            <w:tcW w:type="dxa" w:w="4896"/>
          </w:tcPr>
          <w:p>
            <w:r/>
            <w:r>
              <w:rPr>
                <w:sz w:val="18"/>
              </w:rPr>
              <w:t>*Geography*</w:t>
            </w:r>
          </w:p>
        </w:tc>
        <w:tc>
          <w:tcPr>
            <w:tcW w:type="dxa" w:w="4896"/>
          </w:tcPr>
          <w:p>
            <w:r/>
            <w:r>
              <w:rPr>
                <w:sz w:val="18"/>
              </w:rPr>
              <w:t>United States (50 states + DC)</w:t>
            </w:r>
          </w:p>
        </w:tc>
      </w:tr>
      <w:tr>
        <w:tc>
          <w:tcPr>
            <w:tcW w:type="dxa" w:w="4896"/>
          </w:tcPr>
          <w:p>
            <w:r/>
            <w:r>
              <w:rPr>
                <w:sz w:val="18"/>
              </w:rPr>
              <w:t>*Respondents*</w:t>
            </w:r>
          </w:p>
        </w:tc>
        <w:tc>
          <w:tcPr>
            <w:tcW w:type="dxa" w:w="4896"/>
          </w:tcPr>
          <w:p>
            <w:r/>
            <w:r>
              <w:rPr>
                <w:sz w:val="18"/>
              </w:rPr>
              <w:t>n = 100 oncologists actively treating the target indication</w:t>
            </w:r>
          </w:p>
        </w:tc>
      </w:tr>
      <w:tr>
        <w:tc>
          <w:tcPr>
            <w:tcW w:type="dxa" w:w="4896"/>
          </w:tcPr>
          <w:p>
            <w:r/>
            <w:r>
              <w:rPr>
                <w:sz w:val="18"/>
              </w:rPr>
              <w:t>*Method*</w:t>
            </w:r>
          </w:p>
        </w:tc>
        <w:tc>
          <w:tcPr>
            <w:tcW w:type="dxa" w:w="4896"/>
          </w:tcPr>
          <w:p>
            <w:r/>
            <w:r>
              <w:rPr>
                <w:sz w:val="18"/>
              </w:rPr>
              <w:t>Online survey, 20 minutes estimated length of interview (LOI)</w:t>
            </w:r>
          </w:p>
        </w:tc>
      </w:tr>
      <w:tr>
        <w:tc>
          <w:tcPr>
            <w:tcW w:type="dxa" w:w="4896"/>
          </w:tcPr>
          <w:p>
            <w:r/>
            <w:r>
              <w:rPr>
                <w:sz w:val="18"/>
              </w:rPr>
              <w:t>*Instrument*</w:t>
            </w:r>
          </w:p>
        </w:tc>
        <w:tc>
          <w:tcPr>
            <w:tcW w:type="dxa" w:w="4896"/>
          </w:tcPr>
          <w:p>
            <w:r/>
            <w:r>
              <w:rPr>
                <w:sz w:val="18"/>
              </w:rPr>
              <w:t>20 questions: 4 screeners, 15 main questions, 1 discrete choice experiment (9 choice tasks)</w:t>
            </w:r>
          </w:p>
        </w:tc>
      </w:tr>
      <w:tr>
        <w:tc>
          <w:tcPr>
            <w:tcW w:type="dxa" w:w="4896"/>
          </w:tcPr>
          <w:p>
            <w:r/>
            <w:r>
              <w:rPr>
                <w:sz w:val="18"/>
              </w:rPr>
              <w:t>*Target indication*</w:t>
            </w:r>
          </w:p>
        </w:tc>
        <w:tc>
          <w:tcPr>
            <w:tcW w:type="dxa" w:w="4896"/>
          </w:tcPr>
          <w:p>
            <w:r/>
            <w:r>
              <w:rPr>
                <w:sz w:val="18"/>
              </w:rPr>
              <w:t>Advanced/metastatic NSCLC progressing on prior IO-based therapy — placeholder; swap in your asset's indication and the wording remains valid</w:t>
            </w:r>
          </w:p>
        </w:tc>
      </w:tr>
      <w:tr>
        <w:tc>
          <w:tcPr>
            <w:tcW w:type="dxa" w:w="4896"/>
          </w:tcPr>
          <w:p>
            <w:r/>
            <w:r>
              <w:rPr>
                <w:sz w:val="18"/>
              </w:rPr>
              <w:t>*Version*</w:t>
            </w:r>
          </w:p>
        </w:tc>
        <w:tc>
          <w:tcPr>
            <w:tcW w:type="dxa" w:w="4896"/>
          </w:tcPr>
          <w:p>
            <w:r/>
            <w:r>
              <w:rPr>
                <w:sz w:val="18"/>
              </w:rPr>
              <w:t>1.0 — fielding draft</w:t>
            </w:r>
          </w:p>
        </w:tc>
      </w:tr>
    </w:tbl>
    <w:p>
      <w:pPr>
        <w:spacing w:after="40"/>
      </w:pPr>
    </w:p>
    <w:p>
      <w:pPr>
        <w:spacing w:before="80" w:after="80"/>
      </w:pPr>
    </w:p>
    <w:p>
      <w:pPr>
        <w:spacing w:before="200" w:after="160"/>
      </w:pPr>
      <w:r>
        <w:rPr>
          <w:b/>
          <w:color w:val="0B4F6C"/>
          <w:sz w:val="28"/>
        </w:rPr>
        <w:t>1. Research objectives</w:t>
      </w:r>
    </w:p>
    <w:p>
      <w:r>
        <w:t>This study answers four commercial questions that a US oncology launch team must resolve before setting launch sequence, field-force size, access strategy and price:</w:t>
      </w:r>
    </w:p>
    <w:p>
      <w:pPr>
        <w:pStyle w:val="ListNumber"/>
        <w:spacing w:after="40"/>
      </w:pPr>
      <w:r>
        <w:rPr>
          <w:b/>
          <w:sz w:val="20"/>
        </w:rPr>
        <w:t>Where does the product fit?</w:t>
      </w:r>
      <w:r>
        <w:rPr>
          <w:sz w:val="20"/>
        </w:rPr>
        <w:t xml:space="preserve"> Establish the line of therapy and patient segments oncologists would place it in, relative to the current standard of care.</w:t>
      </w:r>
    </w:p>
    <w:p>
      <w:pPr>
        <w:pStyle w:val="ListNumber"/>
        <w:spacing w:after="40"/>
      </w:pPr>
      <w:r>
        <w:rPr>
          <w:b/>
          <w:sz w:val="20"/>
        </w:rPr>
        <w:t>How much of the eligible pool converts?</w:t>
      </w:r>
      <w:r>
        <w:rPr>
          <w:sz w:val="20"/>
        </w:rPr>
        <w:t xml:space="preserve"> Size adoption intent at 3, 6 and 12 months post-launch, and identify what must be true for intent to become script.</w:t>
      </w:r>
    </w:p>
    <w:p>
      <w:pPr>
        <w:pStyle w:val="ListNumber"/>
        <w:spacing w:after="40"/>
      </w:pPr>
      <w:r>
        <w:rPr>
          <w:b/>
          <w:sz w:val="20"/>
        </w:rPr>
        <w:t>What do oncologists trade off?</w:t>
      </w:r>
      <w:r>
        <w:rPr>
          <w:sz w:val="20"/>
        </w:rPr>
        <w:t xml:space="preserve"> Quantify the relative importance of efficacy, tolerability, route, diagnostic turnaround, cost and payer access, and convert those trade-offs into willingness-to-pay and share-of-choice estimates.</w:t>
      </w:r>
    </w:p>
    <w:p>
      <w:pPr>
        <w:pStyle w:val="ListNumber"/>
        <w:spacing w:after="40"/>
      </w:pPr>
      <w:r>
        <w:rPr>
          <w:b/>
          <w:sz w:val="20"/>
        </w:rPr>
        <w:t>What blocks adoption?</w:t>
      </w:r>
      <w:r>
        <w:rPr>
          <w:sz w:val="20"/>
        </w:rPr>
        <w:t xml:space="preserve"> Rank the access, evidence and operational barriers, and identify the minimum viable support package the manufacturer must fund.</w:t>
      </w:r>
    </w:p>
    <w:p>
      <w:pPr>
        <w:spacing w:before="200" w:after="160"/>
      </w:pPr>
      <w:r>
        <w:rPr>
          <w:b/>
          <w:color w:val="0B4F6C"/>
          <w:sz w:val="28"/>
        </w:rPr>
        <w:t>2. Sample specification and quotas</w:t>
      </w:r>
    </w:p>
    <w:p>
      <w:r>
        <w:t>Sampling frame: verified US medical oncologists / hematologist-oncologists confirmed via NPI registry cross-check, panel provider verification, and specialty attestation at Q1.</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0B4F6C"/>
          </w:tcPr>
          <w:p>
            <w:r/>
            <w:r>
              <w:rPr>
                <w:b/>
                <w:color w:val="FFFFFF"/>
                <w:sz w:val="18"/>
              </w:rPr>
              <w:t>Quota dimension</w:t>
            </w:r>
          </w:p>
        </w:tc>
        <w:tc>
          <w:tcPr>
            <w:tcW w:type="dxa" w:w="3264"/>
            <w:shd w:val="clear" w:fill="0B4F6C"/>
          </w:tcPr>
          <w:p>
            <w:r/>
            <w:r>
              <w:rPr>
                <w:b/>
                <w:color w:val="FFFFFF"/>
                <w:sz w:val="18"/>
              </w:rPr>
              <w:t>Requirement</w:t>
            </w:r>
          </w:p>
        </w:tc>
        <w:tc>
          <w:tcPr>
            <w:tcW w:type="dxa" w:w="3264"/>
            <w:shd w:val="clear" w:fill="0B4F6C"/>
          </w:tcPr>
          <w:p>
            <w:r/>
            <w:r>
              <w:rPr>
                <w:b/>
                <w:color w:val="FFFFFF"/>
                <w:sz w:val="18"/>
              </w:rPr>
              <w:t>n</w:t>
            </w:r>
          </w:p>
        </w:tc>
      </w:tr>
      <w:tr>
        <w:tc>
          <w:tcPr>
            <w:tcW w:type="dxa" w:w="3264"/>
          </w:tcPr>
          <w:p>
            <w:r/>
            <w:r>
              <w:rPr>
                <w:sz w:val="18"/>
              </w:rPr>
              <w:t>*Geography*</w:t>
            </w:r>
          </w:p>
        </w:tc>
        <w:tc>
          <w:tcPr>
            <w:tcW w:type="dxa" w:w="3264"/>
          </w:tcPr>
          <w:p>
            <w:r/>
            <w:r>
              <w:rPr>
                <w:sz w:val="18"/>
              </w:rPr>
              <w:t>Census-divided: Northeast / Midwest / South / West, proportional to US oncologist distribution</w:t>
            </w:r>
          </w:p>
        </w:tc>
        <w:tc>
          <w:tcPr>
            <w:tcW w:type="dxa" w:w="3264"/>
          </w:tcPr>
          <w:p>
            <w:r/>
            <w:r>
              <w:rPr>
                <w:sz w:val="18"/>
              </w:rPr>
              <w:t>22 / 21 / 36 / 21</w:t>
            </w:r>
          </w:p>
        </w:tc>
      </w:tr>
      <w:tr>
        <w:tc>
          <w:tcPr>
            <w:tcW w:type="dxa" w:w="3264"/>
          </w:tcPr>
          <w:p>
            <w:r/>
            <w:r>
              <w:rPr>
                <w:sz w:val="18"/>
              </w:rPr>
              <w:t>*Practice setting*</w:t>
            </w:r>
          </w:p>
        </w:tc>
        <w:tc>
          <w:tcPr>
            <w:tcW w:type="dxa" w:w="3264"/>
          </w:tcPr>
          <w:p>
            <w:r/>
            <w:r>
              <w:rPr>
                <w:sz w:val="18"/>
              </w:rPr>
              <w:t>Community/private or group practice ≥ 60%; academic or NCI-designated centre ≤ 40%</w:t>
            </w:r>
          </w:p>
        </w:tc>
        <w:tc>
          <w:tcPr>
            <w:tcW w:type="dxa" w:w="3264"/>
          </w:tcPr>
          <w:p>
            <w:r/>
            <w:r>
              <w:rPr>
                <w:sz w:val="18"/>
              </w:rPr>
              <w:t>≥ 60 / ≤ 40</w:t>
            </w:r>
          </w:p>
        </w:tc>
      </w:tr>
      <w:tr>
        <w:tc>
          <w:tcPr>
            <w:tcW w:type="dxa" w:w="3264"/>
          </w:tcPr>
          <w:p>
            <w:r/>
            <w:r>
              <w:rPr>
                <w:sz w:val="18"/>
              </w:rPr>
              <w:t>*Patient volume*</w:t>
            </w:r>
          </w:p>
        </w:tc>
        <w:tc>
          <w:tcPr>
            <w:tcW w:type="dxa" w:w="3264"/>
          </w:tcPr>
          <w:p>
            <w:r/>
            <w:r>
              <w:rPr>
                <w:sz w:val="18"/>
              </w:rPr>
              <w:t>≥ 10 eligible patients seen per month (enforced at Q3)</w:t>
            </w:r>
          </w:p>
        </w:tc>
        <w:tc>
          <w:tcPr>
            <w:tcW w:type="dxa" w:w="3264"/>
          </w:tcPr>
          <w:p>
            <w:r/>
            <w:r>
              <w:rPr>
                <w:sz w:val="18"/>
              </w:rPr>
              <w:t>100</w:t>
            </w:r>
          </w:p>
        </w:tc>
      </w:tr>
      <w:tr>
        <w:tc>
          <w:tcPr>
            <w:tcW w:type="dxa" w:w="3264"/>
          </w:tcPr>
          <w:p>
            <w:r/>
            <w:r>
              <w:rPr>
                <w:sz w:val="18"/>
              </w:rPr>
              <w:t>*Payer mix exposure*</w:t>
            </w:r>
          </w:p>
        </w:tc>
        <w:tc>
          <w:tcPr>
            <w:tcW w:type="dxa" w:w="3264"/>
          </w:tcPr>
          <w:p>
            <w:r/>
            <w:r>
              <w:rPr>
                <w:sz w:val="18"/>
              </w:rPr>
              <w:t>At least 30 respondents with ≥ 40% Medicare/Medicaid book</w:t>
            </w:r>
          </w:p>
        </w:tc>
        <w:tc>
          <w:tcPr>
            <w:tcW w:type="dxa" w:w="3264"/>
          </w:tcPr>
          <w:p>
            <w:r/>
            <w:r>
              <w:rPr>
                <w:sz w:val="18"/>
              </w:rPr>
              <w:t>≥ 30</w:t>
            </w:r>
          </w:p>
        </w:tc>
      </w:tr>
      <w:tr>
        <w:tc>
          <w:tcPr>
            <w:tcW w:type="dxa" w:w="3264"/>
          </w:tcPr>
          <w:p>
            <w:r/>
            <w:r>
              <w:rPr>
                <w:sz w:val="18"/>
              </w:rPr>
              <w:t>*Prior research*</w:t>
            </w:r>
          </w:p>
        </w:tc>
        <w:tc>
          <w:tcPr>
            <w:tcW w:type="dxa" w:w="3264"/>
          </w:tcPr>
          <w:p>
            <w:r/>
            <w:r>
              <w:rPr>
                <w:sz w:val="18"/>
              </w:rPr>
              <w:t>No participation in oncology MR in the last 6 months (Q4)</w:t>
            </w:r>
          </w:p>
        </w:tc>
        <w:tc>
          <w:tcPr>
            <w:tcW w:type="dxa" w:w="3264"/>
          </w:tcPr>
          <w:p>
            <w:r/>
            <w:r>
              <w:rPr>
                <w:sz w:val="18"/>
              </w:rPr>
              <w:t>100</w:t>
            </w:r>
          </w:p>
        </w:tc>
      </w:tr>
    </w:tbl>
    <w:p>
      <w:pPr>
        <w:spacing w:after="40"/>
      </w:pPr>
    </w:p>
    <w:p>
      <w:r>
        <w:rPr>
          <w:b/>
        </w:rPr>
        <w:t>Quality controls embedded in the instrument</w:t>
      </w:r>
    </w:p>
    <w:p>
      <w:pPr>
        <w:pStyle w:val="ListBullet"/>
        <w:spacing w:after="40"/>
      </w:pPr>
      <w:r>
        <w:rPr>
          <w:sz w:val="20"/>
        </w:rPr>
        <w:t>Speeder flag: completion under 8 minutes is excluded from analysis.</w:t>
      </w:r>
    </w:p>
    <w:p>
      <w:pPr>
        <w:pStyle w:val="ListBullet"/>
        <w:spacing w:after="40"/>
      </w:pPr>
      <w:r>
        <w:rPr>
          <w:sz w:val="20"/>
        </w:rPr>
        <w:t>Straight-lining detection on the Q7 rating grid.</w:t>
      </w:r>
    </w:p>
    <w:p>
      <w:pPr>
        <w:pStyle w:val="ListBullet"/>
        <w:spacing w:after="40"/>
      </w:pPr>
      <w:r>
        <w:rPr>
          <w:sz w:val="20"/>
        </w:rPr>
        <w:t>One attention check (Q13) placed mid-instrument; failure is flagged, not auto-terminated.</w:t>
      </w:r>
    </w:p>
    <w:p>
      <w:pPr>
        <w:pStyle w:val="ListBullet"/>
        <w:spacing w:after="40"/>
      </w:pPr>
      <w:r>
        <w:rPr>
          <w:sz w:val="20"/>
        </w:rPr>
        <w:t>Conjoint rationality check: respondents selecting the same alternative in all 9 tasks are flagged for review (see `output/design_checks.txt`).</w:t>
      </w:r>
    </w:p>
    <w:p>
      <w:pPr>
        <w:pStyle w:val="ListBullet"/>
        <w:spacing w:after="40"/>
      </w:pPr>
      <w:r>
        <w:rPr>
          <w:sz w:val="20"/>
        </w:rPr>
        <w:t>Open-end verbatims under 3 words are recoded and the respondent flagged.</w:t>
      </w:r>
    </w:p>
    <w:p>
      <w:pPr>
        <w:spacing w:before="80" w:after="80"/>
      </w:pPr>
    </w:p>
    <w:p>
      <w:pPr>
        <w:spacing w:before="200" w:after="160"/>
      </w:pPr>
      <w:r>
        <w:rPr>
          <w:b/>
          <w:color w:val="0B4F6C"/>
          <w:sz w:val="28"/>
        </w:rPr>
        <w:t>3. The instrument</w:t>
      </w:r>
    </w:p>
    <w:p>
      <w:pPr>
        <w:spacing w:before="240" w:after="120"/>
      </w:pPr>
      <w:r>
        <w:rPr>
          <w:b/>
          <w:color w:val="0B4F6C"/>
          <w:sz w:val="24"/>
        </w:rPr>
        <w:t>SECTION A — SCREENERS</w:t>
      </w:r>
    </w:p>
    <w:p>
      <w:pPr>
        <w:spacing w:before="80" w:after="80"/>
      </w:pPr>
    </w:p>
    <w:p>
      <w:pPr>
        <w:keepNext/>
        <w:spacing w:before="280" w:after="80"/>
      </w:pPr>
      <w:r>
        <w:rPr>
          <w:b/>
          <w:color w:val="1A1A1A"/>
          <w:sz w:val="21"/>
        </w:rPr>
        <w:t>Q1. Which of the following best describes your medical specialty and current practice?</w:t>
      </w:r>
    </w:p>
    <w:p>
      <w:r>
        <w:rPr>
          <w:i/>
        </w:rPr>
        <w:t>Single select. Screener.</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0B4F6C"/>
          </w:tcPr>
          <w:p>
            <w:r/>
            <w:r>
              <w:rPr>
                <w:b/>
                <w:color w:val="FFFFFF"/>
                <w:sz w:val="18"/>
              </w:rPr>
              <w:t>Code</w:t>
            </w:r>
          </w:p>
        </w:tc>
        <w:tc>
          <w:tcPr>
            <w:tcW w:type="dxa" w:w="3264"/>
            <w:shd w:val="clear" w:fill="0B4F6C"/>
          </w:tcPr>
          <w:p>
            <w:r/>
            <w:r>
              <w:rPr>
                <w:b/>
                <w:color w:val="FFFFFF"/>
                <w:sz w:val="18"/>
              </w:rPr>
              <w:t>Response</w:t>
            </w:r>
          </w:p>
        </w:tc>
        <w:tc>
          <w:tcPr>
            <w:tcW w:type="dxa" w:w="3264"/>
            <w:shd w:val="clear" w:fill="0B4F6C"/>
          </w:tcPr>
          <w:p>
            <w:r/>
            <w:r>
              <w:rPr>
                <w:b/>
                <w:color w:val="FFFFFF"/>
                <w:sz w:val="18"/>
              </w:rPr>
              <w:t>Logic</w:t>
            </w:r>
          </w:p>
        </w:tc>
      </w:tr>
      <w:tr>
        <w:tc>
          <w:tcPr>
            <w:tcW w:type="dxa" w:w="3264"/>
          </w:tcPr>
          <w:p>
            <w:r/>
            <w:r>
              <w:rPr>
                <w:sz w:val="18"/>
              </w:rPr>
              <w:t>1</w:t>
            </w:r>
          </w:p>
        </w:tc>
        <w:tc>
          <w:tcPr>
            <w:tcW w:type="dxa" w:w="3264"/>
          </w:tcPr>
          <w:p>
            <w:r/>
            <w:r>
              <w:rPr>
                <w:sz w:val="18"/>
              </w:rPr>
              <w:t>Medical oncology</w:t>
            </w:r>
          </w:p>
        </w:tc>
        <w:tc>
          <w:tcPr>
            <w:tcW w:type="dxa" w:w="3264"/>
          </w:tcPr>
          <w:p>
            <w:r/>
            <w:r>
              <w:rPr>
                <w:sz w:val="18"/>
              </w:rPr>
              <w:t>Continue</w:t>
            </w:r>
          </w:p>
        </w:tc>
      </w:tr>
      <w:tr>
        <w:tc>
          <w:tcPr>
            <w:tcW w:type="dxa" w:w="3264"/>
          </w:tcPr>
          <w:p>
            <w:r/>
            <w:r>
              <w:rPr>
                <w:sz w:val="18"/>
              </w:rPr>
              <w:t>2</w:t>
            </w:r>
          </w:p>
        </w:tc>
        <w:tc>
          <w:tcPr>
            <w:tcW w:type="dxa" w:w="3264"/>
          </w:tcPr>
          <w:p>
            <w:r/>
            <w:r>
              <w:rPr>
                <w:sz w:val="18"/>
              </w:rPr>
              <w:t>Hematology / medical oncology (combined)</w:t>
            </w:r>
          </w:p>
        </w:tc>
        <w:tc>
          <w:tcPr>
            <w:tcW w:type="dxa" w:w="3264"/>
          </w:tcPr>
          <w:p>
            <w:r/>
            <w:r>
              <w:rPr>
                <w:sz w:val="18"/>
              </w:rPr>
              <w:t>Continue</w:t>
            </w:r>
          </w:p>
        </w:tc>
      </w:tr>
      <w:tr>
        <w:tc>
          <w:tcPr>
            <w:tcW w:type="dxa" w:w="3264"/>
          </w:tcPr>
          <w:p>
            <w:r/>
            <w:r>
              <w:rPr>
                <w:sz w:val="18"/>
              </w:rPr>
              <w:t>3</w:t>
            </w:r>
          </w:p>
        </w:tc>
        <w:tc>
          <w:tcPr>
            <w:tcW w:type="dxa" w:w="3264"/>
          </w:tcPr>
          <w:p>
            <w:r/>
            <w:r>
              <w:rPr>
                <w:sz w:val="18"/>
              </w:rPr>
              <w:t>Thoracic oncology (sub-specialised)</w:t>
            </w:r>
          </w:p>
        </w:tc>
        <w:tc>
          <w:tcPr>
            <w:tcW w:type="dxa" w:w="3264"/>
          </w:tcPr>
          <w:p>
            <w:r/>
            <w:r>
              <w:rPr>
                <w:sz w:val="18"/>
              </w:rPr>
              <w:t>Continue</w:t>
            </w:r>
          </w:p>
        </w:tc>
      </w:tr>
      <w:tr>
        <w:tc>
          <w:tcPr>
            <w:tcW w:type="dxa" w:w="3264"/>
          </w:tcPr>
          <w:p>
            <w:r/>
            <w:r>
              <w:rPr>
                <w:sz w:val="18"/>
              </w:rPr>
              <w:t>4</w:t>
            </w:r>
          </w:p>
        </w:tc>
        <w:tc>
          <w:tcPr>
            <w:tcW w:type="dxa" w:w="3264"/>
          </w:tcPr>
          <w:p>
            <w:r/>
            <w:r>
              <w:rPr>
                <w:sz w:val="18"/>
              </w:rPr>
              <w:t>Hematology only</w:t>
            </w:r>
          </w:p>
        </w:tc>
        <w:tc>
          <w:tcPr>
            <w:tcW w:type="dxa" w:w="3264"/>
          </w:tcPr>
          <w:p>
            <w:r/>
            <w:r>
              <w:rPr>
                <w:sz w:val="18"/>
              </w:rPr>
              <w:t>Continue only if Q3 ≥ 10 eligible patients; else terminate</w:t>
            </w:r>
          </w:p>
        </w:tc>
      </w:tr>
      <w:tr>
        <w:tc>
          <w:tcPr>
            <w:tcW w:type="dxa" w:w="3264"/>
          </w:tcPr>
          <w:p>
            <w:r/>
            <w:r>
              <w:rPr>
                <w:sz w:val="18"/>
              </w:rPr>
              <w:t>5</w:t>
            </w:r>
          </w:p>
        </w:tc>
        <w:tc>
          <w:tcPr>
            <w:tcW w:type="dxa" w:w="3264"/>
          </w:tcPr>
          <w:p>
            <w:r/>
            <w:r>
              <w:rPr>
                <w:sz w:val="18"/>
              </w:rPr>
              <w:t>Radiation oncology</w:t>
            </w:r>
          </w:p>
        </w:tc>
        <w:tc>
          <w:tcPr>
            <w:tcW w:type="dxa" w:w="3264"/>
          </w:tcPr>
          <w:p>
            <w:r/>
            <w:r>
              <w:rPr>
                <w:sz w:val="18"/>
              </w:rPr>
              <w:t>*Terminate*</w:t>
            </w:r>
          </w:p>
        </w:tc>
      </w:tr>
      <w:tr>
        <w:tc>
          <w:tcPr>
            <w:tcW w:type="dxa" w:w="3264"/>
          </w:tcPr>
          <w:p>
            <w:r/>
            <w:r>
              <w:rPr>
                <w:sz w:val="18"/>
              </w:rPr>
              <w:t>6</w:t>
            </w:r>
          </w:p>
        </w:tc>
        <w:tc>
          <w:tcPr>
            <w:tcW w:type="dxa" w:w="3264"/>
          </w:tcPr>
          <w:p>
            <w:r/>
            <w:r>
              <w:rPr>
                <w:sz w:val="18"/>
              </w:rPr>
              <w:t>Surgical oncology</w:t>
            </w:r>
          </w:p>
        </w:tc>
        <w:tc>
          <w:tcPr>
            <w:tcW w:type="dxa" w:w="3264"/>
          </w:tcPr>
          <w:p>
            <w:r/>
            <w:r>
              <w:rPr>
                <w:sz w:val="18"/>
              </w:rPr>
              <w:t>*Terminate*</w:t>
            </w:r>
          </w:p>
        </w:tc>
      </w:tr>
      <w:tr>
        <w:tc>
          <w:tcPr>
            <w:tcW w:type="dxa" w:w="3264"/>
          </w:tcPr>
          <w:p>
            <w:r/>
            <w:r>
              <w:rPr>
                <w:sz w:val="18"/>
              </w:rPr>
              <w:t>7</w:t>
            </w:r>
          </w:p>
        </w:tc>
        <w:tc>
          <w:tcPr>
            <w:tcW w:type="dxa" w:w="3264"/>
          </w:tcPr>
          <w:p>
            <w:r/>
            <w:r>
              <w:rPr>
                <w:sz w:val="18"/>
              </w:rPr>
              <w:t>Primary care / internal medicine</w:t>
            </w:r>
          </w:p>
        </w:tc>
        <w:tc>
          <w:tcPr>
            <w:tcW w:type="dxa" w:w="3264"/>
          </w:tcPr>
          <w:p>
            <w:r/>
            <w:r>
              <w:rPr>
                <w:sz w:val="18"/>
              </w:rPr>
              <w:t>*Terminate*</w:t>
            </w:r>
          </w:p>
        </w:tc>
      </w:tr>
      <w:tr>
        <w:tc>
          <w:tcPr>
            <w:tcW w:type="dxa" w:w="3264"/>
          </w:tcPr>
          <w:p>
            <w:r/>
            <w:r>
              <w:rPr>
                <w:sz w:val="18"/>
              </w:rPr>
              <w:t>8</w:t>
            </w:r>
          </w:p>
        </w:tc>
        <w:tc>
          <w:tcPr>
            <w:tcW w:type="dxa" w:w="3264"/>
          </w:tcPr>
          <w:p>
            <w:r/>
            <w:r>
              <w:rPr>
                <w:sz w:val="18"/>
              </w:rPr>
              <w:t>Other (specify)</w:t>
            </w:r>
          </w:p>
        </w:tc>
        <w:tc>
          <w:tcPr>
            <w:tcW w:type="dxa" w:w="3264"/>
          </w:tcPr>
          <w:p>
            <w:r/>
            <w:r>
              <w:rPr>
                <w:sz w:val="18"/>
              </w:rPr>
              <w:t>*Terminate*</w:t>
            </w:r>
          </w:p>
        </w:tc>
      </w:tr>
    </w:tbl>
    <w:p>
      <w:pPr>
        <w:spacing w:after="40"/>
      </w:pPr>
    </w:p>
    <w:p>
      <w:r>
        <w:rPr>
          <w:b/>
        </w:rPr>
        <w:t>Why we ask:</w:t>
      </w:r>
      <w:r>
        <w:t xml:space="preserve"> systemically treating oncologists are the prescriber of record for the target product. Radiation and surgical oncologists do not initiate systemic therapy in this setting and would contaminate the demand estimate.</w:t>
      </w:r>
    </w:p>
    <w:p>
      <w:pPr>
        <w:spacing w:before="80" w:after="80"/>
      </w:pPr>
    </w:p>
    <w:p>
      <w:pPr>
        <w:keepNext/>
        <w:spacing w:before="280" w:after="80"/>
      </w:pPr>
      <w:r>
        <w:rPr>
          <w:b/>
          <w:color w:val="1A1A1A"/>
          <w:sz w:val="21"/>
        </w:rPr>
        <w:t>Q2. In which setting do you primarily practise, and in which US state is that practice located?</w:t>
      </w:r>
    </w:p>
    <w:p>
      <w:r>
        <w:rPr>
          <w:i/>
        </w:rPr>
        <w:t>Two parts. Screener + quota allocation.</w:t>
      </w:r>
    </w:p>
    <w:p>
      <w:r>
        <w:rPr>
          <w:b/>
        </w:rPr>
        <w:t>Q2a — Practice setting (single select)</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Code</w:t>
            </w:r>
          </w:p>
        </w:tc>
        <w:tc>
          <w:tcPr>
            <w:tcW w:type="dxa" w:w="4896"/>
            <w:shd w:val="clear" w:fill="0B4F6C"/>
          </w:tcPr>
          <w:p>
            <w:r/>
            <w:r>
              <w:rPr>
                <w:b/>
                <w:color w:val="FFFFFF"/>
                <w:sz w:val="18"/>
              </w:rPr>
              <w:t>Response</w:t>
            </w:r>
          </w:p>
        </w:tc>
      </w:tr>
      <w:tr>
        <w:tc>
          <w:tcPr>
            <w:tcW w:type="dxa" w:w="4896"/>
          </w:tcPr>
          <w:p>
            <w:r/>
            <w:r>
              <w:rPr>
                <w:sz w:val="18"/>
              </w:rPr>
              <w:t>1</w:t>
            </w:r>
          </w:p>
        </w:tc>
        <w:tc>
          <w:tcPr>
            <w:tcW w:type="dxa" w:w="4896"/>
          </w:tcPr>
          <w:p>
            <w:r/>
            <w:r>
              <w:rPr>
                <w:sz w:val="18"/>
              </w:rPr>
              <w:t>Community/private practice — single site</w:t>
            </w:r>
          </w:p>
        </w:tc>
      </w:tr>
      <w:tr>
        <w:tc>
          <w:tcPr>
            <w:tcW w:type="dxa" w:w="4896"/>
          </w:tcPr>
          <w:p>
            <w:r/>
            <w:r>
              <w:rPr>
                <w:sz w:val="18"/>
              </w:rPr>
              <w:t>2</w:t>
            </w:r>
          </w:p>
        </w:tc>
        <w:tc>
          <w:tcPr>
            <w:tcW w:type="dxa" w:w="4896"/>
          </w:tcPr>
          <w:p>
            <w:r/>
            <w:r>
              <w:rPr>
                <w:sz w:val="18"/>
              </w:rPr>
              <w:t>Community/private practice — multi-site group</w:t>
            </w:r>
          </w:p>
        </w:tc>
      </w:tr>
      <w:tr>
        <w:tc>
          <w:tcPr>
            <w:tcW w:type="dxa" w:w="4896"/>
          </w:tcPr>
          <w:p>
            <w:r/>
            <w:r>
              <w:rPr>
                <w:sz w:val="18"/>
              </w:rPr>
              <w:t>3</w:t>
            </w:r>
          </w:p>
        </w:tc>
        <w:tc>
          <w:tcPr>
            <w:tcW w:type="dxa" w:w="4896"/>
          </w:tcPr>
          <w:p>
            <w:r/>
            <w:r>
              <w:rPr>
                <w:sz w:val="18"/>
              </w:rPr>
              <w:t>Community hospital-affiliated practice</w:t>
            </w:r>
          </w:p>
        </w:tc>
      </w:tr>
      <w:tr>
        <w:tc>
          <w:tcPr>
            <w:tcW w:type="dxa" w:w="4896"/>
          </w:tcPr>
          <w:p>
            <w:r/>
            <w:r>
              <w:rPr>
                <w:sz w:val="18"/>
              </w:rPr>
              <w:t>4</w:t>
            </w:r>
          </w:p>
        </w:tc>
        <w:tc>
          <w:tcPr>
            <w:tcW w:type="dxa" w:w="4896"/>
          </w:tcPr>
          <w:p>
            <w:r/>
            <w:r>
              <w:rPr>
                <w:sz w:val="18"/>
              </w:rPr>
              <w:t>Academic medical centre / university hospital</w:t>
            </w:r>
          </w:p>
        </w:tc>
      </w:tr>
      <w:tr>
        <w:tc>
          <w:tcPr>
            <w:tcW w:type="dxa" w:w="4896"/>
          </w:tcPr>
          <w:p>
            <w:r/>
            <w:r>
              <w:rPr>
                <w:sz w:val="18"/>
              </w:rPr>
              <w:t>5</w:t>
            </w:r>
          </w:p>
        </w:tc>
        <w:tc>
          <w:tcPr>
            <w:tcW w:type="dxa" w:w="4896"/>
          </w:tcPr>
          <w:p>
            <w:r/>
            <w:r>
              <w:rPr>
                <w:sz w:val="18"/>
              </w:rPr>
              <w:t>NCI-designated comprehensive cancer centre</w:t>
            </w:r>
          </w:p>
        </w:tc>
      </w:tr>
      <w:tr>
        <w:tc>
          <w:tcPr>
            <w:tcW w:type="dxa" w:w="4896"/>
          </w:tcPr>
          <w:p>
            <w:r/>
            <w:r>
              <w:rPr>
                <w:sz w:val="18"/>
              </w:rPr>
              <w:t>6</w:t>
            </w:r>
          </w:p>
        </w:tc>
        <w:tc>
          <w:tcPr>
            <w:tcW w:type="dxa" w:w="4896"/>
          </w:tcPr>
          <w:p>
            <w:r/>
            <w:r>
              <w:rPr>
                <w:sz w:val="18"/>
              </w:rPr>
              <w:t>Integrated delivery network (IDN) employed</w:t>
            </w:r>
          </w:p>
        </w:tc>
      </w:tr>
      <w:tr>
        <w:tc>
          <w:tcPr>
            <w:tcW w:type="dxa" w:w="4896"/>
          </w:tcPr>
          <w:p>
            <w:r/>
            <w:r>
              <w:rPr>
                <w:sz w:val="18"/>
              </w:rPr>
              <w:t>7</w:t>
            </w:r>
          </w:p>
        </w:tc>
        <w:tc>
          <w:tcPr>
            <w:tcW w:type="dxa" w:w="4896"/>
          </w:tcPr>
          <w:p>
            <w:r/>
            <w:r>
              <w:rPr>
                <w:sz w:val="18"/>
              </w:rPr>
              <w:t>VA / government / military facility</w:t>
            </w:r>
          </w:p>
        </w:tc>
      </w:tr>
      <w:tr>
        <w:tc>
          <w:tcPr>
            <w:tcW w:type="dxa" w:w="4896"/>
          </w:tcPr>
          <w:p>
            <w:r/>
            <w:r>
              <w:rPr>
                <w:sz w:val="18"/>
              </w:rPr>
              <w:t>8</w:t>
            </w:r>
          </w:p>
        </w:tc>
        <w:tc>
          <w:tcPr>
            <w:tcW w:type="dxa" w:w="4896"/>
          </w:tcPr>
          <w:p>
            <w:r/>
            <w:r>
              <w:rPr>
                <w:sz w:val="18"/>
              </w:rPr>
              <w:t>Other (specify)</w:t>
            </w:r>
          </w:p>
        </w:tc>
      </w:tr>
    </w:tbl>
    <w:p>
      <w:pPr>
        <w:spacing w:after="40"/>
      </w:pPr>
    </w:p>
    <w:p>
      <w:r>
        <w:rPr>
          <w:b/>
        </w:rPr>
        <w:t>Q2b — State of primary practice (single select, full 50-state + DC list)</w:t>
      </w:r>
    </w:p>
    <w:p>
      <w:r>
        <w:rPr>
          <w:i/>
        </w:rPr>
        <w:t>Logic:</w:t>
      </w:r>
      <w:r>
        <w:t xml:space="preserve"> Codes 3, 4, 5, 6 roll up to "Academic/institutional"; 1, 2 roll up to "Community". Enforce the ≥ 60 / ≤ 40 community-to-academic quota. State rolls up to Census division for the geographic quota.</w:t>
      </w:r>
    </w:p>
    <w:p>
      <w:r>
        <w:rPr>
          <w:b/>
        </w:rPr>
        <w:t>Why we ask:</w:t>
      </w:r>
      <w:r>
        <w:t xml:space="preserve"> buy-and-bill economics, 340B eligibility, pathway governance and formulary control differ sharply between community and academic settings, so setting must be a controlled variable rather than a post-hoc cut.</w:t>
      </w:r>
    </w:p>
    <w:p>
      <w:pPr>
        <w:spacing w:before="80" w:after="80"/>
      </w:pPr>
    </w:p>
    <w:p>
      <w:pPr>
        <w:keepNext/>
        <w:spacing w:before="280" w:after="80"/>
      </w:pPr>
      <w:r>
        <w:rPr>
          <w:b/>
          <w:color w:val="1A1A1A"/>
          <w:sz w:val="21"/>
        </w:rPr>
        <w:t>Q3. Approximately how many patients with [TARGET INDICATION] do you personally initiate or manage on systemic therapy each month?</w:t>
      </w:r>
    </w:p>
    <w:p>
      <w:r>
        <w:rPr>
          <w:i/>
        </w:rPr>
        <w:t>Numeric entry, 0–500. Screener + quota.</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Response</w:t>
            </w:r>
          </w:p>
        </w:tc>
        <w:tc>
          <w:tcPr>
            <w:tcW w:type="dxa" w:w="4896"/>
            <w:shd w:val="clear" w:fill="0B4F6C"/>
          </w:tcPr>
          <w:p>
            <w:r/>
            <w:r>
              <w:rPr>
                <w:b/>
                <w:color w:val="FFFFFF"/>
                <w:sz w:val="18"/>
              </w:rPr>
              <w:t>Logic</w:t>
            </w:r>
          </w:p>
        </w:tc>
      </w:tr>
      <w:tr>
        <w:tc>
          <w:tcPr>
            <w:tcW w:type="dxa" w:w="4896"/>
          </w:tcPr>
          <w:p>
            <w:r/>
            <w:r>
              <w:rPr>
                <w:sz w:val="18"/>
              </w:rPr>
              <w:t>&lt; 5</w:t>
            </w:r>
          </w:p>
        </w:tc>
        <w:tc>
          <w:tcPr>
            <w:tcW w:type="dxa" w:w="4896"/>
          </w:tcPr>
          <w:p>
            <w:r/>
            <w:r>
              <w:rPr>
                <w:sz w:val="18"/>
              </w:rPr>
              <w:t>*Terminate*</w:t>
            </w:r>
          </w:p>
        </w:tc>
      </w:tr>
      <w:tr>
        <w:tc>
          <w:tcPr>
            <w:tcW w:type="dxa" w:w="4896"/>
          </w:tcPr>
          <w:p>
            <w:r/>
            <w:r>
              <w:rPr>
                <w:sz w:val="18"/>
              </w:rPr>
              <w:t>5–9</w:t>
            </w:r>
          </w:p>
        </w:tc>
        <w:tc>
          <w:tcPr>
            <w:tcW w:type="dxa" w:w="4896"/>
          </w:tcPr>
          <w:p>
            <w:r/>
            <w:r>
              <w:rPr>
                <w:sz w:val="18"/>
              </w:rPr>
              <w:t>Soft quota — hold, release only if the target is not met by day 7 of fielding</w:t>
            </w:r>
          </w:p>
        </w:tc>
      </w:tr>
      <w:tr>
        <w:tc>
          <w:tcPr>
            <w:tcW w:type="dxa" w:w="4896"/>
          </w:tcPr>
          <w:p>
            <w:r/>
            <w:r>
              <w:rPr>
                <w:sz w:val="18"/>
              </w:rPr>
              <w:t>10+</w:t>
            </w:r>
          </w:p>
        </w:tc>
        <w:tc>
          <w:tcPr>
            <w:tcW w:type="dxa" w:w="4896"/>
          </w:tcPr>
          <w:p>
            <w:r/>
            <w:r>
              <w:rPr>
                <w:sz w:val="18"/>
              </w:rPr>
              <w:t>Continue</w:t>
            </w:r>
          </w:p>
        </w:tc>
      </w:tr>
    </w:tbl>
    <w:p>
      <w:pPr>
        <w:spacing w:after="40"/>
      </w:pPr>
    </w:p>
    <w:p>
      <w:r>
        <w:rPr>
          <w:b/>
        </w:rPr>
        <w:t>Q3b — Of those, roughly what share are covered by Medicare or Medicaid? (0–100%, slider)</w:t>
      </w:r>
    </w:p>
    <w:p>
      <w:r>
        <w:rPr>
          <w:i/>
        </w:rPr>
        <w:t>Logic:</w:t>
      </w:r>
      <w:r>
        <w:t xml:space="preserve"> feeds the payer-mix quota (≥ 30 respondents at ≥ 40%).</w:t>
      </w:r>
    </w:p>
    <w:p>
      <w:r>
        <w:rPr>
          <w:b/>
        </w:rPr>
        <w:t>Why we ask:</w:t>
      </w:r>
      <w:r>
        <w:t xml:space="preserve"> volume establishes genuine decision-making exposure. Payer mix determines whether a respondent's access expectations reflect commercial or government coverage, which drives very different launch tactics.</w:t>
      </w:r>
    </w:p>
    <w:p>
      <w:pPr>
        <w:spacing w:before="80" w:after="80"/>
      </w:pPr>
    </w:p>
    <w:p>
      <w:pPr>
        <w:keepNext/>
        <w:spacing w:before="280" w:after="80"/>
      </w:pPr>
      <w:r>
        <w:rPr>
          <w:b/>
          <w:color w:val="1A1A1A"/>
          <w:sz w:val="21"/>
        </w:rPr>
        <w:t>Q4. Have you or any member of your immediate family participated in market research on oncology therapies in the past 6 months?</w:t>
      </w:r>
    </w:p>
    <w:p>
      <w:r>
        <w:rPr>
          <w:i/>
        </w:rPr>
        <w:t>Single select. Screener — industry conflict.</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0B4F6C"/>
          </w:tcPr>
          <w:p>
            <w:r/>
            <w:r>
              <w:rPr>
                <w:b/>
                <w:color w:val="FFFFFF"/>
                <w:sz w:val="18"/>
              </w:rPr>
              <w:t>Code</w:t>
            </w:r>
          </w:p>
        </w:tc>
        <w:tc>
          <w:tcPr>
            <w:tcW w:type="dxa" w:w="3264"/>
            <w:shd w:val="clear" w:fill="0B4F6C"/>
          </w:tcPr>
          <w:p>
            <w:r/>
            <w:r>
              <w:rPr>
                <w:b/>
                <w:color w:val="FFFFFF"/>
                <w:sz w:val="18"/>
              </w:rPr>
              <w:t>Response</w:t>
            </w:r>
          </w:p>
        </w:tc>
        <w:tc>
          <w:tcPr>
            <w:tcW w:type="dxa" w:w="3264"/>
            <w:shd w:val="clear" w:fill="0B4F6C"/>
          </w:tcPr>
          <w:p>
            <w:r/>
            <w:r>
              <w:rPr>
                <w:b/>
                <w:color w:val="FFFFFF"/>
                <w:sz w:val="18"/>
              </w:rPr>
              <w:t>Logic</w:t>
            </w:r>
          </w:p>
        </w:tc>
      </w:tr>
      <w:tr>
        <w:tc>
          <w:tcPr>
            <w:tcW w:type="dxa" w:w="3264"/>
          </w:tcPr>
          <w:p>
            <w:r/>
            <w:r>
              <w:rPr>
                <w:sz w:val="18"/>
              </w:rPr>
              <w:t>1</w:t>
            </w:r>
          </w:p>
        </w:tc>
        <w:tc>
          <w:tcPr>
            <w:tcW w:type="dxa" w:w="3264"/>
          </w:tcPr>
          <w:p>
            <w:r/>
            <w:r>
              <w:rPr>
                <w:sz w:val="18"/>
              </w:rPr>
              <w:t>No</w:t>
            </w:r>
          </w:p>
        </w:tc>
        <w:tc>
          <w:tcPr>
            <w:tcW w:type="dxa" w:w="3264"/>
          </w:tcPr>
          <w:p>
            <w:r/>
            <w:r>
              <w:rPr>
                <w:sz w:val="18"/>
              </w:rPr>
              <w:t>Continue</w:t>
            </w:r>
          </w:p>
        </w:tc>
      </w:tr>
      <w:tr>
        <w:tc>
          <w:tcPr>
            <w:tcW w:type="dxa" w:w="3264"/>
          </w:tcPr>
          <w:p>
            <w:r/>
            <w:r>
              <w:rPr>
                <w:sz w:val="18"/>
              </w:rPr>
              <w:t>2</w:t>
            </w:r>
          </w:p>
        </w:tc>
        <w:tc>
          <w:tcPr>
            <w:tcW w:type="dxa" w:w="3264"/>
          </w:tcPr>
          <w:p>
            <w:r/>
            <w:r>
              <w:rPr>
                <w:sz w:val="18"/>
              </w:rPr>
              <w:t>Yes, but not on oncology</w:t>
            </w:r>
          </w:p>
        </w:tc>
        <w:tc>
          <w:tcPr>
            <w:tcW w:type="dxa" w:w="3264"/>
          </w:tcPr>
          <w:p>
            <w:r/>
            <w:r>
              <w:rPr>
                <w:sz w:val="18"/>
              </w:rPr>
              <w:t>Continue</w:t>
            </w:r>
          </w:p>
        </w:tc>
      </w:tr>
      <w:tr>
        <w:tc>
          <w:tcPr>
            <w:tcW w:type="dxa" w:w="3264"/>
          </w:tcPr>
          <w:p>
            <w:r/>
            <w:r>
              <w:rPr>
                <w:sz w:val="18"/>
              </w:rPr>
              <w:t>3</w:t>
            </w:r>
          </w:p>
        </w:tc>
        <w:tc>
          <w:tcPr>
            <w:tcW w:type="dxa" w:w="3264"/>
          </w:tcPr>
          <w:p>
            <w:r/>
            <w:r>
              <w:rPr>
                <w:sz w:val="18"/>
              </w:rPr>
              <w:t>Yes, on oncology therapies</w:t>
            </w:r>
          </w:p>
        </w:tc>
        <w:tc>
          <w:tcPr>
            <w:tcW w:type="dxa" w:w="3264"/>
          </w:tcPr>
          <w:p>
            <w:r/>
            <w:r>
              <w:rPr>
                <w:sz w:val="18"/>
              </w:rPr>
              <w:t>*Terminate*</w:t>
            </w:r>
          </w:p>
        </w:tc>
      </w:tr>
      <w:tr>
        <w:tc>
          <w:tcPr>
            <w:tcW w:type="dxa" w:w="3264"/>
          </w:tcPr>
          <w:p>
            <w:r/>
            <w:r>
              <w:rPr>
                <w:sz w:val="18"/>
              </w:rPr>
              <w:t>4</w:t>
            </w:r>
          </w:p>
        </w:tc>
        <w:tc>
          <w:tcPr>
            <w:tcW w:type="dxa" w:w="3264"/>
          </w:tcPr>
          <w:p>
            <w:r/>
            <w:r>
              <w:rPr>
                <w:sz w:val="18"/>
              </w:rPr>
              <w:t>I work for, or am closely affiliated with, a pharmaceutical, biotech, CRO or market research company</w:t>
            </w:r>
          </w:p>
        </w:tc>
        <w:tc>
          <w:tcPr>
            <w:tcW w:type="dxa" w:w="3264"/>
          </w:tcPr>
          <w:p>
            <w:r/>
            <w:r>
              <w:rPr>
                <w:sz w:val="18"/>
              </w:rPr>
              <w:t>*Terminate*</w:t>
            </w:r>
          </w:p>
        </w:tc>
      </w:tr>
      <w:tr>
        <w:tc>
          <w:tcPr>
            <w:tcW w:type="dxa" w:w="3264"/>
          </w:tcPr>
          <w:p>
            <w:r/>
            <w:r>
              <w:rPr>
                <w:sz w:val="18"/>
              </w:rPr>
              <w:t>5</w:t>
            </w:r>
          </w:p>
        </w:tc>
        <w:tc>
          <w:tcPr>
            <w:tcW w:type="dxa" w:w="3264"/>
          </w:tcPr>
          <w:p>
            <w:r/>
            <w:r>
              <w:rPr>
                <w:sz w:val="18"/>
              </w:rPr>
              <w:t>Prefer not to say</w:t>
            </w:r>
          </w:p>
        </w:tc>
        <w:tc>
          <w:tcPr>
            <w:tcW w:type="dxa" w:w="3264"/>
          </w:tcPr>
          <w:p>
            <w:r/>
            <w:r>
              <w:rPr>
                <w:sz w:val="18"/>
              </w:rPr>
              <w:t>*Terminate*</w:t>
            </w:r>
          </w:p>
        </w:tc>
      </w:tr>
    </w:tbl>
    <w:p>
      <w:pPr>
        <w:spacing w:after="40"/>
      </w:pPr>
    </w:p>
    <w:p>
      <w:r>
        <w:rPr>
          <w:b/>
        </w:rPr>
        <w:t>Why we ask:</w:t>
      </w:r>
      <w:r>
        <w:t xml:space="preserve"> recent oncology research participation primes respondents to a competitor's messaging and produces artificially coherent, non-representative trade-off behaviour in the conjoint.</w:t>
      </w:r>
    </w:p>
    <w:p>
      <w:pPr>
        <w:spacing w:before="80" w:after="80"/>
      </w:pPr>
    </w:p>
    <w:p>
      <w:pPr>
        <w:spacing w:before="240" w:after="120"/>
      </w:pPr>
      <w:r>
        <w:rPr>
          <w:b/>
          <w:color w:val="0B4F6C"/>
          <w:sz w:val="24"/>
        </w:rPr>
        <w:t>SECTION B — CURRENT PRACTICE AND UNMET NEED</w:t>
      </w:r>
    </w:p>
    <w:p>
      <w:pPr>
        <w:spacing w:before="80" w:after="80"/>
      </w:pPr>
    </w:p>
    <w:p>
      <w:pPr>
        <w:keepNext/>
        <w:spacing w:before="280" w:after="80"/>
      </w:pPr>
      <w:r>
        <w:rPr>
          <w:b/>
          <w:color w:val="1A1A1A"/>
          <w:sz w:val="21"/>
        </w:rPr>
        <w:t>Q5. In your practice, who has the greatest influence over which systemic therapy a patient with [TARGET INDICATION] actually receives?</w:t>
      </w:r>
    </w:p>
    <w:p>
      <w:r>
        <w:rPr>
          <w:i/>
        </w:rPr>
        <w:t>Rate each on a 1–5 scale: 1 = no influence, 5 = decisive influence.</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w:t>
            </w:r>
          </w:p>
        </w:tc>
        <w:tc>
          <w:tcPr>
            <w:tcW w:type="dxa" w:w="4896"/>
            <w:shd w:val="clear" w:fill="0B4F6C"/>
          </w:tcPr>
          <w:p>
            <w:r/>
            <w:r>
              <w:rPr>
                <w:b/>
                <w:color w:val="FFFFFF"/>
                <w:sz w:val="18"/>
              </w:rPr>
              <w:t>Influencer</w:t>
            </w:r>
          </w:p>
        </w:tc>
      </w:tr>
      <w:tr>
        <w:tc>
          <w:tcPr>
            <w:tcW w:type="dxa" w:w="4896"/>
          </w:tcPr>
          <w:p>
            <w:r/>
            <w:r>
              <w:rPr>
                <w:sz w:val="18"/>
              </w:rPr>
              <w:t>a</w:t>
            </w:r>
          </w:p>
        </w:tc>
        <w:tc>
          <w:tcPr>
            <w:tcW w:type="dxa" w:w="4896"/>
          </w:tcPr>
          <w:p>
            <w:r/>
            <w:r>
              <w:rPr>
                <w:sz w:val="18"/>
              </w:rPr>
              <w:t>You, as the treating oncologist</w:t>
            </w:r>
          </w:p>
        </w:tc>
      </w:tr>
      <w:tr>
        <w:tc>
          <w:tcPr>
            <w:tcW w:type="dxa" w:w="4896"/>
          </w:tcPr>
          <w:p>
            <w:r/>
            <w:r>
              <w:rPr>
                <w:sz w:val="18"/>
              </w:rPr>
              <w:t>b</w:t>
            </w:r>
          </w:p>
        </w:tc>
        <w:tc>
          <w:tcPr>
            <w:tcW w:type="dxa" w:w="4896"/>
          </w:tcPr>
          <w:p>
            <w:r/>
            <w:r>
              <w:rPr>
                <w:sz w:val="18"/>
              </w:rPr>
              <w:t>Other oncologists in your practice (peer consensus)</w:t>
            </w:r>
          </w:p>
        </w:tc>
      </w:tr>
      <w:tr>
        <w:tc>
          <w:tcPr>
            <w:tcW w:type="dxa" w:w="4896"/>
          </w:tcPr>
          <w:p>
            <w:r/>
            <w:r>
              <w:rPr>
                <w:sz w:val="18"/>
              </w:rPr>
              <w:t>c</w:t>
            </w:r>
          </w:p>
        </w:tc>
        <w:tc>
          <w:tcPr>
            <w:tcW w:type="dxa" w:w="4896"/>
          </w:tcPr>
          <w:p>
            <w:r/>
            <w:r>
              <w:rPr>
                <w:sz w:val="18"/>
              </w:rPr>
              <w:t>Multidisciplinary tumour board</w:t>
            </w:r>
          </w:p>
        </w:tc>
      </w:tr>
      <w:tr>
        <w:tc>
          <w:tcPr>
            <w:tcW w:type="dxa" w:w="4896"/>
          </w:tcPr>
          <w:p>
            <w:r/>
            <w:r>
              <w:rPr>
                <w:sz w:val="18"/>
              </w:rPr>
              <w:t>d</w:t>
            </w:r>
          </w:p>
        </w:tc>
        <w:tc>
          <w:tcPr>
            <w:tcW w:type="dxa" w:w="4896"/>
          </w:tcPr>
          <w:p>
            <w:r/>
            <w:r>
              <w:rPr>
                <w:sz w:val="18"/>
              </w:rPr>
              <w:t>Institutional clinical pathway / order set</w:t>
            </w:r>
          </w:p>
        </w:tc>
      </w:tr>
      <w:tr>
        <w:tc>
          <w:tcPr>
            <w:tcW w:type="dxa" w:w="4896"/>
          </w:tcPr>
          <w:p>
            <w:r/>
            <w:r>
              <w:rPr>
                <w:sz w:val="18"/>
              </w:rPr>
              <w:t>e</w:t>
            </w:r>
          </w:p>
        </w:tc>
        <w:tc>
          <w:tcPr>
            <w:tcW w:type="dxa" w:w="4896"/>
          </w:tcPr>
          <w:p>
            <w:r/>
            <w:r>
              <w:rPr>
                <w:sz w:val="18"/>
              </w:rPr>
              <w:t>Pharmacy &amp; Therapeutics (P&amp;T) committee</w:t>
            </w:r>
          </w:p>
        </w:tc>
      </w:tr>
      <w:tr>
        <w:tc>
          <w:tcPr>
            <w:tcW w:type="dxa" w:w="4896"/>
          </w:tcPr>
          <w:p>
            <w:r/>
            <w:r>
              <w:rPr>
                <w:sz w:val="18"/>
              </w:rPr>
              <w:t>f</w:t>
            </w:r>
          </w:p>
        </w:tc>
        <w:tc>
          <w:tcPr>
            <w:tcW w:type="dxa" w:w="4896"/>
          </w:tcPr>
          <w:p>
            <w:r/>
            <w:r>
              <w:rPr>
                <w:sz w:val="18"/>
              </w:rPr>
              <w:t>Health system formulary or value-analysis committee</w:t>
            </w:r>
          </w:p>
        </w:tc>
      </w:tr>
      <w:tr>
        <w:tc>
          <w:tcPr>
            <w:tcW w:type="dxa" w:w="4896"/>
          </w:tcPr>
          <w:p>
            <w:r/>
            <w:r>
              <w:rPr>
                <w:sz w:val="18"/>
              </w:rPr>
              <w:t>g</w:t>
            </w:r>
          </w:p>
        </w:tc>
        <w:tc>
          <w:tcPr>
            <w:tcW w:type="dxa" w:w="4896"/>
          </w:tcPr>
          <w:p>
            <w:r/>
            <w:r>
              <w:rPr>
                <w:sz w:val="18"/>
              </w:rPr>
              <w:t>Payer prior-authorisation requirements</w:t>
            </w:r>
          </w:p>
        </w:tc>
      </w:tr>
      <w:tr>
        <w:tc>
          <w:tcPr>
            <w:tcW w:type="dxa" w:w="4896"/>
          </w:tcPr>
          <w:p>
            <w:r/>
            <w:r>
              <w:rPr>
                <w:sz w:val="18"/>
              </w:rPr>
              <w:t>h</w:t>
            </w:r>
          </w:p>
        </w:tc>
        <w:tc>
          <w:tcPr>
            <w:tcW w:type="dxa" w:w="4896"/>
          </w:tcPr>
          <w:p>
            <w:r/>
            <w:r>
              <w:rPr>
                <w:sz w:val="18"/>
              </w:rPr>
              <w:t>The patient's own preference</w:t>
            </w:r>
          </w:p>
        </w:tc>
      </w:tr>
      <w:tr>
        <w:tc>
          <w:tcPr>
            <w:tcW w:type="dxa" w:w="4896"/>
          </w:tcPr>
          <w:p>
            <w:r/>
            <w:r>
              <w:rPr>
                <w:sz w:val="18"/>
              </w:rPr>
              <w:t>i</w:t>
            </w:r>
          </w:p>
        </w:tc>
        <w:tc>
          <w:tcPr>
            <w:tcW w:type="dxa" w:w="4896"/>
          </w:tcPr>
          <w:p>
            <w:r/>
            <w:r>
              <w:rPr>
                <w:sz w:val="18"/>
              </w:rPr>
              <w:t>Industry / manufacturer representative</w:t>
            </w:r>
          </w:p>
        </w:tc>
      </w:tr>
      <w:tr>
        <w:tc>
          <w:tcPr>
            <w:tcW w:type="dxa" w:w="4896"/>
          </w:tcPr>
          <w:p>
            <w:r/>
            <w:r>
              <w:rPr>
                <w:sz w:val="18"/>
              </w:rPr>
              <w:t>j</w:t>
            </w:r>
          </w:p>
        </w:tc>
        <w:tc>
          <w:tcPr>
            <w:tcW w:type="dxa" w:w="4896"/>
          </w:tcPr>
          <w:p>
            <w:r/>
            <w:r>
              <w:rPr>
                <w:sz w:val="18"/>
              </w:rPr>
              <w:t>Published guidelines (NCCN, ASCO)</w:t>
            </w:r>
          </w:p>
        </w:tc>
      </w:tr>
    </w:tbl>
    <w:p>
      <w:pPr>
        <w:spacing w:after="40"/>
      </w:pPr>
    </w:p>
    <w:p>
      <w:r>
        <w:rPr>
          <w:b/>
        </w:rPr>
        <w:t>Analysis:</w:t>
      </w:r>
      <w:r>
        <w:t xml:space="preserve"> sum-to-100 normalisation, then cluster respondents into </w:t>
      </w:r>
      <w:r>
        <w:rPr>
          <w:i/>
        </w:rPr>
        <w:t>clinician-autonomous</w:t>
      </w:r>
      <w:r>
        <w:t xml:space="preserve"> vs </w:t>
      </w:r>
      <w:r>
        <w:rPr>
          <w:i/>
        </w:rPr>
        <w:t>pathway-governed</w:t>
      </w:r>
      <w:r>
        <w:t xml:space="preserve"> segments. This segmentation is the single strongest predictor of how a launch must be sequenced, so it is measured rather than assumed from practice setting.</w:t>
      </w:r>
    </w:p>
    <w:p>
      <w:pPr>
        <w:spacing w:before="80" w:after="80"/>
      </w:pPr>
    </w:p>
    <w:p>
      <w:pPr>
        <w:keepNext/>
        <w:spacing w:before="280" w:after="80"/>
      </w:pPr>
      <w:r>
        <w:rPr>
          <w:b/>
          <w:color w:val="1A1A1A"/>
          <w:sz w:val="21"/>
        </w:rPr>
        <w:t>Q6. Thinking about the last 3 months, what approximate share of your eligible [TARGET INDICATION] patients received each of the following in this line of therapy?</w:t>
      </w:r>
    </w:p>
    <w:p>
      <w:r>
        <w:rPr>
          <w:i/>
        </w:rPr>
        <w:t>Numeric entry per row; rows must sum to 100%. Validation prompt if sum ≠ 100.</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Regimen (populate with the actual competitive set)</w:t>
            </w:r>
          </w:p>
        </w:tc>
        <w:tc>
          <w:tcPr>
            <w:tcW w:type="dxa" w:w="4896"/>
            <w:shd w:val="clear" w:fill="0B4F6C"/>
          </w:tcPr>
          <w:p>
            <w:r/>
            <w:r>
              <w:rPr>
                <w:b/>
                <w:color w:val="FFFFFF"/>
                <w:sz w:val="18"/>
              </w:rPr>
              <w:t>% of patients</w:t>
            </w:r>
          </w:p>
        </w:tc>
      </w:tr>
      <w:tr>
        <w:tc>
          <w:tcPr>
            <w:tcW w:type="dxa" w:w="4896"/>
          </w:tcPr>
          <w:p>
            <w:r/>
            <w:r>
              <w:rPr>
                <w:sz w:val="18"/>
              </w:rPr>
              <w:t>Regimen A — [competitor 1]</w:t>
            </w:r>
          </w:p>
        </w:tc>
        <w:tc>
          <w:tcPr>
            <w:tcW w:type="dxa" w:w="4896"/>
          </w:tcPr>
          <w:p>
            <w:r/>
            <w:r>
              <w:rPr>
                <w:sz w:val="18"/>
              </w:rPr>
              <w:t>___</w:t>
            </w:r>
          </w:p>
        </w:tc>
      </w:tr>
      <w:tr>
        <w:tc>
          <w:tcPr>
            <w:tcW w:type="dxa" w:w="4896"/>
          </w:tcPr>
          <w:p>
            <w:r/>
            <w:r>
              <w:rPr>
                <w:sz w:val="18"/>
              </w:rPr>
              <w:t>Regimen B — [competitor 2]</w:t>
            </w:r>
          </w:p>
        </w:tc>
        <w:tc>
          <w:tcPr>
            <w:tcW w:type="dxa" w:w="4896"/>
          </w:tcPr>
          <w:p>
            <w:r/>
            <w:r>
              <w:rPr>
                <w:sz w:val="18"/>
              </w:rPr>
              <w:t>___</w:t>
            </w:r>
          </w:p>
        </w:tc>
      </w:tr>
      <w:tr>
        <w:tc>
          <w:tcPr>
            <w:tcW w:type="dxa" w:w="4896"/>
          </w:tcPr>
          <w:p>
            <w:r/>
            <w:r>
              <w:rPr>
                <w:sz w:val="18"/>
              </w:rPr>
              <w:t>Regimen C — [competitor 3]</w:t>
            </w:r>
          </w:p>
        </w:tc>
        <w:tc>
          <w:tcPr>
            <w:tcW w:type="dxa" w:w="4896"/>
          </w:tcPr>
          <w:p>
            <w:r/>
            <w:r>
              <w:rPr>
                <w:sz w:val="18"/>
              </w:rPr>
              <w:t>___</w:t>
            </w:r>
          </w:p>
        </w:tc>
      </w:tr>
      <w:tr>
        <w:tc>
          <w:tcPr>
            <w:tcW w:type="dxa" w:w="4896"/>
          </w:tcPr>
          <w:p>
            <w:r/>
            <w:r>
              <w:rPr>
                <w:sz w:val="18"/>
              </w:rPr>
              <w:t>Chemotherapy doublet (platinum-based)</w:t>
            </w:r>
          </w:p>
        </w:tc>
        <w:tc>
          <w:tcPr>
            <w:tcW w:type="dxa" w:w="4896"/>
          </w:tcPr>
          <w:p>
            <w:r/>
            <w:r>
              <w:rPr>
                <w:sz w:val="18"/>
              </w:rPr>
              <w:t>___</w:t>
            </w:r>
          </w:p>
        </w:tc>
      </w:tr>
      <w:tr>
        <w:tc>
          <w:tcPr>
            <w:tcW w:type="dxa" w:w="4896"/>
          </w:tcPr>
          <w:p>
            <w:r/>
            <w:r>
              <w:rPr>
                <w:sz w:val="18"/>
              </w:rPr>
              <w:t>Single-agent chemotherapy / docetaxel</w:t>
            </w:r>
          </w:p>
        </w:tc>
        <w:tc>
          <w:tcPr>
            <w:tcW w:type="dxa" w:w="4896"/>
          </w:tcPr>
          <w:p>
            <w:r/>
            <w:r>
              <w:rPr>
                <w:sz w:val="18"/>
              </w:rPr>
              <w:t>___</w:t>
            </w:r>
          </w:p>
        </w:tc>
      </w:tr>
      <w:tr>
        <w:tc>
          <w:tcPr>
            <w:tcW w:type="dxa" w:w="4896"/>
          </w:tcPr>
          <w:p>
            <w:r/>
            <w:r>
              <w:rPr>
                <w:sz w:val="18"/>
              </w:rPr>
              <w:t>Best supportive care only</w:t>
            </w:r>
          </w:p>
        </w:tc>
        <w:tc>
          <w:tcPr>
            <w:tcW w:type="dxa" w:w="4896"/>
          </w:tcPr>
          <w:p>
            <w:r/>
            <w:r>
              <w:rPr>
                <w:sz w:val="18"/>
              </w:rPr>
              <w:t>___</w:t>
            </w:r>
          </w:p>
        </w:tc>
      </w:tr>
      <w:tr>
        <w:tc>
          <w:tcPr>
            <w:tcW w:type="dxa" w:w="4896"/>
          </w:tcPr>
          <w:p>
            <w:r/>
            <w:r>
              <w:rPr>
                <w:sz w:val="18"/>
              </w:rPr>
              <w:t>Clinical trial</w:t>
            </w:r>
          </w:p>
        </w:tc>
        <w:tc>
          <w:tcPr>
            <w:tcW w:type="dxa" w:w="4896"/>
          </w:tcPr>
          <w:p>
            <w:r/>
            <w:r>
              <w:rPr>
                <w:sz w:val="18"/>
              </w:rPr>
              <w:t>___</w:t>
            </w:r>
          </w:p>
        </w:tc>
      </w:tr>
      <w:tr>
        <w:tc>
          <w:tcPr>
            <w:tcW w:type="dxa" w:w="4896"/>
          </w:tcPr>
          <w:p>
            <w:r/>
            <w:r>
              <w:rPr>
                <w:sz w:val="18"/>
              </w:rPr>
              <w:t>Other (specify)</w:t>
            </w:r>
          </w:p>
        </w:tc>
        <w:tc>
          <w:tcPr>
            <w:tcW w:type="dxa" w:w="4896"/>
          </w:tcPr>
          <w:p>
            <w:r/>
            <w:r>
              <w:rPr>
                <w:sz w:val="18"/>
              </w:rPr>
              <w:t>___</w:t>
            </w:r>
          </w:p>
        </w:tc>
      </w:tr>
    </w:tbl>
    <w:p>
      <w:pPr>
        <w:spacing w:after="40"/>
      </w:pPr>
    </w:p>
    <w:p>
      <w:r>
        <w:rPr>
          <w:b/>
        </w:rPr>
        <w:t>Analysis:</w:t>
      </w:r>
      <w:r>
        <w:t xml:space="preserve"> weighted mean share-of-treatment by segment gives the </w:t>
      </w:r>
      <w:r>
        <w:rPr>
          <w:i/>
        </w:rPr>
        <w:t>actual</w:t>
      </w:r>
      <w:r>
        <w:t xml:space="preserve"> baseline the new brand must displace. Stated intent without this baseline systematically overstates launch uptake, because respondents anchor to an idealised rather than a real prescribing pattern.</w:t>
      </w:r>
    </w:p>
    <w:p>
      <w:pPr>
        <w:spacing w:before="80" w:after="80"/>
      </w:pPr>
    </w:p>
    <w:p>
      <w:pPr>
        <w:keepNext/>
        <w:spacing w:before="280" w:after="80"/>
      </w:pPr>
      <w:r>
        <w:rPr>
          <w:b/>
          <w:color w:val="1A1A1A"/>
          <w:sz w:val="21"/>
        </w:rPr>
        <w:t>Q7. When choosing among available options for these patients, how important is each of the following to you personally?</w:t>
      </w:r>
    </w:p>
    <w:p>
      <w:r>
        <w:rPr>
          <w:i/>
        </w:rPr>
        <w:t>Rate each 1–7: 1 = not at all important, 7 = critically important.</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w:t>
            </w:r>
          </w:p>
        </w:tc>
        <w:tc>
          <w:tcPr>
            <w:tcW w:type="dxa" w:w="4896"/>
            <w:shd w:val="clear" w:fill="0B4F6C"/>
          </w:tcPr>
          <w:p>
            <w:r/>
            <w:r>
              <w:rPr>
                <w:b/>
                <w:color w:val="FFFFFF"/>
                <w:sz w:val="18"/>
              </w:rPr>
              <w:t>Factor</w:t>
            </w:r>
          </w:p>
        </w:tc>
      </w:tr>
      <w:tr>
        <w:tc>
          <w:tcPr>
            <w:tcW w:type="dxa" w:w="4896"/>
          </w:tcPr>
          <w:p>
            <w:r/>
            <w:r>
              <w:rPr>
                <w:sz w:val="18"/>
              </w:rPr>
              <w:t>a</w:t>
            </w:r>
          </w:p>
        </w:tc>
        <w:tc>
          <w:tcPr>
            <w:tcW w:type="dxa" w:w="4896"/>
          </w:tcPr>
          <w:p>
            <w:r/>
            <w:r>
              <w:rPr>
                <w:sz w:val="18"/>
              </w:rPr>
              <w:t>Overall survival benefit demonstrated in the pivotal trial</w:t>
            </w:r>
          </w:p>
        </w:tc>
      </w:tr>
      <w:tr>
        <w:tc>
          <w:tcPr>
            <w:tcW w:type="dxa" w:w="4896"/>
          </w:tcPr>
          <w:p>
            <w:r/>
            <w:r>
              <w:rPr>
                <w:sz w:val="18"/>
              </w:rPr>
              <w:t>b</w:t>
            </w:r>
          </w:p>
        </w:tc>
        <w:tc>
          <w:tcPr>
            <w:tcW w:type="dxa" w:w="4896"/>
          </w:tcPr>
          <w:p>
            <w:r/>
            <w:r>
              <w:rPr>
                <w:sz w:val="18"/>
              </w:rPr>
              <w:t>Progression-free survival / durability of response</w:t>
            </w:r>
          </w:p>
        </w:tc>
      </w:tr>
      <w:tr>
        <w:tc>
          <w:tcPr>
            <w:tcW w:type="dxa" w:w="4896"/>
          </w:tcPr>
          <w:p>
            <w:r/>
            <w:r>
              <w:rPr>
                <w:sz w:val="18"/>
              </w:rPr>
              <w:t>c</w:t>
            </w:r>
          </w:p>
        </w:tc>
        <w:tc>
          <w:tcPr>
            <w:tcW w:type="dxa" w:w="4896"/>
          </w:tcPr>
          <w:p>
            <w:r/>
            <w:r>
              <w:rPr>
                <w:sz w:val="18"/>
              </w:rPr>
              <w:t>Objective response rate</w:t>
            </w:r>
          </w:p>
        </w:tc>
      </w:tr>
      <w:tr>
        <w:tc>
          <w:tcPr>
            <w:tcW w:type="dxa" w:w="4896"/>
          </w:tcPr>
          <w:p>
            <w:r/>
            <w:r>
              <w:rPr>
                <w:sz w:val="18"/>
              </w:rPr>
              <w:t>d</w:t>
            </w:r>
          </w:p>
        </w:tc>
        <w:tc>
          <w:tcPr>
            <w:tcW w:type="dxa" w:w="4896"/>
          </w:tcPr>
          <w:p>
            <w:r/>
            <w:r>
              <w:rPr>
                <w:sz w:val="18"/>
              </w:rPr>
              <w:t>Rate of Grade 3+ treatment-related adverse events</w:t>
            </w:r>
          </w:p>
        </w:tc>
      </w:tr>
      <w:tr>
        <w:tc>
          <w:tcPr>
            <w:tcW w:type="dxa" w:w="4896"/>
          </w:tcPr>
          <w:p>
            <w:r/>
            <w:r>
              <w:rPr>
                <w:sz w:val="18"/>
              </w:rPr>
              <w:t>e</w:t>
            </w:r>
          </w:p>
        </w:tc>
        <w:tc>
          <w:tcPr>
            <w:tcW w:type="dxa" w:w="4896"/>
          </w:tcPr>
          <w:p>
            <w:r/>
            <w:r>
              <w:rPr>
                <w:sz w:val="18"/>
              </w:rPr>
              <w:t>Presence of specific, manageable toxicities (e.g. ILD, neuropathy, colitis)</w:t>
            </w:r>
          </w:p>
        </w:tc>
      </w:tr>
      <w:tr>
        <w:tc>
          <w:tcPr>
            <w:tcW w:type="dxa" w:w="4896"/>
          </w:tcPr>
          <w:p>
            <w:r/>
            <w:r>
              <w:rPr>
                <w:sz w:val="18"/>
              </w:rPr>
              <w:t>f</w:t>
            </w:r>
          </w:p>
        </w:tc>
        <w:tc>
          <w:tcPr>
            <w:tcW w:type="dxa" w:w="4896"/>
          </w:tcPr>
          <w:p>
            <w:r/>
            <w:r>
              <w:rPr>
                <w:sz w:val="18"/>
              </w:rPr>
              <w:t>Route and frequency of administration</w:t>
            </w:r>
          </w:p>
        </w:tc>
      </w:tr>
      <w:tr>
        <w:tc>
          <w:tcPr>
            <w:tcW w:type="dxa" w:w="4896"/>
          </w:tcPr>
          <w:p>
            <w:r/>
            <w:r>
              <w:rPr>
                <w:sz w:val="18"/>
              </w:rPr>
              <w:t>g</w:t>
            </w:r>
          </w:p>
        </w:tc>
        <w:tc>
          <w:tcPr>
            <w:tcW w:type="dxa" w:w="4896"/>
          </w:tcPr>
          <w:p>
            <w:r/>
            <w:r>
              <w:rPr>
                <w:sz w:val="18"/>
              </w:rPr>
              <w:t>Speed and accessibility of the required companion diagnostic</w:t>
            </w:r>
          </w:p>
        </w:tc>
      </w:tr>
      <w:tr>
        <w:tc>
          <w:tcPr>
            <w:tcW w:type="dxa" w:w="4896"/>
          </w:tcPr>
          <w:p>
            <w:r/>
            <w:r>
              <w:rPr>
                <w:sz w:val="18"/>
              </w:rPr>
              <w:t>h</w:t>
            </w:r>
          </w:p>
        </w:tc>
        <w:tc>
          <w:tcPr>
            <w:tcW w:type="dxa" w:w="4896"/>
          </w:tcPr>
          <w:p>
            <w:r/>
            <w:r>
              <w:rPr>
                <w:sz w:val="18"/>
              </w:rPr>
              <w:t>Quality-of-life and patient-reported outcome data</w:t>
            </w:r>
          </w:p>
        </w:tc>
      </w:tr>
      <w:tr>
        <w:tc>
          <w:tcPr>
            <w:tcW w:type="dxa" w:w="4896"/>
          </w:tcPr>
          <w:p>
            <w:r/>
            <w:r>
              <w:rPr>
                <w:sz w:val="18"/>
              </w:rPr>
              <w:t>i</w:t>
            </w:r>
          </w:p>
        </w:tc>
        <w:tc>
          <w:tcPr>
            <w:tcW w:type="dxa" w:w="4896"/>
          </w:tcPr>
          <w:p>
            <w:r/>
            <w:r>
              <w:rPr>
                <w:sz w:val="18"/>
              </w:rPr>
              <w:t>Strength of the subgroup data relevant to my patients</w:t>
            </w:r>
          </w:p>
        </w:tc>
      </w:tr>
      <w:tr>
        <w:tc>
          <w:tcPr>
            <w:tcW w:type="dxa" w:w="4896"/>
          </w:tcPr>
          <w:p>
            <w:r/>
            <w:r>
              <w:rPr>
                <w:sz w:val="18"/>
              </w:rPr>
              <w:t>j</w:t>
            </w:r>
          </w:p>
        </w:tc>
        <w:tc>
          <w:tcPr>
            <w:tcW w:type="dxa" w:w="4896"/>
          </w:tcPr>
          <w:p>
            <w:r/>
            <w:r>
              <w:rPr>
                <w:sz w:val="18"/>
              </w:rPr>
              <w:t>Real-world evidence available post-approval</w:t>
            </w:r>
          </w:p>
        </w:tc>
      </w:tr>
      <w:tr>
        <w:tc>
          <w:tcPr>
            <w:tcW w:type="dxa" w:w="4896"/>
          </w:tcPr>
          <w:p>
            <w:r/>
            <w:r>
              <w:rPr>
                <w:sz w:val="18"/>
              </w:rPr>
              <w:t>k</w:t>
            </w:r>
          </w:p>
        </w:tc>
        <w:tc>
          <w:tcPr>
            <w:tcW w:type="dxa" w:w="4896"/>
          </w:tcPr>
          <w:p>
            <w:r/>
            <w:r>
              <w:rPr>
                <w:sz w:val="18"/>
              </w:rPr>
              <w:t>Net cost to the practice under buy-and-bill</w:t>
            </w:r>
          </w:p>
        </w:tc>
      </w:tr>
      <w:tr>
        <w:tc>
          <w:tcPr>
            <w:tcW w:type="dxa" w:w="4896"/>
          </w:tcPr>
          <w:p>
            <w:r/>
            <w:r>
              <w:rPr>
                <w:sz w:val="18"/>
              </w:rPr>
              <w:t>l</w:t>
            </w:r>
          </w:p>
        </w:tc>
        <w:tc>
          <w:tcPr>
            <w:tcW w:type="dxa" w:w="4896"/>
          </w:tcPr>
          <w:p>
            <w:r/>
            <w:r>
              <w:rPr>
                <w:sz w:val="18"/>
              </w:rPr>
              <w:t>Likelihood of payer coverage without prior authorisation</w:t>
            </w:r>
          </w:p>
        </w:tc>
      </w:tr>
      <w:tr>
        <w:tc>
          <w:tcPr>
            <w:tcW w:type="dxa" w:w="4896"/>
          </w:tcPr>
          <w:p>
            <w:r/>
            <w:r>
              <w:rPr>
                <w:sz w:val="18"/>
              </w:rPr>
              <w:t>m</w:t>
            </w:r>
          </w:p>
        </w:tc>
        <w:tc>
          <w:tcPr>
            <w:tcW w:type="dxa" w:w="4896"/>
          </w:tcPr>
          <w:p>
            <w:r/>
            <w:r>
              <w:rPr>
                <w:sz w:val="18"/>
              </w:rPr>
              <w:t>Availability of patient support and reimbursement assistance</w:t>
            </w:r>
          </w:p>
        </w:tc>
      </w:tr>
      <w:tr>
        <w:tc>
          <w:tcPr>
            <w:tcW w:type="dxa" w:w="4896"/>
          </w:tcPr>
          <w:p>
            <w:r/>
            <w:r>
              <w:rPr>
                <w:sz w:val="18"/>
              </w:rPr>
              <w:t>n</w:t>
            </w:r>
          </w:p>
        </w:tc>
        <w:tc>
          <w:tcPr>
            <w:tcW w:type="dxa" w:w="4896"/>
          </w:tcPr>
          <w:p>
            <w:r/>
            <w:r>
              <w:rPr>
                <w:sz w:val="18"/>
              </w:rPr>
              <w:t>Familiarity of the mechanism with my practice</w:t>
            </w:r>
          </w:p>
        </w:tc>
      </w:tr>
    </w:tbl>
    <w:p>
      <w:pPr>
        <w:spacing w:after="40"/>
      </w:pPr>
    </w:p>
    <w:p>
      <w:r>
        <w:rPr>
          <w:b/>
        </w:rPr>
        <w:t>Quality control:</w:t>
      </w:r>
      <w:r>
        <w:t xml:space="preserve"> straight-line detection — identical responses across all 14 rows flags the respondent.</w:t>
      </w:r>
    </w:p>
    <w:p>
      <w:r>
        <w:rPr>
          <w:b/>
        </w:rPr>
        <w:t>Analysis:</w:t>
      </w:r>
      <w:r>
        <w:t xml:space="preserve"> this is the </w:t>
      </w:r>
      <w:r>
        <w:rPr>
          <w:i/>
        </w:rPr>
        <w:t>stated</w:t>
      </w:r>
      <w:r>
        <w:t xml:space="preserve"> importance ranking. It is deliberately collected alongside the conjoint, which measures </w:t>
      </w:r>
      <w:r>
        <w:rPr>
          <w:i/>
        </w:rPr>
        <w:t>revealed</w:t>
      </w:r>
      <w:r>
        <w:t xml:space="preserve"> importance under trade-off. The gap between the two is itself a finding: attributes that rank high when rated in isolation but carry little weight in the choice tasks are attributes oncologists will not actually pay for.</w:t>
      </w:r>
    </w:p>
    <w:p>
      <w:pPr>
        <w:spacing w:before="80" w:after="80"/>
      </w:pPr>
    </w:p>
    <w:p>
      <w:pPr>
        <w:keepNext/>
        <w:spacing w:before="280" w:after="80"/>
      </w:pPr>
      <w:r>
        <w:rPr>
          <w:b/>
          <w:color w:val="1A1A1A"/>
          <w:sz w:val="21"/>
        </w:rPr>
        <w:t>Q8. How well do currently available therapies meet the needs of each of the following patient groups?</w:t>
      </w:r>
    </w:p>
    <w:p>
      <w:r>
        <w:rPr>
          <w:i/>
        </w:rPr>
        <w:t>Rate each 1–5: 1 = very poorly met, 5 = very well met.</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w:t>
            </w:r>
          </w:p>
        </w:tc>
        <w:tc>
          <w:tcPr>
            <w:tcW w:type="dxa" w:w="4896"/>
            <w:shd w:val="clear" w:fill="0B4F6C"/>
          </w:tcPr>
          <w:p>
            <w:r/>
            <w:r>
              <w:rPr>
                <w:b/>
                <w:color w:val="FFFFFF"/>
                <w:sz w:val="18"/>
              </w:rPr>
              <w:t>Patient group</w:t>
            </w:r>
          </w:p>
        </w:tc>
      </w:tr>
      <w:tr>
        <w:tc>
          <w:tcPr>
            <w:tcW w:type="dxa" w:w="4896"/>
          </w:tcPr>
          <w:p>
            <w:r/>
            <w:r>
              <w:rPr>
                <w:sz w:val="18"/>
              </w:rPr>
              <w:t>a</w:t>
            </w:r>
          </w:p>
        </w:tc>
        <w:tc>
          <w:tcPr>
            <w:tcW w:type="dxa" w:w="4896"/>
          </w:tcPr>
          <w:p>
            <w:r/>
            <w:r>
              <w:rPr>
                <w:sz w:val="18"/>
              </w:rPr>
              <w:t>Patients with good performance status (ECOG 0–1) progressing rapidly</w:t>
            </w:r>
          </w:p>
        </w:tc>
      </w:tr>
      <w:tr>
        <w:tc>
          <w:tcPr>
            <w:tcW w:type="dxa" w:w="4896"/>
          </w:tcPr>
          <w:p>
            <w:r/>
            <w:r>
              <w:rPr>
                <w:sz w:val="18"/>
              </w:rPr>
              <w:t>b</w:t>
            </w:r>
          </w:p>
        </w:tc>
        <w:tc>
          <w:tcPr>
            <w:tcW w:type="dxa" w:w="4896"/>
          </w:tcPr>
          <w:p>
            <w:r/>
            <w:r>
              <w:rPr>
                <w:sz w:val="18"/>
              </w:rPr>
              <w:t>Patients with ECOG 2 or borderline performance status</w:t>
            </w:r>
          </w:p>
        </w:tc>
      </w:tr>
      <w:tr>
        <w:tc>
          <w:tcPr>
            <w:tcW w:type="dxa" w:w="4896"/>
          </w:tcPr>
          <w:p>
            <w:r/>
            <w:r>
              <w:rPr>
                <w:sz w:val="18"/>
              </w:rPr>
              <w:t>c</w:t>
            </w:r>
          </w:p>
        </w:tc>
        <w:tc>
          <w:tcPr>
            <w:tcW w:type="dxa" w:w="4896"/>
          </w:tcPr>
          <w:p>
            <w:r/>
            <w:r>
              <w:rPr>
                <w:sz w:val="18"/>
              </w:rPr>
              <w:t>Patients with CNS / brain metastases</w:t>
            </w:r>
          </w:p>
        </w:tc>
      </w:tr>
      <w:tr>
        <w:tc>
          <w:tcPr>
            <w:tcW w:type="dxa" w:w="4896"/>
          </w:tcPr>
          <w:p>
            <w:r/>
            <w:r>
              <w:rPr>
                <w:sz w:val="18"/>
              </w:rPr>
              <w:t>d</w:t>
            </w:r>
          </w:p>
        </w:tc>
        <w:tc>
          <w:tcPr>
            <w:tcW w:type="dxa" w:w="4896"/>
          </w:tcPr>
          <w:p>
            <w:r/>
            <w:r>
              <w:rPr>
                <w:sz w:val="18"/>
              </w:rPr>
              <w:t>Patients with a targetable driver mutation after TKI failure</w:t>
            </w:r>
          </w:p>
        </w:tc>
      </w:tr>
      <w:tr>
        <w:tc>
          <w:tcPr>
            <w:tcW w:type="dxa" w:w="4896"/>
          </w:tcPr>
          <w:p>
            <w:r/>
            <w:r>
              <w:rPr>
                <w:sz w:val="18"/>
              </w:rPr>
              <w:t>e</w:t>
            </w:r>
          </w:p>
        </w:tc>
        <w:tc>
          <w:tcPr>
            <w:tcW w:type="dxa" w:w="4896"/>
          </w:tcPr>
          <w:p>
            <w:r/>
            <w:r>
              <w:rPr>
                <w:sz w:val="18"/>
              </w:rPr>
              <w:t>Patients with high comorbidity burden or organ dysfunction</w:t>
            </w:r>
          </w:p>
        </w:tc>
      </w:tr>
      <w:tr>
        <w:tc>
          <w:tcPr>
            <w:tcW w:type="dxa" w:w="4896"/>
          </w:tcPr>
          <w:p>
            <w:r/>
            <w:r>
              <w:rPr>
                <w:sz w:val="18"/>
              </w:rPr>
              <w:t>f</w:t>
            </w:r>
          </w:p>
        </w:tc>
        <w:tc>
          <w:tcPr>
            <w:tcW w:type="dxa" w:w="4896"/>
          </w:tcPr>
          <w:p>
            <w:r/>
            <w:r>
              <w:rPr>
                <w:sz w:val="18"/>
              </w:rPr>
              <w:t>Patients for whom no biomarker is identified</w:t>
            </w:r>
          </w:p>
        </w:tc>
      </w:tr>
      <w:tr>
        <w:tc>
          <w:tcPr>
            <w:tcW w:type="dxa" w:w="4896"/>
          </w:tcPr>
          <w:p>
            <w:r/>
            <w:r>
              <w:rPr>
                <w:sz w:val="18"/>
              </w:rPr>
              <w:t>g</w:t>
            </w:r>
          </w:p>
        </w:tc>
        <w:tc>
          <w:tcPr>
            <w:tcW w:type="dxa" w:w="4896"/>
          </w:tcPr>
          <w:p>
            <w:r/>
            <w:r>
              <w:rPr>
                <w:sz w:val="18"/>
              </w:rPr>
              <w:t>Elderly patients (≥ 75 years)</w:t>
            </w:r>
          </w:p>
        </w:tc>
      </w:tr>
    </w:tbl>
    <w:p>
      <w:pPr>
        <w:spacing w:after="40"/>
      </w:pPr>
    </w:p>
    <w:p>
      <w:r>
        <w:rPr>
          <w:b/>
        </w:rPr>
        <w:t>Q8b — For the group you rated lowest, in 1–2 sentences, what is missing?</w:t>
      </w:r>
      <w:r>
        <w:t xml:space="preserve"> </w:t>
      </w:r>
      <w:r>
        <w:rPr>
          <w:i/>
        </w:rPr>
        <w:t>Open end.</w:t>
      </w:r>
    </w:p>
    <w:p>
      <w:r>
        <w:rPr>
          <w:b/>
        </w:rPr>
        <w:t>Analysis:</w:t>
      </w:r>
      <w:r>
        <w:t xml:space="preserve"> the lowest-rated cells define the priority launch segment. This is where a new brand can establish a foothold before competing head-to-head for the broad population, and it is the input that shapes the initial targeting strategy.</w:t>
      </w:r>
    </w:p>
    <w:p>
      <w:pPr>
        <w:spacing w:before="80" w:after="80"/>
      </w:pPr>
    </w:p>
    <w:p>
      <w:pPr>
        <w:keepNext/>
        <w:spacing w:before="280" w:after="80"/>
      </w:pPr>
      <w:r>
        <w:rPr>
          <w:b/>
          <w:color w:val="1A1A1A"/>
          <w:sz w:val="21"/>
        </w:rPr>
        <w:t>Q9. In patients you are considering for biomarker-directed therapy, which best describes your current testing workflow?</w:t>
      </w:r>
    </w:p>
    <w:p>
      <w:r>
        <w:rPr>
          <w:i/>
        </w:rPr>
        <w:t>Single select, then follow-up.</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Code</w:t>
            </w:r>
          </w:p>
        </w:tc>
        <w:tc>
          <w:tcPr>
            <w:tcW w:type="dxa" w:w="4896"/>
            <w:shd w:val="clear" w:fill="0B4F6C"/>
          </w:tcPr>
          <w:p>
            <w:r/>
            <w:r>
              <w:rPr>
                <w:b/>
                <w:color w:val="FFFFFF"/>
                <w:sz w:val="18"/>
              </w:rPr>
              <w:t>Response</w:t>
            </w:r>
          </w:p>
        </w:tc>
      </w:tr>
      <w:tr>
        <w:tc>
          <w:tcPr>
            <w:tcW w:type="dxa" w:w="4896"/>
          </w:tcPr>
          <w:p>
            <w:r/>
            <w:r>
              <w:rPr>
                <w:sz w:val="18"/>
              </w:rPr>
              <w:t>1</w:t>
            </w:r>
          </w:p>
        </w:tc>
        <w:tc>
          <w:tcPr>
            <w:tcW w:type="dxa" w:w="4896"/>
          </w:tcPr>
          <w:p>
            <w:r/>
            <w:r>
              <w:rPr>
                <w:sz w:val="18"/>
              </w:rPr>
              <w:t>Broad NGS panel sent on all eligible patients; results typically back within 3–5 business days</w:t>
            </w:r>
          </w:p>
        </w:tc>
      </w:tr>
      <w:tr>
        <w:tc>
          <w:tcPr>
            <w:tcW w:type="dxa" w:w="4896"/>
          </w:tcPr>
          <w:p>
            <w:r/>
            <w:r>
              <w:rPr>
                <w:sz w:val="18"/>
              </w:rPr>
              <w:t>2</w:t>
            </w:r>
          </w:p>
        </w:tc>
        <w:tc>
          <w:tcPr>
            <w:tcW w:type="dxa" w:w="4896"/>
          </w:tcPr>
          <w:p>
            <w:r/>
            <w:r>
              <w:rPr>
                <w:sz w:val="18"/>
              </w:rPr>
              <w:t>Broad NGS panel sent on all eligible patients; results typically back in 7–14 business days</w:t>
            </w:r>
          </w:p>
        </w:tc>
      </w:tr>
      <w:tr>
        <w:tc>
          <w:tcPr>
            <w:tcW w:type="dxa" w:w="4896"/>
          </w:tcPr>
          <w:p>
            <w:r/>
            <w:r>
              <w:rPr>
                <w:sz w:val="18"/>
              </w:rPr>
              <w:t>3</w:t>
            </w:r>
          </w:p>
        </w:tc>
        <w:tc>
          <w:tcPr>
            <w:tcW w:type="dxa" w:w="4896"/>
          </w:tcPr>
          <w:p>
            <w:r/>
            <w:r>
              <w:rPr>
                <w:sz w:val="18"/>
              </w:rPr>
              <w:t>Targeted single-gene or small-panel testing only</w:t>
            </w:r>
          </w:p>
        </w:tc>
      </w:tr>
      <w:tr>
        <w:tc>
          <w:tcPr>
            <w:tcW w:type="dxa" w:w="4896"/>
          </w:tcPr>
          <w:p>
            <w:r/>
            <w:r>
              <w:rPr>
                <w:sz w:val="18"/>
              </w:rPr>
              <w:t>4</w:t>
            </w:r>
          </w:p>
        </w:tc>
        <w:tc>
          <w:tcPr>
            <w:tcW w:type="dxa" w:w="4896"/>
          </w:tcPr>
          <w:p>
            <w:r/>
            <w:r>
              <w:rPr>
                <w:sz w:val="18"/>
              </w:rPr>
              <w:t>Testing depends on the payer or the specific product's CDx</w:t>
            </w:r>
          </w:p>
        </w:tc>
      </w:tr>
      <w:tr>
        <w:tc>
          <w:tcPr>
            <w:tcW w:type="dxa" w:w="4896"/>
          </w:tcPr>
          <w:p>
            <w:r/>
            <w:r>
              <w:rPr>
                <w:sz w:val="18"/>
              </w:rPr>
              <w:t>5</w:t>
            </w:r>
          </w:p>
        </w:tc>
        <w:tc>
          <w:tcPr>
            <w:tcW w:type="dxa" w:w="4896"/>
          </w:tcPr>
          <w:p>
            <w:r/>
            <w:r>
              <w:rPr>
                <w:sz w:val="18"/>
              </w:rPr>
              <w:t>Testing is ordered but treatment often starts before results return</w:t>
            </w:r>
          </w:p>
        </w:tc>
      </w:tr>
      <w:tr>
        <w:tc>
          <w:tcPr>
            <w:tcW w:type="dxa" w:w="4896"/>
          </w:tcPr>
          <w:p>
            <w:r/>
            <w:r>
              <w:rPr>
                <w:sz w:val="18"/>
              </w:rPr>
              <w:t>6</w:t>
            </w:r>
          </w:p>
        </w:tc>
        <w:tc>
          <w:tcPr>
            <w:tcW w:type="dxa" w:w="4896"/>
          </w:tcPr>
          <w:p>
            <w:r/>
            <w:r>
              <w:rPr>
                <w:sz w:val="18"/>
              </w:rPr>
              <w:t>We rarely test in this line</w:t>
            </w:r>
          </w:p>
        </w:tc>
      </w:tr>
      <w:tr>
        <w:tc>
          <w:tcPr>
            <w:tcW w:type="dxa" w:w="4896"/>
          </w:tcPr>
          <w:p>
            <w:r/>
            <w:r>
              <w:rPr>
                <w:sz w:val="18"/>
              </w:rPr>
              <w:t>7</w:t>
            </w:r>
          </w:p>
        </w:tc>
        <w:tc>
          <w:tcPr>
            <w:tcW w:type="dxa" w:w="4896"/>
          </w:tcPr>
          <w:p>
            <w:r/>
            <w:r>
              <w:rPr>
                <w:sz w:val="18"/>
              </w:rPr>
              <w:t>Other (specify)</w:t>
            </w:r>
          </w:p>
        </w:tc>
      </w:tr>
    </w:tbl>
    <w:p>
      <w:pPr>
        <w:spacing w:after="40"/>
      </w:pPr>
    </w:p>
    <w:p>
      <w:r>
        <w:rPr>
          <w:b/>
        </w:rPr>
        <w:t>Q9b — If a therapy required a companion diagnostic with a 10-business-day turnaround, how would that affect your use of it?</w:t>
      </w:r>
      <w:r>
        <w:t xml:space="preserve"> </w:t>
      </w:r>
      <w:r>
        <w:rPr>
          <w:i/>
        </w:rPr>
        <w:t>Single select: would not affect / would delay but not prevent / would limit to a subset of patients / would prevent me from using it.</w:t>
      </w:r>
    </w:p>
    <w:p>
      <w:r>
        <w:rPr>
          <w:b/>
        </w:rPr>
        <w:t>Why we ask:</w:t>
      </w:r>
      <w:r>
        <w:t xml:space="preserve"> the conjoint varies diagnostic turnaround as an attribute. This question establishes whether that attribute reflects a real operational constraint in the respondent's own workflow, which is what makes the conjoint estimate credible rather than hypothetical.</w:t>
      </w:r>
    </w:p>
    <w:p>
      <w:pPr>
        <w:spacing w:before="80" w:after="80"/>
      </w:pPr>
    </w:p>
    <w:p>
      <w:pPr>
        <w:spacing w:before="240" w:after="120"/>
      </w:pPr>
      <w:r>
        <w:rPr>
          <w:b/>
          <w:color w:val="0B4F6C"/>
          <w:sz w:val="24"/>
        </w:rPr>
        <w:t>SECTION C — CONCEPT AND DEMAND</w:t>
      </w:r>
    </w:p>
    <w:p>
      <w:r>
        <w:rPr>
          <w:i/>
        </w:rPr>
        <w:t>The following questions are asked after exposure to the target product profile. Present a blinded TPP card — mechanism, pivotal trial design, headline efficacy, safety summary, administration, and CDx requirement — with no brand name and no sponsor identification. Hold the card on screen; allow it to be re-opened throughout Sections C and D.</w:t>
      </w:r>
    </w:p>
    <w:p>
      <w:pPr>
        <w:spacing w:before="80" w:after="80"/>
      </w:pPr>
    </w:p>
    <w:p>
      <w:pPr>
        <w:keepNext/>
        <w:spacing w:before="280" w:after="80"/>
      </w:pPr>
      <w:r>
        <w:rPr>
          <w:b/>
          <w:color w:val="1A1A1A"/>
          <w:sz w:val="21"/>
        </w:rPr>
        <w:t>Q10. Having reviewed the product profile, please indicate your agreement with each statement.</w:t>
      </w:r>
    </w:p>
    <w:p>
      <w:r>
        <w:rPr>
          <w:i/>
        </w:rPr>
        <w:t>Rate each 1–7: 1 = strongly disagree, 7 = strongly agree.</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w:t>
            </w:r>
          </w:p>
        </w:tc>
        <w:tc>
          <w:tcPr>
            <w:tcW w:type="dxa" w:w="4896"/>
            <w:shd w:val="clear" w:fill="0B4F6C"/>
          </w:tcPr>
          <w:p>
            <w:r/>
            <w:r>
              <w:rPr>
                <w:b/>
                <w:color w:val="FFFFFF"/>
                <w:sz w:val="18"/>
              </w:rPr>
              <w:t>Statement</w:t>
            </w:r>
          </w:p>
        </w:tc>
      </w:tr>
      <w:tr>
        <w:tc>
          <w:tcPr>
            <w:tcW w:type="dxa" w:w="4896"/>
          </w:tcPr>
          <w:p>
            <w:r/>
            <w:r>
              <w:rPr>
                <w:sz w:val="18"/>
              </w:rPr>
              <w:t>a</w:t>
            </w:r>
          </w:p>
        </w:tc>
        <w:tc>
          <w:tcPr>
            <w:tcW w:type="dxa" w:w="4896"/>
          </w:tcPr>
          <w:p>
            <w:r/>
            <w:r>
              <w:rPr>
                <w:sz w:val="18"/>
              </w:rPr>
              <w:t>I understand clearly how this product works</w:t>
            </w:r>
          </w:p>
        </w:tc>
      </w:tr>
      <w:tr>
        <w:tc>
          <w:tcPr>
            <w:tcW w:type="dxa" w:w="4896"/>
          </w:tcPr>
          <w:p>
            <w:r/>
            <w:r>
              <w:rPr>
                <w:sz w:val="18"/>
              </w:rPr>
              <w:t>b</w:t>
            </w:r>
          </w:p>
        </w:tc>
        <w:tc>
          <w:tcPr>
            <w:tcW w:type="dxa" w:w="4896"/>
          </w:tcPr>
          <w:p>
            <w:r/>
            <w:r>
              <w:rPr>
                <w:sz w:val="18"/>
              </w:rPr>
              <w:t>The efficacy results reported are believable given the mechanism</w:t>
            </w:r>
          </w:p>
        </w:tc>
      </w:tr>
      <w:tr>
        <w:tc>
          <w:tcPr>
            <w:tcW w:type="dxa" w:w="4896"/>
          </w:tcPr>
          <w:p>
            <w:r/>
            <w:r>
              <w:rPr>
                <w:sz w:val="18"/>
              </w:rPr>
              <w:t>c</w:t>
            </w:r>
          </w:p>
        </w:tc>
        <w:tc>
          <w:tcPr>
            <w:tcW w:type="dxa" w:w="4896"/>
          </w:tcPr>
          <w:p>
            <w:r/>
            <w:r>
              <w:rPr>
                <w:sz w:val="18"/>
              </w:rPr>
              <w:t>The safety profile is acceptable for the severity of this disease</w:t>
            </w:r>
          </w:p>
        </w:tc>
      </w:tr>
      <w:tr>
        <w:tc>
          <w:tcPr>
            <w:tcW w:type="dxa" w:w="4896"/>
          </w:tcPr>
          <w:p>
            <w:r/>
            <w:r>
              <w:rPr>
                <w:sz w:val="18"/>
              </w:rPr>
              <w:t>d</w:t>
            </w:r>
          </w:p>
        </w:tc>
        <w:tc>
          <w:tcPr>
            <w:tcW w:type="dxa" w:w="4896"/>
          </w:tcPr>
          <w:p>
            <w:r/>
            <w:r>
              <w:rPr>
                <w:sz w:val="18"/>
              </w:rPr>
              <w:t>The pivotal trial population resembles the patients I actually treat</w:t>
            </w:r>
          </w:p>
        </w:tc>
      </w:tr>
      <w:tr>
        <w:tc>
          <w:tcPr>
            <w:tcW w:type="dxa" w:w="4896"/>
          </w:tcPr>
          <w:p>
            <w:r/>
            <w:r>
              <w:rPr>
                <w:sz w:val="18"/>
              </w:rPr>
              <w:t>e</w:t>
            </w:r>
          </w:p>
        </w:tc>
        <w:tc>
          <w:tcPr>
            <w:tcW w:type="dxa" w:w="4896"/>
          </w:tcPr>
          <w:p>
            <w:r/>
            <w:r>
              <w:rPr>
                <w:sz w:val="18"/>
              </w:rPr>
              <w:t>This product would fill a gap that currently exists in my practice</w:t>
            </w:r>
          </w:p>
        </w:tc>
      </w:tr>
      <w:tr>
        <w:tc>
          <w:tcPr>
            <w:tcW w:type="dxa" w:w="4896"/>
          </w:tcPr>
          <w:p>
            <w:r/>
            <w:r>
              <w:rPr>
                <w:sz w:val="18"/>
              </w:rPr>
              <w:t>f</w:t>
            </w:r>
          </w:p>
        </w:tc>
        <w:tc>
          <w:tcPr>
            <w:tcW w:type="dxa" w:w="4896"/>
          </w:tcPr>
          <w:p>
            <w:r/>
            <w:r>
              <w:rPr>
                <w:sz w:val="18"/>
              </w:rPr>
              <w:t>I would feel confident explaining the benefit-risk profile to a patient</w:t>
            </w:r>
          </w:p>
        </w:tc>
      </w:tr>
    </w:tbl>
    <w:p>
      <w:pPr>
        <w:spacing w:after="40"/>
      </w:pPr>
    </w:p>
    <w:p>
      <w:r>
        <w:rPr>
          <w:b/>
        </w:rPr>
        <w:t>Analysis:</w:t>
      </w:r>
      <w:r>
        <w:t xml:space="preserve"> (a) and (b) are the comprehension and believability gates. If believability scores low, the concept itself must be repositioned before launch messaging is built — no amount of field force fixes a profile oncologists do not credit. Statements (d) and (e) separate "interesting science" from "relevant to my book," which is the distinction that predicts actual uptake.</w:t>
      </w:r>
    </w:p>
    <w:p>
      <w:pPr>
        <w:spacing w:before="80" w:after="80"/>
      </w:pPr>
    </w:p>
    <w:p>
      <w:pPr>
        <w:keepNext/>
        <w:spacing w:before="280" w:after="80"/>
      </w:pPr>
      <w:r>
        <w:rPr>
          <w:b/>
          <w:color w:val="1A1A1A"/>
          <w:sz w:val="21"/>
        </w:rPr>
        <w:t>Q11. Compared with the current standard of care in this setting, how would you rate this product on each dimension?</w:t>
      </w:r>
    </w:p>
    <w:p>
      <w:r>
        <w:rPr>
          <w:i/>
        </w:rPr>
        <w:t>Semantic differential, 1–7 per row.</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0B4F6C"/>
          </w:tcPr>
          <w:p>
            <w:r/>
            <w:r>
              <w:rPr>
                <w:b/>
                <w:color w:val="FFFFFF"/>
                <w:sz w:val="18"/>
              </w:rPr>
              <w:t>Dimension</w:t>
            </w:r>
          </w:p>
        </w:tc>
        <w:tc>
          <w:tcPr>
            <w:tcW w:type="dxa" w:w="3264"/>
            <w:shd w:val="clear" w:fill="0B4F6C"/>
          </w:tcPr>
          <w:p>
            <w:r/>
            <w:r>
              <w:rPr>
                <w:b/>
                <w:color w:val="FFFFFF"/>
                <w:sz w:val="18"/>
              </w:rPr>
              <w:t>1</w:t>
            </w:r>
          </w:p>
        </w:tc>
        <w:tc>
          <w:tcPr>
            <w:tcW w:type="dxa" w:w="3264"/>
            <w:shd w:val="clear" w:fill="0B4F6C"/>
          </w:tcPr>
          <w:p>
            <w:r/>
            <w:r>
              <w:rPr>
                <w:b/>
                <w:color w:val="FFFFFF"/>
                <w:sz w:val="18"/>
              </w:rPr>
              <w:t>7</w:t>
            </w:r>
          </w:p>
        </w:tc>
      </w:tr>
      <w:tr>
        <w:tc>
          <w:tcPr>
            <w:tcW w:type="dxa" w:w="3264"/>
          </w:tcPr>
          <w:p>
            <w:r/>
            <w:r>
              <w:rPr>
                <w:sz w:val="18"/>
              </w:rPr>
              <w:t>Efficacy</w:t>
            </w:r>
          </w:p>
        </w:tc>
        <w:tc>
          <w:tcPr>
            <w:tcW w:type="dxa" w:w="3264"/>
          </w:tcPr>
          <w:p>
            <w:r/>
            <w:r>
              <w:rPr>
                <w:sz w:val="18"/>
              </w:rPr>
              <w:t>Much worse</w:t>
            </w:r>
          </w:p>
        </w:tc>
        <w:tc>
          <w:tcPr>
            <w:tcW w:type="dxa" w:w="3264"/>
          </w:tcPr>
          <w:p>
            <w:r/>
            <w:r>
              <w:rPr>
                <w:sz w:val="18"/>
              </w:rPr>
              <w:t>Much better</w:t>
            </w:r>
          </w:p>
        </w:tc>
      </w:tr>
      <w:tr>
        <w:tc>
          <w:tcPr>
            <w:tcW w:type="dxa" w:w="3264"/>
          </w:tcPr>
          <w:p>
            <w:r/>
            <w:r>
              <w:rPr>
                <w:sz w:val="18"/>
              </w:rPr>
              <w:t>Speed of onset</w:t>
            </w:r>
          </w:p>
        </w:tc>
        <w:tc>
          <w:tcPr>
            <w:tcW w:type="dxa" w:w="3264"/>
          </w:tcPr>
          <w:p>
            <w:r/>
            <w:r>
              <w:rPr>
                <w:sz w:val="18"/>
              </w:rPr>
              <w:t>Much slower</w:t>
            </w:r>
          </w:p>
        </w:tc>
        <w:tc>
          <w:tcPr>
            <w:tcW w:type="dxa" w:w="3264"/>
          </w:tcPr>
          <w:p>
            <w:r/>
            <w:r>
              <w:rPr>
                <w:sz w:val="18"/>
              </w:rPr>
              <w:t>Much faster</w:t>
            </w:r>
          </w:p>
        </w:tc>
      </w:tr>
      <w:tr>
        <w:tc>
          <w:tcPr>
            <w:tcW w:type="dxa" w:w="3264"/>
          </w:tcPr>
          <w:p>
            <w:r/>
            <w:r>
              <w:rPr>
                <w:sz w:val="18"/>
              </w:rPr>
              <w:t>Durability of benefit</w:t>
            </w:r>
          </w:p>
        </w:tc>
        <w:tc>
          <w:tcPr>
            <w:tcW w:type="dxa" w:w="3264"/>
          </w:tcPr>
          <w:p>
            <w:r/>
            <w:r>
              <w:rPr>
                <w:sz w:val="18"/>
              </w:rPr>
              <w:t>Much shorter</w:t>
            </w:r>
          </w:p>
        </w:tc>
        <w:tc>
          <w:tcPr>
            <w:tcW w:type="dxa" w:w="3264"/>
          </w:tcPr>
          <w:p>
            <w:r/>
            <w:r>
              <w:rPr>
                <w:sz w:val="18"/>
              </w:rPr>
              <w:t>Much longer</w:t>
            </w:r>
          </w:p>
        </w:tc>
      </w:tr>
      <w:tr>
        <w:tc>
          <w:tcPr>
            <w:tcW w:type="dxa" w:w="3264"/>
          </w:tcPr>
          <w:p>
            <w:r/>
            <w:r>
              <w:rPr>
                <w:sz w:val="18"/>
              </w:rPr>
              <w:t>Tolerability</w:t>
            </w:r>
          </w:p>
        </w:tc>
        <w:tc>
          <w:tcPr>
            <w:tcW w:type="dxa" w:w="3264"/>
          </w:tcPr>
          <w:p>
            <w:r/>
            <w:r>
              <w:rPr>
                <w:sz w:val="18"/>
              </w:rPr>
              <w:t>Much worse</w:t>
            </w:r>
          </w:p>
        </w:tc>
        <w:tc>
          <w:tcPr>
            <w:tcW w:type="dxa" w:w="3264"/>
          </w:tcPr>
          <w:p>
            <w:r/>
            <w:r>
              <w:rPr>
                <w:sz w:val="18"/>
              </w:rPr>
              <w:t>Much better</w:t>
            </w:r>
          </w:p>
        </w:tc>
      </w:tr>
      <w:tr>
        <w:tc>
          <w:tcPr>
            <w:tcW w:type="dxa" w:w="3264"/>
          </w:tcPr>
          <w:p>
            <w:r/>
            <w:r>
              <w:rPr>
                <w:sz w:val="18"/>
              </w:rPr>
              <w:t>Convenience for the patient</w:t>
            </w:r>
          </w:p>
        </w:tc>
        <w:tc>
          <w:tcPr>
            <w:tcW w:type="dxa" w:w="3264"/>
          </w:tcPr>
          <w:p>
            <w:r/>
            <w:r>
              <w:rPr>
                <w:sz w:val="18"/>
              </w:rPr>
              <w:t>Much worse</w:t>
            </w:r>
          </w:p>
        </w:tc>
        <w:tc>
          <w:tcPr>
            <w:tcW w:type="dxa" w:w="3264"/>
          </w:tcPr>
          <w:p>
            <w:r/>
            <w:r>
              <w:rPr>
                <w:sz w:val="18"/>
              </w:rPr>
              <w:t>Much better</w:t>
            </w:r>
          </w:p>
        </w:tc>
      </w:tr>
      <w:tr>
        <w:tc>
          <w:tcPr>
            <w:tcW w:type="dxa" w:w="3264"/>
          </w:tcPr>
          <w:p>
            <w:r/>
            <w:r>
              <w:rPr>
                <w:sz w:val="18"/>
              </w:rPr>
              <w:t>Operational burden on my practice</w:t>
            </w:r>
          </w:p>
        </w:tc>
        <w:tc>
          <w:tcPr>
            <w:tcW w:type="dxa" w:w="3264"/>
          </w:tcPr>
          <w:p>
            <w:r/>
            <w:r>
              <w:rPr>
                <w:sz w:val="18"/>
              </w:rPr>
              <w:t>Much higher</w:t>
            </w:r>
          </w:p>
        </w:tc>
        <w:tc>
          <w:tcPr>
            <w:tcW w:type="dxa" w:w="3264"/>
          </w:tcPr>
          <w:p>
            <w:r/>
            <w:r>
              <w:rPr>
                <w:sz w:val="18"/>
              </w:rPr>
              <w:t>Much lower</w:t>
            </w:r>
          </w:p>
        </w:tc>
      </w:tr>
      <w:tr>
        <w:tc>
          <w:tcPr>
            <w:tcW w:type="dxa" w:w="3264"/>
          </w:tcPr>
          <w:p>
            <w:r/>
            <w:r>
              <w:rPr>
                <w:sz w:val="18"/>
              </w:rPr>
              <w:t>Overall clinical value</w:t>
            </w:r>
          </w:p>
        </w:tc>
        <w:tc>
          <w:tcPr>
            <w:tcW w:type="dxa" w:w="3264"/>
          </w:tcPr>
          <w:p>
            <w:r/>
            <w:r>
              <w:rPr>
                <w:sz w:val="18"/>
              </w:rPr>
              <w:t>Much lower</w:t>
            </w:r>
          </w:p>
        </w:tc>
        <w:tc>
          <w:tcPr>
            <w:tcW w:type="dxa" w:w="3264"/>
          </w:tcPr>
          <w:p>
            <w:r/>
            <w:r>
              <w:rPr>
                <w:sz w:val="18"/>
              </w:rPr>
              <w:t>Much higher</w:t>
            </w:r>
          </w:p>
        </w:tc>
      </w:tr>
    </w:tbl>
    <w:p>
      <w:pPr>
        <w:spacing w:after="40"/>
      </w:pPr>
    </w:p>
    <w:p>
      <w:r>
        <w:rPr>
          <w:b/>
        </w:rPr>
        <w:t>Analysis:</w:t>
      </w:r>
      <w:r>
        <w:t xml:space="preserve"> the "operational burden" row is the sleeper variable in oncology launches. It is rarely measured and routinely predicts community adoption better than efficacy does, because community practices are capacity-constrained in ways academic centres are not.</w:t>
      </w:r>
    </w:p>
    <w:p>
      <w:pPr>
        <w:spacing w:before="80" w:after="80"/>
      </w:pPr>
    </w:p>
    <w:p>
      <w:pPr>
        <w:keepNext/>
        <w:spacing w:before="280" w:after="80"/>
      </w:pPr>
      <w:r>
        <w:rPr>
          <w:b/>
          <w:color w:val="1A1A1A"/>
          <w:sz w:val="21"/>
        </w:rPr>
        <w:t>Q12. If this product launched today and were available on formulary, what is the likelihood you would prescribe it?</w:t>
      </w:r>
    </w:p>
    <w:p>
      <w:r>
        <w:rPr>
          <w:i/>
        </w:rPr>
        <w:t>Single select, then quantification.</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Code</w:t>
            </w:r>
          </w:p>
        </w:tc>
        <w:tc>
          <w:tcPr>
            <w:tcW w:type="dxa" w:w="4896"/>
            <w:shd w:val="clear" w:fill="0B4F6C"/>
          </w:tcPr>
          <w:p>
            <w:r/>
            <w:r>
              <w:rPr>
                <w:b/>
                <w:color w:val="FFFFFF"/>
                <w:sz w:val="18"/>
              </w:rPr>
              <w:t>Response</w:t>
            </w:r>
          </w:p>
        </w:tc>
      </w:tr>
      <w:tr>
        <w:tc>
          <w:tcPr>
            <w:tcW w:type="dxa" w:w="4896"/>
          </w:tcPr>
          <w:p>
            <w:r/>
            <w:r>
              <w:rPr>
                <w:sz w:val="18"/>
              </w:rPr>
              <w:t>5</w:t>
            </w:r>
          </w:p>
        </w:tc>
        <w:tc>
          <w:tcPr>
            <w:tcW w:type="dxa" w:w="4896"/>
          </w:tcPr>
          <w:p>
            <w:r/>
            <w:r>
              <w:rPr>
                <w:sz w:val="18"/>
              </w:rPr>
              <w:t>I would definitely prescribe it</w:t>
            </w:r>
          </w:p>
        </w:tc>
      </w:tr>
      <w:tr>
        <w:tc>
          <w:tcPr>
            <w:tcW w:type="dxa" w:w="4896"/>
          </w:tcPr>
          <w:p>
            <w:r/>
            <w:r>
              <w:rPr>
                <w:sz w:val="18"/>
              </w:rPr>
              <w:t>4</w:t>
            </w:r>
          </w:p>
        </w:tc>
        <w:tc>
          <w:tcPr>
            <w:tcW w:type="dxa" w:w="4896"/>
          </w:tcPr>
          <w:p>
            <w:r/>
            <w:r>
              <w:rPr>
                <w:sz w:val="18"/>
              </w:rPr>
              <w:t>I would probably prescribe it</w:t>
            </w:r>
          </w:p>
        </w:tc>
      </w:tr>
      <w:tr>
        <w:tc>
          <w:tcPr>
            <w:tcW w:type="dxa" w:w="4896"/>
          </w:tcPr>
          <w:p>
            <w:r/>
            <w:r>
              <w:rPr>
                <w:sz w:val="18"/>
              </w:rPr>
              <w:t>3</w:t>
            </w:r>
          </w:p>
        </w:tc>
        <w:tc>
          <w:tcPr>
            <w:tcW w:type="dxa" w:w="4896"/>
          </w:tcPr>
          <w:p>
            <w:r/>
            <w:r>
              <w:rPr>
                <w:sz w:val="18"/>
              </w:rPr>
              <w:t>I am not sure</w:t>
            </w:r>
          </w:p>
        </w:tc>
      </w:tr>
      <w:tr>
        <w:tc>
          <w:tcPr>
            <w:tcW w:type="dxa" w:w="4896"/>
          </w:tcPr>
          <w:p>
            <w:r/>
            <w:r>
              <w:rPr>
                <w:sz w:val="18"/>
              </w:rPr>
              <w:t>2</w:t>
            </w:r>
          </w:p>
        </w:tc>
        <w:tc>
          <w:tcPr>
            <w:tcW w:type="dxa" w:w="4896"/>
          </w:tcPr>
          <w:p>
            <w:r/>
            <w:r>
              <w:rPr>
                <w:sz w:val="18"/>
              </w:rPr>
              <w:t>I would probably not prescribe it</w:t>
            </w:r>
          </w:p>
        </w:tc>
      </w:tr>
      <w:tr>
        <w:tc>
          <w:tcPr>
            <w:tcW w:type="dxa" w:w="4896"/>
          </w:tcPr>
          <w:p>
            <w:r/>
            <w:r>
              <w:rPr>
                <w:sz w:val="18"/>
              </w:rPr>
              <w:t>1</w:t>
            </w:r>
          </w:p>
        </w:tc>
        <w:tc>
          <w:tcPr>
            <w:tcW w:type="dxa" w:w="4896"/>
          </w:tcPr>
          <w:p>
            <w:r/>
            <w:r>
              <w:rPr>
                <w:sz w:val="18"/>
              </w:rPr>
              <w:t>I would definitely not prescribe it</w:t>
            </w:r>
          </w:p>
        </w:tc>
      </w:tr>
    </w:tbl>
    <w:p>
      <w:pPr>
        <w:spacing w:after="40"/>
      </w:pPr>
    </w:p>
    <w:p>
      <w:r>
        <w:rPr>
          <w:b/>
        </w:rPr>
        <w:t>Q12b — Thinking about your eligible patients over the next 12 months, what percentage would you expect to receive this product?</w:t>
      </w:r>
      <w:r>
        <w:t xml:space="preserve"> </w:t>
      </w:r>
      <w:r>
        <w:rPr>
          <w:i/>
        </w:rPr>
        <w:t>Numeric 0–100%.</w:t>
      </w:r>
    </w:p>
    <w:p>
      <w:r>
        <w:rPr>
          <w:b/>
        </w:rPr>
        <w:t>Q12c — How long after launch would it take you to prescribe it for the first time?</w:t>
      </w:r>
      <w:r>
        <w:t xml:space="preserve"> </w:t>
      </w:r>
      <w:r>
        <w:rPr>
          <w:i/>
        </w:rPr>
        <w:t>Single select: within 1 month / 1–3 months / 3–6 months / 6–12 months / more than 12 months / never.</w:t>
      </w:r>
    </w:p>
    <w:p>
      <w:r>
        <w:rPr>
          <w:b/>
        </w:rPr>
        <w:t>Analysis:</w:t>
      </w:r>
      <w:r>
        <w:t xml:space="preserve"> top-2-box on Q12 is the headline intent metric. Q12b is the volume-forecast input and must be collected as a percentage rather than a category, because categories cluster at the anchors and flatten the forecast. Q12c sizes the ramp and sets the field-force coverage cadence.</w:t>
      </w:r>
    </w:p>
    <w:p>
      <w:pPr>
        <w:spacing w:before="80" w:after="80"/>
      </w:pPr>
    </w:p>
    <w:p>
      <w:pPr>
        <w:keepNext/>
        <w:spacing w:before="280" w:after="80"/>
      </w:pPr>
      <w:r>
        <w:rPr>
          <w:b/>
          <w:color w:val="1A1A1A"/>
          <w:sz w:val="21"/>
        </w:rPr>
        <w:t>Q13. Attention check — to confirm you are still with us, please select "Somewhat likely" for this question.</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Code</w:t>
            </w:r>
          </w:p>
        </w:tc>
        <w:tc>
          <w:tcPr>
            <w:tcW w:type="dxa" w:w="4896"/>
            <w:shd w:val="clear" w:fill="0B4F6C"/>
          </w:tcPr>
          <w:p>
            <w:r/>
            <w:r>
              <w:rPr>
                <w:b/>
                <w:color w:val="FFFFFF"/>
                <w:sz w:val="18"/>
              </w:rPr>
              <w:t>Response</w:t>
            </w:r>
          </w:p>
        </w:tc>
      </w:tr>
      <w:tr>
        <w:tc>
          <w:tcPr>
            <w:tcW w:type="dxa" w:w="4896"/>
          </w:tcPr>
          <w:p>
            <w:r/>
            <w:r>
              <w:rPr>
                <w:sz w:val="18"/>
              </w:rPr>
              <w:t>1</w:t>
            </w:r>
          </w:p>
        </w:tc>
        <w:tc>
          <w:tcPr>
            <w:tcW w:type="dxa" w:w="4896"/>
          </w:tcPr>
          <w:p>
            <w:r/>
            <w:r>
              <w:rPr>
                <w:sz w:val="18"/>
              </w:rPr>
              <w:t>Very likely</w:t>
            </w:r>
          </w:p>
        </w:tc>
      </w:tr>
      <w:tr>
        <w:tc>
          <w:tcPr>
            <w:tcW w:type="dxa" w:w="4896"/>
          </w:tcPr>
          <w:p>
            <w:r/>
            <w:r>
              <w:rPr>
                <w:sz w:val="18"/>
              </w:rPr>
              <w:t>2</w:t>
            </w:r>
          </w:p>
        </w:tc>
        <w:tc>
          <w:tcPr>
            <w:tcW w:type="dxa" w:w="4896"/>
          </w:tcPr>
          <w:p>
            <w:r/>
            <w:r>
              <w:rPr>
                <w:sz w:val="18"/>
              </w:rPr>
              <w:t>Somewhat likely</w:t>
            </w:r>
          </w:p>
        </w:tc>
      </w:tr>
      <w:tr>
        <w:tc>
          <w:tcPr>
            <w:tcW w:type="dxa" w:w="4896"/>
          </w:tcPr>
          <w:p>
            <w:r/>
            <w:r>
              <w:rPr>
                <w:sz w:val="18"/>
              </w:rPr>
              <w:t>3</w:t>
            </w:r>
          </w:p>
        </w:tc>
        <w:tc>
          <w:tcPr>
            <w:tcW w:type="dxa" w:w="4896"/>
          </w:tcPr>
          <w:p>
            <w:r/>
            <w:r>
              <w:rPr>
                <w:sz w:val="18"/>
              </w:rPr>
              <w:t>Neither likely nor unlikely</w:t>
            </w:r>
          </w:p>
        </w:tc>
      </w:tr>
      <w:tr>
        <w:tc>
          <w:tcPr>
            <w:tcW w:type="dxa" w:w="4896"/>
          </w:tcPr>
          <w:p>
            <w:r/>
            <w:r>
              <w:rPr>
                <w:sz w:val="18"/>
              </w:rPr>
              <w:t>4</w:t>
            </w:r>
          </w:p>
        </w:tc>
        <w:tc>
          <w:tcPr>
            <w:tcW w:type="dxa" w:w="4896"/>
          </w:tcPr>
          <w:p>
            <w:r/>
            <w:r>
              <w:rPr>
                <w:sz w:val="18"/>
              </w:rPr>
              <w:t>Somewhat unlikely</w:t>
            </w:r>
          </w:p>
        </w:tc>
      </w:tr>
      <w:tr>
        <w:tc>
          <w:tcPr>
            <w:tcW w:type="dxa" w:w="4896"/>
          </w:tcPr>
          <w:p>
            <w:r/>
            <w:r>
              <w:rPr>
                <w:sz w:val="18"/>
              </w:rPr>
              <w:t>5</w:t>
            </w:r>
          </w:p>
        </w:tc>
        <w:tc>
          <w:tcPr>
            <w:tcW w:type="dxa" w:w="4896"/>
          </w:tcPr>
          <w:p>
            <w:r/>
            <w:r>
              <w:rPr>
                <w:sz w:val="18"/>
              </w:rPr>
              <w:t>Very unlikely</w:t>
            </w:r>
          </w:p>
        </w:tc>
      </w:tr>
    </w:tbl>
    <w:p>
      <w:pPr>
        <w:spacing w:after="40"/>
      </w:pPr>
    </w:p>
    <w:p>
      <w:r>
        <w:rPr>
          <w:i/>
        </w:rPr>
        <w:t>Flag only; do not terminate. Failure is a data-quality covariate in the analysis.</w:t>
      </w:r>
    </w:p>
    <w:p>
      <w:pPr>
        <w:spacing w:before="80" w:after="80"/>
      </w:pPr>
    </w:p>
    <w:p>
      <w:pPr>
        <w:keepNext/>
        <w:spacing w:before="280" w:after="80"/>
      </w:pPr>
      <w:r>
        <w:rPr>
          <w:b/>
          <w:color w:val="1A1A1A"/>
          <w:sz w:val="21"/>
        </w:rPr>
        <w:t>Q14. In which line of therapy or clinical setting would you most likely position this product first?</w:t>
      </w:r>
    </w:p>
    <w:p>
      <w:r>
        <w:rPr>
          <w:i/>
        </w:rPr>
        <w:t>Single select, then rank.</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Code</w:t>
            </w:r>
          </w:p>
        </w:tc>
        <w:tc>
          <w:tcPr>
            <w:tcW w:type="dxa" w:w="4896"/>
            <w:shd w:val="clear" w:fill="0B4F6C"/>
          </w:tcPr>
          <w:p>
            <w:r/>
            <w:r>
              <w:rPr>
                <w:b/>
                <w:color w:val="FFFFFF"/>
                <w:sz w:val="18"/>
              </w:rPr>
              <w:t>Response</w:t>
            </w:r>
          </w:p>
        </w:tc>
      </w:tr>
      <w:tr>
        <w:tc>
          <w:tcPr>
            <w:tcW w:type="dxa" w:w="4896"/>
          </w:tcPr>
          <w:p>
            <w:r/>
            <w:r>
              <w:rPr>
                <w:sz w:val="18"/>
              </w:rPr>
              <w:t>1</w:t>
            </w:r>
          </w:p>
        </w:tc>
        <w:tc>
          <w:tcPr>
            <w:tcW w:type="dxa" w:w="4896"/>
          </w:tcPr>
          <w:p>
            <w:r/>
            <w:r>
              <w:rPr>
                <w:sz w:val="18"/>
              </w:rPr>
              <w:t>First line, all-comers</w:t>
            </w:r>
          </w:p>
        </w:tc>
      </w:tr>
      <w:tr>
        <w:tc>
          <w:tcPr>
            <w:tcW w:type="dxa" w:w="4896"/>
          </w:tcPr>
          <w:p>
            <w:r/>
            <w:r>
              <w:rPr>
                <w:sz w:val="18"/>
              </w:rPr>
              <w:t>2</w:t>
            </w:r>
          </w:p>
        </w:tc>
        <w:tc>
          <w:tcPr>
            <w:tcW w:type="dxa" w:w="4896"/>
          </w:tcPr>
          <w:p>
            <w:r/>
            <w:r>
              <w:rPr>
                <w:sz w:val="18"/>
              </w:rPr>
              <w:t>First line, biomarker-selected only</w:t>
            </w:r>
          </w:p>
        </w:tc>
      </w:tr>
      <w:tr>
        <w:tc>
          <w:tcPr>
            <w:tcW w:type="dxa" w:w="4896"/>
          </w:tcPr>
          <w:p>
            <w:r/>
            <w:r>
              <w:rPr>
                <w:sz w:val="18"/>
              </w:rPr>
              <w:t>3</w:t>
            </w:r>
          </w:p>
        </w:tc>
        <w:tc>
          <w:tcPr>
            <w:tcW w:type="dxa" w:w="4896"/>
          </w:tcPr>
          <w:p>
            <w:r/>
            <w:r>
              <w:rPr>
                <w:sz w:val="18"/>
              </w:rPr>
              <w:t>Second line, post-progression on prior therapy</w:t>
            </w:r>
          </w:p>
        </w:tc>
      </w:tr>
      <w:tr>
        <w:tc>
          <w:tcPr>
            <w:tcW w:type="dxa" w:w="4896"/>
          </w:tcPr>
          <w:p>
            <w:r/>
            <w:r>
              <w:rPr>
                <w:sz w:val="18"/>
              </w:rPr>
              <w:t>4</w:t>
            </w:r>
          </w:p>
        </w:tc>
        <w:tc>
          <w:tcPr>
            <w:tcW w:type="dxa" w:w="4896"/>
          </w:tcPr>
          <w:p>
            <w:r/>
            <w:r>
              <w:rPr>
                <w:sz w:val="18"/>
              </w:rPr>
              <w:t>Second line, biomarker-selected only</w:t>
            </w:r>
          </w:p>
        </w:tc>
      </w:tr>
      <w:tr>
        <w:tc>
          <w:tcPr>
            <w:tcW w:type="dxa" w:w="4896"/>
          </w:tcPr>
          <w:p>
            <w:r/>
            <w:r>
              <w:rPr>
                <w:sz w:val="18"/>
              </w:rPr>
              <w:t>5</w:t>
            </w:r>
          </w:p>
        </w:tc>
        <w:tc>
          <w:tcPr>
            <w:tcW w:type="dxa" w:w="4896"/>
          </w:tcPr>
          <w:p>
            <w:r/>
            <w:r>
              <w:rPr>
                <w:sz w:val="18"/>
              </w:rPr>
              <w:t>Third line or later</w:t>
            </w:r>
          </w:p>
        </w:tc>
      </w:tr>
      <w:tr>
        <w:tc>
          <w:tcPr>
            <w:tcW w:type="dxa" w:w="4896"/>
          </w:tcPr>
          <w:p>
            <w:r/>
            <w:r>
              <w:rPr>
                <w:sz w:val="18"/>
              </w:rPr>
              <w:t>6</w:t>
            </w:r>
          </w:p>
        </w:tc>
        <w:tc>
          <w:tcPr>
            <w:tcW w:type="dxa" w:w="4896"/>
          </w:tcPr>
          <w:p>
            <w:r/>
            <w:r>
              <w:rPr>
                <w:sz w:val="18"/>
              </w:rPr>
              <w:t>Maintenance / continuation setting</w:t>
            </w:r>
          </w:p>
        </w:tc>
      </w:tr>
      <w:tr>
        <w:tc>
          <w:tcPr>
            <w:tcW w:type="dxa" w:w="4896"/>
          </w:tcPr>
          <w:p>
            <w:r/>
            <w:r>
              <w:rPr>
                <w:sz w:val="18"/>
              </w:rPr>
              <w:t>7</w:t>
            </w:r>
          </w:p>
        </w:tc>
        <w:tc>
          <w:tcPr>
            <w:tcW w:type="dxa" w:w="4896"/>
          </w:tcPr>
          <w:p>
            <w:r/>
            <w:r>
              <w:rPr>
                <w:sz w:val="18"/>
              </w:rPr>
              <w:t>Only in patients who have exhausted other options</w:t>
            </w:r>
          </w:p>
        </w:tc>
      </w:tr>
    </w:tbl>
    <w:p>
      <w:pPr>
        <w:spacing w:after="40"/>
      </w:pPr>
    </w:p>
    <w:p>
      <w:r>
        <w:rPr>
          <w:b/>
        </w:rPr>
        <w:t>Q14b — Rank the three patient types you would treat first</w:t>
      </w:r>
      <w:r>
        <w:t xml:space="preserve"> </w:t>
      </w:r>
      <w:r>
        <w:rPr>
          <w:i/>
        </w:rPr>
        <w:t>(drag-rank from the Q8 patient list).</w:t>
      </w:r>
    </w:p>
    <w:p>
      <w:r>
        <w:rPr>
          <w:b/>
        </w:rPr>
        <w:t>Analysis:</w:t>
      </w:r>
      <w:r>
        <w:t xml:space="preserve"> positioning answers the sequencing question. A product positioned second-line by 60% of respondents requires a different launch architecture — access-led, payer-first — than one positioned first-line, where guideline inclusion and trial readout dominate.</w:t>
      </w:r>
    </w:p>
    <w:p>
      <w:pPr>
        <w:spacing w:before="80" w:after="80"/>
      </w:pPr>
    </w:p>
    <w:p>
      <w:pPr>
        <w:keepNext/>
        <w:spacing w:before="280" w:after="80"/>
      </w:pPr>
      <w:r>
        <w:rPr>
          <w:b/>
          <w:color w:val="1A1A1A"/>
          <w:sz w:val="21"/>
        </w:rPr>
        <w:t>Q15. What would have to be true for you to prescribe this product to a majority of your eligible patients?</w:t>
      </w:r>
    </w:p>
    <w:p>
      <w:r>
        <w:rPr>
          <w:i/>
        </w:rPr>
        <w:t>Select up to 3, then rank your top choice.</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Code</w:t>
            </w:r>
          </w:p>
        </w:tc>
        <w:tc>
          <w:tcPr>
            <w:tcW w:type="dxa" w:w="4896"/>
            <w:shd w:val="clear" w:fill="0B4F6C"/>
          </w:tcPr>
          <w:p>
            <w:r/>
            <w:r>
              <w:rPr>
                <w:b/>
                <w:color w:val="FFFFFF"/>
                <w:sz w:val="18"/>
              </w:rPr>
              <w:t>Requirement</w:t>
            </w:r>
          </w:p>
        </w:tc>
      </w:tr>
      <w:tr>
        <w:tc>
          <w:tcPr>
            <w:tcW w:type="dxa" w:w="4896"/>
          </w:tcPr>
          <w:p>
            <w:r/>
            <w:r>
              <w:rPr>
                <w:sz w:val="18"/>
              </w:rPr>
              <w:t>1</w:t>
            </w:r>
          </w:p>
        </w:tc>
        <w:tc>
          <w:tcPr>
            <w:tcW w:type="dxa" w:w="4896"/>
          </w:tcPr>
          <w:p>
            <w:r/>
            <w:r>
              <w:rPr>
                <w:sz w:val="18"/>
              </w:rPr>
              <w:t>Demonstrated overall survival benefit, not just PFS</w:t>
            </w:r>
          </w:p>
        </w:tc>
      </w:tr>
      <w:tr>
        <w:tc>
          <w:tcPr>
            <w:tcW w:type="dxa" w:w="4896"/>
          </w:tcPr>
          <w:p>
            <w:r/>
            <w:r>
              <w:rPr>
                <w:sz w:val="18"/>
              </w:rPr>
              <w:t>2</w:t>
            </w:r>
          </w:p>
        </w:tc>
        <w:tc>
          <w:tcPr>
            <w:tcW w:type="dxa" w:w="4896"/>
          </w:tcPr>
          <w:p>
            <w:r/>
            <w:r>
              <w:rPr>
                <w:sz w:val="18"/>
              </w:rPr>
              <w:t>Head-to-head data versus [current standard of care]</w:t>
            </w:r>
          </w:p>
        </w:tc>
      </w:tr>
      <w:tr>
        <w:tc>
          <w:tcPr>
            <w:tcW w:type="dxa" w:w="4896"/>
          </w:tcPr>
          <w:p>
            <w:r/>
            <w:r>
              <w:rPr>
                <w:sz w:val="18"/>
              </w:rPr>
              <w:t>3</w:t>
            </w:r>
          </w:p>
        </w:tc>
        <w:tc>
          <w:tcPr>
            <w:tcW w:type="dxa" w:w="4896"/>
          </w:tcPr>
          <w:p>
            <w:r/>
            <w:r>
              <w:rPr>
                <w:sz w:val="18"/>
              </w:rPr>
              <w:t>Real-world evidence in patients like mine</w:t>
            </w:r>
          </w:p>
        </w:tc>
      </w:tr>
      <w:tr>
        <w:tc>
          <w:tcPr>
            <w:tcW w:type="dxa" w:w="4896"/>
          </w:tcPr>
          <w:p>
            <w:r/>
            <w:r>
              <w:rPr>
                <w:sz w:val="18"/>
              </w:rPr>
              <w:t>4</w:t>
            </w:r>
          </w:p>
        </w:tc>
        <w:tc>
          <w:tcPr>
            <w:tcW w:type="dxa" w:w="4896"/>
          </w:tcPr>
          <w:p>
            <w:r/>
            <w:r>
              <w:rPr>
                <w:sz w:val="18"/>
              </w:rPr>
              <w:t>Inclusion in NCCN guidelines</w:t>
            </w:r>
          </w:p>
        </w:tc>
      </w:tr>
      <w:tr>
        <w:tc>
          <w:tcPr>
            <w:tcW w:type="dxa" w:w="4896"/>
          </w:tcPr>
          <w:p>
            <w:r/>
            <w:r>
              <w:rPr>
                <w:sz w:val="18"/>
              </w:rPr>
              <w:t>5</w:t>
            </w:r>
          </w:p>
        </w:tc>
        <w:tc>
          <w:tcPr>
            <w:tcW w:type="dxa" w:w="4896"/>
          </w:tcPr>
          <w:p>
            <w:r/>
            <w:r>
              <w:rPr>
                <w:sz w:val="18"/>
              </w:rPr>
              <w:t>A lower rate of Grade 3+ adverse events</w:t>
            </w:r>
          </w:p>
        </w:tc>
      </w:tr>
      <w:tr>
        <w:tc>
          <w:tcPr>
            <w:tcW w:type="dxa" w:w="4896"/>
          </w:tcPr>
          <w:p>
            <w:r/>
            <w:r>
              <w:rPr>
                <w:sz w:val="18"/>
              </w:rPr>
              <w:t>6</w:t>
            </w:r>
          </w:p>
        </w:tc>
        <w:tc>
          <w:tcPr>
            <w:tcW w:type="dxa" w:w="4896"/>
          </w:tcPr>
          <w:p>
            <w:r/>
            <w:r>
              <w:rPr>
                <w:sz w:val="18"/>
              </w:rPr>
              <w:t>A more convenient route or dosing schedule</w:t>
            </w:r>
          </w:p>
        </w:tc>
      </w:tr>
      <w:tr>
        <w:tc>
          <w:tcPr>
            <w:tcW w:type="dxa" w:w="4896"/>
          </w:tcPr>
          <w:p>
            <w:r/>
            <w:r>
              <w:rPr>
                <w:sz w:val="18"/>
              </w:rPr>
              <w:t>7</w:t>
            </w:r>
          </w:p>
        </w:tc>
        <w:tc>
          <w:tcPr>
            <w:tcW w:type="dxa" w:w="4896"/>
          </w:tcPr>
          <w:p>
            <w:r/>
            <w:r>
              <w:rPr>
                <w:sz w:val="18"/>
              </w:rPr>
              <w:t>Faster companion diagnostic turnaround</w:t>
            </w:r>
          </w:p>
        </w:tc>
      </w:tr>
      <w:tr>
        <w:tc>
          <w:tcPr>
            <w:tcW w:type="dxa" w:w="4896"/>
          </w:tcPr>
          <w:p>
            <w:r/>
            <w:r>
              <w:rPr>
                <w:sz w:val="18"/>
              </w:rPr>
              <w:t>8</w:t>
            </w:r>
          </w:p>
        </w:tc>
        <w:tc>
          <w:tcPr>
            <w:tcW w:type="dxa" w:w="4896"/>
          </w:tcPr>
          <w:p>
            <w:r/>
            <w:r>
              <w:rPr>
                <w:sz w:val="18"/>
              </w:rPr>
              <w:t>Broad formulary coverage without prior authorisation</w:t>
            </w:r>
          </w:p>
        </w:tc>
      </w:tr>
      <w:tr>
        <w:tc>
          <w:tcPr>
            <w:tcW w:type="dxa" w:w="4896"/>
          </w:tcPr>
          <w:p>
            <w:r/>
            <w:r>
              <w:rPr>
                <w:sz w:val="18"/>
              </w:rPr>
              <w:t>9</w:t>
            </w:r>
          </w:p>
        </w:tc>
        <w:tc>
          <w:tcPr>
            <w:tcW w:type="dxa" w:w="4896"/>
          </w:tcPr>
          <w:p>
            <w:r/>
            <w:r>
              <w:rPr>
                <w:sz w:val="18"/>
              </w:rPr>
              <w:t>A lower net acquisition cost</w:t>
            </w:r>
          </w:p>
        </w:tc>
      </w:tr>
      <w:tr>
        <w:tc>
          <w:tcPr>
            <w:tcW w:type="dxa" w:w="4896"/>
          </w:tcPr>
          <w:p>
            <w:r/>
            <w:r>
              <w:rPr>
                <w:sz w:val="18"/>
              </w:rPr>
              <w:t>10</w:t>
            </w:r>
          </w:p>
        </w:tc>
        <w:tc>
          <w:tcPr>
            <w:tcW w:type="dxa" w:w="4896"/>
          </w:tcPr>
          <w:p>
            <w:r/>
            <w:r>
              <w:rPr>
                <w:sz w:val="18"/>
              </w:rPr>
              <w:t>Strong patient support and reimbursement assistance</w:t>
            </w:r>
          </w:p>
        </w:tc>
      </w:tr>
      <w:tr>
        <w:tc>
          <w:tcPr>
            <w:tcW w:type="dxa" w:w="4896"/>
          </w:tcPr>
          <w:p>
            <w:r/>
            <w:r>
              <w:rPr>
                <w:sz w:val="18"/>
              </w:rPr>
              <w:t>11</w:t>
            </w:r>
          </w:p>
        </w:tc>
        <w:tc>
          <w:tcPr>
            <w:tcW w:type="dxa" w:w="4896"/>
          </w:tcPr>
          <w:p>
            <w:r/>
            <w:r>
              <w:rPr>
                <w:sz w:val="18"/>
              </w:rPr>
              <w:t>Familiarity built through peer experience and publications</w:t>
            </w:r>
          </w:p>
        </w:tc>
      </w:tr>
      <w:tr>
        <w:tc>
          <w:tcPr>
            <w:tcW w:type="dxa" w:w="4896"/>
          </w:tcPr>
          <w:p>
            <w:r/>
            <w:r>
              <w:rPr>
                <w:sz w:val="18"/>
              </w:rPr>
              <w:t>12</w:t>
            </w:r>
          </w:p>
        </w:tc>
        <w:tc>
          <w:tcPr>
            <w:tcW w:type="dxa" w:w="4896"/>
          </w:tcPr>
          <w:p>
            <w:r/>
            <w:r>
              <w:rPr>
                <w:sz w:val="18"/>
              </w:rPr>
              <w:t>Nothing further — I would prescribe it as described</w:t>
            </w:r>
          </w:p>
        </w:tc>
      </w:tr>
      <w:tr>
        <w:tc>
          <w:tcPr>
            <w:tcW w:type="dxa" w:w="4896"/>
          </w:tcPr>
          <w:p>
            <w:r/>
            <w:r>
              <w:rPr>
                <w:sz w:val="18"/>
              </w:rPr>
              <w:t>13</w:t>
            </w:r>
          </w:p>
        </w:tc>
        <w:tc>
          <w:tcPr>
            <w:tcW w:type="dxa" w:w="4896"/>
          </w:tcPr>
          <w:p>
            <w:r/>
            <w:r>
              <w:rPr>
                <w:sz w:val="18"/>
              </w:rPr>
              <w:t>Other (specify)</w:t>
            </w:r>
          </w:p>
        </w:tc>
      </w:tr>
    </w:tbl>
    <w:p>
      <w:pPr>
        <w:spacing w:after="40"/>
      </w:pPr>
    </w:p>
    <w:p>
      <w:r>
        <w:rPr>
          <w:b/>
        </w:rPr>
        <w:t>Analysis:</w:t>
      </w:r>
      <w:r>
        <w:t xml:space="preserve"> this is the launch-readiness gap list. Rank-weighted scores define the minimum viable evidence and support package, and directly inform medical affairs planning, HEOR dossier priorities and the reimbursement-support budget.</w:t>
      </w:r>
    </w:p>
    <w:p>
      <w:pPr>
        <w:spacing w:before="80" w:after="80"/>
      </w:pPr>
    </w:p>
    <w:p>
      <w:pPr>
        <w:spacing w:before="240" w:after="120"/>
      </w:pPr>
      <w:r>
        <w:rPr>
          <w:b/>
          <w:color w:val="0B4F6C"/>
          <w:sz w:val="24"/>
        </w:rPr>
        <w:t>SECTION D — DISCRETE CHOICE EXPERIMENT (CONJOINT)</w:t>
      </w:r>
    </w:p>
    <w:p>
      <w:pPr>
        <w:spacing w:before="80" w:after="80"/>
      </w:pPr>
    </w:p>
    <w:p>
      <w:pPr>
        <w:keepNext/>
        <w:spacing w:before="280" w:after="80"/>
      </w:pPr>
      <w:r>
        <w:rPr>
          <w:b/>
          <w:color w:val="1A1A1A"/>
          <w:sz w:val="21"/>
        </w:rPr>
        <w:t>Q16. Choice tasks</w:t>
      </w:r>
    </w:p>
    <w:p>
      <w:r>
        <w:rPr>
          <w:b/>
        </w:rPr>
        <w:t>Introduction shown to respondent:</w:t>
      </w:r>
    </w:p>
    <w:p>
      <w:pPr>
        <w:spacing w:before="120" w:after="120"/>
        <w:ind w:left="432"/>
      </w:pPr>
      <w:r>
        <w:rPr>
          <w:i/>
          <w:color w:val="5A5A5A"/>
          <w:sz w:val="19"/>
        </w:rPr>
        <w:t>The next set of questions asks you to make treatment choices, as you would in clinic. In each question you will see three treatment options for the same patient, each described by the same seven characteristics, plus the option to continue with current standard of care. There are no right or wrong answers. Please choose the option you would actually prescribe, taking all seven characteristics into account at once. If none of the three is preferable to what you would do today, choose to continue with current standard of care. Assume all three options are otherwise clinically appropriate for this patient.</w:t>
      </w:r>
    </w:p>
    <w:p>
      <w:r>
        <w:rPr>
          <w:b/>
        </w:rPr>
        <w:t>Patient vignette held constant across all tasks:</w:t>
      </w:r>
    </w:p>
    <w:p>
      <w:pPr>
        <w:spacing w:before="120" w:after="120"/>
        <w:ind w:left="432"/>
      </w:pPr>
      <w:r>
        <w:rPr>
          <w:i/>
          <w:color w:val="5A5A5A"/>
          <w:sz w:val="19"/>
        </w:rPr>
        <w:t>A 64-year-old with [TARGET INDICATION], ECOG 1, who has progressed on prior IO-based therapy. No CNS metastases. Adequate organ function. Commercial insurance.</w:t>
      </w:r>
    </w:p>
    <w:p>
      <w:r>
        <w:rPr>
          <w:b/>
        </w:rPr>
        <w:t>The seven attributes and their levels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0B4F6C"/>
          </w:tcPr>
          <w:p>
            <w:r/>
            <w:r>
              <w:rPr>
                <w:b/>
                <w:color w:val="FFFFFF"/>
                <w:sz w:val="18"/>
              </w:rPr>
              <w:t>Attribute</w:t>
            </w:r>
          </w:p>
        </w:tc>
        <w:tc>
          <w:tcPr>
            <w:tcW w:type="dxa" w:w="2448"/>
            <w:shd w:val="clear" w:fill="0B4F6C"/>
          </w:tcPr>
          <w:p>
            <w:r/>
            <w:r>
              <w:rPr>
                <w:b/>
                <w:color w:val="FFFFFF"/>
                <w:sz w:val="18"/>
              </w:rPr>
              <w:t>Level 1 (reference)</w:t>
            </w:r>
          </w:p>
        </w:tc>
        <w:tc>
          <w:tcPr>
            <w:tcW w:type="dxa" w:w="2448"/>
            <w:shd w:val="clear" w:fill="0B4F6C"/>
          </w:tcPr>
          <w:p>
            <w:r/>
            <w:r>
              <w:rPr>
                <w:b/>
                <w:color w:val="FFFFFF"/>
                <w:sz w:val="18"/>
              </w:rPr>
              <w:t>Level 2</w:t>
            </w:r>
          </w:p>
        </w:tc>
        <w:tc>
          <w:tcPr>
            <w:tcW w:type="dxa" w:w="2448"/>
            <w:shd w:val="clear" w:fill="0B4F6C"/>
          </w:tcPr>
          <w:p>
            <w:r/>
            <w:r>
              <w:rPr>
                <w:b/>
                <w:color w:val="FFFFFF"/>
                <w:sz w:val="18"/>
              </w:rPr>
              <w:t>Level 3</w:t>
            </w:r>
          </w:p>
        </w:tc>
      </w:tr>
      <w:tr>
        <w:tc>
          <w:tcPr>
            <w:tcW w:type="dxa" w:w="2448"/>
          </w:tcPr>
          <w:p>
            <w:r/>
            <w:r>
              <w:rPr>
                <w:sz w:val="18"/>
              </w:rPr>
              <w:t>Median overall survival vs SoC</w:t>
            </w:r>
          </w:p>
        </w:tc>
        <w:tc>
          <w:tcPr>
            <w:tcW w:type="dxa" w:w="2448"/>
          </w:tcPr>
          <w:p>
            <w:r/>
            <w:r>
              <w:rPr>
                <w:sz w:val="18"/>
              </w:rPr>
              <w:t>No proven OS benefit (PFS-only endpoint)</w:t>
            </w:r>
          </w:p>
        </w:tc>
        <w:tc>
          <w:tcPr>
            <w:tcW w:type="dxa" w:w="2448"/>
          </w:tcPr>
          <w:p>
            <w:r/>
            <w:r>
              <w:rPr>
                <w:sz w:val="18"/>
              </w:rPr>
              <w:t>+3 months median OS</w:t>
            </w:r>
          </w:p>
        </w:tc>
        <w:tc>
          <w:tcPr>
            <w:tcW w:type="dxa" w:w="2448"/>
          </w:tcPr>
          <w:p>
            <w:r/>
            <w:r>
              <w:rPr>
                <w:sz w:val="18"/>
              </w:rPr>
              <w:t>+6 months median OS</w:t>
            </w:r>
          </w:p>
        </w:tc>
      </w:tr>
      <w:tr>
        <w:tc>
          <w:tcPr>
            <w:tcW w:type="dxa" w:w="2448"/>
          </w:tcPr>
          <w:p>
            <w:r/>
            <w:r>
              <w:rPr>
                <w:sz w:val="18"/>
              </w:rPr>
              <w:t>12-month progression-free survival</w:t>
            </w:r>
          </w:p>
        </w:tc>
        <w:tc>
          <w:tcPr>
            <w:tcW w:type="dxa" w:w="2448"/>
          </w:tcPr>
          <w:p>
            <w:r/>
            <w:r>
              <w:rPr>
                <w:sz w:val="18"/>
              </w:rPr>
              <w:t>25%</w:t>
            </w:r>
          </w:p>
        </w:tc>
        <w:tc>
          <w:tcPr>
            <w:tcW w:type="dxa" w:w="2448"/>
          </w:tcPr>
          <w:p>
            <w:r/>
            <w:r>
              <w:rPr>
                <w:sz w:val="18"/>
              </w:rPr>
              <w:t>35%</w:t>
            </w:r>
          </w:p>
        </w:tc>
        <w:tc>
          <w:tcPr>
            <w:tcW w:type="dxa" w:w="2448"/>
          </w:tcPr>
          <w:p>
            <w:r/>
            <w:r>
              <w:rPr>
                <w:sz w:val="18"/>
              </w:rPr>
              <w:t>45%</w:t>
            </w:r>
          </w:p>
        </w:tc>
      </w:tr>
      <w:tr>
        <w:tc>
          <w:tcPr>
            <w:tcW w:type="dxa" w:w="2448"/>
          </w:tcPr>
          <w:p>
            <w:r/>
            <w:r>
              <w:rPr>
                <w:sz w:val="18"/>
              </w:rPr>
              <w:t>Grade 3+ treatment-related AE rate</w:t>
            </w:r>
          </w:p>
        </w:tc>
        <w:tc>
          <w:tcPr>
            <w:tcW w:type="dxa" w:w="2448"/>
          </w:tcPr>
          <w:p>
            <w:r/>
            <w:r>
              <w:rPr>
                <w:sz w:val="18"/>
              </w:rPr>
              <w:t>15%</w:t>
            </w:r>
          </w:p>
        </w:tc>
        <w:tc>
          <w:tcPr>
            <w:tcW w:type="dxa" w:w="2448"/>
          </w:tcPr>
          <w:p>
            <w:r/>
            <w:r>
              <w:rPr>
                <w:sz w:val="18"/>
              </w:rPr>
              <w:t>30%</w:t>
            </w:r>
          </w:p>
        </w:tc>
        <w:tc>
          <w:tcPr>
            <w:tcW w:type="dxa" w:w="2448"/>
          </w:tcPr>
          <w:p>
            <w:r/>
            <w:r>
              <w:rPr>
                <w:sz w:val="18"/>
              </w:rPr>
              <w:t>45%</w:t>
            </w:r>
          </w:p>
        </w:tc>
      </w:tr>
      <w:tr>
        <w:tc>
          <w:tcPr>
            <w:tcW w:type="dxa" w:w="2448"/>
          </w:tcPr>
          <w:p>
            <w:r/>
            <w:r>
              <w:rPr>
                <w:sz w:val="18"/>
              </w:rPr>
              <w:t>Administration</w:t>
            </w:r>
          </w:p>
        </w:tc>
        <w:tc>
          <w:tcPr>
            <w:tcW w:type="dxa" w:w="2448"/>
          </w:tcPr>
          <w:p>
            <w:r/>
            <w:r>
              <w:rPr>
                <w:sz w:val="18"/>
              </w:rPr>
              <w:t>IV infusion every 3 weeks (~30–60 min, infusion centre)</w:t>
            </w:r>
          </w:p>
        </w:tc>
        <w:tc>
          <w:tcPr>
            <w:tcW w:type="dxa" w:w="2448"/>
          </w:tcPr>
          <w:p>
            <w:r/>
            <w:r>
              <w:rPr>
                <w:sz w:val="18"/>
              </w:rPr>
              <w:t>Subcutaneous injection every 4 weeks (~5 min)</w:t>
            </w:r>
          </w:p>
        </w:tc>
        <w:tc>
          <w:tcPr>
            <w:tcW w:type="dxa" w:w="2448"/>
          </w:tcPr>
          <w:p>
            <w:r/>
            <w:r>
              <w:rPr>
                <w:sz w:val="18"/>
              </w:rPr>
              <w:t>Oral, once daily (home)</w:t>
            </w:r>
          </w:p>
        </w:tc>
      </w:tr>
      <w:tr>
        <w:tc>
          <w:tcPr>
            <w:tcW w:type="dxa" w:w="2448"/>
          </w:tcPr>
          <w:p>
            <w:r/>
            <w:r>
              <w:rPr>
                <w:sz w:val="18"/>
              </w:rPr>
              <w:t>Companion diagnostic</w:t>
            </w:r>
          </w:p>
        </w:tc>
        <w:tc>
          <w:tcPr>
            <w:tcW w:type="dxa" w:w="2448"/>
          </w:tcPr>
          <w:p>
            <w:r/>
            <w:r>
              <w:rPr>
                <w:sz w:val="18"/>
              </w:rPr>
              <w:t>CDx required; result in 3 business days</w:t>
            </w:r>
          </w:p>
        </w:tc>
        <w:tc>
          <w:tcPr>
            <w:tcW w:type="dxa" w:w="2448"/>
          </w:tcPr>
          <w:p>
            <w:r/>
            <w:r>
              <w:rPr>
                <w:sz w:val="18"/>
              </w:rPr>
              <w:t>CDx required; result in 10 business days</w:t>
            </w:r>
          </w:p>
        </w:tc>
        <w:tc>
          <w:tcPr>
            <w:tcW w:type="dxa" w:w="2448"/>
          </w:tcPr>
          <w:p>
            <w:r/>
            <w:r>
              <w:rPr>
                <w:sz w:val="18"/>
              </w:rPr>
              <w:t>No CDx required</w:t>
            </w:r>
          </w:p>
        </w:tc>
      </w:tr>
      <w:tr>
        <w:tc>
          <w:tcPr>
            <w:tcW w:type="dxa" w:w="2448"/>
          </w:tcPr>
          <w:p>
            <w:r/>
            <w:r>
              <w:rPr>
                <w:sz w:val="18"/>
              </w:rPr>
              <w:t>Net cost of a 12-month course</w:t>
            </w:r>
          </w:p>
        </w:tc>
        <w:tc>
          <w:tcPr>
            <w:tcW w:type="dxa" w:w="2448"/>
          </w:tcPr>
          <w:p>
            <w:r/>
            <w:r>
              <w:rPr>
                <w:sz w:val="18"/>
              </w:rPr>
              <w:t>$75,000</w:t>
            </w:r>
          </w:p>
        </w:tc>
        <w:tc>
          <w:tcPr>
            <w:tcW w:type="dxa" w:w="2448"/>
          </w:tcPr>
          <w:p>
            <w:r/>
            <w:r>
              <w:rPr>
                <w:sz w:val="18"/>
              </w:rPr>
              <w:t>$110,000</w:t>
            </w:r>
          </w:p>
        </w:tc>
        <w:tc>
          <w:tcPr>
            <w:tcW w:type="dxa" w:w="2448"/>
          </w:tcPr>
          <w:p>
            <w:r/>
            <w:r>
              <w:rPr>
                <w:sz w:val="18"/>
              </w:rPr>
              <w:t>$150,000</w:t>
            </w:r>
          </w:p>
        </w:tc>
      </w:tr>
      <w:tr>
        <w:tc>
          <w:tcPr>
            <w:tcW w:type="dxa" w:w="2448"/>
          </w:tcPr>
          <w:p>
            <w:r/>
            <w:r>
              <w:rPr>
                <w:sz w:val="18"/>
              </w:rPr>
              <w:t>Payer access at month 1</w:t>
            </w:r>
          </w:p>
        </w:tc>
        <w:tc>
          <w:tcPr>
            <w:tcW w:type="dxa" w:w="2448"/>
          </w:tcPr>
          <w:p>
            <w:r/>
            <w:r>
              <w:rPr>
                <w:sz w:val="18"/>
              </w:rPr>
              <w:t>Formulary-listed, no prior auth (~80% of lives)</w:t>
            </w:r>
          </w:p>
        </w:tc>
        <w:tc>
          <w:tcPr>
            <w:tcW w:type="dxa" w:w="2448"/>
          </w:tcPr>
          <w:p>
            <w:r/>
            <w:r>
              <w:rPr>
                <w:sz w:val="18"/>
              </w:rPr>
              <w:t>Covered with prior auth (~60% of lives)</w:t>
            </w:r>
          </w:p>
        </w:tc>
        <w:tc>
          <w:tcPr>
            <w:tcW w:type="dxa" w:w="2448"/>
          </w:tcPr>
          <w:p>
            <w:r/>
            <w:r>
              <w:rPr>
                <w:sz w:val="18"/>
              </w:rPr>
              <w:t>Limited coverage / step-through (~30% of lives)</w:t>
            </w:r>
          </w:p>
        </w:tc>
      </w:tr>
    </w:tbl>
    <w:p>
      <w:pPr>
        <w:spacing w:after="40"/>
      </w:pPr>
    </w:p>
    <w:p>
      <w:r>
        <w:rPr>
          <w:b/>
        </w:rPr>
        <w:t>Task format:</w:t>
      </w:r>
      <w:r>
        <w:t xml:space="preserve"> 9 choice tasks, 3 treatment alternatives plus a fixed opt-out ("continue current standard of care"), presented one per screen. Task order and alternative position are randomised per respondent to remove order and position bias.</w:t>
      </w:r>
    </w:p>
    <w:p>
      <w:r>
        <w:rPr>
          <w:b/>
        </w:rPr>
        <w:t>Example — Task 1 as designed</w:t>
      </w:r>
      <w:r>
        <w:t xml:space="preserve"> </w:t>
      </w:r>
      <w:r>
        <w:rPr>
          <w:i/>
        </w:rPr>
        <w:t>(full 9-task design in `output/dce_design_wide.csv`)</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0B4F6C"/>
          </w:tcPr>
          <w:p>
            <w:r/>
            <w:r>
              <w:rPr>
                <w:b/>
                <w:color w:val="FFFFFF"/>
                <w:sz w:val="18"/>
              </w:rPr>
              <w:t>Attribute</w:t>
            </w:r>
          </w:p>
        </w:tc>
        <w:tc>
          <w:tcPr>
            <w:tcW w:type="dxa" w:w="2448"/>
            <w:shd w:val="clear" w:fill="0B4F6C"/>
          </w:tcPr>
          <w:p>
            <w:r/>
            <w:r>
              <w:rPr>
                <w:b/>
                <w:color w:val="FFFFFF"/>
                <w:sz w:val="18"/>
              </w:rPr>
              <w:t>Treatment A</w:t>
            </w:r>
          </w:p>
        </w:tc>
        <w:tc>
          <w:tcPr>
            <w:tcW w:type="dxa" w:w="2448"/>
            <w:shd w:val="clear" w:fill="0B4F6C"/>
          </w:tcPr>
          <w:p>
            <w:r/>
            <w:r>
              <w:rPr>
                <w:b/>
                <w:color w:val="FFFFFF"/>
                <w:sz w:val="18"/>
              </w:rPr>
              <w:t>Treatment B</w:t>
            </w:r>
          </w:p>
        </w:tc>
        <w:tc>
          <w:tcPr>
            <w:tcW w:type="dxa" w:w="2448"/>
            <w:shd w:val="clear" w:fill="0B4F6C"/>
          </w:tcPr>
          <w:p>
            <w:r/>
            <w:r>
              <w:rPr>
                <w:b/>
                <w:color w:val="FFFFFF"/>
                <w:sz w:val="18"/>
              </w:rPr>
              <w:t>Treatment C</w:t>
            </w:r>
          </w:p>
        </w:tc>
      </w:tr>
      <w:tr>
        <w:tc>
          <w:tcPr>
            <w:tcW w:type="dxa" w:w="2448"/>
          </w:tcPr>
          <w:p>
            <w:r/>
            <w:r>
              <w:rPr>
                <w:sz w:val="18"/>
              </w:rPr>
              <w:t>Median OS vs SoC</w:t>
            </w:r>
          </w:p>
        </w:tc>
        <w:tc>
          <w:tcPr>
            <w:tcW w:type="dxa" w:w="2448"/>
          </w:tcPr>
          <w:p>
            <w:r/>
            <w:r>
              <w:rPr>
                <w:sz w:val="18"/>
              </w:rPr>
              <w:t>+6 months</w:t>
            </w:r>
          </w:p>
        </w:tc>
        <w:tc>
          <w:tcPr>
            <w:tcW w:type="dxa" w:w="2448"/>
          </w:tcPr>
          <w:p>
            <w:r/>
            <w:r>
              <w:rPr>
                <w:sz w:val="18"/>
              </w:rPr>
              <w:t>No proven OS benefit</w:t>
            </w:r>
          </w:p>
        </w:tc>
        <w:tc>
          <w:tcPr>
            <w:tcW w:type="dxa" w:w="2448"/>
          </w:tcPr>
          <w:p>
            <w:r/>
            <w:r>
              <w:rPr>
                <w:sz w:val="18"/>
              </w:rPr>
              <w:t>+3 months</w:t>
            </w:r>
          </w:p>
        </w:tc>
      </w:tr>
      <w:tr>
        <w:tc>
          <w:tcPr>
            <w:tcW w:type="dxa" w:w="2448"/>
          </w:tcPr>
          <w:p>
            <w:r/>
            <w:r>
              <w:rPr>
                <w:sz w:val="18"/>
              </w:rPr>
              <w:t>12-month PFS</w:t>
            </w:r>
          </w:p>
        </w:tc>
        <w:tc>
          <w:tcPr>
            <w:tcW w:type="dxa" w:w="2448"/>
          </w:tcPr>
          <w:p>
            <w:r/>
            <w:r>
              <w:rPr>
                <w:sz w:val="18"/>
              </w:rPr>
              <w:t>45%</w:t>
            </w:r>
          </w:p>
        </w:tc>
        <w:tc>
          <w:tcPr>
            <w:tcW w:type="dxa" w:w="2448"/>
          </w:tcPr>
          <w:p>
            <w:r/>
            <w:r>
              <w:rPr>
                <w:sz w:val="18"/>
              </w:rPr>
              <w:t>25%</w:t>
            </w:r>
          </w:p>
        </w:tc>
        <w:tc>
          <w:tcPr>
            <w:tcW w:type="dxa" w:w="2448"/>
          </w:tcPr>
          <w:p>
            <w:r/>
            <w:r>
              <w:rPr>
                <w:sz w:val="18"/>
              </w:rPr>
              <w:t>35%</w:t>
            </w:r>
          </w:p>
        </w:tc>
      </w:tr>
      <w:tr>
        <w:tc>
          <w:tcPr>
            <w:tcW w:type="dxa" w:w="2448"/>
          </w:tcPr>
          <w:p>
            <w:r/>
            <w:r>
              <w:rPr>
                <w:sz w:val="18"/>
              </w:rPr>
              <w:t>Grade 3+ AE rate</w:t>
            </w:r>
          </w:p>
        </w:tc>
        <w:tc>
          <w:tcPr>
            <w:tcW w:type="dxa" w:w="2448"/>
          </w:tcPr>
          <w:p>
            <w:r/>
            <w:r>
              <w:rPr>
                <w:sz w:val="18"/>
              </w:rPr>
              <w:t>30%</w:t>
            </w:r>
          </w:p>
        </w:tc>
        <w:tc>
          <w:tcPr>
            <w:tcW w:type="dxa" w:w="2448"/>
          </w:tcPr>
          <w:p>
            <w:r/>
            <w:r>
              <w:rPr>
                <w:sz w:val="18"/>
              </w:rPr>
              <w:t>15%</w:t>
            </w:r>
          </w:p>
        </w:tc>
        <w:tc>
          <w:tcPr>
            <w:tcW w:type="dxa" w:w="2448"/>
          </w:tcPr>
          <w:p>
            <w:r/>
            <w:r>
              <w:rPr>
                <w:sz w:val="18"/>
              </w:rPr>
              <w:t>15%</w:t>
            </w:r>
          </w:p>
        </w:tc>
      </w:tr>
      <w:tr>
        <w:tc>
          <w:tcPr>
            <w:tcW w:type="dxa" w:w="2448"/>
          </w:tcPr>
          <w:p>
            <w:r/>
            <w:r>
              <w:rPr>
                <w:sz w:val="18"/>
              </w:rPr>
              <w:t>Administration</w:t>
            </w:r>
          </w:p>
        </w:tc>
        <w:tc>
          <w:tcPr>
            <w:tcW w:type="dxa" w:w="2448"/>
          </w:tcPr>
          <w:p>
            <w:r/>
            <w:r>
              <w:rPr>
                <w:sz w:val="18"/>
              </w:rPr>
              <w:t>Subcutaneous q4w</w:t>
            </w:r>
          </w:p>
        </w:tc>
        <w:tc>
          <w:tcPr>
            <w:tcW w:type="dxa" w:w="2448"/>
          </w:tcPr>
          <w:p>
            <w:r/>
            <w:r>
              <w:rPr>
                <w:sz w:val="18"/>
              </w:rPr>
              <w:t>IV infusion q3w</w:t>
            </w:r>
          </w:p>
        </w:tc>
        <w:tc>
          <w:tcPr>
            <w:tcW w:type="dxa" w:w="2448"/>
          </w:tcPr>
          <w:p>
            <w:r/>
            <w:r>
              <w:rPr>
                <w:sz w:val="18"/>
              </w:rPr>
              <w:t>Oral, once daily</w:t>
            </w:r>
          </w:p>
        </w:tc>
      </w:tr>
      <w:tr>
        <w:tc>
          <w:tcPr>
            <w:tcW w:type="dxa" w:w="2448"/>
          </w:tcPr>
          <w:p>
            <w:r/>
            <w:r>
              <w:rPr>
                <w:sz w:val="18"/>
              </w:rPr>
              <w:t>Companion diagnostic</w:t>
            </w:r>
          </w:p>
        </w:tc>
        <w:tc>
          <w:tcPr>
            <w:tcW w:type="dxa" w:w="2448"/>
          </w:tcPr>
          <w:p>
            <w:r/>
            <w:r>
              <w:rPr>
                <w:sz w:val="18"/>
              </w:rPr>
              <w:t>CDx, 3 business days</w:t>
            </w:r>
          </w:p>
        </w:tc>
        <w:tc>
          <w:tcPr>
            <w:tcW w:type="dxa" w:w="2448"/>
          </w:tcPr>
          <w:p>
            <w:r/>
            <w:r>
              <w:rPr>
                <w:sz w:val="18"/>
              </w:rPr>
              <w:t>CDx, 3 business days</w:t>
            </w:r>
          </w:p>
        </w:tc>
        <w:tc>
          <w:tcPr>
            <w:tcW w:type="dxa" w:w="2448"/>
          </w:tcPr>
          <w:p>
            <w:r/>
            <w:r>
              <w:rPr>
                <w:sz w:val="18"/>
              </w:rPr>
              <w:t>CDx, 10 business days</w:t>
            </w:r>
          </w:p>
        </w:tc>
      </w:tr>
      <w:tr>
        <w:tc>
          <w:tcPr>
            <w:tcW w:type="dxa" w:w="2448"/>
          </w:tcPr>
          <w:p>
            <w:r/>
            <w:r>
              <w:rPr>
                <w:sz w:val="18"/>
              </w:rPr>
              <w:t>Net 12-month cost</w:t>
            </w:r>
          </w:p>
        </w:tc>
        <w:tc>
          <w:tcPr>
            <w:tcW w:type="dxa" w:w="2448"/>
          </w:tcPr>
          <w:p>
            <w:r/>
            <w:r>
              <w:rPr>
                <w:sz w:val="18"/>
              </w:rPr>
              <w:t>$75,000</w:t>
            </w:r>
          </w:p>
        </w:tc>
        <w:tc>
          <w:tcPr>
            <w:tcW w:type="dxa" w:w="2448"/>
          </w:tcPr>
          <w:p>
            <w:r/>
            <w:r>
              <w:rPr>
                <w:sz w:val="18"/>
              </w:rPr>
              <w:t>$75,000</w:t>
            </w:r>
          </w:p>
        </w:tc>
        <w:tc>
          <w:tcPr>
            <w:tcW w:type="dxa" w:w="2448"/>
          </w:tcPr>
          <w:p>
            <w:r/>
            <w:r>
              <w:rPr>
                <w:sz w:val="18"/>
              </w:rPr>
              <w:t>$110,000</w:t>
            </w:r>
          </w:p>
        </w:tc>
      </w:tr>
      <w:tr>
        <w:tc>
          <w:tcPr>
            <w:tcW w:type="dxa" w:w="2448"/>
          </w:tcPr>
          <w:p>
            <w:r/>
            <w:r>
              <w:rPr>
                <w:sz w:val="18"/>
              </w:rPr>
              <w:t>Payer access</w:t>
            </w:r>
          </w:p>
        </w:tc>
        <w:tc>
          <w:tcPr>
            <w:tcW w:type="dxa" w:w="2448"/>
          </w:tcPr>
          <w:p>
            <w:r/>
            <w:r>
              <w:rPr>
                <w:sz w:val="18"/>
              </w:rPr>
              <w:t>Limited coverage</w:t>
            </w:r>
          </w:p>
        </w:tc>
        <w:tc>
          <w:tcPr>
            <w:tcW w:type="dxa" w:w="2448"/>
          </w:tcPr>
          <w:p>
            <w:r/>
            <w:r>
              <w:rPr>
                <w:sz w:val="18"/>
              </w:rPr>
              <w:t>Formulary, no PA</w:t>
            </w:r>
          </w:p>
        </w:tc>
        <w:tc>
          <w:tcPr>
            <w:tcW w:type="dxa" w:w="2448"/>
          </w:tcPr>
          <w:p>
            <w:r/>
            <w:r>
              <w:rPr>
                <w:sz w:val="18"/>
              </w:rPr>
              <w:t>Limited coverage</w:t>
            </w:r>
          </w:p>
        </w:tc>
      </w:tr>
      <w:tr>
        <w:tc>
          <w:tcPr>
            <w:tcW w:type="dxa" w:w="2448"/>
          </w:tcPr>
          <w:p>
            <w:r/>
            <w:r>
              <w:rPr>
                <w:sz w:val="18"/>
              </w:rPr>
            </w:r>
          </w:p>
        </w:tc>
        <w:tc>
          <w:tcPr>
            <w:tcW w:type="dxa" w:w="2448"/>
          </w:tcPr>
          <w:p>
            <w:r/>
            <w:r>
              <w:rPr>
                <w:sz w:val="18"/>
              </w:rPr>
              <w:t>*○ Choose A*</w:t>
            </w:r>
          </w:p>
        </w:tc>
        <w:tc>
          <w:tcPr>
            <w:tcW w:type="dxa" w:w="2448"/>
          </w:tcPr>
          <w:p>
            <w:r/>
            <w:r>
              <w:rPr>
                <w:sz w:val="18"/>
              </w:rPr>
              <w:t>*○ Choose B*</w:t>
            </w:r>
          </w:p>
        </w:tc>
        <w:tc>
          <w:tcPr>
            <w:tcW w:type="dxa" w:w="2448"/>
          </w:tcPr>
          <w:p>
            <w:r/>
            <w:r>
              <w:rPr>
                <w:sz w:val="18"/>
              </w:rPr>
              <w:t>*○ Choose C*</w:t>
            </w:r>
          </w:p>
        </w:tc>
      </w:tr>
      <w:tr>
        <w:tc>
          <w:tcPr>
            <w:tcW w:type="dxa" w:w="2448"/>
          </w:tcPr>
          <w:p>
            <w:r/>
            <w:r>
              <w:rPr>
                <w:sz w:val="18"/>
              </w:rPr>
            </w:r>
          </w:p>
        </w:tc>
        <w:tc>
          <w:tcPr>
            <w:tcW w:type="dxa" w:w="2448"/>
          </w:tcPr>
          <w:p>
            <w:r/>
            <w:r>
              <w:rPr>
                <w:sz w:val="18"/>
              </w:rPr>
              <w:t>*○ Continue current standard of care*</w:t>
            </w:r>
          </w:p>
        </w:tc>
        <w:tc>
          <w:tcPr>
            <w:tcW w:type="dxa" w:w="2448"/>
          </w:tcPr>
          <w:p>
            <w:r/>
            <w:r>
              <w:rPr>
                <w:sz w:val="18"/>
              </w:rPr>
            </w:r>
          </w:p>
        </w:tc>
        <w:tc>
          <w:tcPr>
            <w:tcW w:type="dxa" w:w="2448"/>
          </w:tcPr>
          <w:p>
            <w:r/>
            <w:r>
              <w:rPr>
                <w:sz w:val="18"/>
              </w:rPr>
            </w:r>
          </w:p>
        </w:tc>
      </w:tr>
    </w:tbl>
    <w:p>
      <w:pPr>
        <w:spacing w:after="40"/>
      </w:pPr>
    </w:p>
    <w:p>
      <w:r>
        <w:rPr>
          <w:b/>
        </w:rPr>
        <w:t>Design quality</w:t>
      </w:r>
      <w:r>
        <w:t xml:space="preserve"> </w:t>
      </w:r>
      <w:r>
        <w:rPr>
          <w:i/>
        </w:rPr>
        <w:t>(verified in `output/design_checks.txt`)</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Check</w:t>
            </w:r>
          </w:p>
        </w:tc>
        <w:tc>
          <w:tcPr>
            <w:tcW w:type="dxa" w:w="4896"/>
            <w:shd w:val="clear" w:fill="0B4F6C"/>
          </w:tcPr>
          <w:p>
            <w:r/>
            <w:r>
              <w:rPr>
                <w:b/>
                <w:color w:val="FFFFFF"/>
                <w:sz w:val="18"/>
              </w:rPr>
              <w:t>Result</w:t>
            </w:r>
          </w:p>
        </w:tc>
      </w:tr>
      <w:tr>
        <w:tc>
          <w:tcPr>
            <w:tcW w:type="dxa" w:w="4896"/>
          </w:tcPr>
          <w:p>
            <w:r/>
            <w:r>
              <w:rPr>
                <w:sz w:val="18"/>
              </w:rPr>
              <w:t>Profile pool</w:t>
            </w:r>
          </w:p>
        </w:tc>
        <w:tc>
          <w:tcPr>
            <w:tcW w:type="dxa" w:w="4896"/>
          </w:tcPr>
          <w:p>
            <w:r/>
            <w:r>
              <w:rPr>
                <w:sz w:val="18"/>
              </w:rPr>
              <w:t>Orthogonal main-effects plan, 3^(7-4), 27 profiles; each level of each attribute appears exactly 9 times</w:t>
            </w:r>
          </w:p>
        </w:tc>
      </w:tr>
      <w:tr>
        <w:tc>
          <w:tcPr>
            <w:tcW w:type="dxa" w:w="4896"/>
          </w:tcPr>
          <w:p>
            <w:r/>
            <w:r>
              <w:rPr>
                <w:sz w:val="18"/>
              </w:rPr>
              <w:t>Cross-attribute correlation</w:t>
            </w:r>
          </w:p>
        </w:tc>
        <w:tc>
          <w:tcPr>
            <w:tcW w:type="dxa" w:w="4896"/>
          </w:tcPr>
          <w:p>
            <w:r/>
            <w:r>
              <w:rPr>
                <w:sz w:val="18"/>
              </w:rPr>
              <w:t>max abs r = 0.0000 — attributes are orthogonal, so each utility is estimated independently</w:t>
            </w:r>
          </w:p>
        </w:tc>
      </w:tr>
      <w:tr>
        <w:tc>
          <w:tcPr>
            <w:tcW w:type="dxa" w:w="4896"/>
          </w:tcPr>
          <w:p>
            <w:r/>
            <w:r>
              <w:rPr>
                <w:sz w:val="18"/>
              </w:rPr>
              <w:t>Dominant alternatives</w:t>
            </w:r>
          </w:p>
        </w:tc>
        <w:tc>
          <w:tcPr>
            <w:tcW w:type="dxa" w:w="4896"/>
          </w:tcPr>
          <w:p>
            <w:r/>
            <w:r>
              <w:rPr>
                <w:sz w:val="18"/>
              </w:rPr>
              <w:t>0 — no option is better on every ordered attribute, so every task forces a genuine trade-off</w:t>
            </w:r>
          </w:p>
        </w:tc>
      </w:tr>
      <w:tr>
        <w:tc>
          <w:tcPr>
            <w:tcW w:type="dxa" w:w="4896"/>
          </w:tcPr>
          <w:p>
            <w:r/>
            <w:r>
              <w:rPr>
                <w:sz w:val="18"/>
              </w:rPr>
              <w:t>D-efficiency</w:t>
            </w:r>
          </w:p>
        </w:tc>
        <w:tc>
          <w:tcPr>
            <w:tcW w:type="dxa" w:w="4896"/>
          </w:tcPr>
          <w:p>
            <w:r/>
            <w:r>
              <w:rPr>
                <w:sz w:val="18"/>
              </w:rPr>
              <w:t>99.2% of the unconstrained D-optimal benchmark for these profiles</w:t>
            </w:r>
          </w:p>
        </w:tc>
      </w:tr>
      <w:tr>
        <w:tc>
          <w:tcPr>
            <w:tcW w:type="dxa" w:w="4896"/>
          </w:tcPr>
          <w:p>
            <w:r/>
            <w:r>
              <w:rPr>
                <w:sz w:val="18"/>
              </w:rPr>
              <w:t>Choice observations</w:t>
            </w:r>
          </w:p>
        </w:tc>
        <w:tc>
          <w:tcPr>
            <w:tcW w:type="dxa" w:w="4896"/>
          </w:tcPr>
          <w:p>
            <w:r/>
            <w:r>
              <w:rPr>
                <w:sz w:val="18"/>
              </w:rPr>
              <w:t>900 (100 respondents × 9 tasks) supporting 15 utility parameters</w:t>
            </w:r>
          </w:p>
        </w:tc>
      </w:tr>
    </w:tbl>
    <w:p>
      <w:pPr>
        <w:spacing w:after="40"/>
      </w:pPr>
    </w:p>
    <w:p>
      <w:r>
        <w:rPr>
          <w:b/>
        </w:rPr>
        <w:t>Analysis plan:</w:t>
      </w:r>
      <w:r>
        <w:t xml:space="preserve"> conditional logit, then mixed (random-parameter) logit with respondent-level heterogeneity; relative attribute importance from utility ranges; willingness-to-pay from cost-attribute ratios; latent class segmentation to identify trade-off archetypes; market simulation across price and access scenarios using the opt-out constant as the status-quo anchor.</w:t>
      </w:r>
    </w:p>
    <w:p>
      <w:r>
        <w:rPr>
          <w:b/>
        </w:rPr>
        <w:t>Design validation:</w:t>
      </w:r>
      <w:r>
        <w:t xml:space="preserve"> the design was tested by simulating 100 respondents' choices under known utilities and refitting the model. The recovered coefficients correlated 0.987 with the true values, with standard errors of 0.12–0.20 — small enough to resolve the differences between adjacent levels. That test confirms the design is analysable at n=100; it is not a market result, since no oncologists were surveyed.</w:t>
      </w:r>
    </w:p>
    <w:p>
      <w:pPr>
        <w:spacing w:before="80" w:after="80"/>
      </w:pPr>
    </w:p>
    <w:p>
      <w:pPr>
        <w:spacing w:before="240" w:after="120"/>
      </w:pPr>
      <w:r>
        <w:rPr>
          <w:b/>
          <w:color w:val="0B4F6C"/>
          <w:sz w:val="24"/>
        </w:rPr>
        <w:t>SECTION E — ACCESS, PRICE AND COMPETITION</w:t>
      </w:r>
    </w:p>
    <w:p>
      <w:pPr>
        <w:spacing w:before="80" w:after="80"/>
      </w:pPr>
    </w:p>
    <w:p>
      <w:pPr>
        <w:keepNext/>
        <w:spacing w:before="280" w:after="80"/>
      </w:pPr>
      <w:r>
        <w:rPr>
          <w:b/>
          <w:color w:val="1A1A1A"/>
          <w:sz w:val="21"/>
        </w:rPr>
        <w:t>Q17. If this product launched as described, how likely is it that you would encounter each of the following access barriers?</w:t>
      </w:r>
    </w:p>
    <w:p>
      <w:r>
        <w:rPr>
          <w:i/>
        </w:rPr>
        <w:t>Rate each 1–5: 1 = very unlikely, 5 = almost certain.</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w:t>
            </w:r>
          </w:p>
        </w:tc>
        <w:tc>
          <w:tcPr>
            <w:tcW w:type="dxa" w:w="4896"/>
            <w:shd w:val="clear" w:fill="0B4F6C"/>
          </w:tcPr>
          <w:p>
            <w:r/>
            <w:r>
              <w:rPr>
                <w:b/>
                <w:color w:val="FFFFFF"/>
                <w:sz w:val="18"/>
              </w:rPr>
              <w:t>Barrier</w:t>
            </w:r>
          </w:p>
        </w:tc>
      </w:tr>
      <w:tr>
        <w:tc>
          <w:tcPr>
            <w:tcW w:type="dxa" w:w="4896"/>
          </w:tcPr>
          <w:p>
            <w:r/>
            <w:r>
              <w:rPr>
                <w:sz w:val="18"/>
              </w:rPr>
              <w:t>a</w:t>
            </w:r>
          </w:p>
        </w:tc>
        <w:tc>
          <w:tcPr>
            <w:tcW w:type="dxa" w:w="4896"/>
          </w:tcPr>
          <w:p>
            <w:r/>
            <w:r>
              <w:rPr>
                <w:sz w:val="18"/>
              </w:rPr>
              <w:t>Prior authorisation required by commercial payers</w:t>
            </w:r>
          </w:p>
        </w:tc>
      </w:tr>
      <w:tr>
        <w:tc>
          <w:tcPr>
            <w:tcW w:type="dxa" w:w="4896"/>
          </w:tcPr>
          <w:p>
            <w:r/>
            <w:r>
              <w:rPr>
                <w:sz w:val="18"/>
              </w:rPr>
              <w:t>b</w:t>
            </w:r>
          </w:p>
        </w:tc>
        <w:tc>
          <w:tcPr>
            <w:tcW w:type="dxa" w:w="4896"/>
          </w:tcPr>
          <w:p>
            <w:r/>
            <w:r>
              <w:rPr>
                <w:sz w:val="18"/>
              </w:rPr>
              <w:t>Step therapy / fail-first requirements</w:t>
            </w:r>
          </w:p>
        </w:tc>
      </w:tr>
      <w:tr>
        <w:tc>
          <w:tcPr>
            <w:tcW w:type="dxa" w:w="4896"/>
          </w:tcPr>
          <w:p>
            <w:r/>
            <w:r>
              <w:rPr>
                <w:sz w:val="18"/>
              </w:rPr>
              <w:t>c</w:t>
            </w:r>
          </w:p>
        </w:tc>
        <w:tc>
          <w:tcPr>
            <w:tcW w:type="dxa" w:w="4896"/>
          </w:tcPr>
          <w:p>
            <w:r/>
            <w:r>
              <w:rPr>
                <w:sz w:val="18"/>
              </w:rPr>
              <w:t>Delayed or denied coverage under Medicare Part B</w:t>
            </w:r>
          </w:p>
        </w:tc>
      </w:tr>
      <w:tr>
        <w:tc>
          <w:tcPr>
            <w:tcW w:type="dxa" w:w="4896"/>
          </w:tcPr>
          <w:p>
            <w:r/>
            <w:r>
              <w:rPr>
                <w:sz w:val="18"/>
              </w:rPr>
              <w:t>d</w:t>
            </w:r>
          </w:p>
        </w:tc>
        <w:tc>
          <w:tcPr>
            <w:tcW w:type="dxa" w:w="4896"/>
          </w:tcPr>
          <w:p>
            <w:r/>
            <w:r>
              <w:rPr>
                <w:sz w:val="18"/>
              </w:rPr>
              <w:t>Buy-and-bill margin insufficient to justify stocking the product</w:t>
            </w:r>
          </w:p>
        </w:tc>
      </w:tr>
      <w:tr>
        <w:tc>
          <w:tcPr>
            <w:tcW w:type="dxa" w:w="4896"/>
          </w:tcPr>
          <w:p>
            <w:r/>
            <w:r>
              <w:rPr>
                <w:sz w:val="18"/>
              </w:rPr>
              <w:t>e</w:t>
            </w:r>
          </w:p>
        </w:tc>
        <w:tc>
          <w:tcPr>
            <w:tcW w:type="dxa" w:w="4896"/>
          </w:tcPr>
          <w:p>
            <w:r/>
            <w:r>
              <w:rPr>
                <w:sz w:val="18"/>
              </w:rPr>
              <w:t>White-bagging or site-of-care restrictions imposed by the payer</w:t>
            </w:r>
          </w:p>
        </w:tc>
      </w:tr>
      <w:tr>
        <w:tc>
          <w:tcPr>
            <w:tcW w:type="dxa" w:w="4896"/>
          </w:tcPr>
          <w:p>
            <w:r/>
            <w:r>
              <w:rPr>
                <w:sz w:val="18"/>
              </w:rPr>
              <w:t>f</w:t>
            </w:r>
          </w:p>
        </w:tc>
        <w:tc>
          <w:tcPr>
            <w:tcW w:type="dxa" w:w="4896"/>
          </w:tcPr>
          <w:p>
            <w:r/>
            <w:r>
              <w:rPr>
                <w:sz w:val="18"/>
              </w:rPr>
              <w:t>Companion diagnostic not covered, creating a separate hurdle</w:t>
            </w:r>
          </w:p>
        </w:tc>
      </w:tr>
      <w:tr>
        <w:tc>
          <w:tcPr>
            <w:tcW w:type="dxa" w:w="4896"/>
          </w:tcPr>
          <w:p>
            <w:r/>
            <w:r>
              <w:rPr>
                <w:sz w:val="18"/>
              </w:rPr>
              <w:t>g</w:t>
            </w:r>
          </w:p>
        </w:tc>
        <w:tc>
          <w:tcPr>
            <w:tcW w:type="dxa" w:w="4896"/>
          </w:tcPr>
          <w:p>
            <w:r/>
            <w:r>
              <w:rPr>
                <w:sz w:val="18"/>
              </w:rPr>
              <w:t>Patient out-of-pocket exposure deterring initiation</w:t>
            </w:r>
          </w:p>
        </w:tc>
      </w:tr>
      <w:tr>
        <w:tc>
          <w:tcPr>
            <w:tcW w:type="dxa" w:w="4896"/>
          </w:tcPr>
          <w:p>
            <w:r/>
            <w:r>
              <w:rPr>
                <w:sz w:val="18"/>
              </w:rPr>
              <w:t>h</w:t>
            </w:r>
          </w:p>
        </w:tc>
        <w:tc>
          <w:tcPr>
            <w:tcW w:type="dxa" w:w="4896"/>
          </w:tcPr>
          <w:p>
            <w:r/>
            <w:r>
              <w:rPr>
                <w:sz w:val="18"/>
              </w:rPr>
              <w:t>Practice cannot get the product through its primary distributor</w:t>
            </w:r>
          </w:p>
        </w:tc>
      </w:tr>
    </w:tbl>
    <w:p>
      <w:pPr>
        <w:spacing w:after="40"/>
      </w:pPr>
    </w:p>
    <w:p>
      <w:r>
        <w:rPr>
          <w:b/>
        </w:rPr>
        <w:t>Q17b — Which single barrier would most delay your ability to prescribe it?</w:t>
      </w:r>
      <w:r>
        <w:t xml:space="preserve"> </w:t>
      </w:r>
      <w:r>
        <w:rPr>
          <w:i/>
        </w:rPr>
        <w:t>Single select from a–h.</w:t>
      </w:r>
    </w:p>
    <w:p>
      <w:r>
        <w:rPr>
          <w:b/>
        </w:rPr>
        <w:t>Analysis:</w:t>
      </w:r>
      <w:r>
        <w:t xml:space="preserve"> barrier (d) is specific to buy-and-bill oncology and is routinely underestimated in pre-launch research because it is an operational rather than a clinical objection. It is included deliberately: community practices will not stock a product they cannot get paid for, regardless of clinical merit.</w:t>
      </w:r>
    </w:p>
    <w:p>
      <w:pPr>
        <w:spacing w:before="80" w:after="80"/>
      </w:pPr>
    </w:p>
    <w:p>
      <w:pPr>
        <w:keepNext/>
        <w:spacing w:before="280" w:after="80"/>
      </w:pPr>
      <w:r>
        <w:rPr>
          <w:b/>
          <w:color w:val="1A1A1A"/>
          <w:sz w:val="21"/>
        </w:rPr>
        <w:t>Q18. Price acceptability.</w:t>
      </w:r>
    </w:p>
    <w:p>
      <w:r>
        <w:rPr>
          <w:b/>
        </w:rPr>
        <w:t>Q18a — At what net cost for a 12-month course would this product represent good value for the benefit it delivers?</w:t>
      </w:r>
      <w:r>
        <w:t xml:space="preserve"> </w:t>
      </w:r>
      <w:r>
        <w:rPr>
          <w:i/>
        </w:rPr>
        <w:t>Numeric, $ per year.</w:t>
      </w:r>
    </w:p>
    <w:p>
      <w:r>
        <w:rPr>
          <w:b/>
        </w:rPr>
        <w:t>Q18b — Above what annual cost would you begin to actively steer eligible patients toward alternatives?</w:t>
      </w:r>
      <w:r>
        <w:t xml:space="preserve"> </w:t>
      </w:r>
      <w:r>
        <w:rPr>
          <w:i/>
        </w:rPr>
        <w:t>Numeric, $ per year.</w:t>
      </w:r>
    </w:p>
    <w:p>
      <w:r>
        <w:rPr>
          <w:b/>
        </w:rPr>
        <w:t>Q18c — Rate the acceptability of each price point given the profile you have seen.</w:t>
      </w:r>
      <w:r>
        <w:t xml:space="preserve"> </w:t>
      </w:r>
      <w:r>
        <w:rPr>
          <w:i/>
        </w:rPr>
        <w:t>Single select per row: acceptable without reservation / acceptable but I would seek alternatives first / unacceptably high.</w:t>
      </w:r>
    </w:p>
    <w:tbl>
      <w:tblPr>
        <w:tblStyle w:val="TableGrid"/>
        <w:tblW w:type="auto" w:w="0"/>
        <w:jc w:val="left"/>
        <w:tblLook w:firstColumn="1" w:firstRow="1" w:lastColumn="0" w:lastRow="0" w:noHBand="0" w:noVBand="1" w:val="04A0"/>
      </w:tblPr>
      <w:tblGrid>
        <w:gridCol w:w="9792"/>
      </w:tblGrid>
      <w:tr>
        <w:tc>
          <w:tcPr>
            <w:tcW w:type="dxa" w:w="9792"/>
            <w:shd w:val="clear" w:fill="0B4F6C"/>
          </w:tcPr>
          <w:p>
            <w:r/>
            <w:r>
              <w:rPr>
                <w:b/>
                <w:color w:val="FFFFFF"/>
                <w:sz w:val="18"/>
              </w:rPr>
              <w:t>Annual net cost</w:t>
            </w:r>
          </w:p>
        </w:tc>
      </w:tr>
      <w:tr>
        <w:tc>
          <w:tcPr>
            <w:tcW w:type="dxa" w:w="9792"/>
          </w:tcPr>
          <w:p>
            <w:r/>
            <w:r>
              <w:rPr>
                <w:sz w:val="18"/>
              </w:rPr>
              <w:t>$75,000</w:t>
            </w:r>
          </w:p>
        </w:tc>
      </w:tr>
      <w:tr>
        <w:tc>
          <w:tcPr>
            <w:tcW w:type="dxa" w:w="9792"/>
          </w:tcPr>
          <w:p>
            <w:r/>
            <w:r>
              <w:rPr>
                <w:sz w:val="18"/>
              </w:rPr>
              <w:t>$95,000</w:t>
            </w:r>
          </w:p>
        </w:tc>
      </w:tr>
      <w:tr>
        <w:tc>
          <w:tcPr>
            <w:tcW w:type="dxa" w:w="9792"/>
          </w:tcPr>
          <w:p>
            <w:r/>
            <w:r>
              <w:rPr>
                <w:sz w:val="18"/>
              </w:rPr>
              <w:t>$110,000</w:t>
            </w:r>
          </w:p>
        </w:tc>
      </w:tr>
      <w:tr>
        <w:tc>
          <w:tcPr>
            <w:tcW w:type="dxa" w:w="9792"/>
          </w:tcPr>
          <w:p>
            <w:r/>
            <w:r>
              <w:rPr>
                <w:sz w:val="18"/>
              </w:rPr>
              <w:t>$130,000</w:t>
            </w:r>
          </w:p>
        </w:tc>
      </w:tr>
      <w:tr>
        <w:tc>
          <w:tcPr>
            <w:tcW w:type="dxa" w:w="9792"/>
          </w:tcPr>
          <w:p>
            <w:r/>
            <w:r>
              <w:rPr>
                <w:sz w:val="18"/>
              </w:rPr>
              <w:t>$150,000</w:t>
            </w:r>
          </w:p>
        </w:tc>
      </w:tr>
      <w:tr>
        <w:tc>
          <w:tcPr>
            <w:tcW w:type="dxa" w:w="9792"/>
          </w:tcPr>
          <w:p>
            <w:r/>
            <w:r>
              <w:rPr>
                <w:sz w:val="18"/>
              </w:rPr>
              <w:t>$175,000</w:t>
            </w:r>
          </w:p>
        </w:tc>
      </w:tr>
    </w:tbl>
    <w:p>
      <w:pPr>
        <w:spacing w:after="40"/>
      </w:pPr>
    </w:p>
    <w:p>
      <w:r>
        <w:rPr>
          <w:b/>
        </w:rPr>
        <w:t>Analysis:</w:t>
      </w:r>
      <w:r>
        <w:t xml:space="preserve"> Q18a and Q18b give the stated willingness-to-pay corridor; the conjoint cost attribute gives the </w:t>
      </w:r>
      <w:r>
        <w:rPr>
          <w:i/>
        </w:rPr>
        <w:t>revealed</w:t>
      </w:r>
      <w:r>
        <w:t xml:space="preserve"> price sensitivity under trade-off. Where the two diverge, trust the conjoint for forecasting and use the stated corridor for messaging thresholds. Q18c produces the acceptability curve for the pricing and market-access teams.</w:t>
      </w:r>
    </w:p>
    <w:p>
      <w:pPr>
        <w:spacing w:before="80" w:after="80"/>
      </w:pPr>
    </w:p>
    <w:p>
      <w:pPr>
        <w:keepNext/>
        <w:spacing w:before="280" w:after="80"/>
      </w:pPr>
      <w:r>
        <w:rPr>
          <w:b/>
          <w:color w:val="1A1A1A"/>
          <w:sz w:val="21"/>
        </w:rPr>
        <w:t>Q19. If you began prescribing this product, which of your current therapies would it most likely displace?</w:t>
      </w:r>
    </w:p>
    <w:p>
      <w:r>
        <w:rPr>
          <w:i/>
        </w:rPr>
        <w:t>Allocate 100 points across the regimens listed in Q6, reflecting where patients would come from.</w:t>
      </w:r>
    </w:p>
    <w:p>
      <w:r>
        <w:rPr>
          <w:b/>
        </w:rPr>
        <w:t>Q19b — Which competitor brand is most threatened by this product's profile, and why?</w:t>
      </w:r>
      <w:r>
        <w:t xml:space="preserve"> </w:t>
      </w:r>
      <w:r>
        <w:rPr>
          <w:i/>
        </w:rPr>
        <w:t>Single select from the Q6 list + open end.</w:t>
      </w:r>
    </w:p>
    <w:p>
      <w:r>
        <w:rPr>
          <w:b/>
        </w:rPr>
        <w:t>Analysis:</w:t>
      </w:r>
      <w:r>
        <w:t xml:space="preserve"> displacement mapping shows whether the product grows the treated pool or cannibalises existing share — a distinction that changes the commercial forecast and the competitive response you should plan for.</w:t>
      </w:r>
    </w:p>
    <w:p>
      <w:pPr>
        <w:spacing w:before="80" w:after="80"/>
      </w:pPr>
    </w:p>
    <w:p>
      <w:pPr>
        <w:keepNext/>
        <w:spacing w:before="280" w:after="80"/>
      </w:pPr>
      <w:r>
        <w:rPr>
          <w:b/>
          <w:color w:val="1A1A1A"/>
          <w:sz w:val="21"/>
        </w:rPr>
        <w:t>Q20. Taking everything into account, how likely are you to recommend this product to an oncology colleague once it is available?</w:t>
      </w:r>
    </w:p>
    <w:p>
      <w:r>
        <w:rPr>
          <w:i/>
        </w:rPr>
        <w:t>0–10 scale: 0 = not at all likely, 10 = extremely likely.</w:t>
      </w:r>
    </w:p>
    <w:p>
      <w:r>
        <w:rPr>
          <w:b/>
        </w:rPr>
        <w:t>Q20b — In 2–3 sentences, what is the main reason for the score you gave?</w:t>
      </w:r>
      <w:r>
        <w:t xml:space="preserve"> </w:t>
      </w:r>
      <w:r>
        <w:rPr>
          <w:i/>
        </w:rPr>
        <w:t>Open end.</w:t>
      </w:r>
    </w:p>
    <w:p>
      <w:r>
        <w:rPr>
          <w:b/>
        </w:rPr>
        <w:t>Q20c — What single change to the product profile would most increase your score?</w:t>
      </w:r>
      <w:r>
        <w:t xml:space="preserve"> </w:t>
      </w:r>
      <w:r>
        <w:rPr>
          <w:i/>
        </w:rPr>
        <w:t>Open end.</w:t>
      </w:r>
    </w:p>
    <w:p>
      <w:r>
        <w:rPr>
          <w:b/>
        </w:rPr>
        <w:t>Analysis:</w:t>
      </w:r>
      <w:r>
        <w:t xml:space="preserve"> net promoter score among prescribers is the leading indicator of peer-driven diffusion, which is the dominant adoption mechanism in community oncology. The verbatims are the raw material for message testing in the next wave and are worth more here than the score itself.</w:t>
      </w:r>
    </w:p>
    <w:p>
      <w:pPr>
        <w:spacing w:before="80" w:after="80"/>
      </w:pPr>
    </w:p>
    <w:p>
      <w:pPr>
        <w:spacing w:before="240" w:after="120"/>
      </w:pPr>
      <w:r>
        <w:rPr>
          <w:b/>
          <w:color w:val="0B4F6C"/>
          <w:sz w:val="24"/>
        </w:rPr>
        <w:t>SECTION F — CLASSIFICATION (not counted toward the 20 questions)</w:t>
      </w:r>
    </w:p>
    <w:tbl>
      <w:tblPr>
        <w:tblStyle w:val="TableGrid"/>
        <w:tblW w:type="auto" w:w="0"/>
        <w:jc w:val="left"/>
        <w:tblLook w:firstColumn="1" w:firstRow="1" w:lastColumn="0" w:lastRow="0" w:noHBand="0" w:noVBand="1" w:val="04A0"/>
      </w:tblPr>
      <w:tblGrid>
        <w:gridCol w:w="4896"/>
        <w:gridCol w:w="4896"/>
      </w:tblGrid>
      <w:tr>
        <w:tc>
          <w:tcPr>
            <w:tcW w:type="dxa" w:w="4896"/>
            <w:shd w:val="clear" w:fill="0B4F6C"/>
          </w:tcPr>
          <w:p>
            <w:r/>
            <w:r>
              <w:rPr>
                <w:b/>
                <w:color w:val="FFFFFF"/>
                <w:sz w:val="18"/>
              </w:rPr>
              <w:t>#</w:t>
            </w:r>
          </w:p>
        </w:tc>
        <w:tc>
          <w:tcPr>
            <w:tcW w:type="dxa" w:w="4896"/>
            <w:shd w:val="clear" w:fill="0B4F6C"/>
          </w:tcPr>
          <w:p>
            <w:r/>
            <w:r>
              <w:rPr>
                <w:b/>
                <w:color w:val="FFFFFF"/>
                <w:sz w:val="18"/>
              </w:rPr>
              <w:t>Item</w:t>
            </w:r>
          </w:p>
        </w:tc>
      </w:tr>
      <w:tr>
        <w:tc>
          <w:tcPr>
            <w:tcW w:type="dxa" w:w="4896"/>
          </w:tcPr>
          <w:p>
            <w:r/>
            <w:r>
              <w:rPr>
                <w:sz w:val="18"/>
              </w:rPr>
              <w:t>C1</w:t>
            </w:r>
          </w:p>
        </w:tc>
        <w:tc>
          <w:tcPr>
            <w:tcW w:type="dxa" w:w="4896"/>
          </w:tcPr>
          <w:p>
            <w:r/>
            <w:r>
              <w:rPr>
                <w:sz w:val="18"/>
              </w:rPr>
              <w:t>Years in practice since completing fellowship</w:t>
            </w:r>
          </w:p>
        </w:tc>
      </w:tr>
      <w:tr>
        <w:tc>
          <w:tcPr>
            <w:tcW w:type="dxa" w:w="4896"/>
          </w:tcPr>
          <w:p>
            <w:r/>
            <w:r>
              <w:rPr>
                <w:sz w:val="18"/>
              </w:rPr>
              <w:t>C2</w:t>
            </w:r>
          </w:p>
        </w:tc>
        <w:tc>
          <w:tcPr>
            <w:tcW w:type="dxa" w:w="4896"/>
          </w:tcPr>
          <w:p>
            <w:r/>
            <w:r>
              <w:rPr>
                <w:sz w:val="18"/>
              </w:rPr>
              <w:t>Number of oncologists in your practice</w:t>
            </w:r>
          </w:p>
        </w:tc>
      </w:tr>
      <w:tr>
        <w:tc>
          <w:tcPr>
            <w:tcW w:type="dxa" w:w="4896"/>
          </w:tcPr>
          <w:p>
            <w:r/>
            <w:r>
              <w:rPr>
                <w:sz w:val="18"/>
              </w:rPr>
              <w:t>C3</w:t>
            </w:r>
          </w:p>
        </w:tc>
        <w:tc>
          <w:tcPr>
            <w:tcW w:type="dxa" w:w="4896"/>
          </w:tcPr>
          <w:p>
            <w:r/>
            <w:r>
              <w:rPr>
                <w:sz w:val="18"/>
              </w:rPr>
              <w:t>Approximate total patients on active systemic therapy in your practice</w:t>
            </w:r>
          </w:p>
        </w:tc>
      </w:tr>
      <w:tr>
        <w:tc>
          <w:tcPr>
            <w:tcW w:type="dxa" w:w="4896"/>
          </w:tcPr>
          <w:p>
            <w:r/>
            <w:r>
              <w:rPr>
                <w:sz w:val="18"/>
              </w:rPr>
              <w:t>C4</w:t>
            </w:r>
          </w:p>
        </w:tc>
        <w:tc>
          <w:tcPr>
            <w:tcW w:type="dxa" w:w="4896"/>
          </w:tcPr>
          <w:p>
            <w:r/>
            <w:r>
              <w:rPr>
                <w:sz w:val="18"/>
              </w:rPr>
              <w:t>NPI number (verification only; not analysed, not reported)</w:t>
            </w:r>
          </w:p>
        </w:tc>
      </w:tr>
      <w:tr>
        <w:tc>
          <w:tcPr>
            <w:tcW w:type="dxa" w:w="4896"/>
          </w:tcPr>
          <w:p>
            <w:r/>
            <w:r>
              <w:rPr>
                <w:sz w:val="18"/>
              </w:rPr>
              <w:t>C5</w:t>
            </w:r>
          </w:p>
        </w:tc>
        <w:tc>
          <w:tcPr>
            <w:tcW w:type="dxa" w:w="4896"/>
          </w:tcPr>
          <w:p>
            <w:r/>
            <w:r>
              <w:rPr>
                <w:sz w:val="18"/>
              </w:rPr>
              <w:t>Primary tumour types treated (multi-select)</w:t>
            </w:r>
          </w:p>
        </w:tc>
      </w:tr>
      <w:tr>
        <w:tc>
          <w:tcPr>
            <w:tcW w:type="dxa" w:w="4896"/>
          </w:tcPr>
          <w:p>
            <w:r/>
            <w:r>
              <w:rPr>
                <w:sz w:val="18"/>
              </w:rPr>
              <w:t>C6</w:t>
            </w:r>
          </w:p>
        </w:tc>
        <w:tc>
          <w:tcPr>
            <w:tcW w:type="dxa" w:w="4896"/>
          </w:tcPr>
          <w:p>
            <w:r/>
            <w:r>
              <w:rPr>
                <w:sz w:val="18"/>
              </w:rPr>
              <w:t>Clinical trial participation — do you enrol patients onto trials?</w:t>
            </w:r>
          </w:p>
        </w:tc>
      </w:tr>
      <w:tr>
        <w:tc>
          <w:tcPr>
            <w:tcW w:type="dxa" w:w="4896"/>
          </w:tcPr>
          <w:p>
            <w:r/>
            <w:r>
              <w:rPr>
                <w:sz w:val="18"/>
              </w:rPr>
              <w:t>C7</w:t>
            </w:r>
          </w:p>
        </w:tc>
        <w:tc>
          <w:tcPr>
            <w:tcW w:type="dxa" w:w="4896"/>
          </w:tcPr>
          <w:p>
            <w:r/>
            <w:r>
              <w:rPr>
                <w:sz w:val="18"/>
              </w:rPr>
              <w:t>Consent to a 30-minute qualitative follow-up interview</w:t>
            </w:r>
          </w:p>
        </w:tc>
      </w:tr>
    </w:tbl>
    <w:p>
      <w:pPr>
        <w:spacing w:after="40"/>
      </w:pPr>
    </w:p>
    <w:p>
      <w:pPr>
        <w:spacing w:before="80" w:after="80"/>
      </w:pPr>
    </w:p>
    <w:p>
      <w:pPr>
        <w:spacing w:before="200" w:after="160"/>
      </w:pPr>
      <w:r>
        <w:rPr>
          <w:b/>
          <w:color w:val="0B4F6C"/>
          <w:sz w:val="28"/>
        </w:rPr>
        <w:t>4. Analysis and reporting plan</w:t>
      </w:r>
    </w:p>
    <w:tbl>
      <w:tblPr>
        <w:tblStyle w:val="TableGrid"/>
        <w:tblW w:type="auto" w:w="0"/>
        <w:jc w:val="left"/>
        <w:tblLook w:firstColumn="1" w:firstRow="1" w:lastColumn="0" w:lastRow="0" w:noHBand="0" w:noVBand="1" w:val="04A0"/>
      </w:tblPr>
      <w:tblGrid>
        <w:gridCol w:w="3264"/>
        <w:gridCol w:w="3264"/>
        <w:gridCol w:w="3264"/>
      </w:tblGrid>
      <w:tr>
        <w:tc>
          <w:tcPr>
            <w:tcW w:type="dxa" w:w="3264"/>
            <w:shd w:val="clear" w:fill="0B4F6C"/>
          </w:tcPr>
          <w:p>
            <w:r/>
            <w:r>
              <w:rPr>
                <w:b/>
                <w:color w:val="FFFFFF"/>
                <w:sz w:val="18"/>
              </w:rPr>
              <w:t>Analysis</w:t>
            </w:r>
          </w:p>
        </w:tc>
        <w:tc>
          <w:tcPr>
            <w:tcW w:type="dxa" w:w="3264"/>
            <w:shd w:val="clear" w:fill="0B4F6C"/>
          </w:tcPr>
          <w:p>
            <w:r/>
            <w:r>
              <w:rPr>
                <w:b/>
                <w:color w:val="FFFFFF"/>
                <w:sz w:val="18"/>
              </w:rPr>
              <w:t>Method</w:t>
            </w:r>
          </w:p>
        </w:tc>
        <w:tc>
          <w:tcPr>
            <w:tcW w:type="dxa" w:w="3264"/>
            <w:shd w:val="clear" w:fill="0B4F6C"/>
          </w:tcPr>
          <w:p>
            <w:r/>
            <w:r>
              <w:rPr>
                <w:b/>
                <w:color w:val="FFFFFF"/>
                <w:sz w:val="18"/>
              </w:rPr>
              <w:t>Output</w:t>
            </w:r>
          </w:p>
        </w:tc>
      </w:tr>
      <w:tr>
        <w:tc>
          <w:tcPr>
            <w:tcW w:type="dxa" w:w="3264"/>
          </w:tcPr>
          <w:p>
            <w:r/>
            <w:r>
              <w:rPr>
                <w:sz w:val="18"/>
              </w:rPr>
              <w:t>Demand sizing</w:t>
            </w:r>
          </w:p>
        </w:tc>
        <w:tc>
          <w:tcPr>
            <w:tcW w:type="dxa" w:w="3264"/>
          </w:tcPr>
          <w:p>
            <w:r/>
            <w:r>
              <w:rPr>
                <w:sz w:val="18"/>
              </w:rPr>
              <w:t>Top-2-box intent (Q12) × share of eligible patients (Q12b), weighted to quota</w:t>
            </w:r>
          </w:p>
        </w:tc>
        <w:tc>
          <w:tcPr>
            <w:tcW w:type="dxa" w:w="3264"/>
          </w:tcPr>
          <w:p>
            <w:r/>
            <w:r>
              <w:rPr>
                <w:sz w:val="18"/>
              </w:rPr>
              <w:t>Uptake forecast at 3 / 6 / 12 months</w:t>
            </w:r>
          </w:p>
        </w:tc>
      </w:tr>
      <w:tr>
        <w:tc>
          <w:tcPr>
            <w:tcW w:type="dxa" w:w="3264"/>
          </w:tcPr>
          <w:p>
            <w:r/>
            <w:r>
              <w:rPr>
                <w:sz w:val="18"/>
              </w:rPr>
              <w:t>Preference structure</w:t>
            </w:r>
          </w:p>
        </w:tc>
        <w:tc>
          <w:tcPr>
            <w:tcW w:type="dxa" w:w="3264"/>
          </w:tcPr>
          <w:p>
            <w:r/>
            <w:r>
              <w:rPr>
                <w:sz w:val="18"/>
              </w:rPr>
              <w:t>Conditional and mixed logit on the 900 choice observations</w:t>
            </w:r>
          </w:p>
        </w:tc>
        <w:tc>
          <w:tcPr>
            <w:tcW w:type="dxa" w:w="3264"/>
          </w:tcPr>
          <w:p>
            <w:r/>
            <w:r>
              <w:rPr>
                <w:sz w:val="18"/>
              </w:rPr>
              <w:t>Utility coefficients, relative attribute importance</w:t>
            </w:r>
          </w:p>
        </w:tc>
      </w:tr>
      <w:tr>
        <w:tc>
          <w:tcPr>
            <w:tcW w:type="dxa" w:w="3264"/>
          </w:tcPr>
          <w:p>
            <w:r/>
            <w:r>
              <w:rPr>
                <w:sz w:val="18"/>
              </w:rPr>
              <w:t>Trade-off quantification</w:t>
            </w:r>
          </w:p>
        </w:tc>
        <w:tc>
          <w:tcPr>
            <w:tcW w:type="dxa" w:w="3264"/>
          </w:tcPr>
          <w:p>
            <w:r/>
            <w:r>
              <w:rPr>
                <w:sz w:val="18"/>
              </w:rPr>
              <w:t>Willingness-to-pay from the cost attribute</w:t>
            </w:r>
          </w:p>
        </w:tc>
        <w:tc>
          <w:tcPr>
            <w:tcW w:type="dxa" w:w="3264"/>
          </w:tcPr>
          <w:p>
            <w:r/>
            <w:r>
              <w:rPr>
                <w:sz w:val="18"/>
              </w:rPr>
              <w:t>$ value of each clinical improvement</w:t>
            </w:r>
          </w:p>
        </w:tc>
      </w:tr>
      <w:tr>
        <w:tc>
          <w:tcPr>
            <w:tcW w:type="dxa" w:w="3264"/>
          </w:tcPr>
          <w:p>
            <w:r/>
            <w:r>
              <w:rPr>
                <w:sz w:val="18"/>
              </w:rPr>
              <w:t>Segmentation</w:t>
            </w:r>
          </w:p>
        </w:tc>
        <w:tc>
          <w:tcPr>
            <w:tcW w:type="dxa" w:w="3264"/>
          </w:tcPr>
          <w:p>
            <w:r/>
            <w:r>
              <w:rPr>
                <w:sz w:val="18"/>
              </w:rPr>
              <w:t>Latent class on choice data, cross-validated against Q5 and Q2a</w:t>
            </w:r>
          </w:p>
        </w:tc>
        <w:tc>
          <w:tcPr>
            <w:tcW w:type="dxa" w:w="3264"/>
          </w:tcPr>
          <w:p>
            <w:r/>
            <w:r>
              <w:rPr>
                <w:sz w:val="18"/>
              </w:rPr>
              <w:t>Trade-off archetypes with segment sizes</w:t>
            </w:r>
          </w:p>
        </w:tc>
      </w:tr>
      <w:tr>
        <w:tc>
          <w:tcPr>
            <w:tcW w:type="dxa" w:w="3264"/>
          </w:tcPr>
          <w:p>
            <w:r/>
            <w:r>
              <w:rPr>
                <w:sz w:val="18"/>
              </w:rPr>
              <w:t>Share simulation</w:t>
            </w:r>
          </w:p>
        </w:tc>
        <w:tc>
          <w:tcPr>
            <w:tcW w:type="dxa" w:w="3264"/>
          </w:tcPr>
          <w:p>
            <w:r/>
            <w:r>
              <w:rPr>
                <w:sz w:val="18"/>
              </w:rPr>
              <w:t>Market simulator using the opt-out constant as the status-quo anchor</w:t>
            </w:r>
          </w:p>
        </w:tc>
        <w:tc>
          <w:tcPr>
            <w:tcW w:type="dxa" w:w="3264"/>
          </w:tcPr>
          <w:p>
            <w:r/>
            <w:r>
              <w:rPr>
                <w:sz w:val="18"/>
              </w:rPr>
              <w:t>Share of choice under price and access scenarios</w:t>
            </w:r>
          </w:p>
        </w:tc>
      </w:tr>
      <w:tr>
        <w:tc>
          <w:tcPr>
            <w:tcW w:type="dxa" w:w="3264"/>
          </w:tcPr>
          <w:p>
            <w:r/>
            <w:r>
              <w:rPr>
                <w:sz w:val="18"/>
              </w:rPr>
              <w:t>Barrier prioritisation</w:t>
            </w:r>
          </w:p>
        </w:tc>
        <w:tc>
          <w:tcPr>
            <w:tcW w:type="dxa" w:w="3264"/>
          </w:tcPr>
          <w:p>
            <w:r/>
            <w:r>
              <w:rPr>
                <w:sz w:val="18"/>
              </w:rPr>
              <w:t>Rank-weighted scores on Q15 and Q17</w:t>
            </w:r>
          </w:p>
        </w:tc>
        <w:tc>
          <w:tcPr>
            <w:tcW w:type="dxa" w:w="3264"/>
          </w:tcPr>
          <w:p>
            <w:r/>
            <w:r>
              <w:rPr>
                <w:sz w:val="18"/>
              </w:rPr>
              <w:t>Minimum viable launch-support package</w:t>
            </w:r>
          </w:p>
        </w:tc>
      </w:tr>
      <w:tr>
        <w:tc>
          <w:tcPr>
            <w:tcW w:type="dxa" w:w="3264"/>
          </w:tcPr>
          <w:p>
            <w:r/>
            <w:r>
              <w:rPr>
                <w:sz w:val="18"/>
              </w:rPr>
              <w:t>Stated vs revealed gap</w:t>
            </w:r>
          </w:p>
        </w:tc>
        <w:tc>
          <w:tcPr>
            <w:tcW w:type="dxa" w:w="3264"/>
          </w:tcPr>
          <w:p>
            <w:r/>
            <w:r>
              <w:rPr>
                <w:sz w:val="18"/>
              </w:rPr>
              <w:t>Correlation of Q7 importance with conjoint importance</w:t>
            </w:r>
          </w:p>
        </w:tc>
        <w:tc>
          <w:tcPr>
            <w:tcW w:type="dxa" w:w="3264"/>
          </w:tcPr>
          <w:p>
            <w:r/>
            <w:r>
              <w:rPr>
                <w:sz w:val="18"/>
              </w:rPr>
              <w:t>Attributes oncologists claim to value but will not trade for</w:t>
            </w:r>
          </w:p>
        </w:tc>
      </w:tr>
    </w:tbl>
    <w:p>
      <w:pPr>
        <w:spacing w:after="40"/>
      </w:pPr>
    </w:p>
    <w:p>
      <w:r>
        <w:t>All conjoint outputs are reported with 95% confidence intervals. Segment cuts below n = 30 are reported directionally only and labelled as such.</w:t>
      </w:r>
    </w:p>
    <w:p>
      <w:pPr>
        <w:spacing w:before="200" w:after="160"/>
      </w:pPr>
      <w:r>
        <w:rPr>
          <w:b/>
          <w:color w:val="0B4F6C"/>
          <w:sz w:val="28"/>
        </w:rPr>
        <w:t>5. Fielding notes</w:t>
      </w:r>
    </w:p>
    <w:p>
      <w:pPr>
        <w:pStyle w:val="ListBullet"/>
        <w:spacing w:after="40"/>
      </w:pPr>
      <w:r>
        <w:rPr>
          <w:b/>
          <w:sz w:val="20"/>
        </w:rPr>
        <w:t>Programming:</w:t>
      </w:r>
      <w:r>
        <w:rPr>
          <w:sz w:val="20"/>
        </w:rPr>
        <w:t xml:space="preserve"> load `output/dce_design_wide.csv` for the 9 tasks and `output/respondent_task_map.csv` for per-respondent task order and alternative position. Do not re-randomise in the survey platform — the randomisation is already assigned and must stay consistent with the design checks.</w:t>
      </w:r>
    </w:p>
    <w:p>
      <w:pPr>
        <w:pStyle w:val="ListBullet"/>
        <w:spacing w:after="40"/>
      </w:pPr>
      <w:r>
        <w:rPr>
          <w:b/>
          <w:sz w:val="20"/>
        </w:rPr>
        <w:t>TPP card:</w:t>
      </w:r>
      <w:r>
        <w:rPr>
          <w:sz w:val="20"/>
        </w:rPr>
        <w:t xml:space="preserve"> must be reviewed and approved by medical affairs and legal before fielding. No brand name, no sponsor identification, no promotional claims.</w:t>
      </w:r>
    </w:p>
    <w:p>
      <w:pPr>
        <w:pStyle w:val="ListBullet"/>
        <w:spacing w:after="40"/>
      </w:pPr>
      <w:r>
        <w:rPr>
          <w:b/>
          <w:sz w:val="20"/>
        </w:rPr>
        <w:t>Incentive:</w:t>
      </w:r>
      <w:r>
        <w:rPr>
          <w:sz w:val="20"/>
        </w:rPr>
        <w:t xml:space="preserve"> honorarium appropriate to specialty and time, disclosed up front, consistent with fair-market-value guidance.</w:t>
      </w:r>
    </w:p>
    <w:p>
      <w:pPr>
        <w:pStyle w:val="ListBullet"/>
        <w:spacing w:after="40"/>
      </w:pPr>
      <w:r>
        <w:rPr>
          <w:b/>
          <w:sz w:val="20"/>
        </w:rPr>
        <w:t>LOI:</w:t>
      </w:r>
      <w:r>
        <w:rPr>
          <w:sz w:val="20"/>
        </w:rPr>
        <w:t xml:space="preserve"> 20 minutes estimated, of which the conjoint accounts for roughly 7. Pilot with 5 oncologists before full release and re-check the conjoint section time.</w:t>
      </w:r>
    </w:p>
    <w:p>
      <w:pPr>
        <w:spacing w:before="80" w:after="80"/>
      </w:pPr>
    </w:p>
    <w:p>
      <w:r>
        <w:rPr>
          <w:i/>
        </w:rPr>
        <w:t>Prepared as a fielding draft. Placeholder fields marked with square brackets must be completed with the client's asset-specific information before the instrument is programmed.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