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e3a8a"/>
          <w:sz w:val="30"/>
          <w:szCs w:val="30"/>
        </w:rPr>
        <w:t xml:space="preserve">EXECUTIVE MEMO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Is the +11% Recovery Improvement Real, and Where Should the Next ₹10 Cr Go?</w:t>
      </w:r>
    </w:p>
    <w:p>
      <w:pPr>
        <w:spacing w:after="180"/>
      </w:pPr>
      <w:r>
        <w:rPr>
          <w:i/>
          <w:iCs/>
          <w:color w:val="555555"/>
          <w:sz w:val="16"/>
          <w:szCs w:val="16"/>
        </w:rPr>
        <w:t xml:space="preserve">To: Leadership   |   From: Data Analytics   |   Period: Jan 1 – Jul 31 2026 (7 complete months; Aug excluded as a partial month)</w:t>
      </w:r>
    </w:p>
    <w:p>
      <w:pPr>
        <w:spacing w:after="60" w:before="140"/>
      </w:pPr>
      <w:r>
        <w:rPr>
          <w:b/>
          <w:bCs/>
          <w:color w:val="1e3a8a"/>
          <w:sz w:val="20"/>
          <w:szCs w:val="20"/>
        </w:rPr>
        <w:t xml:space="preserve">What happened?</w:t>
      </w:r>
    </w:p>
    <w:p>
      <w:pPr>
        <w:spacing w:after="90"/>
      </w:pPr>
      <w:r>
        <w:rPr>
          <w:i w:val="false"/>
          <w:iCs w:val="false"/>
          <w:sz w:val="19"/>
          <w:szCs w:val="19"/>
        </w:rPr>
        <w:t xml:space="preserve">The reported "+11% MoM" is real for exactly one month-pair — February to March — and is not a sustained trend. Recovered cash oscillates between ₹158M and ₹176M every month with no consistent direction (Jan→Feb: -9.6%, Mar→Apr: -7.3%, May→Jun: -5.2%). A formal trend test across the 7 complete months returns a slope statistically indistinguishable from zero (R² = 0.004), and Jan→Jul shows a net decline of ~2% — the opposite of the headline claim.</w:t>
      </w:r>
    </w:p>
    <w:p>
      <w:pPr>
        <w:spacing w:after="60" w:before="140"/>
      </w:pPr>
      <w:r>
        <w:rPr>
          <w:b/>
          <w:bCs/>
          <w:color w:val="1e3a8a"/>
          <w:sz w:val="20"/>
          <w:szCs w:val="20"/>
        </w:rPr>
        <w:t xml:space="preserve">Why did it happen?</w:t>
      </w:r>
    </w:p>
    <w:p>
      <w:pPr>
        <w:spacing w:after="60"/>
      </w:pPr>
      <w:r>
        <w:rPr>
          <w:i w:val="false"/>
          <w:iCs w:val="false"/>
          <w:sz w:val="19"/>
          <w:szCs w:val="19"/>
        </w:rPr>
        <w:t xml:space="preserve">We tested the two most likely alternative explanations and ruled both out with direct evidence: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sz w:val="18"/>
          <w:szCs w:val="18"/>
        </w:rPr>
        <w:t xml:space="preserve">Portfolio mix shift — </w:t>
      </w:r>
      <w:r>
        <w:rPr>
          <w:sz w:val="18"/>
          <w:szCs w:val="18"/>
        </w:rPr>
        <w:t xml:space="preserve">standardizing every month’s recovery rate to January’s risk-segment mix produces a series statistically identical to the actual rate (differences round to 0.00pp). Mix is not the driver.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18"/>
          <w:szCs w:val="18"/>
        </w:rPr>
        <w:t xml:space="preserve">The targeting-strategy change — </w:t>
      </w:r>
      <w:r>
        <w:rPr>
          <w:sz w:val="18"/>
          <w:szCs w:val="18"/>
        </w:rPr>
        <w:t xml:space="preserve">a difference-in-differences comparison of accounts switched to the new targeting strategy vs. accounts that never switched gives an effect of -0.51 percentage points — not distinguishable from zero given the ~1pp month-to-month noise already present in the series.</w:t>
      </w:r>
    </w:p>
    <w:p>
      <w:pPr>
        <w:spacing w:after="90"/>
      </w:pPr>
      <w:r>
        <w:rPr>
          <w:i w:val="false"/>
          <w:iCs w:val="false"/>
          <w:sz w:val="19"/>
          <w:szCs w:val="19"/>
        </w:rPr>
        <w:t xml:space="preserve">The most likely explanation is simpler: the underlying recovery process is flat/noisy, and the reported figure is a cherry-picked bounce inside that noise. We also found (and corrected) a real measurement bug: a naive "recovered ÷ worked" ratio overstates the true rate by 2.5–2.9 percentage points every month — a stable ~30% relative inflation — because it lets the numerator include accounts that paid without being worked that same month. Any historical dashboard using that definition has been running ~30% optimistic.</w:t>
      </w:r>
    </w:p>
    <w:p>
      <w:pPr>
        <w:spacing w:after="60" w:before="140"/>
      </w:pPr>
      <w:r>
        <w:rPr>
          <w:b/>
          <w:bCs/>
          <w:color w:val="1e3a8a"/>
          <w:sz w:val="20"/>
          <w:szCs w:val="20"/>
        </w:rPr>
        <w:t xml:space="preserve">How confident are we?</w:t>
      </w:r>
    </w:p>
    <w:p>
      <w:pPr>
        <w:spacing w:after="90"/>
      </w:pPr>
      <w:r>
        <w:rPr>
          <w:i w:val="false"/>
          <w:iCs w:val="false"/>
          <w:sz w:val="19"/>
          <w:szCs w:val="19"/>
        </w:rPr>
        <w:t xml:space="preserve">HIGH confidence that the reported 11% is not a genuine sustained trend (multiple independent checks — trend regression, mix standardization, DiD — all point the same direction). MEDIUM confidence on root cause (the data does not contain a clean natural experiment; several plausible confounders — agent identity, campaign attribution — could not be fully resolved because the source tables themselves are unreliable on those dimensions; see Data Quality Report).</w:t>
      </w:r>
    </w:p>
    <w:p>
      <w:pPr>
        <w:spacing w:after="60" w:before="140"/>
      </w:pPr>
      <w:r>
        <w:rPr>
          <w:b/>
          <w:bCs/>
          <w:color w:val="1e3a8a"/>
          <w:sz w:val="20"/>
          <w:szCs w:val="20"/>
        </w:rPr>
        <w:t xml:space="preserve">Scoreboard: what the corrected numbers actually show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900"/>
        <w:gridCol w:w="3560"/>
      </w:tblGrid>
      <w:tr>
        <w:tc>
          <w:tcPr>
            <w:tcW w:type="dxa" w:w="2200"/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700"/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Jan’26</w:t>
            </w:r>
          </w:p>
        </w:tc>
        <w:tc>
          <w:tcPr>
            <w:tcW w:type="dxa" w:w="1900"/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Jul’26</w:t>
            </w:r>
          </w:p>
        </w:tc>
        <w:tc>
          <w:tcPr>
            <w:tcW w:type="dxa" w:w="3560"/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Recovered amount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₹17.56 Cr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₹17.20 Cr</w:t>
            </w:r>
          </w:p>
        </w:tc>
        <w:tc>
          <w:tcPr>
            <w:tcW w:type="dxa" w:w="3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Flat / slightly down (-2%)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Recovery rate (corrected)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8.09%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7.85%</w:t>
            </w:r>
          </w:p>
        </w:tc>
        <w:tc>
          <w:tcPr>
            <w:tcW w:type="dxa" w:w="3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Flat, oscillating 7.2-8.1%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Contact rate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10.80%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10.35%</w:t>
            </w:r>
          </w:p>
        </w:tc>
        <w:tc>
          <w:tcPr>
            <w:tcW w:type="dxa" w:w="3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Flat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Recovery / agent-hour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₹15,731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₹15,382</w:t>
            </w:r>
          </w:p>
        </w:tc>
        <w:tc>
          <w:tcPr>
            <w:tcW w:type="dxa" w:w="3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Flat</w:t>
            </w:r>
          </w:p>
        </w:tc>
      </w:tr>
    </w:tbl>
    <w:p>
      <w:pPr>
        <w:spacing w:after="120"/>
      </w:pPr>
      <w:r>
        <w:rPr>
          <w:i w:val="false"/>
          <w:iCs w:val="false"/>
          <w:sz w:val="19"/>
          <w:szCs w:val="19"/>
        </w:rPr>
        <w:t xml:space="preserve"/>
      </w:r>
    </w:p>
    <w:p>
      <w:pPr>
        <w:spacing w:after="60" w:before="140"/>
      </w:pPr>
      <w:r>
        <w:rPr>
          <w:b/>
          <w:bCs/>
          <w:color w:val="1e3a8a"/>
          <w:sz w:val="20"/>
          <w:szCs w:val="20"/>
        </w:rPr>
        <w:t xml:space="preserve">Where should the ₹10 Cr go?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560"/>
            <w:shd w:fill="1e3a8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6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Field operations (of the 6 options) — but see caveat below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Supporting evidence</w:t>
            </w:r>
          </w:p>
        </w:tc>
        <w:tc>
          <w:tcPr>
            <w:tcW w:type="dxa" w:w="6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FIELD channel shows the highest (marginal) conversion of the 5 channels (7.65% vs 7.39-7.58% for others) and covers the highest-friction segments (NPA/HIGH risk) where digital/voice contact rates are structurally weakest.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Honest caveat</w:t>
            </w:r>
          </w:p>
        </w:tc>
        <w:tc>
          <w:tcPr>
            <w:tcW w:type="dxa" w:w="6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Channel conversion differences are small (~0.3pp spread) — NOT a strong, clean signal. This is a marginal-edge recommendation, not a slam dunk.</w:t>
            </w:r>
          </w:p>
        </w:tc>
      </w:tr>
      <w:tr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Confidence</w:t>
            </w:r>
          </w:p>
        </w:tc>
        <w:tc>
          <w:tcPr>
            <w:tcW w:type="dxa" w:w="6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LOW-MEDIUM. See “What we would need” below before committing the full ₹10 Cr.</w:t>
            </w:r>
          </w:p>
        </w:tc>
      </w:tr>
    </w:tbl>
    <w:p>
      <w:pPr>
        <w:spacing w:after="80"/>
      </w:pPr>
      <w:r>
        <w:rPr>
          <w:i w:val="false"/>
          <w:iCs w:val="false"/>
          <w:sz w:val="19"/>
          <w:szCs w:val="19"/>
        </w:rPr>
        <w:t xml:space="preserve"/>
      </w:r>
    </w:p>
    <w:p>
      <w:pPr>
        <w:spacing w:after="60" w:before="140"/>
      </w:pPr>
      <w:r>
        <w:rPr>
          <w:b/>
          <w:bCs/>
          <w:color w:val="1e3a8a"/>
          <w:sz w:val="20"/>
          <w:szCs w:val="20"/>
        </w:rPr>
        <w:t xml:space="preserve">Expected incremental recovery &amp; ROI (Field Operations)</w:t>
      </w:r>
    </w:p>
    <w:p>
      <w:pPr>
        <w:spacing w:after="90"/>
      </w:pPr>
      <w:r>
        <w:rPr>
          <w:i w:val="false"/>
          <w:iCs w:val="false"/>
          <w:sz w:val="18"/>
          <w:szCs w:val="18"/>
        </w:rPr>
        <w:t xml:space="preserve">Assumptions: ₹10 Cr funds ~150 additional field agents at a fully-loaded cost of ~₹6.7L/agent/year. If field-worked accounts convert at the observed 7.65% vs. the 7.46-7.58% blended rate of accounts NOT reached by field ops, and each additional agent can carry ~120 accounts/month at the current ₹7,594 average recovery-per-worked-account, incremental recovery is estimated at ₹12–18 Cr/year (range reflects the thin 0.1–0.3pp conversion edge actually observed). Break-even: ~7–10 months. Downside scenario: if the field conversion edge is fully explained by unobserved account-selection (harder accounts are disproportionately NOT field-visited today, inflating field’s apparent edge), incremental recovery could be as low as ₹3–5 Cr/year — below break-even within the first year.</w:t>
      </w:r>
    </w:p>
    <w:p>
      <w:pPr>
        <w:spacing w:after="60" w:before="140"/>
      </w:pPr>
      <w:r>
        <w:rPr>
          <w:b/>
          <w:bCs/>
          <w:color w:val="1e3a8a"/>
          <w:sz w:val="20"/>
          <w:szCs w:val="20"/>
        </w:rPr>
        <w:t xml:space="preserve">What we would need before committing the full ₹10 Cr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true cost table (agent salaries, telephony per-minute cost, field visit cost per trip) — none exists in the current data; our cost-per-recovered-rupee figures are directional index values only, not audited numbers.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randomized or quasi-randomized channel/targeting pilot (even a 4-week, 2,000-account A/B test) — the current data has no clean natural experiment, so every causal estimate here (including the field-ops edge above) carries real uncertainty.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resolved agent identity dimension — the current agents table is unusable for tenure/team analysis (30x duplicate, near-random snapshots per agent), which blocks a proper agent-productivity-adjusted view of channel economics.</w:t>
      </w:r>
    </w:p>
    <w:p>
      <w:pPr>
        <w:spacing w:after="90"/>
      </w:pPr>
      <w:r>
        <w:rPr>
          <w:i/>
          <w:iCs/>
          <w:color w:val="555555"/>
          <w:sz w:val="16"/>
          <w:szCs w:val="16"/>
        </w:rPr>
        <w:t xml:space="preserve">Full methodology, all statistical tests, SQL, and the golden dataset pipeline are in the accompanying notebook, SQL repository, and Data Quality Report.</w:t>
      </w:r>
    </w:p>
    <w:sectPr>
      <w:pgSz w:w="12240" w:h="15840" w:orient="portrait"/>
      <w:pgMar w:top="620" w:right="850" w:bottom="6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2026-09-01T04:09:13.114Z</dcterms:created>
  <dcterms:modified xsi:type="dcterms:W3CDTF">2026-09-01T04:09:13.118Z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