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97706"/>
          <w:spacing w:val="20"/>
          <w:sz w:val="18"/>
          <w:szCs w:val="18"/>
        </w:rPr>
        <w:t xml:space="preserve">PARTNERSHIP PROPOSAL</w:t>
      </w:r>
    </w:p>
    <w:p>
      <w:pPr>
        <w:spacing w:after="60"/>
      </w:pPr>
      <w:r>
        <w:rPr>
          <w:b/>
          <w:bCs/>
          <w:color w:val="063554"/>
          <w:sz w:val="40"/>
          <w:szCs w:val="40"/>
        </w:rPr>
        <w:t xml:space="preserve">Natrix Race Rewards — Powered by Taupoc</w:t>
      </w:r>
    </w:p>
    <w:p>
      <w:pPr>
        <w:spacing w:after="40"/>
      </w:pPr>
      <w:r>
        <w:rPr>
          <w:i/>
          <w:iCs/>
          <w:color w:val="666666"/>
          <w:sz w:val="24"/>
          <w:szCs w:val="24"/>
        </w:rPr>
        <w:t xml:space="preserve">A proposal for Taupoc distributors across Southeast Asia</w:t>
      </w:r>
    </w:p>
    <w:p>
      <w:pPr>
        <w:spacing w:after="240"/>
      </w:pPr>
      <w:r>
        <w:rPr>
          <w:color w:val="666666"/>
          <w:sz w:val="20"/>
          <w:szCs w:val="20"/>
        </w:rPr>
        <w:t xml:space="preserve">Prepared by Taupoc Singapore</w:t>
      </w:r>
    </w:p>
    <w:p>
      <w:pPr>
        <w:spacing w:after="160"/>
      </w:pPr>
      <w:r>
        <w:rPr>
          <w:sz w:val="22"/>
          <w:szCs w:val="22"/>
        </w:rPr>
        <w:t xml:space="preserve">Natrix is a swim performance tracking app built for competitive swim parents and coaches — the kind of app that replaces spreadsheets, screenshots and a shoebox of meet results with one clean, verified swimmer profile.</w:t>
      </w:r>
    </w:p>
    <w:p>
      <w:pPr>
        <w:spacing w:after="160"/>
      </w:pPr>
      <w:r>
        <w:rPr>
          <w:sz w:val="22"/>
          <w:szCs w:val="22"/>
        </w:rPr>
        <w:t xml:space="preserve">Taupoc Singapore has partnered with Natrix to launch Natrix Race Rewards — a loyalty programme that rewards swimmers with real Taupoc products and discounts for genuine, verified progress: personal bests, meet results, and season milestones. We would like to bring your market into this programme, using the same template we are running here in Singapore.</w:t>
      </w:r>
    </w:p>
    <w:p>
      <w:pPr>
        <w:pBdr>
          <w:bottom w:val="single" w:color="CCCCCC" w:sz="6"/>
        </w:pBdr>
        <w:spacing w:after="160" w:before="160"/>
      </w:pPr>
    </w:p>
    <w:p>
      <w:pPr>
        <w:pStyle w:val="Heading1"/>
        <w:spacing w:after="120" w:before="320"/>
      </w:pPr>
      <w:r>
        <w:rPr>
          <w:b/>
          <w:bCs/>
          <w:color w:val="063554"/>
          <w:sz w:val="26"/>
          <w:szCs w:val="26"/>
        </w:rPr>
        <w:t xml:space="preserve">What Natrix Does</w:t>
      </w:r>
    </w:p>
    <w:p>
      <w:pPr>
        <w:spacing w:after="160"/>
      </w:pPr>
      <w:r>
        <w:rPr>
          <w:sz w:val="22"/>
          <w:szCs w:val="22"/>
        </w:rPr>
        <w:t xml:space="preserve">Natrix lets a swim parent track their child's personal bests, meet history, and progress against official qualifying standards, all in one app. Where most tracking apps rely on the parent manually typing in every result, Natrix automatically imports official results directly from the national swimming federation the moment they're published — no typing, no screenshots, no forgotten meets.</w:t>
      </w:r>
    </w:p>
    <w:p>
      <w:pPr>
        <w:spacing w:after="160"/>
      </w:pPr>
      <w:r>
        <w:rPr>
          <w:sz w:val="22"/>
          <w:szCs w:val="22"/>
        </w:rPr>
        <w:t xml:space="preserve">Because every result comes from an official, verified source, Natrix knows with certainty when a swimmer has genuinely achieved something — not just claimed to. That certainty is what makes a rewards programme like this possible without it becoming easy to game.</w:t>
      </w:r>
    </w:p>
    <w:p>
      <w:pPr>
        <w:pStyle w:val="Heading1"/>
        <w:spacing w:after="120" w:before="320"/>
      </w:pPr>
      <w:r>
        <w:rPr>
          <w:b/>
          <w:bCs/>
          <w:color w:val="063554"/>
          <w:sz w:val="26"/>
          <w:szCs w:val="26"/>
        </w:rPr>
        <w:t xml:space="preserve">Why This Matters For Taupoc</w:t>
      </w:r>
    </w:p>
    <w:p>
      <w:pPr>
        <w:spacing w:after="160"/>
      </w:pPr>
      <w:r>
        <w:rPr>
          <w:sz w:val="22"/>
          <w:szCs w:val="22"/>
        </w:rPr>
        <w:t xml:space="preserve">Every swimmer using Natrix is, by definition, a competitive swimmer with parents who are actively engaged in their progress — exactly the audience Taupoc racing swimwear is built for. Race Rewards puts the Taupoc name in front of that audience at the single most emotionally engaged moment possible: the moment a swimmer sees their own new personal best.</w:t>
      </w:r>
    </w:p>
    <w:p>
      <w:pPr>
        <w:spacing w:after="160"/>
      </w:pPr>
      <w:r>
        <w:rPr>
          <w:sz w:val="22"/>
          <w:szCs w:val="22"/>
        </w:rPr>
        <w:t xml:space="preserve">This is not a banner ad. It's Taupoc showing up as the brand that celebrates a swimmer's progress and rewards it with real product — a relationship, not an impression.</w:t>
      </w:r>
    </w:p>
    <w:p>
      <w:pPr>
        <w:pStyle w:val="Heading1"/>
        <w:spacing w:after="120" w:before="320"/>
      </w:pPr>
      <w:r>
        <w:rPr>
          <w:b/>
          <w:bCs/>
          <w:color w:val="063554"/>
          <w:sz w:val="26"/>
          <w:szCs w:val="26"/>
        </w:rPr>
        <w:t xml:space="preserve">How the Programme Works</w:t>
      </w:r>
    </w:p>
    <w:p>
      <w:pPr>
        <w:spacing w:after="160"/>
      </w:pPr>
      <w:r>
        <w:rPr>
          <w:sz w:val="22"/>
          <w:szCs w:val="22"/>
        </w:rPr>
        <w:t xml:space="preserve">Swimmers earn points for verified milestones — never simply for opening the app — and redeem those points for Taupoc products and vouchers. This is the standard template we are running in Singapore; we are happy to adapt values and currency to your market.</w:t>
      </w:r>
    </w:p>
    <w:p>
      <w:pPr>
        <w:spacing w:after="80" w:before="160"/>
      </w:pPr>
      <w:r>
        <w:rPr>
          <w:b/>
          <w:bCs/>
          <w:color w:val="063554"/>
          <w:sz w:val="22"/>
          <w:szCs w:val="22"/>
        </w:rPr>
        <w:t xml:space="preserve">Earning 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600"/>
        <w:gridCol w:w="1600"/>
      </w:tblGrid>
      <w:tr>
        <w:trPr>
          <w:tblHeader/>
        </w:trPr>
        <w:tc>
          <w:tcPr>
            <w:tcW w:type="dxa" w:w="7600"/>
            <w:shd w:fill="063554" w:val="clear"/>
            <w:tcMar>
              <w:top w:type="dxa" w:w="100"/>
              <w:left w:type="dxa" w:w="120"/>
              <w:bottom w:type="dxa" w:w="100"/>
              <w:right w:type="dxa" w:w="120"/>
            </w:tcMar>
          </w:tcPr>
          <w:p>
            <w:r>
              <w:rPr>
                <w:b/>
                <w:bCs/>
                <w:color w:val="FFFFFF"/>
                <w:sz w:val="20"/>
                <w:szCs w:val="20"/>
              </w:rPr>
              <w:t xml:space="preserve">Milestone</w:t>
            </w:r>
          </w:p>
        </w:tc>
        <w:tc>
          <w:tcPr>
            <w:tcW w:type="dxa" w:w="1600"/>
            <w:shd w:fill="063554" w:val="clear"/>
            <w:tcMar>
              <w:top w:type="dxa" w:w="100"/>
              <w:left w:type="dxa" w:w="120"/>
              <w:bottom w:type="dxa" w:w="100"/>
              <w:right w:type="dxa" w:w="120"/>
            </w:tcMar>
          </w:tcPr>
          <w:p>
            <w:r>
              <w:rPr>
                <w:b/>
                <w:bCs/>
                <w:color w:val="FFFFFF"/>
                <w:sz w:val="20"/>
                <w:szCs w:val="20"/>
              </w:rPr>
              <w:t xml:space="preserve">Points</w:t>
            </w:r>
          </w:p>
        </w:tc>
      </w:tr>
      <w:tr>
        <w:tc>
          <w:tcPr>
            <w:tcW w:type="dxa" w:w="7600"/>
            <w:tcMar>
              <w:top w:type="dxa" w:w="90"/>
              <w:left w:type="dxa" w:w="120"/>
              <w:bottom w:type="dxa" w:w="90"/>
              <w:right w:type="dxa" w:w="120"/>
            </w:tcMar>
          </w:tcPr>
          <w:p>
            <w:r>
              <w:rPr>
                <w:b w:val="false"/>
                <w:bCs w:val="false"/>
                <w:sz w:val="21"/>
                <w:szCs w:val="21"/>
              </w:rPr>
              <w:t xml:space="preserve">Create a swimmer profile</w:t>
            </w:r>
          </w:p>
        </w:tc>
        <w:tc>
          <w:tcPr>
            <w:tcW w:type="dxa" w:w="1600"/>
            <w:tcMar>
              <w:top w:type="dxa" w:w="90"/>
              <w:left w:type="dxa" w:w="120"/>
              <w:bottom w:type="dxa" w:w="90"/>
              <w:right w:type="dxa" w:w="120"/>
            </w:tcMar>
          </w:tcPr>
          <w:p>
            <w:r>
              <w:rPr>
                <w:b/>
                <w:bCs/>
                <w:color w:val="D97706"/>
                <w:sz w:val="21"/>
                <w:szCs w:val="21"/>
              </w:rPr>
              <w:t xml:space="preserve">10</w:t>
            </w:r>
          </w:p>
        </w:tc>
      </w:tr>
      <w:tr>
        <w:tc>
          <w:tcPr>
            <w:tcW w:type="dxa" w:w="7600"/>
            <w:tcMar>
              <w:top w:type="dxa" w:w="90"/>
              <w:left w:type="dxa" w:w="120"/>
              <w:bottom w:type="dxa" w:w="90"/>
              <w:right w:type="dxa" w:w="120"/>
            </w:tcMar>
          </w:tcPr>
          <w:p>
            <w:r>
              <w:rPr>
                <w:b w:val="false"/>
                <w:bCs w:val="false"/>
                <w:sz w:val="21"/>
                <w:szCs w:val="21"/>
              </w:rPr>
              <w:t xml:space="preserve">Complete a meet profile / schedule</w:t>
            </w:r>
          </w:p>
        </w:tc>
        <w:tc>
          <w:tcPr>
            <w:tcW w:type="dxa" w:w="1600"/>
            <w:tcMar>
              <w:top w:type="dxa" w:w="90"/>
              <w:left w:type="dxa" w:w="120"/>
              <w:bottom w:type="dxa" w:w="90"/>
              <w:right w:type="dxa" w:w="120"/>
            </w:tcMar>
          </w:tcPr>
          <w:p>
            <w:r>
              <w:rPr>
                <w:b/>
                <w:bCs/>
                <w:color w:val="D97706"/>
                <w:sz w:val="21"/>
                <w:szCs w:val="21"/>
              </w:rPr>
              <w:t xml:space="preserve">10</w:t>
            </w:r>
          </w:p>
        </w:tc>
      </w:tr>
      <w:tr>
        <w:tc>
          <w:tcPr>
            <w:tcW w:type="dxa" w:w="7600"/>
            <w:tcMar>
              <w:top w:type="dxa" w:w="90"/>
              <w:left w:type="dxa" w:w="120"/>
              <w:bottom w:type="dxa" w:w="90"/>
              <w:right w:type="dxa" w:w="120"/>
            </w:tcMar>
          </w:tcPr>
          <w:p>
            <w:r>
              <w:rPr>
                <w:b w:val="false"/>
                <w:bCs w:val="false"/>
                <w:sz w:val="21"/>
                <w:szCs w:val="21"/>
              </w:rPr>
              <w:t xml:space="preserve">Verified official meet result</w:t>
            </w:r>
          </w:p>
        </w:tc>
        <w:tc>
          <w:tcPr>
            <w:tcW w:type="dxa" w:w="1600"/>
            <w:tcMar>
              <w:top w:type="dxa" w:w="90"/>
              <w:left w:type="dxa" w:w="120"/>
              <w:bottom w:type="dxa" w:w="90"/>
              <w:right w:type="dxa" w:w="120"/>
            </w:tcMar>
          </w:tcPr>
          <w:p>
            <w:r>
              <w:rPr>
                <w:b/>
                <w:bCs/>
                <w:color w:val="D97706"/>
                <w:sz w:val="21"/>
                <w:szCs w:val="21"/>
              </w:rPr>
              <w:t xml:space="preserve">25</w:t>
            </w:r>
          </w:p>
        </w:tc>
      </w:tr>
      <w:tr>
        <w:tc>
          <w:tcPr>
            <w:tcW w:type="dxa" w:w="7600"/>
            <w:tcMar>
              <w:top w:type="dxa" w:w="90"/>
              <w:left w:type="dxa" w:w="120"/>
              <w:bottom w:type="dxa" w:w="90"/>
              <w:right w:type="dxa" w:w="120"/>
            </w:tcMar>
          </w:tcPr>
          <w:p>
            <w:r>
              <w:rPr>
                <w:b w:val="false"/>
                <w:bCs w:val="false"/>
                <w:sz w:val="21"/>
                <w:szCs w:val="21"/>
              </w:rPr>
              <w:t xml:space="preserve">Verified new personal best</w:t>
            </w:r>
          </w:p>
        </w:tc>
        <w:tc>
          <w:tcPr>
            <w:tcW w:type="dxa" w:w="1600"/>
            <w:tcMar>
              <w:top w:type="dxa" w:w="90"/>
              <w:left w:type="dxa" w:w="120"/>
              <w:bottom w:type="dxa" w:w="90"/>
              <w:right w:type="dxa" w:w="120"/>
            </w:tcMar>
          </w:tcPr>
          <w:p>
            <w:r>
              <w:rPr>
                <w:b/>
                <w:bCs/>
                <w:color w:val="D97706"/>
                <w:sz w:val="21"/>
                <w:szCs w:val="21"/>
              </w:rPr>
              <w:t xml:space="preserve">50</w:t>
            </w:r>
          </w:p>
        </w:tc>
      </w:tr>
    </w:tbl>
    <w:p>
      <w:pPr>
        <w:spacing w:after="200" w:before="80"/>
      </w:pPr>
      <w:r>
        <w:rPr>
          <w:i/>
          <w:iCs/>
          <w:color w:val="666666"/>
          <w:sz w:val="20"/>
          <w:szCs w:val="20"/>
        </w:rPr>
        <w:t xml:space="preserve">Only verified, official results earn points. This is what keeps the programme trustworthy and protects the value of every voucher issued.</w:t>
      </w:r>
    </w:p>
    <w:p>
      <w:pPr>
        <w:spacing w:after="80" w:before="160"/>
      </w:pPr>
      <w:r>
        <w:rPr>
          <w:b/>
          <w:bCs/>
          <w:color w:val="063554"/>
          <w:sz w:val="22"/>
          <w:szCs w:val="22"/>
        </w:rPr>
        <w:t xml:space="preserve">Redeeming 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063554" w:val="clear"/>
            <w:tcMar>
              <w:top w:type="dxa" w:w="100"/>
              <w:left w:type="dxa" w:w="120"/>
              <w:bottom w:type="dxa" w:w="100"/>
              <w:right w:type="dxa" w:w="120"/>
            </w:tcMar>
          </w:tcPr>
          <w:p>
            <w:r>
              <w:rPr>
                <w:b/>
                <w:bCs/>
                <w:color w:val="FFFFFF"/>
                <w:sz w:val="20"/>
                <w:szCs w:val="20"/>
              </w:rPr>
              <w:t xml:space="preserve">Points</w:t>
            </w:r>
          </w:p>
        </w:tc>
        <w:tc>
          <w:tcPr>
            <w:tcW w:type="dxa" w:w="7600"/>
            <w:shd w:fill="063554" w:val="clear"/>
            <w:tcMar>
              <w:top w:type="dxa" w:w="100"/>
              <w:left w:type="dxa" w:w="120"/>
              <w:bottom w:type="dxa" w:w="100"/>
              <w:right w:type="dxa" w:w="120"/>
            </w:tcMar>
          </w:tcPr>
          <w:p>
            <w:r>
              <w:rPr>
                <w:b/>
                <w:bCs/>
                <w:color w:val="FFFFFF"/>
                <w:sz w:val="20"/>
                <w:szCs w:val="20"/>
              </w:rPr>
              <w:t xml:space="preserve">Reward</w:t>
            </w:r>
          </w:p>
        </w:tc>
      </w:tr>
      <w:tr>
        <w:tc>
          <w:tcPr>
            <w:tcW w:type="dxa" w:w="1600"/>
            <w:tcMar>
              <w:top w:type="dxa" w:w="90"/>
              <w:left w:type="dxa" w:w="120"/>
              <w:bottom w:type="dxa" w:w="90"/>
              <w:right w:type="dxa" w:w="120"/>
            </w:tcMar>
          </w:tcPr>
          <w:p>
            <w:r>
              <w:rPr>
                <w:b w:val="false"/>
                <w:bCs w:val="false"/>
                <w:sz w:val="21"/>
                <w:szCs w:val="21"/>
              </w:rPr>
              <w:t xml:space="preserve">100</w:t>
            </w:r>
          </w:p>
        </w:tc>
        <w:tc>
          <w:tcPr>
            <w:tcW w:type="dxa" w:w="7600"/>
            <w:tcMar>
              <w:top w:type="dxa" w:w="90"/>
              <w:left w:type="dxa" w:w="120"/>
              <w:bottom w:type="dxa" w:w="90"/>
              <w:right w:type="dxa" w:w="120"/>
            </w:tcMar>
          </w:tcPr>
          <w:p>
            <w:r>
              <w:rPr>
                <w:b/>
                <w:bCs/>
                <w:color w:val="D97706"/>
                <w:sz w:val="21"/>
                <w:szCs w:val="21"/>
              </w:rPr>
              <w:t xml:space="preserve">Free Taupoc swim cap</w:t>
            </w:r>
          </w:p>
        </w:tc>
      </w:tr>
      <w:tr>
        <w:tc>
          <w:tcPr>
            <w:tcW w:type="dxa" w:w="1600"/>
            <w:tcMar>
              <w:top w:type="dxa" w:w="90"/>
              <w:left w:type="dxa" w:w="120"/>
              <w:bottom w:type="dxa" w:w="90"/>
              <w:right w:type="dxa" w:w="120"/>
            </w:tcMar>
          </w:tcPr>
          <w:p>
            <w:r>
              <w:rPr>
                <w:b w:val="false"/>
                <w:bCs w:val="false"/>
                <w:sz w:val="21"/>
                <w:szCs w:val="21"/>
              </w:rPr>
              <w:t xml:space="preserve">150</w:t>
            </w:r>
          </w:p>
        </w:tc>
        <w:tc>
          <w:tcPr>
            <w:tcW w:type="dxa" w:w="7600"/>
            <w:tcMar>
              <w:top w:type="dxa" w:w="90"/>
              <w:left w:type="dxa" w:w="120"/>
              <w:bottom w:type="dxa" w:w="90"/>
              <w:right w:type="dxa" w:w="120"/>
            </w:tcMar>
          </w:tcPr>
          <w:p>
            <w:r>
              <w:rPr>
                <w:b/>
                <w:bCs/>
                <w:color w:val="D97706"/>
                <w:sz w:val="21"/>
                <w:szCs w:val="21"/>
              </w:rPr>
              <w:t xml:space="preserve">S$10 off RRP, any Taupoc product</w:t>
            </w:r>
          </w:p>
        </w:tc>
      </w:tr>
      <w:tr>
        <w:tc>
          <w:tcPr>
            <w:tcW w:type="dxa" w:w="1600"/>
            <w:tcMar>
              <w:top w:type="dxa" w:w="90"/>
              <w:left w:type="dxa" w:w="120"/>
              <w:bottom w:type="dxa" w:w="90"/>
              <w:right w:type="dxa" w:w="120"/>
            </w:tcMar>
          </w:tcPr>
          <w:p>
            <w:r>
              <w:rPr>
                <w:b w:val="false"/>
                <w:bCs w:val="false"/>
                <w:sz w:val="21"/>
                <w:szCs w:val="21"/>
              </w:rPr>
              <w:t xml:space="preserve">300</w:t>
            </w:r>
          </w:p>
        </w:tc>
        <w:tc>
          <w:tcPr>
            <w:tcW w:type="dxa" w:w="7600"/>
            <w:tcMar>
              <w:top w:type="dxa" w:w="90"/>
              <w:left w:type="dxa" w:w="120"/>
              <w:bottom w:type="dxa" w:w="90"/>
              <w:right w:type="dxa" w:w="120"/>
            </w:tcMar>
          </w:tcPr>
          <w:p>
            <w:r>
              <w:rPr>
                <w:b/>
                <w:bCs/>
                <w:color w:val="D97706"/>
                <w:sz w:val="21"/>
                <w:szCs w:val="21"/>
              </w:rPr>
              <w:t xml:space="preserve">S$25 off an R-SKIN suit (RRP)</w:t>
            </w:r>
          </w:p>
        </w:tc>
      </w:tr>
    </w:tbl>
    <w:p>
      <w:pPr>
        <w:spacing w:after="200" w:before="80"/>
      </w:pPr>
      <w:r>
        <w:rPr>
          <w:i/>
          <w:iCs/>
          <w:color w:val="666666"/>
          <w:sz w:val="20"/>
          <w:szCs w:val="20"/>
        </w:rPr>
        <w:t xml:space="preserve">Discounts are calculated from normal retail price (RRP), not against any other running promotion, and vouchers are single-use and linked to the individual swimmer.</w:t>
      </w:r>
    </w:p>
    <w:p>
      <w:pPr>
        <w:pStyle w:val="Heading1"/>
        <w:spacing w:after="120" w:before="320"/>
      </w:pPr>
      <w:r>
        <w:rPr>
          <w:b/>
          <w:bCs/>
          <w:color w:val="063554"/>
          <w:sz w:val="26"/>
          <w:szCs w:val="26"/>
        </w:rPr>
        <w:t xml:space="preserve">An Annual Challenge</w:t>
      </w:r>
    </w:p>
    <w:p>
      <w:pPr>
        <w:spacing w:after="160"/>
      </w:pPr>
      <w:r>
        <w:rPr>
          <w:sz w:val="22"/>
          <w:szCs w:val="22"/>
        </w:rPr>
        <w:t xml:space="preserve">The programme runs as a yearly cycle, 1 January to 31 December. Points reset to zero at year end, but every swimmer keeps their full history of personal bests, meets and milestones — and their season achievements can be shown as permanent recognition (e.g. "2026 Race Rewards Champion — 8 personal bests, 420 points earned"), even after the points themselves reset.</w:t>
      </w:r>
    </w:p>
    <w:p>
      <w:pPr>
        <w:spacing w:after="160"/>
      </w:pPr>
      <w:r>
        <w:rPr>
          <w:sz w:val="22"/>
          <w:szCs w:val="22"/>
        </w:rPr>
        <w:t xml:space="preserve">This gives swimmers a reason to keep coming back to the app, and Taupoc a reason to stay visible, all season, every season.</w:t>
      </w:r>
    </w:p>
    <w:p>
      <w:pPr>
        <w:pStyle w:val="Heading1"/>
        <w:spacing w:after="120" w:before="320"/>
      </w:pPr>
      <w:r>
        <w:rPr>
          <w:b/>
          <w:bCs/>
          <w:color w:val="063554"/>
          <w:sz w:val="26"/>
          <w:szCs w:val="26"/>
        </w:rPr>
        <w:t xml:space="preserve">The Singapore Pilot</w:t>
      </w:r>
    </w:p>
    <w:p>
      <w:pPr>
        <w:spacing w:after="160"/>
      </w:pPr>
      <w:r>
        <w:rPr>
          <w:sz w:val="22"/>
          <w:szCs w:val="22"/>
        </w:rPr>
        <w:t xml:space="preserve">Taupoc Singapore is launching this programme first, as the pilot market. Natrix's results pipeline is already live and fully automated for Singapore Aquatics — meaning the programme can run entirely on real, verified data from day one, with no manual work on either side.</w:t>
      </w:r>
    </w:p>
    <w:p>
      <w:pPr>
        <w:spacing w:after="160"/>
      </w:pPr>
      <w:r>
        <w:rPr>
          <w:sz w:val="22"/>
          <w:szCs w:val="22"/>
        </w:rPr>
        <w:t xml:space="preserve">We are proposing the same approach for your market: a distributor-run rewards programme, powered by Natrix's verified results engine, using this same template as a starting point.</w:t>
      </w:r>
    </w:p>
    <w:p>
      <w:pPr>
        <w:pStyle w:val="Heading1"/>
        <w:spacing w:after="120" w:before="320"/>
      </w:pPr>
      <w:r>
        <w:rPr>
          <w:b/>
          <w:bCs/>
          <w:color w:val="063554"/>
          <w:sz w:val="26"/>
          <w:szCs w:val="26"/>
        </w:rPr>
        <w:t xml:space="preserve">What We're Proposing</w:t>
      </w:r>
    </w:p>
    <w:p>
      <w:pPr>
        <w:pStyle w:val="ListParagraph"/>
        <w:numPr>
          <w:ilvl w:val="0"/>
          <w:numId w:val="1"/>
        </w:numPr>
        <w:spacing w:after="100"/>
      </w:pPr>
      <w:r>
        <w:rPr>
          <w:sz w:val="22"/>
          <w:szCs w:val="22"/>
        </w:rPr>
        <w:t xml:space="preserve">That Taupoc [Country] joins Natrix Race Rewards as the reward partner for swimmers in your market, once Natrix's automated results pipeline is live for your national federation.</w:t>
      </w:r>
    </w:p>
    <w:p>
      <w:pPr>
        <w:pStyle w:val="ListParagraph"/>
        <w:numPr>
          <w:ilvl w:val="0"/>
          <w:numId w:val="1"/>
        </w:numPr>
        <w:spacing w:after="100"/>
      </w:pPr>
      <w:r>
        <w:rPr>
          <w:sz w:val="22"/>
          <w:szCs w:val="22"/>
        </w:rPr>
        <w:t xml:space="preserve">You set your own reward values, product selection and voucher terms for your market — the Singapore structure above is a starting template, not a fixed requirement.</w:t>
      </w:r>
    </w:p>
    <w:p>
      <w:pPr>
        <w:pStyle w:val="ListParagraph"/>
        <w:numPr>
          <w:ilvl w:val="0"/>
          <w:numId w:val="1"/>
        </w:numPr>
        <w:spacing w:after="100"/>
      </w:pPr>
      <w:r>
        <w:rPr>
          <w:sz w:val="22"/>
          <w:szCs w:val="22"/>
        </w:rPr>
        <w:t xml:space="preserve">Natrix handles the technology: the points ledger, the verified-results detection, and single-use voucher codes tied to each swimmer.</w:t>
      </w:r>
    </w:p>
    <w:p>
      <w:pPr>
        <w:pStyle w:val="ListParagraph"/>
        <w:numPr>
          <w:ilvl w:val="0"/>
          <w:numId w:val="1"/>
        </w:numPr>
        <w:spacing w:after="100"/>
      </w:pPr>
      <w:r>
        <w:rPr>
          <w:sz w:val="22"/>
          <w:szCs w:val="22"/>
        </w:rPr>
        <w:t xml:space="preserve">You supply the product (or discount) behind each reward, and your brand appears as "Natrix — Powered by Taupoc" to swim families in your market.</w:t>
      </w:r>
    </w:p>
    <w:p>
      <w:pPr>
        <w:pBdr>
          <w:bottom w:val="single" w:color="CCCCCC" w:sz="6"/>
        </w:pBdr>
        <w:spacing w:after="160" w:before="160"/>
      </w:pPr>
    </w:p>
    <w:p>
      <w:pPr>
        <w:pStyle w:val="Heading1"/>
        <w:spacing w:after="120" w:before="320"/>
      </w:pPr>
      <w:r>
        <w:rPr>
          <w:b/>
          <w:bCs/>
          <w:color w:val="063554"/>
          <w:sz w:val="26"/>
          <w:szCs w:val="26"/>
        </w:rPr>
        <w:t xml:space="preserve">Next Steps</w:t>
      </w:r>
    </w:p>
    <w:p>
      <w:pPr>
        <w:spacing w:after="160"/>
      </w:pPr>
      <w:r>
        <w:rPr>
          <w:sz w:val="22"/>
          <w:szCs w:val="22"/>
        </w:rPr>
        <w:t xml:space="preserve">We would welcome a short call to walk through how the Singapore pilot is running and discuss what a version of this would look like in your market. Please let us know a time that works for you.</w:t>
      </w:r>
    </w:p>
    <w:p>
      <w:pPr>
        <w:spacing w:before="200"/>
      </w:pPr>
      <w:r>
        <w:rPr>
          <w:b/>
          <w:bCs/>
          <w:color w:val="063554"/>
          <w:sz w:val="21"/>
          <w:szCs w:val="21"/>
        </w:rPr>
        <w:t xml:space="preserve">Contact:  Julian Loh — Taupoc Singapore  ·  [email]  ·  [phone]</w:t>
      </w:r>
    </w:p>
    <w:sectPr>
      <w:footerReference w:type="default" r:id="rId7"/>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center"/>
    </w:pPr>
    <w:r>
      <w:rPr>
        <w:color w:val="666666"/>
        <w:sz w:val="16"/>
        <w:szCs w:val="16"/>
      </w:rPr>
      <w:t xml:space="preserve">Natrix Race Rewards — Powered by Taupoc  ·  Proposal prepared by Taupoc Singapore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Natrix x Taupoc — Regional Partnership Proposal</dc:title>
  <dc:creator>Un-named</dc:creator>
  <cp:lastModifiedBy>Un-named</cp:lastModifiedBy>
  <cp:revision>1</cp:revision>
  <dcterms:created xsi:type="dcterms:W3CDTF">2026-09-09T06:47:19.826Z</dcterms:created>
  <dcterms:modified xsi:type="dcterms:W3CDTF">2026-09-09T06:47:19.827Z</dcterms:modified>
</cp:coreProperties>
</file>

<file path=docProps/custom.xml><?xml version="1.0" encoding="utf-8"?>
<Properties xmlns="http://schemas.openxmlformats.org/officeDocument/2006/custom-properties" xmlns:vt="http://schemas.openxmlformats.org/officeDocument/2006/docPropsVTypes"/>
</file>