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D97706"/>
          <w:spacing w:val="20"/>
          <w:sz w:val="18"/>
          <w:szCs w:val="18"/>
        </w:rPr>
        <w:t xml:space="preserve">PROPOSAL KEMITRAAN</w:t>
      </w:r>
    </w:p>
    <w:p>
      <w:pPr>
        <w:spacing w:after="60"/>
      </w:pPr>
      <w:r>
        <w:rPr>
          <w:b/>
          <w:bCs/>
          <w:color w:val="063554"/>
          <w:sz w:val="40"/>
          <w:szCs w:val="40"/>
        </w:rPr>
        <w:t xml:space="preserve">Natrix Race Rewards — Powered by Taupoc</w:t>
      </w:r>
    </w:p>
    <w:p>
      <w:pPr>
        <w:spacing w:after="40"/>
      </w:pPr>
      <w:r>
        <w:rPr>
          <w:i/>
          <w:iCs/>
          <w:color w:val="666666"/>
          <w:sz w:val="24"/>
          <w:szCs w:val="24"/>
        </w:rPr>
        <w:t xml:space="preserve">Sebuah proposal untuk distributor Taupoc di seluruh Asia Tenggara</w:t>
      </w:r>
    </w:p>
    <w:p>
      <w:pPr>
        <w:spacing w:after="240"/>
      </w:pPr>
      <w:r>
        <w:rPr>
          <w:color w:val="666666"/>
          <w:sz w:val="20"/>
          <w:szCs w:val="20"/>
        </w:rPr>
        <w:t xml:space="preserve">Disusun oleh Taupoc Singapura</w:t>
      </w:r>
    </w:p>
    <w:p>
      <w:pPr>
        <w:spacing w:after="160"/>
      </w:pPr>
      <w:r>
        <w:rPr>
          <w:sz w:val="22"/>
          <w:szCs w:val="22"/>
        </w:rPr>
        <w:t xml:space="preserve">Natrix adalah aplikasi pelacak performa renang yang dibangun untuk orang tua dan pelatih perenang kompetitif — aplikasi yang menggantikan spreadsheet, tangkapan layar, dan tumpukan hasil perlombaan dengan satu profil perenang yang rapi dan terverifikasi.</w:t>
      </w:r>
    </w:p>
    <w:p>
      <w:pPr>
        <w:spacing w:after="160"/>
      </w:pPr>
      <w:r>
        <w:rPr>
          <w:sz w:val="22"/>
          <w:szCs w:val="22"/>
        </w:rPr>
        <w:t xml:space="preserve">Taupoc Singapura telah bermitra dengan Natrix untuk meluncurkan Natrix Race Rewards — program loyalitas yang memberi hadiah kepada perenang berupa produk dan diskon Taupoc sungguhan atas pencapaian yang nyata dan terverifikasi: rekor waktu terbaik pribadi, hasil perlombaan, dan pencapaian musiman. Kami ingin mengajak pasar Anda bergabung dalam program ini, menggunakan templat yang sama seperti yang kami jalankan di Singapura.</w:t>
      </w:r>
    </w:p>
    <w:p>
      <w:pPr>
        <w:pBdr>
          <w:bottom w:val="single" w:color="CCCCCC" w:sz="6"/>
        </w:pBdr>
        <w:spacing w:after="160" w:before="160"/>
      </w:pPr>
    </w:p>
    <w:p>
      <w:pPr>
        <w:pStyle w:val="Heading1"/>
        <w:spacing w:after="120" w:before="320"/>
      </w:pPr>
      <w:r>
        <w:rPr>
          <w:b/>
          <w:bCs/>
          <w:color w:val="063554"/>
          <w:sz w:val="26"/>
          <w:szCs w:val="26"/>
        </w:rPr>
        <w:t xml:space="preserve">Apa yang Dilakukan Natrix</w:t>
      </w:r>
    </w:p>
    <w:p>
      <w:pPr>
        <w:spacing w:after="160"/>
      </w:pPr>
      <w:r>
        <w:rPr>
          <w:sz w:val="22"/>
          <w:szCs w:val="22"/>
        </w:rPr>
        <w:t xml:space="preserve">Natrix memungkinkan orang tua perenang melacak rekor waktu terbaik pribadi (PB) anak mereka, riwayat perlombaan, dan kemajuan terhadap standar kualifikasi resmi, semuanya dalam satu aplikasi. Jika kebanyakan aplikasi pelacak mengandalkan orang tua mengetik setiap hasil secara manual, Natrix secara otomatis mengimpor hasil resmi langsung dari federasi renang nasional begitu hasil tersebut dipublikasikan — tanpa mengetik, tanpa tangkapan layar, tanpa perlombaan yang terlewat.</w:t>
      </w:r>
    </w:p>
    <w:p>
      <w:pPr>
        <w:spacing w:after="160"/>
      </w:pPr>
      <w:r>
        <w:rPr>
          <w:sz w:val="22"/>
          <w:szCs w:val="22"/>
        </w:rPr>
        <w:t xml:space="preserve">Karena setiap hasil berasal dari sumber resmi yang terverifikasi, Natrix tahu dengan pasti kapan seorang perenang benar-benar mencapai sesuatu — bukan sekadar mengklaim. Kepastian inilah yang membuat program hadiah seperti ini bisa berjalan tanpa mudah disalahgunakan.</w:t>
      </w:r>
    </w:p>
    <w:p>
      <w:pPr>
        <w:pStyle w:val="Heading1"/>
        <w:spacing w:after="120" w:before="320"/>
      </w:pPr>
      <w:r>
        <w:rPr>
          <w:b/>
          <w:bCs/>
          <w:color w:val="063554"/>
          <w:sz w:val="26"/>
          <w:szCs w:val="26"/>
        </w:rPr>
        <w:t xml:space="preserve">Mengapa Ini Penting bagi Taupoc</w:t>
      </w:r>
    </w:p>
    <w:p>
      <w:pPr>
        <w:spacing w:after="160"/>
      </w:pPr>
      <w:r>
        <w:rPr>
          <w:sz w:val="22"/>
          <w:szCs w:val="22"/>
        </w:rPr>
        <w:t xml:space="preserve">Setiap perenang yang menggunakan Natrix, menurut definisinya, adalah perenang kompetitif dengan orang tua yang aktif mengikuti perkembangan mereka — audiens yang tepat sasaran untuk pakaian renang balap Taupoc. Race Rewards menghadirkan nama Taupoc di hadapan audiens tersebut pada momen yang paling berkesan secara emosional: saat seorang perenang melihat rekor waktu terbaik pribadinya yang baru.</w:t>
      </w:r>
    </w:p>
    <w:p>
      <w:pPr>
        <w:spacing w:after="160"/>
      </w:pPr>
      <w:r>
        <w:rPr>
          <w:sz w:val="22"/>
          <w:szCs w:val="22"/>
        </w:rPr>
        <w:t xml:space="preserve">Ini bukan iklan banner. Ini adalah Taupoc yang hadir sebagai merek yang merayakan kemajuan perenang dan memberinya hadiah berupa produk nyata — sebuah hubungan, bukan sekadar tayangan iklan.</w:t>
      </w:r>
    </w:p>
    <w:p>
      <w:pPr>
        <w:pStyle w:val="Heading1"/>
        <w:spacing w:after="120" w:before="320"/>
      </w:pPr>
      <w:r>
        <w:rPr>
          <w:b/>
          <w:bCs/>
          <w:color w:val="063554"/>
          <w:sz w:val="26"/>
          <w:szCs w:val="26"/>
        </w:rPr>
        <w:t xml:space="preserve">Cara Kerja Program</w:t>
      </w:r>
    </w:p>
    <w:p>
      <w:pPr>
        <w:spacing w:after="160"/>
      </w:pPr>
      <w:r>
        <w:rPr>
          <w:sz w:val="22"/>
          <w:szCs w:val="22"/>
        </w:rPr>
        <w:t xml:space="preserve">Perenang mendapatkan poin untuk pencapaian yang terverifikasi — bukan sekadar membuka aplikasi — dan menukarkan poin tersebut dengan produk dan voucher Taupoc. Ini adalah templat standar yang kami jalankan di Singapura; kami dengan senang hati menyesuaikan nilai dan mata uang untuk pasar Anda.</w:t>
      </w:r>
    </w:p>
    <w:p>
      <w:pPr>
        <w:spacing w:after="80" w:before="160"/>
      </w:pPr>
      <w:r>
        <w:rPr>
          <w:b/>
          <w:bCs/>
          <w:color w:val="063554"/>
          <w:sz w:val="22"/>
          <w:szCs w:val="22"/>
        </w:rPr>
        <w:t xml:space="preserve">Cara Mendapatkan Poin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600"/>
        <w:gridCol w:w="1600"/>
      </w:tblGrid>
      <w:tr>
        <w:trPr>
          <w:tblHeader/>
        </w:trPr>
        <w:tc>
          <w:tcPr>
            <w:tcW w:type="dxa" w:w="7600"/>
            <w:shd w:fill="063554" w:val="clear"/>
            <w:tcMar>
              <w:top w:type="dxa" w:w="100"/>
              <w:left w:type="dxa" w:w="120"/>
              <w:bottom w:type="dxa" w:w="100"/>
              <w:right w:type="dxa" w:w="120"/>
            </w:tcMar>
          </w:tcPr>
          <w:p>
            <w:r>
              <w:rPr>
                <w:b/>
                <w:bCs/>
                <w:color w:val="FFFFFF"/>
                <w:sz w:val="20"/>
                <w:szCs w:val="20"/>
              </w:rPr>
              <w:t xml:space="preserve">Pencapaian</w:t>
            </w:r>
          </w:p>
        </w:tc>
        <w:tc>
          <w:tcPr>
            <w:tcW w:type="dxa" w:w="1600"/>
            <w:shd w:fill="063554" w:val="clear"/>
            <w:tcMar>
              <w:top w:type="dxa" w:w="100"/>
              <w:left w:type="dxa" w:w="120"/>
              <w:bottom w:type="dxa" w:w="100"/>
              <w:right w:type="dxa" w:w="120"/>
            </w:tcMar>
          </w:tcPr>
          <w:p>
            <w:r>
              <w:rPr>
                <w:b/>
                <w:bCs/>
                <w:color w:val="FFFFFF"/>
                <w:sz w:val="20"/>
                <w:szCs w:val="20"/>
              </w:rPr>
              <w:t xml:space="preserve">Poin</w:t>
            </w:r>
          </w:p>
        </w:tc>
      </w:tr>
      <w:tr>
        <w:tc>
          <w:tcPr>
            <w:tcW w:type="dxa" w:w="7600"/>
            <w:tcMar>
              <w:top w:type="dxa" w:w="90"/>
              <w:left w:type="dxa" w:w="120"/>
              <w:bottom w:type="dxa" w:w="90"/>
              <w:right w:type="dxa" w:w="120"/>
            </w:tcMar>
          </w:tcPr>
          <w:p>
            <w:r>
              <w:rPr>
                <w:b w:val="false"/>
                <w:bCs w:val="false"/>
                <w:sz w:val="21"/>
                <w:szCs w:val="21"/>
              </w:rPr>
              <w:t xml:space="preserve">Membuat profil perenang</w:t>
            </w:r>
          </w:p>
        </w:tc>
        <w:tc>
          <w:tcPr>
            <w:tcW w:type="dxa" w:w="1600"/>
            <w:tcMar>
              <w:top w:type="dxa" w:w="90"/>
              <w:left w:type="dxa" w:w="120"/>
              <w:bottom w:type="dxa" w:w="90"/>
              <w:right w:type="dxa" w:w="120"/>
            </w:tcMar>
          </w:tcPr>
          <w:p>
            <w:r>
              <w:rPr>
                <w:b/>
                <w:bCs/>
                <w:color w:val="D97706"/>
                <w:sz w:val="21"/>
                <w:szCs w:val="21"/>
              </w:rPr>
              <w:t xml:space="preserve">10</w:t>
            </w:r>
          </w:p>
        </w:tc>
      </w:tr>
      <w:tr>
        <w:tc>
          <w:tcPr>
            <w:tcW w:type="dxa" w:w="7600"/>
            <w:tcMar>
              <w:top w:type="dxa" w:w="90"/>
              <w:left w:type="dxa" w:w="120"/>
              <w:bottom w:type="dxa" w:w="90"/>
              <w:right w:type="dxa" w:w="120"/>
            </w:tcMar>
          </w:tcPr>
          <w:p>
            <w:r>
              <w:rPr>
                <w:b w:val="false"/>
                <w:bCs w:val="false"/>
                <w:sz w:val="21"/>
                <w:szCs w:val="21"/>
              </w:rPr>
              <w:t xml:space="preserve">Melengkapi profil / jadwal perlombaan</w:t>
            </w:r>
          </w:p>
        </w:tc>
        <w:tc>
          <w:tcPr>
            <w:tcW w:type="dxa" w:w="1600"/>
            <w:tcMar>
              <w:top w:type="dxa" w:w="90"/>
              <w:left w:type="dxa" w:w="120"/>
              <w:bottom w:type="dxa" w:w="90"/>
              <w:right w:type="dxa" w:w="120"/>
            </w:tcMar>
          </w:tcPr>
          <w:p>
            <w:r>
              <w:rPr>
                <w:b/>
                <w:bCs/>
                <w:color w:val="D97706"/>
                <w:sz w:val="21"/>
                <w:szCs w:val="21"/>
              </w:rPr>
              <w:t xml:space="preserve">10</w:t>
            </w:r>
          </w:p>
        </w:tc>
      </w:tr>
      <w:tr>
        <w:tc>
          <w:tcPr>
            <w:tcW w:type="dxa" w:w="7600"/>
            <w:tcMar>
              <w:top w:type="dxa" w:w="90"/>
              <w:left w:type="dxa" w:w="120"/>
              <w:bottom w:type="dxa" w:w="90"/>
              <w:right w:type="dxa" w:w="120"/>
            </w:tcMar>
          </w:tcPr>
          <w:p>
            <w:r>
              <w:rPr>
                <w:b w:val="false"/>
                <w:bCs w:val="false"/>
                <w:sz w:val="21"/>
                <w:szCs w:val="21"/>
              </w:rPr>
              <w:t xml:space="preserve">Hasil perlombaan resmi yang terverifikasi</w:t>
            </w:r>
          </w:p>
        </w:tc>
        <w:tc>
          <w:tcPr>
            <w:tcW w:type="dxa" w:w="1600"/>
            <w:tcMar>
              <w:top w:type="dxa" w:w="90"/>
              <w:left w:type="dxa" w:w="120"/>
              <w:bottom w:type="dxa" w:w="90"/>
              <w:right w:type="dxa" w:w="120"/>
            </w:tcMar>
          </w:tcPr>
          <w:p>
            <w:r>
              <w:rPr>
                <w:b/>
                <w:bCs/>
                <w:color w:val="D97706"/>
                <w:sz w:val="21"/>
                <w:szCs w:val="21"/>
              </w:rPr>
              <w:t xml:space="preserve">25</w:t>
            </w:r>
          </w:p>
        </w:tc>
      </w:tr>
      <w:tr>
        <w:tc>
          <w:tcPr>
            <w:tcW w:type="dxa" w:w="7600"/>
            <w:tcMar>
              <w:top w:type="dxa" w:w="90"/>
              <w:left w:type="dxa" w:w="120"/>
              <w:bottom w:type="dxa" w:w="90"/>
              <w:right w:type="dxa" w:w="120"/>
            </w:tcMar>
          </w:tcPr>
          <w:p>
            <w:r>
              <w:rPr>
                <w:b w:val="false"/>
                <w:bCs w:val="false"/>
                <w:sz w:val="21"/>
                <w:szCs w:val="21"/>
              </w:rPr>
              <w:t xml:space="preserve">Rekor waktu terbaik pribadi (PB) baru yang terverifikasi</w:t>
            </w:r>
          </w:p>
        </w:tc>
        <w:tc>
          <w:tcPr>
            <w:tcW w:type="dxa" w:w="1600"/>
            <w:tcMar>
              <w:top w:type="dxa" w:w="90"/>
              <w:left w:type="dxa" w:w="120"/>
              <w:bottom w:type="dxa" w:w="90"/>
              <w:right w:type="dxa" w:w="120"/>
            </w:tcMar>
          </w:tcPr>
          <w:p>
            <w:r>
              <w:rPr>
                <w:b/>
                <w:bCs/>
                <w:color w:val="D97706"/>
                <w:sz w:val="21"/>
                <w:szCs w:val="21"/>
              </w:rPr>
              <w:t xml:space="preserve">50</w:t>
            </w:r>
          </w:p>
        </w:tc>
      </w:tr>
    </w:tbl>
    <w:p>
      <w:pPr>
        <w:spacing w:after="200" w:before="80"/>
      </w:pPr>
      <w:r>
        <w:rPr>
          <w:i/>
          <w:iCs/>
          <w:color w:val="666666"/>
          <w:sz w:val="20"/>
          <w:szCs w:val="20"/>
        </w:rPr>
        <w:t xml:space="preserve">Hanya hasil resmi yang terverifikasi yang mendapatkan poin. Inilah yang menjaga kredibilitas program dan melindungi nilai setiap voucher yang diterbitkan.</w:t>
      </w:r>
    </w:p>
    <w:p>
      <w:pPr>
        <w:spacing w:after="80" w:before="160"/>
      </w:pPr>
      <w:r>
        <w:rPr>
          <w:b/>
          <w:bCs/>
          <w:color w:val="063554"/>
          <w:sz w:val="22"/>
          <w:szCs w:val="22"/>
        </w:rPr>
        <w:t xml:space="preserve">Menukarkan Poin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7600"/>
      </w:tblGrid>
      <w:tr>
        <w:trPr>
          <w:tblHeader/>
        </w:trPr>
        <w:tc>
          <w:tcPr>
            <w:tcW w:type="dxa" w:w="1600"/>
            <w:shd w:fill="063554" w:val="clear"/>
            <w:tcMar>
              <w:top w:type="dxa" w:w="100"/>
              <w:left w:type="dxa" w:w="120"/>
              <w:bottom w:type="dxa" w:w="100"/>
              <w:right w:type="dxa" w:w="120"/>
            </w:tcMar>
          </w:tcPr>
          <w:p>
            <w:r>
              <w:rPr>
                <w:b/>
                <w:bCs/>
                <w:color w:val="FFFFFF"/>
                <w:sz w:val="20"/>
                <w:szCs w:val="20"/>
              </w:rPr>
              <w:t xml:space="preserve">Poin</w:t>
            </w:r>
          </w:p>
        </w:tc>
        <w:tc>
          <w:tcPr>
            <w:tcW w:type="dxa" w:w="7600"/>
            <w:shd w:fill="063554" w:val="clear"/>
            <w:tcMar>
              <w:top w:type="dxa" w:w="100"/>
              <w:left w:type="dxa" w:w="120"/>
              <w:bottom w:type="dxa" w:w="100"/>
              <w:right w:type="dxa" w:w="120"/>
            </w:tcMar>
          </w:tcPr>
          <w:p>
            <w:r>
              <w:rPr>
                <w:b/>
                <w:bCs/>
                <w:color w:val="FFFFFF"/>
                <w:sz w:val="20"/>
                <w:szCs w:val="20"/>
              </w:rPr>
              <w:t xml:space="preserve">Hadiah</w:t>
            </w:r>
          </w:p>
        </w:tc>
      </w:tr>
      <w:tr>
        <w:tc>
          <w:tcPr>
            <w:tcW w:type="dxa" w:w="1600"/>
            <w:tcMar>
              <w:top w:type="dxa" w:w="90"/>
              <w:left w:type="dxa" w:w="120"/>
              <w:bottom w:type="dxa" w:w="90"/>
              <w:right w:type="dxa" w:w="120"/>
            </w:tcMar>
          </w:tcPr>
          <w:p>
            <w:r>
              <w:rPr>
                <w:b w:val="false"/>
                <w:bCs w:val="false"/>
                <w:sz w:val="21"/>
                <w:szCs w:val="21"/>
              </w:rPr>
              <w:t xml:space="preserve">100</w:t>
            </w:r>
          </w:p>
        </w:tc>
        <w:tc>
          <w:tcPr>
            <w:tcW w:type="dxa" w:w="7600"/>
            <w:tcMar>
              <w:top w:type="dxa" w:w="90"/>
              <w:left w:type="dxa" w:w="120"/>
              <w:bottom w:type="dxa" w:w="90"/>
              <w:right w:type="dxa" w:w="120"/>
            </w:tcMar>
          </w:tcPr>
          <w:p>
            <w:r>
              <w:rPr>
                <w:b/>
                <w:bCs/>
                <w:color w:val="D97706"/>
                <w:sz w:val="21"/>
                <w:szCs w:val="21"/>
              </w:rPr>
              <w:t xml:space="preserve">Topi renang Taupoc gratis</w:t>
            </w:r>
          </w:p>
        </w:tc>
      </w:tr>
      <w:tr>
        <w:tc>
          <w:tcPr>
            <w:tcW w:type="dxa" w:w="1600"/>
            <w:tcMar>
              <w:top w:type="dxa" w:w="90"/>
              <w:left w:type="dxa" w:w="120"/>
              <w:bottom w:type="dxa" w:w="90"/>
              <w:right w:type="dxa" w:w="120"/>
            </w:tcMar>
          </w:tcPr>
          <w:p>
            <w:r>
              <w:rPr>
                <w:b w:val="false"/>
                <w:bCs w:val="false"/>
                <w:sz w:val="21"/>
                <w:szCs w:val="21"/>
              </w:rPr>
              <w:t xml:space="preserve">150</w:t>
            </w:r>
          </w:p>
        </w:tc>
        <w:tc>
          <w:tcPr>
            <w:tcW w:type="dxa" w:w="7600"/>
            <w:tcMar>
              <w:top w:type="dxa" w:w="90"/>
              <w:left w:type="dxa" w:w="120"/>
              <w:bottom w:type="dxa" w:w="90"/>
              <w:right w:type="dxa" w:w="120"/>
            </w:tcMar>
          </w:tcPr>
          <w:p>
            <w:r>
              <w:rPr>
                <w:b/>
                <w:bCs/>
                <w:color w:val="D97706"/>
                <w:sz w:val="21"/>
                <w:szCs w:val="21"/>
              </w:rPr>
              <w:t xml:space="preserve">Diskon setara S$10 dari harga eceran (RRP), produk Taupoc apa pun</w:t>
            </w:r>
          </w:p>
        </w:tc>
      </w:tr>
      <w:tr>
        <w:tc>
          <w:tcPr>
            <w:tcW w:type="dxa" w:w="1600"/>
            <w:tcMar>
              <w:top w:type="dxa" w:w="90"/>
              <w:left w:type="dxa" w:w="120"/>
              <w:bottom w:type="dxa" w:w="90"/>
              <w:right w:type="dxa" w:w="120"/>
            </w:tcMar>
          </w:tcPr>
          <w:p>
            <w:r>
              <w:rPr>
                <w:b w:val="false"/>
                <w:bCs w:val="false"/>
                <w:sz w:val="21"/>
                <w:szCs w:val="21"/>
              </w:rPr>
              <w:t xml:space="preserve">300</w:t>
            </w:r>
          </w:p>
        </w:tc>
        <w:tc>
          <w:tcPr>
            <w:tcW w:type="dxa" w:w="7600"/>
            <w:tcMar>
              <w:top w:type="dxa" w:w="90"/>
              <w:left w:type="dxa" w:w="120"/>
              <w:bottom w:type="dxa" w:w="90"/>
              <w:right w:type="dxa" w:w="120"/>
            </w:tcMar>
          </w:tcPr>
          <w:p>
            <w:r>
              <w:rPr>
                <w:b/>
                <w:bCs/>
                <w:color w:val="D97706"/>
                <w:sz w:val="21"/>
                <w:szCs w:val="21"/>
              </w:rPr>
              <w:t xml:space="preserve">Diskon setara S$25 untuk setelan R-SKIN (RRP)</w:t>
            </w:r>
          </w:p>
        </w:tc>
      </w:tr>
    </w:tbl>
    <w:p>
      <w:pPr>
        <w:spacing w:after="200" w:before="80"/>
      </w:pPr>
      <w:r>
        <w:rPr>
          <w:i/>
          <w:iCs/>
          <w:color w:val="666666"/>
          <w:sz w:val="20"/>
          <w:szCs w:val="20"/>
        </w:rPr>
        <w:t xml:space="preserve">Diskon dihitung dari harga eceran normal (RRP), bukan dari harga promosi lain yang sedang berjalan, dan voucher hanya berlaku sekali pakai serta terikat pada perenang yang bersangkutan.</w:t>
      </w:r>
    </w:p>
    <w:p>
      <w:pPr>
        <w:pStyle w:val="Heading1"/>
        <w:spacing w:after="120" w:before="320"/>
      </w:pPr>
      <w:r>
        <w:rPr>
          <w:b/>
          <w:bCs/>
          <w:color w:val="063554"/>
          <w:sz w:val="26"/>
          <w:szCs w:val="26"/>
        </w:rPr>
        <w:t xml:space="preserve">Tantangan Tahunan</w:t>
      </w:r>
    </w:p>
    <w:p>
      <w:pPr>
        <w:spacing w:after="160"/>
      </w:pPr>
      <w:r>
        <w:rPr>
          <w:sz w:val="22"/>
          <w:szCs w:val="22"/>
        </w:rPr>
        <w:t xml:space="preserve">Program ini berjalan dalam siklus tahunan, 1 Januari hingga 31 Desember. Poin akan direset ke nol pada akhir tahun, tetapi setiap perenang tetap menyimpan seluruh riwayat rekor waktu terbaik, perlombaan, dan pencapaiannya — dan pencapaian musiman mereka dapat ditampilkan sebagai pengakuan permanen (misalnya, "Juara Race Rewards 2026 — 8 PB, 420 poin terkumpul"), bahkan setelah poinnya sendiri direset.</w:t>
      </w:r>
    </w:p>
    <w:p>
      <w:pPr>
        <w:spacing w:after="160"/>
      </w:pPr>
      <w:r>
        <w:rPr>
          <w:sz w:val="22"/>
          <w:szCs w:val="22"/>
        </w:rPr>
        <w:t xml:space="preserve">Ini memberi alasan bagi perenang untuk terus kembali ke aplikasi, dan alasan bagi Taupoc untuk terus terlihat, sepanjang musim, setiap musim.</w:t>
      </w:r>
    </w:p>
    <w:p>
      <w:pPr>
        <w:pStyle w:val="Heading1"/>
        <w:spacing w:after="120" w:before="320"/>
      </w:pPr>
      <w:r>
        <w:rPr>
          <w:b/>
          <w:bCs/>
          <w:color w:val="063554"/>
          <w:sz w:val="26"/>
          <w:szCs w:val="26"/>
        </w:rPr>
        <w:t xml:space="preserve">Program Percontohan di Singapura</w:t>
      </w:r>
    </w:p>
    <w:p>
      <w:pPr>
        <w:spacing w:after="160"/>
      </w:pPr>
      <w:r>
        <w:rPr>
          <w:sz w:val="22"/>
          <w:szCs w:val="22"/>
        </w:rPr>
        <w:t xml:space="preserve">Taupoc Singapura meluncurkan program ini terlebih dahulu, sebagai pasar percontohan. Alur hasil Natrix sudah aktif dan sepenuhnya otomatis untuk Singapore Aquatics — artinya program ini dapat berjalan sepenuhnya berdasarkan data nyata yang terverifikasi sejak hari pertama, tanpa pekerjaan manual dari kedua belah pihak.</w:t>
      </w:r>
    </w:p>
    <w:p>
      <w:pPr>
        <w:spacing w:after="160"/>
      </w:pPr>
      <w:r>
        <w:rPr>
          <w:sz w:val="22"/>
          <w:szCs w:val="22"/>
        </w:rPr>
        <w:t xml:space="preserve">Kami mengusulkan pendekatan yang sama untuk pasar Anda: program hadiah yang dikelola oleh distributor, didukung oleh mesin hasil terverifikasi milik Natrix, menggunakan templat yang sama ini sebagai titik awal.</w:t>
      </w:r>
    </w:p>
    <w:p>
      <w:pPr>
        <w:pStyle w:val="Heading1"/>
        <w:spacing w:after="120" w:before="320"/>
      </w:pPr>
      <w:r>
        <w:rPr>
          <w:b/>
          <w:bCs/>
          <w:color w:val="063554"/>
          <w:sz w:val="26"/>
          <w:szCs w:val="26"/>
        </w:rPr>
        <w:t xml:space="preserve">Yang Kami Usulkan</w:t>
      </w:r>
    </w:p>
    <w:p>
      <w:pPr>
        <w:pStyle w:val="ListParagraph"/>
        <w:numPr>
          <w:ilvl w:val="0"/>
          <w:numId w:val="1"/>
        </w:numPr>
        <w:spacing w:after="100"/>
      </w:pPr>
      <w:r>
        <w:rPr>
          <w:sz w:val="22"/>
          <w:szCs w:val="22"/>
        </w:rPr>
        <w:t xml:space="preserve">Taupoc Indonesia bergabung dengan Natrix Race Rewards sebagai mitra hadiah untuk perenang di pasar Anda, begitu alur hasil otomatis Natrix aktif untuk federasi renang nasional Anda.</w:t>
      </w:r>
    </w:p>
    <w:p>
      <w:pPr>
        <w:pStyle w:val="ListParagraph"/>
        <w:numPr>
          <w:ilvl w:val="0"/>
          <w:numId w:val="1"/>
        </w:numPr>
        <w:spacing w:after="100"/>
      </w:pPr>
      <w:r>
        <w:rPr>
          <w:sz w:val="22"/>
          <w:szCs w:val="22"/>
        </w:rPr>
        <w:t xml:space="preserve">Anda menetapkan sendiri nilai hadiah, pilihan produk, dan ketentuan voucher untuk pasar Anda — struktur Singapura di atas adalah templat awal, bukan ketentuan tetap.</w:t>
      </w:r>
    </w:p>
    <w:p>
      <w:pPr>
        <w:pStyle w:val="ListParagraph"/>
        <w:numPr>
          <w:ilvl w:val="0"/>
          <w:numId w:val="1"/>
        </w:numPr>
        <w:spacing w:after="100"/>
      </w:pPr>
      <w:r>
        <w:rPr>
          <w:sz w:val="22"/>
          <w:szCs w:val="22"/>
        </w:rPr>
        <w:t xml:space="preserve">Natrix menangani sisi teknologi: buku besar poin, deteksi hasil terverifikasi, dan kode voucher sekali pakai yang terkait dengan setiap perenang.</w:t>
      </w:r>
    </w:p>
    <w:p>
      <w:pPr>
        <w:pStyle w:val="ListParagraph"/>
        <w:numPr>
          <w:ilvl w:val="0"/>
          <w:numId w:val="1"/>
        </w:numPr>
        <w:spacing w:after="100"/>
      </w:pPr>
      <w:r>
        <w:rPr>
          <w:sz w:val="22"/>
          <w:szCs w:val="22"/>
        </w:rPr>
        <w:t xml:space="preserve">Anda menyediakan produk (atau diskon) di balik setiap hadiah, dan merek Anda akan ditampilkan sebagai "Natrix — Powered by Taupoc" kepada keluarga perenang di pasar Anda.</w:t>
      </w:r>
    </w:p>
    <w:p>
      <w:pPr>
        <w:pBdr>
          <w:bottom w:val="single" w:color="CCCCCC" w:sz="6"/>
        </w:pBdr>
        <w:spacing w:after="160" w:before="160"/>
      </w:pPr>
    </w:p>
    <w:p>
      <w:pPr>
        <w:pStyle w:val="Heading1"/>
        <w:spacing w:after="120" w:before="320"/>
      </w:pPr>
      <w:r>
        <w:rPr>
          <w:b/>
          <w:bCs/>
          <w:color w:val="063554"/>
          <w:sz w:val="26"/>
          <w:szCs w:val="26"/>
        </w:rPr>
        <w:t xml:space="preserve">Langkah Selanjutnya</w:t>
      </w:r>
    </w:p>
    <w:p>
      <w:pPr>
        <w:spacing w:after="160"/>
      </w:pPr>
      <w:r>
        <w:rPr>
          <w:sz w:val="22"/>
          <w:szCs w:val="22"/>
        </w:rPr>
        <w:t xml:space="preserve">Kami dengan senang hati mengundang panggilan singkat untuk menjelaskan bagaimana program percontohan di Singapura berjalan dan membahas seperti apa versi ini nantinya di pasar Anda. Mohon beri tahu kami waktu yang sesuai bagi Anda.</w:t>
      </w:r>
    </w:p>
    <w:p>
      <w:pPr>
        <w:spacing w:before="200"/>
      </w:pPr>
      <w:r>
        <w:rPr>
          <w:b/>
          <w:bCs/>
          <w:color w:val="063554"/>
          <w:sz w:val="21"/>
          <w:szCs w:val="21"/>
        </w:rPr>
        <w:t xml:space="preserve">Kontak:  Julian Loh — Taupoc Singapore  ·  [email]  ·  [phone]</w:t>
      </w:r>
    </w:p>
    <w:sectPr>
      <w:footerReference w:type="default" r:id="rId7"/>
      <w:pgSz w:w="11906" w:h="16838"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spacing w:before="120"/>
      <w:jc w:val="center"/>
    </w:pPr>
    <w:r>
      <w:rPr>
        <w:color w:val="666666"/>
        <w:sz w:val="16"/>
        <w:szCs w:val="16"/>
      </w:rPr>
      <w:t xml:space="preserve">Natrix Race Rewards — Powered by Taupoc  ·  Proposal disusun oleh Taupoc Singapura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Natrix x Taupoc — Proposal Kemitraan Regional</dc:title>
  <dc:creator>Un-named</dc:creator>
  <cp:lastModifiedBy>Un-named</cp:lastModifiedBy>
  <cp:revision>1</cp:revision>
  <dcterms:created xsi:type="dcterms:W3CDTF">2026-09-09T06:47:19.971Z</dcterms:created>
  <dcterms:modified xsi:type="dcterms:W3CDTF">2026-09-09T06:47:19.971Z</dcterms:modified>
</cp:coreProperties>
</file>

<file path=docProps/custom.xml><?xml version="1.0" encoding="utf-8"?>
<Properties xmlns="http://schemas.openxmlformats.org/officeDocument/2006/custom-properties" xmlns:vt="http://schemas.openxmlformats.org/officeDocument/2006/docPropsVTypes"/>
</file>