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97706"/>
          <w:spacing w:val="20"/>
          <w:sz w:val="18"/>
          <w:szCs w:val="18"/>
        </w:rPr>
        <w:t xml:space="preserve">CADANGAN PERKONGSIAN</w:t>
      </w:r>
    </w:p>
    <w:p>
      <w:pPr>
        <w:spacing w:after="60"/>
      </w:pPr>
      <w:r>
        <w:rPr>
          <w:b/>
          <w:bCs/>
          <w:color w:val="063554"/>
          <w:sz w:val="40"/>
          <w:szCs w:val="40"/>
        </w:rPr>
        <w:t xml:space="preserve">Natrix Race Rewards — Powered by Taupoc</w:t>
      </w:r>
    </w:p>
    <w:p>
      <w:pPr>
        <w:spacing w:after="40"/>
      </w:pPr>
      <w:r>
        <w:rPr>
          <w:i/>
          <w:iCs/>
          <w:color w:val="666666"/>
          <w:sz w:val="24"/>
          <w:szCs w:val="24"/>
        </w:rPr>
        <w:t xml:space="preserve">Cadangan untuk pengedar Taupoc di seluruh Asia Tenggara</w:t>
      </w:r>
    </w:p>
    <w:p>
      <w:pPr>
        <w:spacing w:after="240"/>
      </w:pPr>
      <w:r>
        <w:rPr>
          <w:color w:val="666666"/>
          <w:sz w:val="20"/>
          <w:szCs w:val="20"/>
        </w:rPr>
        <w:t xml:space="preserve">Disediakan oleh Taupoc Singapura</w:t>
      </w:r>
    </w:p>
    <w:p>
      <w:pPr>
        <w:spacing w:after="160"/>
      </w:pPr>
      <w:r>
        <w:rPr>
          <w:sz w:val="22"/>
          <w:szCs w:val="22"/>
        </w:rPr>
        <w:t xml:space="preserve">Natrix ialah aplikasi penjejakan prestasi renang yang dibina untuk ibu bapa dan jurulatih renang kompetitif — aplikasi yang menggantikan hamparan data, tangkapan skrin dan bertimbun keputusan perlawanan dengan satu profil perenang yang kemas dan disahkan.</w:t>
      </w:r>
    </w:p>
    <w:p>
      <w:pPr>
        <w:spacing w:after="160"/>
      </w:pPr>
      <w:r>
        <w:rPr>
          <w:sz w:val="22"/>
          <w:szCs w:val="22"/>
        </w:rPr>
        <w:t xml:space="preserve">Taupoc Singapura telah bekerjasama dengan Natrix untuk melancarkan Natrix Race Rewards — program kesetiaan yang memberi ganjaran kepada perenang dengan produk dan diskaun Taupoc sebenar atas pencapaian yang tulen dan disahkan: masa terbaik peribadi, keputusan perlawanan, dan pencapaian sepanjang musim. Kami ingin membawa pasaran anda ke dalam program ini, menggunakan templat yang sama seperti yang kami jalankan di Singapura.</w:t>
      </w:r>
    </w:p>
    <w:p>
      <w:pPr>
        <w:pBdr>
          <w:bottom w:val="single" w:color="CCCCCC" w:sz="6"/>
        </w:pBdr>
        <w:spacing w:after="160" w:before="160"/>
      </w:pPr>
    </w:p>
    <w:p>
      <w:pPr>
        <w:pStyle w:val="Heading1"/>
        <w:spacing w:after="120" w:before="320"/>
      </w:pPr>
      <w:r>
        <w:rPr>
          <w:b/>
          <w:bCs/>
          <w:color w:val="063554"/>
          <w:sz w:val="26"/>
          <w:szCs w:val="26"/>
        </w:rPr>
        <w:t xml:space="preserve">Apa Yang Dilakukan Natrix</w:t>
      </w:r>
    </w:p>
    <w:p>
      <w:pPr>
        <w:spacing w:after="160"/>
      </w:pPr>
      <w:r>
        <w:rPr>
          <w:sz w:val="22"/>
          <w:szCs w:val="22"/>
        </w:rPr>
        <w:t xml:space="preserve">Natrix membolehkan ibu bapa perenang menjejaki masa terbaik peribadi (PB), sejarah perlawanan, dan kemajuan anak mereka berbanding piawaian kelayakan rasmi, semuanya dalam satu aplikasi. Berbeza daripada kebanyakan aplikasi penjejakan yang bergantung kepada ibu bapa menaip setiap keputusan secara manual, Natrix secara automatik mengimport keputusan rasmi terus daripada persekutuan renang kebangsaan sebaik sahaja diterbitkan — tiada penaipan, tiada tangkapan skrin, tiada perlawanan yang terlepas.</w:t>
      </w:r>
    </w:p>
    <w:p>
      <w:pPr>
        <w:spacing w:after="160"/>
      </w:pPr>
      <w:r>
        <w:rPr>
          <w:sz w:val="22"/>
          <w:szCs w:val="22"/>
        </w:rPr>
        <w:t xml:space="preserve">Oleh kerana setiap keputusan datang daripada sumber rasmi yang disahkan, Natrix tahu dengan pasti bila seorang perenang benar-benar mencapai sesuatu — bukan sekadar mendakwa. Kepastian inilah yang membolehkan program ganjaran seperti ini wujud tanpa mudah disalahgunakan.</w:t>
      </w:r>
    </w:p>
    <w:p>
      <w:pPr>
        <w:pStyle w:val="Heading1"/>
        <w:spacing w:after="120" w:before="320"/>
      </w:pPr>
      <w:r>
        <w:rPr>
          <w:b/>
          <w:bCs/>
          <w:color w:val="063554"/>
          <w:sz w:val="26"/>
          <w:szCs w:val="26"/>
        </w:rPr>
        <w:t xml:space="preserve">Mengapa Ini Penting Untuk Taupoc</w:t>
      </w:r>
    </w:p>
    <w:p>
      <w:pPr>
        <w:spacing w:after="160"/>
      </w:pPr>
      <w:r>
        <w:rPr>
          <w:sz w:val="22"/>
          <w:szCs w:val="22"/>
        </w:rPr>
        <w:t xml:space="preserve">Setiap perenang yang menggunakan Natrix, secara definisinya, ialah perenang kompetitif dengan ibu bapa yang secara aktif mengikuti kemajuan mereka — golongan sasaran yang tepat untuk pakaian renang perlumbaan Taupoc. Race Rewards meletakkan nama Taupoc di hadapan golongan ini pada saat yang paling bermakna dari segi emosi: saat seorang perenang melihat PB baharu mereka sendiri.</w:t>
      </w:r>
    </w:p>
    <w:p>
      <w:pPr>
        <w:spacing w:after="160"/>
      </w:pPr>
      <w:r>
        <w:rPr>
          <w:sz w:val="22"/>
          <w:szCs w:val="22"/>
        </w:rPr>
        <w:t xml:space="preserve">Ini bukan iklan sepanduk. Ini Taupoc tampil sebagai jenama yang meraikan kemajuan perenang dan memberi ganjaran dengan produk sebenar — satu hubungan, bukan sekadar tontonan.</w:t>
      </w:r>
    </w:p>
    <w:p>
      <w:pPr>
        <w:pStyle w:val="Heading1"/>
        <w:spacing w:after="120" w:before="320"/>
      </w:pPr>
      <w:r>
        <w:rPr>
          <w:b/>
          <w:bCs/>
          <w:color w:val="063554"/>
          <w:sz w:val="26"/>
          <w:szCs w:val="26"/>
        </w:rPr>
        <w:t xml:space="preserve">Bagaimana Program Ini Berfungsi</w:t>
      </w:r>
    </w:p>
    <w:p>
      <w:pPr>
        <w:spacing w:after="160"/>
      </w:pPr>
      <w:r>
        <w:rPr>
          <w:sz w:val="22"/>
          <w:szCs w:val="22"/>
        </w:rPr>
        <w:t xml:space="preserve">Perenang memperoleh mata bagi pencapaian yang disahkan — bukan sekadar membuka aplikasi — dan menukar mata tersebut dengan produk dan baucar Taupoc. Ini ialah templat piawai yang kami jalankan di Singapura; kami sedia menyesuaikan nilai dan mata wang mengikut pasaran anda.</w:t>
      </w:r>
    </w:p>
    <w:p>
      <w:pPr>
        <w:spacing w:after="80" w:before="160"/>
      </w:pPr>
      <w:r>
        <w:rPr>
          <w:b/>
          <w:bCs/>
          <w:color w:val="063554"/>
          <w:sz w:val="22"/>
          <w:szCs w:val="22"/>
        </w:rPr>
        <w:t xml:space="preserve">Memperoleh Mata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600"/>
        <w:gridCol w:w="1600"/>
      </w:tblGrid>
      <w:tr>
        <w:trPr>
          <w:tblHeader/>
        </w:trPr>
        <w:tc>
          <w:tcPr>
            <w:tcW w:type="dxa" w:w="7600"/>
            <w:shd w:fill="063554" w:val="clear"/>
            <w:tcMar>
              <w:top w:type="dxa" w:w="100"/>
              <w:left w:type="dxa" w:w="120"/>
              <w:bottom w:type="dxa" w:w="100"/>
              <w:right w:type="dxa" w:w="120"/>
            </w:tcMar>
          </w:tcPr>
          <w:p>
            <w:r>
              <w:rPr>
                <w:b/>
                <w:bCs/>
                <w:color w:val="FFFFFF"/>
                <w:sz w:val="20"/>
                <w:szCs w:val="20"/>
              </w:rPr>
              <w:t xml:space="preserve">Pencapaian</w:t>
            </w:r>
          </w:p>
        </w:tc>
        <w:tc>
          <w:tcPr>
            <w:tcW w:type="dxa" w:w="1600"/>
            <w:shd w:fill="063554" w:val="clear"/>
            <w:tcMar>
              <w:top w:type="dxa" w:w="100"/>
              <w:left w:type="dxa" w:w="120"/>
              <w:bottom w:type="dxa" w:w="100"/>
              <w:right w:type="dxa" w:w="120"/>
            </w:tcMar>
          </w:tcPr>
          <w:p>
            <w:r>
              <w:rPr>
                <w:b/>
                <w:bCs/>
                <w:color w:val="FFFFFF"/>
                <w:sz w:val="20"/>
                <w:szCs w:val="20"/>
              </w:rPr>
              <w:t xml:space="preserve">Mata</w:t>
            </w:r>
          </w:p>
        </w:tc>
      </w:tr>
      <w:tr>
        <w:tc>
          <w:tcPr>
            <w:tcW w:type="dxa" w:w="7600"/>
            <w:tcMar>
              <w:top w:type="dxa" w:w="90"/>
              <w:left w:type="dxa" w:w="120"/>
              <w:bottom w:type="dxa" w:w="90"/>
              <w:right w:type="dxa" w:w="120"/>
            </w:tcMar>
          </w:tcPr>
          <w:p>
            <w:r>
              <w:rPr>
                <w:b w:val="false"/>
                <w:bCs w:val="false"/>
                <w:sz w:val="21"/>
                <w:szCs w:val="21"/>
              </w:rPr>
              <w:t xml:space="preserve">Cipta profil perenang</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Lengkapkan profil / jadual perlawanan</w:t>
            </w:r>
          </w:p>
        </w:tc>
        <w:tc>
          <w:tcPr>
            <w:tcW w:type="dxa" w:w="1600"/>
            <w:tcMar>
              <w:top w:type="dxa" w:w="90"/>
              <w:left w:type="dxa" w:w="120"/>
              <w:bottom w:type="dxa" w:w="90"/>
              <w:right w:type="dxa" w:w="120"/>
            </w:tcMar>
          </w:tcPr>
          <w:p>
            <w:r>
              <w:rPr>
                <w:b/>
                <w:bCs/>
                <w:color w:val="D97706"/>
                <w:sz w:val="21"/>
                <w:szCs w:val="21"/>
              </w:rPr>
              <w:t xml:space="preserve">10</w:t>
            </w:r>
          </w:p>
        </w:tc>
      </w:tr>
      <w:tr>
        <w:tc>
          <w:tcPr>
            <w:tcW w:type="dxa" w:w="7600"/>
            <w:tcMar>
              <w:top w:type="dxa" w:w="90"/>
              <w:left w:type="dxa" w:w="120"/>
              <w:bottom w:type="dxa" w:w="90"/>
              <w:right w:type="dxa" w:w="120"/>
            </w:tcMar>
          </w:tcPr>
          <w:p>
            <w:r>
              <w:rPr>
                <w:b w:val="false"/>
                <w:bCs w:val="false"/>
                <w:sz w:val="21"/>
                <w:szCs w:val="21"/>
              </w:rPr>
              <w:t xml:space="preserve">Keputusan perlawanan rasmi yang disahkan</w:t>
            </w:r>
          </w:p>
        </w:tc>
        <w:tc>
          <w:tcPr>
            <w:tcW w:type="dxa" w:w="1600"/>
            <w:tcMar>
              <w:top w:type="dxa" w:w="90"/>
              <w:left w:type="dxa" w:w="120"/>
              <w:bottom w:type="dxa" w:w="90"/>
              <w:right w:type="dxa" w:w="120"/>
            </w:tcMar>
          </w:tcPr>
          <w:p>
            <w:r>
              <w:rPr>
                <w:b/>
                <w:bCs/>
                <w:color w:val="D97706"/>
                <w:sz w:val="21"/>
                <w:szCs w:val="21"/>
              </w:rPr>
              <w:t xml:space="preserve">25</w:t>
            </w:r>
          </w:p>
        </w:tc>
      </w:tr>
      <w:tr>
        <w:tc>
          <w:tcPr>
            <w:tcW w:type="dxa" w:w="7600"/>
            <w:tcMar>
              <w:top w:type="dxa" w:w="90"/>
              <w:left w:type="dxa" w:w="120"/>
              <w:bottom w:type="dxa" w:w="90"/>
              <w:right w:type="dxa" w:w="120"/>
            </w:tcMar>
          </w:tcPr>
          <w:p>
            <w:r>
              <w:rPr>
                <w:b w:val="false"/>
                <w:bCs w:val="false"/>
                <w:sz w:val="21"/>
                <w:szCs w:val="21"/>
              </w:rPr>
              <w:t xml:space="preserve">Masa terbaik peribadi (PB) baharu yang disahkan</w:t>
            </w:r>
          </w:p>
        </w:tc>
        <w:tc>
          <w:tcPr>
            <w:tcW w:type="dxa" w:w="1600"/>
            <w:tcMar>
              <w:top w:type="dxa" w:w="90"/>
              <w:left w:type="dxa" w:w="120"/>
              <w:bottom w:type="dxa" w:w="90"/>
              <w:right w:type="dxa" w:w="120"/>
            </w:tcMar>
          </w:tcPr>
          <w:p>
            <w:r>
              <w:rPr>
                <w:b/>
                <w:bCs/>
                <w:color w:val="D97706"/>
                <w:sz w:val="21"/>
                <w:szCs w:val="21"/>
              </w:rPr>
              <w:t xml:space="preserve">50</w:t>
            </w:r>
          </w:p>
        </w:tc>
      </w:tr>
    </w:tbl>
    <w:p>
      <w:pPr>
        <w:spacing w:after="200" w:before="80"/>
      </w:pPr>
      <w:r>
        <w:rPr>
          <w:i/>
          <w:iCs/>
          <w:color w:val="666666"/>
          <w:sz w:val="20"/>
          <w:szCs w:val="20"/>
        </w:rPr>
        <w:t xml:space="preserve">Hanya keputusan rasmi yang disahkan memperoleh mata. Inilah yang mengekalkan kredibiliti program dan melindungi nilai setiap baucar yang dikeluarkan.</w:t>
      </w:r>
    </w:p>
    <w:p>
      <w:pPr>
        <w:spacing w:after="80" w:before="160"/>
      </w:pPr>
      <w:r>
        <w:rPr>
          <w:b/>
          <w:bCs/>
          <w:color w:val="063554"/>
          <w:sz w:val="22"/>
          <w:szCs w:val="22"/>
        </w:rPr>
        <w:t xml:space="preserve">Menebus Mata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7600"/>
      </w:tblGrid>
      <w:tr>
        <w:trPr>
          <w:tblHeader/>
        </w:trPr>
        <w:tc>
          <w:tcPr>
            <w:tcW w:type="dxa" w:w="1600"/>
            <w:shd w:fill="063554" w:val="clear"/>
            <w:tcMar>
              <w:top w:type="dxa" w:w="100"/>
              <w:left w:type="dxa" w:w="120"/>
              <w:bottom w:type="dxa" w:w="100"/>
              <w:right w:type="dxa" w:w="120"/>
            </w:tcMar>
          </w:tcPr>
          <w:p>
            <w:r>
              <w:rPr>
                <w:b/>
                <w:bCs/>
                <w:color w:val="FFFFFF"/>
                <w:sz w:val="20"/>
                <w:szCs w:val="20"/>
              </w:rPr>
              <w:t xml:space="preserve">Mata</w:t>
            </w:r>
          </w:p>
        </w:tc>
        <w:tc>
          <w:tcPr>
            <w:tcW w:type="dxa" w:w="7600"/>
            <w:shd w:fill="063554" w:val="clear"/>
            <w:tcMar>
              <w:top w:type="dxa" w:w="100"/>
              <w:left w:type="dxa" w:w="120"/>
              <w:bottom w:type="dxa" w:w="100"/>
              <w:right w:type="dxa" w:w="120"/>
            </w:tcMar>
          </w:tcPr>
          <w:p>
            <w:r>
              <w:rPr>
                <w:b/>
                <w:bCs/>
                <w:color w:val="FFFFFF"/>
                <w:sz w:val="20"/>
                <w:szCs w:val="20"/>
              </w:rPr>
              <w:t xml:space="preserve">Ganjaran</w:t>
            </w:r>
          </w:p>
        </w:tc>
      </w:tr>
      <w:tr>
        <w:tc>
          <w:tcPr>
            <w:tcW w:type="dxa" w:w="1600"/>
            <w:tcMar>
              <w:top w:type="dxa" w:w="90"/>
              <w:left w:type="dxa" w:w="120"/>
              <w:bottom w:type="dxa" w:w="90"/>
              <w:right w:type="dxa" w:w="120"/>
            </w:tcMar>
          </w:tcPr>
          <w:p>
            <w:r>
              <w:rPr>
                <w:b w:val="false"/>
                <w:bCs w:val="false"/>
                <w:sz w:val="21"/>
                <w:szCs w:val="21"/>
              </w:rPr>
              <w:t xml:space="preserve">100</w:t>
            </w:r>
          </w:p>
        </w:tc>
        <w:tc>
          <w:tcPr>
            <w:tcW w:type="dxa" w:w="7600"/>
            <w:tcMar>
              <w:top w:type="dxa" w:w="90"/>
              <w:left w:type="dxa" w:w="120"/>
              <w:bottom w:type="dxa" w:w="90"/>
              <w:right w:type="dxa" w:w="120"/>
            </w:tcMar>
          </w:tcPr>
          <w:p>
            <w:r>
              <w:rPr>
                <w:b/>
                <w:bCs/>
                <w:color w:val="D97706"/>
                <w:sz w:val="21"/>
                <w:szCs w:val="21"/>
              </w:rPr>
              <w:t xml:space="preserve">Topi renang Taupoc percuma</w:t>
            </w:r>
          </w:p>
        </w:tc>
      </w:tr>
      <w:tr>
        <w:tc>
          <w:tcPr>
            <w:tcW w:type="dxa" w:w="1600"/>
            <w:tcMar>
              <w:top w:type="dxa" w:w="90"/>
              <w:left w:type="dxa" w:w="120"/>
              <w:bottom w:type="dxa" w:w="90"/>
              <w:right w:type="dxa" w:w="120"/>
            </w:tcMar>
          </w:tcPr>
          <w:p>
            <w:r>
              <w:rPr>
                <w:b w:val="false"/>
                <w:bCs w:val="false"/>
                <w:sz w:val="21"/>
                <w:szCs w:val="21"/>
              </w:rPr>
              <w:t xml:space="preserve">150</w:t>
            </w:r>
          </w:p>
        </w:tc>
        <w:tc>
          <w:tcPr>
            <w:tcW w:type="dxa" w:w="7600"/>
            <w:tcMar>
              <w:top w:type="dxa" w:w="90"/>
              <w:left w:type="dxa" w:w="120"/>
              <w:bottom w:type="dxa" w:w="90"/>
              <w:right w:type="dxa" w:w="120"/>
            </w:tcMar>
          </w:tcPr>
          <w:p>
            <w:r>
              <w:rPr>
                <w:b/>
                <w:bCs/>
                <w:color w:val="D97706"/>
                <w:sz w:val="21"/>
                <w:szCs w:val="21"/>
              </w:rPr>
              <w:t xml:space="preserve">Diskaun RM ­— setara S$10 daripada harga runcit (RRP), sebarang produk Taupoc</w:t>
            </w:r>
          </w:p>
        </w:tc>
      </w:tr>
      <w:tr>
        <w:tc>
          <w:tcPr>
            <w:tcW w:type="dxa" w:w="1600"/>
            <w:tcMar>
              <w:top w:type="dxa" w:w="90"/>
              <w:left w:type="dxa" w:w="120"/>
              <w:bottom w:type="dxa" w:w="90"/>
              <w:right w:type="dxa" w:w="120"/>
            </w:tcMar>
          </w:tcPr>
          <w:p>
            <w:r>
              <w:rPr>
                <w:b w:val="false"/>
                <w:bCs w:val="false"/>
                <w:sz w:val="21"/>
                <w:szCs w:val="21"/>
              </w:rPr>
              <w:t xml:space="preserve">300</w:t>
            </w:r>
          </w:p>
        </w:tc>
        <w:tc>
          <w:tcPr>
            <w:tcW w:type="dxa" w:w="7600"/>
            <w:tcMar>
              <w:top w:type="dxa" w:w="90"/>
              <w:left w:type="dxa" w:w="120"/>
              <w:bottom w:type="dxa" w:w="90"/>
              <w:right w:type="dxa" w:w="120"/>
            </w:tcMar>
          </w:tcPr>
          <w:p>
            <w:r>
              <w:rPr>
                <w:b/>
                <w:bCs/>
                <w:color w:val="D97706"/>
                <w:sz w:val="21"/>
                <w:szCs w:val="21"/>
              </w:rPr>
              <w:t xml:space="preserve">Diskaun RM — setara S$25 daripada sut R-SKIN (RRP)</w:t>
            </w:r>
          </w:p>
        </w:tc>
      </w:tr>
    </w:tbl>
    <w:p>
      <w:pPr>
        <w:spacing w:after="200" w:before="80"/>
      </w:pPr>
      <w:r>
        <w:rPr>
          <w:i/>
          <w:iCs/>
          <w:color w:val="666666"/>
          <w:sz w:val="20"/>
          <w:szCs w:val="20"/>
        </w:rPr>
        <w:t xml:space="preserve">Diskaun dikira daripada harga runcit biasa (RRP), bukan berbanding promosi lain yang sedang berjalan, dan baucar hanya untuk sekali guna serta dikaitkan dengan perenang tertentu.</w:t>
      </w:r>
    </w:p>
    <w:p>
      <w:pPr>
        <w:pStyle w:val="Heading1"/>
        <w:spacing w:after="120" w:before="320"/>
      </w:pPr>
      <w:r>
        <w:rPr>
          <w:b/>
          <w:bCs/>
          <w:color w:val="063554"/>
          <w:sz w:val="26"/>
          <w:szCs w:val="26"/>
        </w:rPr>
        <w:t xml:space="preserve">Cabaran Tahunan</w:t>
      </w:r>
    </w:p>
    <w:p>
      <w:pPr>
        <w:spacing w:after="160"/>
      </w:pPr>
      <w:r>
        <w:rPr>
          <w:sz w:val="22"/>
          <w:szCs w:val="22"/>
        </w:rPr>
        <w:t xml:space="preserve">Program ini berjalan mengikut kitaran tahunan, 1 Januari hingga 31 Disember. Mata akan disifarkan semula pada penghujung tahun, tetapi setiap perenang kekal dengan sejarah penuh PB, perlawanan dan pencapaian mereka — dan pencapaian musim mereka boleh dipaparkan sebagai pengiktirafan kekal (cth. "Juara Race Rewards 2026 — 8 PB, 420 mata diperoleh"), walaupun selepas mata itu sendiri disifarkan semula.</w:t>
      </w:r>
    </w:p>
    <w:p>
      <w:pPr>
        <w:spacing w:after="160"/>
      </w:pPr>
      <w:r>
        <w:rPr>
          <w:sz w:val="22"/>
          <w:szCs w:val="22"/>
        </w:rPr>
        <w:t xml:space="preserve">Ini memberi sebab kepada perenang untuk terus kembali ke aplikasi, dan sebab kepada Taupoc untuk terus kelihatan, sepanjang musim, setiap musim.</w:t>
      </w:r>
    </w:p>
    <w:p>
      <w:pPr>
        <w:pStyle w:val="Heading1"/>
        <w:spacing w:after="120" w:before="320"/>
      </w:pPr>
      <w:r>
        <w:rPr>
          <w:b/>
          <w:bCs/>
          <w:color w:val="063554"/>
          <w:sz w:val="26"/>
          <w:szCs w:val="26"/>
        </w:rPr>
        <w:t xml:space="preserve">Program Rintis Singapura</w:t>
      </w:r>
    </w:p>
    <w:p>
      <w:pPr>
        <w:spacing w:after="160"/>
      </w:pPr>
      <w:r>
        <w:rPr>
          <w:sz w:val="22"/>
          <w:szCs w:val="22"/>
        </w:rPr>
        <w:t xml:space="preserve">Taupoc Singapura melancarkan program ini terlebih dahulu, sebagai pasaran rintis. Saluran keputusan Natrix telah pun aktif dan automatik sepenuhnya untuk Singapore Aquatics — bermakna program ini boleh berjalan sepenuhnya berdasarkan data sebenar yang disahkan sejak hari pertama, tanpa kerja manual di kedua-dua belah pihak.</w:t>
      </w:r>
    </w:p>
    <w:p>
      <w:pPr>
        <w:spacing w:after="160"/>
      </w:pPr>
      <w:r>
        <w:rPr>
          <w:sz w:val="22"/>
          <w:szCs w:val="22"/>
        </w:rPr>
        <w:t xml:space="preserve">Kami mencadangkan pendekatan yang sama untuk pasaran anda: program ganjaran yang dikendalikan oleh pengedar, dikuasakan oleh enjin keputusan Natrix yang disahkan, menggunakan templat yang sama ini sebagai titik permulaan.</w:t>
      </w:r>
    </w:p>
    <w:p>
      <w:pPr>
        <w:pStyle w:val="Heading1"/>
        <w:spacing w:after="120" w:before="320"/>
      </w:pPr>
      <w:r>
        <w:rPr>
          <w:b/>
          <w:bCs/>
          <w:color w:val="063554"/>
          <w:sz w:val="26"/>
          <w:szCs w:val="26"/>
        </w:rPr>
        <w:t xml:space="preserve">Apa Yang Kami Cadangkan</w:t>
      </w:r>
    </w:p>
    <w:p>
      <w:pPr>
        <w:pStyle w:val="ListParagraph"/>
        <w:numPr>
          <w:ilvl w:val="0"/>
          <w:numId w:val="1"/>
        </w:numPr>
        <w:spacing w:after="100"/>
      </w:pPr>
      <w:r>
        <w:rPr>
          <w:sz w:val="22"/>
          <w:szCs w:val="22"/>
        </w:rPr>
        <w:t xml:space="preserve">Taupoc Malaysia menyertai Natrix Race Rewards sebagai rakan ganjaran untuk perenang di pasaran anda, sebaik sahaja saluran keputusan automatik Natrix aktif untuk persekutuan renang kebangsaan anda.</w:t>
      </w:r>
    </w:p>
    <w:p>
      <w:pPr>
        <w:pStyle w:val="ListParagraph"/>
        <w:numPr>
          <w:ilvl w:val="0"/>
          <w:numId w:val="1"/>
        </w:numPr>
        <w:spacing w:after="100"/>
      </w:pPr>
      <w:r>
        <w:rPr>
          <w:sz w:val="22"/>
          <w:szCs w:val="22"/>
        </w:rPr>
        <w:t xml:space="preserve">Anda menetapkan nilai ganjaran, pilihan produk dan syarat baucar anda sendiri untuk pasaran anda — struktur Singapura di atas adalah templat permulaan, bukan syarat tetap.</w:t>
      </w:r>
    </w:p>
    <w:p>
      <w:pPr>
        <w:pStyle w:val="ListParagraph"/>
        <w:numPr>
          <w:ilvl w:val="0"/>
          <w:numId w:val="1"/>
        </w:numPr>
        <w:spacing w:after="100"/>
      </w:pPr>
      <w:r>
        <w:rPr>
          <w:sz w:val="22"/>
          <w:szCs w:val="22"/>
        </w:rPr>
        <w:t xml:space="preserve">Natrix mengendalikan teknologi: buku lejar mata, pengesanan keputusan yang disahkan, dan kod baucar sekali guna yang dikaitkan dengan setiap perenang.</w:t>
      </w:r>
    </w:p>
    <w:p>
      <w:pPr>
        <w:pStyle w:val="ListParagraph"/>
        <w:numPr>
          <w:ilvl w:val="0"/>
          <w:numId w:val="1"/>
        </w:numPr>
        <w:spacing w:after="100"/>
      </w:pPr>
      <w:r>
        <w:rPr>
          <w:sz w:val="22"/>
          <w:szCs w:val="22"/>
        </w:rPr>
        <w:t xml:space="preserve">Anda membekalkan produk (atau diskaun) di sebalik setiap ganjaran, dan jenama anda dipaparkan sebagai "Natrix — Powered by Taupoc" kepada keluarga perenang di pasaran anda.</w:t>
      </w:r>
    </w:p>
    <w:p>
      <w:pPr>
        <w:pBdr>
          <w:bottom w:val="single" w:color="CCCCCC" w:sz="6"/>
        </w:pBdr>
        <w:spacing w:after="160" w:before="160"/>
      </w:pPr>
    </w:p>
    <w:p>
      <w:pPr>
        <w:pStyle w:val="Heading1"/>
        <w:spacing w:after="120" w:before="320"/>
      </w:pPr>
      <w:r>
        <w:rPr>
          <w:b/>
          <w:bCs/>
          <w:color w:val="063554"/>
          <w:sz w:val="26"/>
          <w:szCs w:val="26"/>
        </w:rPr>
        <w:t xml:space="preserve">Langkah Seterusnya</w:t>
      </w:r>
    </w:p>
    <w:p>
      <w:pPr>
        <w:spacing w:after="160"/>
      </w:pPr>
      <w:r>
        <w:rPr>
          <w:sz w:val="22"/>
          <w:szCs w:val="22"/>
        </w:rPr>
        <w:t xml:space="preserve">Kami dengan senang hati menjemput panggilan ringkas untuk berkongsi bagaimana program rintis Singapura berjalan dan membincangkan bagaimana rupa versi ini di pasaran anda. Sila maklumkan masa yang sesuai untuk anda.</w:t>
      </w:r>
    </w:p>
    <w:p>
      <w:pPr>
        <w:spacing w:before="200"/>
      </w:pPr>
      <w:r>
        <w:rPr>
          <w:b/>
          <w:bCs/>
          <w:color w:val="063554"/>
          <w:sz w:val="21"/>
          <w:szCs w:val="21"/>
        </w:rPr>
        <w:t xml:space="preserve">Hubungi:  Julian Loh — Taupoc Singapore  ·  [email]  ·  [phone]</w:t>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color w:val="666666"/>
        <w:sz w:val="16"/>
        <w:szCs w:val="16"/>
      </w:rPr>
      <w:t xml:space="preserve">Natrix Race Rewards — Powered by Taupoc  ·  Cadangan disediakan oleh Taupoc Singapura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Natrix x Taupoc — Cadangan Perkongsian Serantau</dc:title>
  <dc:creator>Un-named</dc:creator>
  <cp:lastModifiedBy>Un-named</cp:lastModifiedBy>
  <cp:revision>1</cp:revision>
  <dcterms:created xsi:type="dcterms:W3CDTF">2026-09-09T06:47:19.928Z</dcterms:created>
  <dcterms:modified xsi:type="dcterms:W3CDTF">2026-09-09T06:47:19.928Z</dcterms:modified>
</cp:coreProperties>
</file>

<file path=docProps/custom.xml><?xml version="1.0" encoding="utf-8"?>
<Properties xmlns="http://schemas.openxmlformats.org/officeDocument/2006/custom-properties" xmlns:vt="http://schemas.openxmlformats.org/officeDocument/2006/docPropsVTypes"/>
</file>