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97706"/>
          <w:spacing w:val="20"/>
          <w:sz w:val="18"/>
          <w:szCs w:val="18"/>
        </w:rPr>
        <w:t xml:space="preserve">ĐỀ XUẤT HỢP TÁC</w:t>
      </w:r>
    </w:p>
    <w:p>
      <w:pPr>
        <w:spacing w:after="60"/>
      </w:pPr>
      <w:r>
        <w:rPr>
          <w:b/>
          <w:bCs/>
          <w:color w:val="063554"/>
          <w:sz w:val="40"/>
          <w:szCs w:val="40"/>
        </w:rPr>
        <w:t xml:space="preserve">Natrix Race Rewards — Powered by Taupoc</w:t>
      </w:r>
    </w:p>
    <w:p>
      <w:pPr>
        <w:spacing w:after="40"/>
      </w:pPr>
      <w:r>
        <w:rPr>
          <w:i/>
          <w:iCs/>
          <w:color w:val="666666"/>
          <w:sz w:val="24"/>
          <w:szCs w:val="24"/>
        </w:rPr>
        <w:t xml:space="preserve">Đề xuất dành cho các nhà phân phối Taupoc tại Đông Nam Á</w:t>
      </w:r>
    </w:p>
    <w:p>
      <w:pPr>
        <w:spacing w:after="240"/>
      </w:pPr>
      <w:r>
        <w:rPr>
          <w:color w:val="666666"/>
          <w:sz w:val="20"/>
          <w:szCs w:val="20"/>
        </w:rPr>
        <w:t xml:space="preserve">Được soạn bởi Taupoc Singapore</w:t>
      </w:r>
    </w:p>
    <w:p>
      <w:pPr>
        <w:spacing w:after="160"/>
      </w:pPr>
      <w:r>
        <w:rPr>
          <w:sz w:val="22"/>
          <w:szCs w:val="22"/>
        </w:rPr>
        <w:t xml:space="preserve">Natrix là ứng dụng theo dõi thành tích bơi lội được xây dựng dành cho phụ huynh và huấn luyện viên của các vận động viên bơi lội thi đấu — ứng dụng thay thế bảng tính, ảnh chụp màn hình và cả một chồng kết quả giải đấu bằng một hồ sơ vận động viên duy nhất, gọn gàng và đã được xác thực.</w:t>
      </w:r>
    </w:p>
    <w:p>
      <w:pPr>
        <w:spacing w:after="160"/>
      </w:pPr>
      <w:r>
        <w:rPr>
          <w:sz w:val="22"/>
          <w:szCs w:val="22"/>
        </w:rPr>
        <w:t xml:space="preserve">Taupoc Singapore đã hợp tác với Natrix để ra mắt Natrix Race Rewards — một chương trình khách hàng thân thiết, thưởng cho vận động viên bơi lội bằng sản phẩm và ưu đãi Taupoc thực sự cho những tiến bộ chân thực, đã được xác thực: thành tích cá nhân tốt nhất, kết quả giải đấu, và các cột mốc trong mùa giải. Chúng tôi mong muốn đưa thị trường của quý vị tham gia chương trình này, sử dụng cùng một mô hình mà chúng tôi đang triển khai tại Singapore.</w:t>
      </w:r>
    </w:p>
    <w:p>
      <w:pPr>
        <w:pBdr>
          <w:bottom w:val="single" w:color="CCCCCC" w:sz="6"/>
        </w:pBdr>
        <w:spacing w:after="160" w:before="160"/>
      </w:pPr>
    </w:p>
    <w:p>
      <w:pPr>
        <w:pStyle w:val="Heading1"/>
        <w:spacing w:after="120" w:before="320"/>
      </w:pPr>
      <w:r>
        <w:rPr>
          <w:b/>
          <w:bCs/>
          <w:color w:val="063554"/>
          <w:sz w:val="26"/>
          <w:szCs w:val="26"/>
        </w:rPr>
        <w:t xml:space="preserve">Natrix Hoạt Động Như Thế Nào</w:t>
      </w:r>
    </w:p>
    <w:p>
      <w:pPr>
        <w:spacing w:after="160"/>
      </w:pPr>
      <w:r>
        <w:rPr>
          <w:sz w:val="22"/>
          <w:szCs w:val="22"/>
        </w:rPr>
        <w:t xml:space="preserve">Natrix cho phép phụ huynh vận động viên bơi lội theo dõi thành tích cá nhân tốt nhất (PB), lịch sử thi đấu, và sự tiến bộ so với các chuẩn đủ điều kiện chính thức, tất cả trong một ứng dụng duy nhất. Trong khi hầu hết các ứng dụng theo dõi khác yêu cầu phụ huynh tự nhập từng kết quả, Natrix tự động nhập kết quả chính thức trực tiếp từ liên đoàn bơi lội quốc gia ngay khi kết quả được công bố — không cần nhập liệu, không cần chụp màn hình, không bỏ sót giải đấu nào.</w:t>
      </w:r>
    </w:p>
    <w:p>
      <w:pPr>
        <w:spacing w:after="160"/>
      </w:pPr>
      <w:r>
        <w:rPr>
          <w:sz w:val="22"/>
          <w:szCs w:val="22"/>
        </w:rPr>
        <w:t xml:space="preserve">Vì mỗi kết quả đều đến từ một nguồn chính thức, đã được xác thực, Natrix biết chắc chắn khi nào một vận động viên thực sự đạt được thành tích — chứ không chỉ là tuyên bố. Sự chắc chắn đó chính là điều giúp một chương trình thưởng như thế này có thể vận hành mà không dễ bị lợi dụng.</w:t>
      </w:r>
    </w:p>
    <w:p>
      <w:pPr>
        <w:pStyle w:val="Heading1"/>
        <w:spacing w:after="120" w:before="320"/>
      </w:pPr>
      <w:r>
        <w:rPr>
          <w:b/>
          <w:bCs/>
          <w:color w:val="063554"/>
          <w:sz w:val="26"/>
          <w:szCs w:val="26"/>
        </w:rPr>
        <w:t xml:space="preserve">Tại Sao Điều Này Quan Trọng Với Taupoc</w:t>
      </w:r>
    </w:p>
    <w:p>
      <w:pPr>
        <w:spacing w:after="160"/>
      </w:pPr>
      <w:r>
        <w:rPr>
          <w:sz w:val="22"/>
          <w:szCs w:val="22"/>
        </w:rPr>
        <w:t xml:space="preserve">Mỗi vận động viên sử dụng Natrix, theo định nghĩa, đều là vận động viên bơi lội thi đấu với phụ huynh đang tích cực theo dõi sự tiến bộ của con em mình — chính là đối tượng mà trang phục bơi thi đấu Taupoc hướng đến. Race Rewards đưa tên Taupoc đến trước đối tượng này vào đúng khoảnh khắc giàu cảm xúc nhất có thể: khoảnh khắc một vận động viên nhìn thấy thành tích cá nhân tốt nhất mới của chính mình.</w:t>
      </w:r>
    </w:p>
    <w:p>
      <w:pPr>
        <w:spacing w:after="160"/>
      </w:pPr>
      <w:r>
        <w:rPr>
          <w:sz w:val="22"/>
          <w:szCs w:val="22"/>
        </w:rPr>
        <w:t xml:space="preserve">Đây không phải là một quảng cáo banner. Đây là việc Taupoc xuất hiện như một thương hiệu tôn vinh sự tiến bộ của vận động viên và thưởng cho họ bằng sản phẩm thực sự — một mối quan hệ, chứ không chỉ là một lượt hiển thị.</w:t>
      </w:r>
    </w:p>
    <w:p>
      <w:pPr>
        <w:pStyle w:val="Heading1"/>
        <w:spacing w:after="120" w:before="320"/>
      </w:pPr>
      <w:r>
        <w:rPr>
          <w:b/>
          <w:bCs/>
          <w:color w:val="063554"/>
          <w:sz w:val="26"/>
          <w:szCs w:val="26"/>
        </w:rPr>
        <w:t xml:space="preserve">Chương Trình Hoạt Động Như Thế Nào</w:t>
      </w:r>
    </w:p>
    <w:p>
      <w:pPr>
        <w:spacing w:after="160"/>
      </w:pPr>
      <w:r>
        <w:rPr>
          <w:sz w:val="22"/>
          <w:szCs w:val="22"/>
        </w:rPr>
        <w:t xml:space="preserve">Vận động viên tích lũy điểm cho các cột mốc đã được xác thực — không đơn thuần chỉ vì mở ứng dụng — và đổi điểm đó lấy sản phẩm và phiếu ưu đãi Taupoc. Đây là mô hình chuẩn mà chúng tôi đang triển khai tại Singapore; chúng tôi sẵn sàng điều chỉnh giá trị và đơn vị tiền tệ theo thị trường của quý vị.</w:t>
      </w:r>
    </w:p>
    <w:p>
      <w:pPr>
        <w:spacing w:after="80" w:before="160"/>
      </w:pPr>
      <w:r>
        <w:rPr>
          <w:b/>
          <w:bCs/>
          <w:color w:val="063554"/>
          <w:sz w:val="22"/>
          <w:szCs w:val="22"/>
        </w:rPr>
        <w:t xml:space="preserve">Cách Tích Điểm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600"/>
        <w:gridCol w:w="1600"/>
      </w:tblGrid>
      <w:tr>
        <w:trPr>
          <w:tblHeader/>
        </w:trPr>
        <w:tc>
          <w:tcPr>
            <w:tcW w:type="dxa" w:w="7600"/>
            <w:shd w:fill="063554" w:val="clear"/>
            <w:tcMar>
              <w:top w:type="dxa" w:w="100"/>
              <w:left w:type="dxa" w:w="120"/>
              <w:bottom w:type="dxa" w:w="100"/>
              <w:right w:type="dxa" w:w="120"/>
            </w:tcMar>
          </w:tcPr>
          <w:p>
            <w:r>
              <w:rPr>
                <w:b/>
                <w:bCs/>
                <w:color w:val="FFFFFF"/>
                <w:sz w:val="20"/>
                <w:szCs w:val="20"/>
              </w:rPr>
              <w:t xml:space="preserve">Cột mốc</w:t>
            </w:r>
          </w:p>
        </w:tc>
        <w:tc>
          <w:tcPr>
            <w:tcW w:type="dxa" w:w="1600"/>
            <w:shd w:fill="063554" w:val="clear"/>
            <w:tcMar>
              <w:top w:type="dxa" w:w="100"/>
              <w:left w:type="dxa" w:w="120"/>
              <w:bottom w:type="dxa" w:w="100"/>
              <w:right w:type="dxa" w:w="120"/>
            </w:tcMar>
          </w:tcPr>
          <w:p>
            <w:r>
              <w:rPr>
                <w:b/>
                <w:bCs/>
                <w:color w:val="FFFFFF"/>
                <w:sz w:val="20"/>
                <w:szCs w:val="20"/>
              </w:rPr>
              <w:t xml:space="preserve">Điểm</w:t>
            </w:r>
          </w:p>
        </w:tc>
      </w:tr>
      <w:tr>
        <w:tc>
          <w:tcPr>
            <w:tcW w:type="dxa" w:w="7600"/>
            <w:tcMar>
              <w:top w:type="dxa" w:w="90"/>
              <w:left w:type="dxa" w:w="120"/>
              <w:bottom w:type="dxa" w:w="90"/>
              <w:right w:type="dxa" w:w="120"/>
            </w:tcMar>
          </w:tcPr>
          <w:p>
            <w:r>
              <w:rPr>
                <w:b w:val="false"/>
                <w:bCs w:val="false"/>
                <w:sz w:val="21"/>
                <w:szCs w:val="21"/>
              </w:rPr>
              <w:t xml:space="preserve">Tạo hồ sơ vận động viên</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Hoàn thiện hồ sơ / lịch thi đấu</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Kết quả giải đấu chính thức đã xác thực</w:t>
            </w:r>
          </w:p>
        </w:tc>
        <w:tc>
          <w:tcPr>
            <w:tcW w:type="dxa" w:w="1600"/>
            <w:tcMar>
              <w:top w:type="dxa" w:w="90"/>
              <w:left w:type="dxa" w:w="120"/>
              <w:bottom w:type="dxa" w:w="90"/>
              <w:right w:type="dxa" w:w="120"/>
            </w:tcMar>
          </w:tcPr>
          <w:p>
            <w:r>
              <w:rPr>
                <w:b/>
                <w:bCs/>
                <w:color w:val="D97706"/>
                <w:sz w:val="21"/>
                <w:szCs w:val="21"/>
              </w:rPr>
              <w:t xml:space="preserve">25</w:t>
            </w:r>
          </w:p>
        </w:tc>
      </w:tr>
      <w:tr>
        <w:tc>
          <w:tcPr>
            <w:tcW w:type="dxa" w:w="7600"/>
            <w:tcMar>
              <w:top w:type="dxa" w:w="90"/>
              <w:left w:type="dxa" w:w="120"/>
              <w:bottom w:type="dxa" w:w="90"/>
              <w:right w:type="dxa" w:w="120"/>
            </w:tcMar>
          </w:tcPr>
          <w:p>
            <w:r>
              <w:rPr>
                <w:b w:val="false"/>
                <w:bCs w:val="false"/>
                <w:sz w:val="21"/>
                <w:szCs w:val="21"/>
              </w:rPr>
              <w:t xml:space="preserve">Thành tích cá nhân tốt nhất (PB) mới đã xác thực</w:t>
            </w:r>
          </w:p>
        </w:tc>
        <w:tc>
          <w:tcPr>
            <w:tcW w:type="dxa" w:w="1600"/>
            <w:tcMar>
              <w:top w:type="dxa" w:w="90"/>
              <w:left w:type="dxa" w:w="120"/>
              <w:bottom w:type="dxa" w:w="90"/>
              <w:right w:type="dxa" w:w="120"/>
            </w:tcMar>
          </w:tcPr>
          <w:p>
            <w:r>
              <w:rPr>
                <w:b/>
                <w:bCs/>
                <w:color w:val="D97706"/>
                <w:sz w:val="21"/>
                <w:szCs w:val="21"/>
              </w:rPr>
              <w:t xml:space="preserve">50</w:t>
            </w:r>
          </w:p>
        </w:tc>
      </w:tr>
    </w:tbl>
    <w:p>
      <w:pPr>
        <w:spacing w:after="200" w:before="80"/>
      </w:pPr>
      <w:r>
        <w:rPr>
          <w:i/>
          <w:iCs/>
          <w:color w:val="666666"/>
          <w:sz w:val="20"/>
          <w:szCs w:val="20"/>
        </w:rPr>
        <w:t xml:space="preserve">Chỉ những kết quả chính thức, đã được xác thực mới được tích điểm. Đây chính là yếu tố giữ cho chương trình đáng tin cậy và bảo vệ giá trị của mỗi phiếu ưu đãi được phát hành.</w:t>
      </w:r>
    </w:p>
    <w:p>
      <w:pPr>
        <w:spacing w:after="80" w:before="160"/>
      </w:pPr>
      <w:r>
        <w:rPr>
          <w:b/>
          <w:bCs/>
          <w:color w:val="063554"/>
          <w:sz w:val="22"/>
          <w:szCs w:val="22"/>
        </w:rPr>
        <w:t xml:space="preserve">Đổi Điểm Lấy Ưu Đãi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063554" w:val="clear"/>
            <w:tcMar>
              <w:top w:type="dxa" w:w="100"/>
              <w:left w:type="dxa" w:w="120"/>
              <w:bottom w:type="dxa" w:w="100"/>
              <w:right w:type="dxa" w:w="120"/>
            </w:tcMar>
          </w:tcPr>
          <w:p>
            <w:r>
              <w:rPr>
                <w:b/>
                <w:bCs/>
                <w:color w:val="FFFFFF"/>
                <w:sz w:val="20"/>
                <w:szCs w:val="20"/>
              </w:rPr>
              <w:t xml:space="preserve">Điểm</w:t>
            </w:r>
          </w:p>
        </w:tc>
        <w:tc>
          <w:tcPr>
            <w:tcW w:type="dxa" w:w="7600"/>
            <w:shd w:fill="063554" w:val="clear"/>
            <w:tcMar>
              <w:top w:type="dxa" w:w="100"/>
              <w:left w:type="dxa" w:w="120"/>
              <w:bottom w:type="dxa" w:w="100"/>
              <w:right w:type="dxa" w:w="120"/>
            </w:tcMar>
          </w:tcPr>
          <w:p>
            <w:r>
              <w:rPr>
                <w:b/>
                <w:bCs/>
                <w:color w:val="FFFFFF"/>
                <w:sz w:val="20"/>
                <w:szCs w:val="20"/>
              </w:rPr>
              <w:t xml:space="preserve">Phần thưởng</w:t>
            </w:r>
          </w:p>
        </w:tc>
      </w:tr>
      <w:tr>
        <w:tc>
          <w:tcPr>
            <w:tcW w:type="dxa" w:w="1600"/>
            <w:tcMar>
              <w:top w:type="dxa" w:w="90"/>
              <w:left w:type="dxa" w:w="120"/>
              <w:bottom w:type="dxa" w:w="90"/>
              <w:right w:type="dxa" w:w="120"/>
            </w:tcMar>
          </w:tcPr>
          <w:p>
            <w:r>
              <w:rPr>
                <w:b w:val="false"/>
                <w:bCs w:val="false"/>
                <w:sz w:val="21"/>
                <w:szCs w:val="21"/>
              </w:rPr>
              <w:t xml:space="preserve">100</w:t>
            </w:r>
          </w:p>
        </w:tc>
        <w:tc>
          <w:tcPr>
            <w:tcW w:type="dxa" w:w="7600"/>
            <w:tcMar>
              <w:top w:type="dxa" w:w="90"/>
              <w:left w:type="dxa" w:w="120"/>
              <w:bottom w:type="dxa" w:w="90"/>
              <w:right w:type="dxa" w:w="120"/>
            </w:tcMar>
          </w:tcPr>
          <w:p>
            <w:r>
              <w:rPr>
                <w:b/>
                <w:bCs/>
                <w:color w:val="D97706"/>
                <w:sz w:val="21"/>
                <w:szCs w:val="21"/>
              </w:rPr>
              <w:t xml:space="preserve">Mũ bơi Taupoc miễn phí</w:t>
            </w:r>
          </w:p>
        </w:tc>
      </w:tr>
      <w:tr>
        <w:tc>
          <w:tcPr>
            <w:tcW w:type="dxa" w:w="1600"/>
            <w:tcMar>
              <w:top w:type="dxa" w:w="90"/>
              <w:left w:type="dxa" w:w="120"/>
              <w:bottom w:type="dxa" w:w="90"/>
              <w:right w:type="dxa" w:w="120"/>
            </w:tcMar>
          </w:tcPr>
          <w:p>
            <w:r>
              <w:rPr>
                <w:b w:val="false"/>
                <w:bCs w:val="false"/>
                <w:sz w:val="21"/>
                <w:szCs w:val="21"/>
              </w:rPr>
              <w:t xml:space="preserve">150</w:t>
            </w:r>
          </w:p>
        </w:tc>
        <w:tc>
          <w:tcPr>
            <w:tcW w:type="dxa" w:w="7600"/>
            <w:tcMar>
              <w:top w:type="dxa" w:w="90"/>
              <w:left w:type="dxa" w:w="120"/>
              <w:bottom w:type="dxa" w:w="90"/>
              <w:right w:type="dxa" w:w="120"/>
            </w:tcMar>
          </w:tcPr>
          <w:p>
            <w:r>
              <w:rPr>
                <w:b/>
                <w:bCs/>
                <w:color w:val="D97706"/>
                <w:sz w:val="21"/>
                <w:szCs w:val="21"/>
              </w:rPr>
              <w:t xml:space="preserve">Ưu đãi tương đương 10 SGD trên giá bán lẻ (RRP), áp dụng cho mọi sản phẩm Taupoc</w:t>
            </w:r>
          </w:p>
        </w:tc>
      </w:tr>
      <w:tr>
        <w:tc>
          <w:tcPr>
            <w:tcW w:type="dxa" w:w="1600"/>
            <w:tcMar>
              <w:top w:type="dxa" w:w="90"/>
              <w:left w:type="dxa" w:w="120"/>
              <w:bottom w:type="dxa" w:w="90"/>
              <w:right w:type="dxa" w:w="120"/>
            </w:tcMar>
          </w:tcPr>
          <w:p>
            <w:r>
              <w:rPr>
                <w:b w:val="false"/>
                <w:bCs w:val="false"/>
                <w:sz w:val="21"/>
                <w:szCs w:val="21"/>
              </w:rPr>
              <w:t xml:space="preserve">300</w:t>
            </w:r>
          </w:p>
        </w:tc>
        <w:tc>
          <w:tcPr>
            <w:tcW w:type="dxa" w:w="7600"/>
            <w:tcMar>
              <w:top w:type="dxa" w:w="90"/>
              <w:left w:type="dxa" w:w="120"/>
              <w:bottom w:type="dxa" w:w="90"/>
              <w:right w:type="dxa" w:w="120"/>
            </w:tcMar>
          </w:tcPr>
          <w:p>
            <w:r>
              <w:rPr>
                <w:b/>
                <w:bCs/>
                <w:color w:val="D97706"/>
                <w:sz w:val="21"/>
                <w:szCs w:val="21"/>
              </w:rPr>
              <w:t xml:space="preserve">Ưu đãi tương đương 25 SGD cho một bộ đồ bơi R-SKIN (RRP)</w:t>
            </w:r>
          </w:p>
        </w:tc>
      </w:tr>
    </w:tbl>
    <w:p>
      <w:pPr>
        <w:spacing w:after="200" w:before="80"/>
      </w:pPr>
      <w:r>
        <w:rPr>
          <w:i/>
          <w:iCs/>
          <w:color w:val="666666"/>
          <w:sz w:val="20"/>
          <w:szCs w:val="20"/>
        </w:rPr>
        <w:t xml:space="preserve">Mức ưu đãi được tính trên giá bán lẻ thông thường (RRP), không áp dụng cùng với các chương trình khuyến mãi khác đang diễn ra, và phiếu ưu đãi chỉ sử dụng một lần, gắn liền với từng vận động viên cụ thể.</w:t>
      </w:r>
    </w:p>
    <w:p>
      <w:pPr>
        <w:pStyle w:val="Heading1"/>
        <w:spacing w:after="120" w:before="320"/>
      </w:pPr>
      <w:r>
        <w:rPr>
          <w:b/>
          <w:bCs/>
          <w:color w:val="063554"/>
          <w:sz w:val="26"/>
          <w:szCs w:val="26"/>
        </w:rPr>
        <w:t xml:space="preserve">Thử Thách Thường Niên</w:t>
      </w:r>
    </w:p>
    <w:p>
      <w:pPr>
        <w:spacing w:after="160"/>
      </w:pPr>
      <w:r>
        <w:rPr>
          <w:sz w:val="22"/>
          <w:szCs w:val="22"/>
        </w:rPr>
        <w:t xml:space="preserve">Chương trình vận hành theo chu kỳ hằng năm, từ ngày 1 tháng 1 đến ngày 31 tháng 12. Điểm sẽ được đặt lại về 0 vào cuối năm, nhưng mỗi vận động viên vẫn giữ nguyên toàn bộ lịch sử thành tích cá nhân tốt nhất, các giải đấu và cột mốc đã đạt được — và thành tích trong mùa giải của họ có thể được hiển thị như một sự ghi nhận vĩnh viễn (ví dụ: "Nhà vô địch Race Rewards 2026 — 8 lần đạt PB, tích lũy 420 điểm"), ngay cả sau khi điểm số được đặt lại.</w:t>
      </w:r>
    </w:p>
    <w:p>
      <w:pPr>
        <w:spacing w:after="160"/>
      </w:pPr>
      <w:r>
        <w:rPr>
          <w:sz w:val="22"/>
          <w:szCs w:val="22"/>
        </w:rPr>
        <w:t xml:space="preserve">Điều này tạo lý do để vận động viên tiếp tục quay lại ứng dụng, và lý do để Taupoc tiếp tục hiện diện, suốt mùa giải, mỗi mùa giải.</w:t>
      </w:r>
    </w:p>
    <w:p>
      <w:pPr>
        <w:pStyle w:val="Heading1"/>
        <w:spacing w:after="120" w:before="320"/>
      </w:pPr>
      <w:r>
        <w:rPr>
          <w:b/>
          <w:bCs/>
          <w:color w:val="063554"/>
          <w:sz w:val="26"/>
          <w:szCs w:val="26"/>
        </w:rPr>
        <w:t xml:space="preserve">Chương Trình Thí Điểm Tại Singapore</w:t>
      </w:r>
    </w:p>
    <w:p>
      <w:pPr>
        <w:spacing w:after="160"/>
      </w:pPr>
      <w:r>
        <w:rPr>
          <w:sz w:val="22"/>
          <w:szCs w:val="22"/>
        </w:rPr>
        <w:t xml:space="preserve">Taupoc Singapore là đơn vị đầu tiên triển khai chương trình này, với vai trò thị trường thí điểm. Hệ thống nhập kết quả của Natrix đã hoạt động và tự động hoàn toàn đối với Singapore Aquatics — nghĩa là chương trình có thể vận hành hoàn toàn dựa trên dữ liệu thực, đã xác thực ngay từ ngày đầu tiên, không cần thao tác thủ công từ cả hai phía.</w:t>
      </w:r>
    </w:p>
    <w:p>
      <w:pPr>
        <w:spacing w:after="160"/>
      </w:pPr>
      <w:r>
        <w:rPr>
          <w:sz w:val="22"/>
          <w:szCs w:val="22"/>
        </w:rPr>
        <w:t xml:space="preserve">Chúng tôi đề xuất cách tiếp cận tương tự cho thị trường của quý vị: một chương trình thưởng do nhà phân phối vận hành, được vận hành bởi hệ thống xác thực kết quả của Natrix, sử dụng cùng mô hình này làm điểm khởi đầu.</w:t>
      </w:r>
    </w:p>
    <w:p>
      <w:pPr>
        <w:pStyle w:val="Heading1"/>
        <w:spacing w:after="120" w:before="320"/>
      </w:pPr>
      <w:r>
        <w:rPr>
          <w:b/>
          <w:bCs/>
          <w:color w:val="063554"/>
          <w:sz w:val="26"/>
          <w:szCs w:val="26"/>
        </w:rPr>
        <w:t xml:space="preserve">Đề Xuất Của Chúng Tôi</w:t>
      </w:r>
    </w:p>
    <w:p>
      <w:pPr>
        <w:pStyle w:val="ListParagraph"/>
        <w:numPr>
          <w:ilvl w:val="0"/>
          <w:numId w:val="1"/>
        </w:numPr>
        <w:spacing w:after="100"/>
      </w:pPr>
      <w:r>
        <w:rPr>
          <w:sz w:val="22"/>
          <w:szCs w:val="22"/>
        </w:rPr>
        <w:t xml:space="preserve">Taupoc Việt Nam tham gia Natrix Race Rewards với vai trò đối tác thưởng cho các vận động viên bơi lội tại thị trường của quý vị, ngay khi hệ thống nhập kết quả tự động của Natrix hoạt động đối với liên đoàn bơi lội quốc gia của quý vị.</w:t>
      </w:r>
    </w:p>
    <w:p>
      <w:pPr>
        <w:pStyle w:val="ListParagraph"/>
        <w:numPr>
          <w:ilvl w:val="0"/>
          <w:numId w:val="1"/>
        </w:numPr>
        <w:spacing w:after="100"/>
      </w:pPr>
      <w:r>
        <w:rPr>
          <w:sz w:val="22"/>
          <w:szCs w:val="22"/>
        </w:rPr>
        <w:t xml:space="preserve">Quý vị tự quyết định giá trị phần thưởng, lựa chọn sản phẩm và điều khoản phiếu ưu đãi cho thị trường của mình — cấu trúc tại Singapore nêu trên chỉ là mô hình khởi đầu, không phải yêu cầu bắt buộc.</w:t>
      </w:r>
    </w:p>
    <w:p>
      <w:pPr>
        <w:pStyle w:val="ListParagraph"/>
        <w:numPr>
          <w:ilvl w:val="0"/>
          <w:numId w:val="1"/>
        </w:numPr>
        <w:spacing w:after="100"/>
      </w:pPr>
      <w:r>
        <w:rPr>
          <w:sz w:val="22"/>
          <w:szCs w:val="22"/>
        </w:rPr>
        <w:t xml:space="preserve">Natrix đảm nhiệm phần công nghệ: sổ cái điểm thưởng, việc phát hiện kết quả đã xác thực, và mã phiếu ưu đãi sử dụng một lần gắn với từng vận động viên.</w:t>
      </w:r>
    </w:p>
    <w:p>
      <w:pPr>
        <w:pStyle w:val="ListParagraph"/>
        <w:numPr>
          <w:ilvl w:val="0"/>
          <w:numId w:val="1"/>
        </w:numPr>
        <w:spacing w:after="100"/>
      </w:pPr>
      <w:r>
        <w:rPr>
          <w:sz w:val="22"/>
          <w:szCs w:val="22"/>
        </w:rPr>
        <w:t xml:space="preserve">Quý vị cung cấp sản phẩm (hoặc ưu đãi) đằng sau mỗi phần thưởng, và thương hiệu của quý vị sẽ xuất hiện dưới tên "Natrix — Powered by Taupoc" trước các gia đình vận động viên bơi lội tại thị trường của quý vị.</w:t>
      </w:r>
    </w:p>
    <w:p>
      <w:pPr>
        <w:pBdr>
          <w:bottom w:val="single" w:color="CCCCCC" w:sz="6"/>
        </w:pBdr>
        <w:spacing w:after="160" w:before="160"/>
      </w:pPr>
    </w:p>
    <w:p>
      <w:pPr>
        <w:pStyle w:val="Heading1"/>
        <w:spacing w:after="120" w:before="320"/>
      </w:pPr>
      <w:r>
        <w:rPr>
          <w:b/>
          <w:bCs/>
          <w:color w:val="063554"/>
          <w:sz w:val="26"/>
          <w:szCs w:val="26"/>
        </w:rPr>
        <w:t xml:space="preserve">Bước Tiếp Theo</w:t>
      </w:r>
    </w:p>
    <w:p>
      <w:pPr>
        <w:spacing w:after="160"/>
      </w:pPr>
      <w:r>
        <w:rPr>
          <w:sz w:val="22"/>
          <w:szCs w:val="22"/>
        </w:rPr>
        <w:t xml:space="preserve">Chúng tôi rất mong có một cuộc trao đổi ngắn để chia sẻ về cách chương trình thí điểm tại Singapore đang vận hành, và thảo luận xem một phiên bản như vậy sẽ trông như thế nào tại thị trường của quý vị. Xin vui lòng cho chúng tôi biết thời gian phù hợp với quý vị.</w:t>
      </w:r>
    </w:p>
    <w:p>
      <w:pPr>
        <w:spacing w:before="200"/>
      </w:pPr>
      <w:r>
        <w:rPr>
          <w:b/>
          <w:bCs/>
          <w:color w:val="063554"/>
          <w:sz w:val="21"/>
          <w:szCs w:val="21"/>
        </w:rPr>
        <w:t xml:space="preserve">Liên hệ:  Julian Loh — Taupoc Singapore  ·  [email]  ·  [phone]</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color w:val="666666"/>
        <w:sz w:val="16"/>
        <w:szCs w:val="16"/>
      </w:rPr>
      <w:t xml:space="preserve">Natrix Race Rewards — Powered by Taupoc  ·  Đề xuất được soạn bởi Taupoc Singapore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Natrix x Taupoc — Đề Xuất Hợp Tác Khu Vực</dc:title>
  <dc:creator>Un-named</dc:creator>
  <cp:lastModifiedBy>Un-named</cp:lastModifiedBy>
  <cp:revision>1</cp:revision>
  <dcterms:created xsi:type="dcterms:W3CDTF">2026-09-09T06:47:20.015Z</dcterms:created>
  <dcterms:modified xsi:type="dcterms:W3CDTF">2026-09-09T06:47:20.015Z</dcterms:modified>
</cp:coreProperties>
</file>

<file path=docProps/custom.xml><?xml version="1.0" encoding="utf-8"?>
<Properties xmlns="http://schemas.openxmlformats.org/officeDocument/2006/custom-properties" xmlns:vt="http://schemas.openxmlformats.org/officeDocument/2006/docPropsVTypes"/>
</file>