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3a5c"/>
          <w:sz w:val="52"/>
          <w:szCs w:val="52"/>
        </w:rPr>
        <w:t xml:space="preserve">Climate Risk Engine</w:t>
      </w:r>
    </w:p>
    <w:p>
      <w:pPr>
        <w:spacing w:after="60" w:before="0"/>
      </w:pPr>
      <w:r>
        <w:rPr>
          <w:rFonts w:ascii="Arial" w:cs="Arial" w:eastAsia="Arial" w:hAnsi="Arial"/>
          <w:color w:val="2c5f8a"/>
          <w:sz w:val="28"/>
          <w:szCs w:val="28"/>
        </w:rPr>
        <w:t xml:space="preserve">Model Methodology &amp; Technical Reference</w:t>
      </w:r>
    </w:p>
    <w:p>
      <w:pPr>
        <w:spacing w:after="480" w:before="0"/>
      </w:pPr>
      <w:r>
        <w:rPr>
          <w:rFonts w:ascii="Arial" w:cs="Arial" w:eastAsia="Arial" w:hAnsi="Arial"/>
          <w:color w:val="777777"/>
          <w:sz w:val="20"/>
          <w:szCs w:val="20"/>
        </w:rPr>
        <w:t xml:space="preserve">NGFS Phase 4 (2023)  |  TCFD Aligned  |  Basel Credit Risk Framework</w:t>
      </w:r>
    </w:p>
    <w:p>
      <w:pPr>
        <w:pStyle w:val="Heading1"/>
        <w:pBdr>
          <w:bottom w:val="single" w:color="2c5f8a" w:sz="6" w:space="4"/>
        </w:pBdr>
        <w:spacing w:after="120" w:before="360"/>
      </w:pPr>
      <w:r>
        <w:rPr>
          <w:rFonts w:ascii="Arial" w:cs="Arial" w:eastAsia="Arial" w:hAnsi="Arial"/>
          <w:b/>
          <w:bCs/>
          <w:color w:val="1a3a5c"/>
          <w:sz w:val="28"/>
          <w:szCs w:val="28"/>
        </w:rPr>
        <w:t xml:space="preserve">1. Overview</w:t>
      </w:r>
    </w:p>
    <w:p>
      <w:pPr>
        <w:spacing w:after="100" w:before="60"/>
      </w:pPr>
      <w:r>
        <w:rPr>
          <w:rFonts w:ascii="Arial" w:cs="Arial" w:eastAsia="Arial" w:hAnsi="Arial"/>
          <w:color w:val="333333"/>
          <w:sz w:val="20"/>
          <w:szCs w:val="20"/>
        </w:rPr>
        <w:t xml:space="preserve">The Climate Risk Engine is a quantitative model that translates physical and transition climate risks into shifts in credit metrics — Probability of Default (PD), Loss Given Default (LGD), and Exposure at Default (EAD) — and produces Climate Value-at-Risk (Climate VaR) and Expected Shortfall (ES) across a portfolio of corporate and real asset holdings.</w:t>
      </w:r>
    </w:p>
    <w:p>
      <w:pPr>
        <w:spacing w:after="100" w:before="60"/>
      </w:pPr>
      <w:r>
        <w:rPr>
          <w:rFonts w:ascii="Arial" w:cs="Arial" w:eastAsia="Arial" w:hAnsi="Arial"/>
          <w:color w:val="333333"/>
          <w:sz w:val="20"/>
          <w:szCs w:val="20"/>
        </w:rPr>
        <w:t xml:space="preserve">The model is designed to support TCFD-aligned climate scenario analysis and internal stress testing at financial institutions and asset managers. It follows the NGFS Phase 4 (2023) scenario framework as its primary reference and incorporates IPCC AR6 and IEA WEO 2023 scenarios.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Component</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Description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channels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Transition risk (carbon price) + Physical risk (hazard exposure)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Credit outputs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PD shift, LGD adjustment, EAD, Expected Loss, Climate VaR, ES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Scenarios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NGFS Phase 4, IPCC AR6 SSPs, IEA WEO 2023 (9 scenarios total)</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Horizons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2025, 2030, 2035, 2040, 2045, 2050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Asset coverage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Corporates and real assets (project finance, commercial RE)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VaR methods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Parametric (normal) and Monte Carlo (10,000 simulations)</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2. Model Architecture</w:t>
      </w:r>
    </w:p>
    <w:p>
      <w:pPr>
        <w:spacing w:after="100" w:before="60"/>
      </w:pPr>
      <w:r>
        <w:rPr>
          <w:rFonts w:ascii="Arial" w:cs="Arial" w:eastAsia="Arial" w:hAnsi="Arial"/>
          <w:color w:val="333333"/>
          <w:sz w:val="20"/>
          <w:szCs w:val="20"/>
        </w:rPr>
        <w:t xml:space="preserve">The engine is structured as five sequential modules. Each module produces typed outputs that feed the next. All combinations of holding, scenario, and horizon year are computed in a single pass; the dashboard filters results at display time without recomputation.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Module</w:t>
            </w:r>
          </w:p>
        </w:tc>
        <w:tc>
          <w:tcPr>
            <w:tcW w:type="dxa" w:w="68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Function</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 — Data Schema</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Defines domain objects (Holding, Portfolio, ClimateScenario) and loads portfolio and carbon price CSVs</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2 — Physical Hazard Scorer</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Assigns hazard profiles per holding using country-sector proxy scores; computes physical PD shift and LGD impairment</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3 — Transition Risk Engine</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Maps carbon price paths to EBITDA shocks to PD shifts via a logistic transmission function</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4 — Credit Aggregator</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Combines physical and transition results; computes EL, Climate VaR, and ES (parametric and Monte Carlo)</w:t>
            </w:r>
          </w:p>
        </w:tc>
      </w:tr>
      <w:tr>
        <w:tc>
          <w:tcPr>
            <w:tcW w:type="dxa" w:w="2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5 — Dashboard</w:t>
            </w:r>
          </w:p>
        </w:tc>
        <w:tc>
          <w:tcPr>
            <w:tcW w:type="dxa" w:w="68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Streamlit interface for file upload, scenario selection, and result visualisation</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3. Scenario Framework</w:t>
      </w:r>
    </w:p>
    <w:p>
      <w:pPr>
        <w:spacing w:after="100" w:before="60"/>
      </w:pPr>
      <w:r>
        <w:rPr>
          <w:rFonts w:ascii="Arial" w:cs="Arial" w:eastAsia="Arial" w:hAnsi="Arial"/>
          <w:color w:val="333333"/>
          <w:sz w:val="20"/>
          <w:szCs w:val="20"/>
        </w:rPr>
        <w:t xml:space="preserve">The engine supports three scenario frameworks. All scenarios are registered in a central registry and identified by a scenario_id. The warming_pathway attribute controls physical risk severity scaling and is framework-agnostic.</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3.1 NGFS Phase 4 (2023)</w:t>
      </w:r>
    </w:p>
    <w:p>
      <w:pPr>
        <w:spacing w:after="100" w:before="60"/>
      </w:pPr>
      <w:r>
        <w:rPr>
          <w:rFonts w:ascii="Arial" w:cs="Arial" w:eastAsia="Arial" w:hAnsi="Arial"/>
          <w:color w:val="333333"/>
          <w:sz w:val="20"/>
          <w:szCs w:val="20"/>
        </w:rPr>
        <w:t xml:space="preserve">The primary reference for financial institution climate stress testing. Three scenarios are implemented: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Scenario ID</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Description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NGFS_NZ2050</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Net Zero 2050 — early, orderly transition. Carbon price rises steadily to ~USD 250/tCO2e by 2050. Warming ~1.5C.</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NGFS_DT</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Delayed Transition — policy action delayed post-2030 then abrupt spike. Carbon price flat then sharp increase. Warming ~2C.</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NGFS_CP</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Current Policies — no new climate policy. Low carbon price, high physical risk materialises. Warming ~4C+.</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3.2 IPCC AR6 SSPs</w:t>
      </w:r>
    </w:p>
    <w:p>
      <w:pPr>
        <w:spacing w:after="100" w:before="60"/>
      </w:pPr>
      <w:r>
        <w:rPr>
          <w:rFonts w:ascii="Arial" w:cs="Arial" w:eastAsia="Arial" w:hAnsi="Arial"/>
          <w:color w:val="333333"/>
          <w:sz w:val="20"/>
          <w:szCs w:val="20"/>
        </w:rPr>
        <w:t xml:space="preserve">Used primarily for physical risk severity scaling. IPCC SSPs do not carry standalone carbon price paths; transition risk is set to zero for these scenarios and only physical risk is computed.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Scenario ID</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Description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IPCC_SSP126</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SSP1-2.6 — sustainable development, strong mitigation. ~1.5-2C by 2100.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IPCC_SSP245</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SSP2-4.5 — middle of the road. ~2.7C by 2100.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IPCC_SSP585</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SSP5-8.5 — fossil-fuelled development. ~4.4C by 2100.</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3.3 IEA World Energy Outlook 2023</w:t>
      </w:r>
    </w:p>
    <w:p>
      <w:pPr>
        <w:spacing w:after="100" w:before="60"/>
      </w:pPr>
      <w:r>
        <w:rPr>
          <w:rFonts w:ascii="Arial" w:cs="Arial" w:eastAsia="Arial" w:hAnsi="Arial"/>
          <w:color w:val="333333"/>
          <w:sz w:val="20"/>
          <w:szCs w:val="20"/>
        </w:rPr>
        <w:t xml:space="preserve">Carries both carbon price paths and warming trajectories. Particularly relevant for energy-sector-heavy portfolios given IEA's granular sector-level energy transition modelling.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Scenario ID</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Description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IEA_NZE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Net Zero Emissions 2050 — aggressive clean energy. 1.5C aligned. Carbon price to ~USD 250/tCO2e by 2050.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IEA_APS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Announced Pledges Scenario — all national pledges met. ~1.7C by 2100.</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IEA_STEPS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Stated Policies Scenario — existing policies only. ~2.5C by 2100.</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3.4 Physical Risk Scalar</w:t>
      </w:r>
    </w:p>
    <w:p>
      <w:pPr>
        <w:spacing w:after="100" w:before="60"/>
      </w:pPr>
      <w:r>
        <w:rPr>
          <w:rFonts w:ascii="Arial" w:cs="Arial" w:eastAsia="Arial" w:hAnsi="Arial"/>
          <w:color w:val="333333"/>
          <w:sz w:val="20"/>
          <w:szCs w:val="20"/>
        </w:rPr>
        <w:t xml:space="preserve">Each scenario is mapped to a WarmingPathway which determines a physical_risk_scalar applied to raw country hazard scores. This ensures physical risk severity is consistent with the scenario's temperature outcome regardless of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Warming Pathway</w:t>
            </w:r>
          </w:p>
        </w:tc>
        <w:tc>
          <w:tcPr>
            <w:tcW w:type="dxa" w:w="5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Physical Risk Scalar</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Below 1.5C</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0.35</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~2C</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0.55</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~3C</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0.75</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4C+</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1.00</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4. Transition Risk Engine</w:t>
      </w:r>
    </w:p>
    <w:p>
      <w:pPr>
        <w:spacing w:after="100" w:before="60"/>
      </w:pPr>
      <w:r>
        <w:rPr>
          <w:rFonts w:ascii="Arial" w:cs="Arial" w:eastAsia="Arial" w:hAnsi="Arial"/>
          <w:color w:val="333333"/>
          <w:sz w:val="20"/>
          <w:szCs w:val="20"/>
        </w:rPr>
        <w:t xml:space="preserve">The transition risk engine maps carbon price paths to PD shifts through a four-step transmission chain.</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4.1 Transmission Chain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Step 1</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gross_cost = intensity x price x revenue / 1,000,000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Gross annual carbon cost in USD millions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Step 2</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net_cost = gross x (1 - pass_through) x (1 - abatement)</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Net cost after sector pass-through and abatement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Step 3</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ebitda_shock = net_cost / (ebitda_margin x revenue)</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EBITDA shock as a fraction (0-1)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Step 4</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PD_shift = logistic(ebitda_shock) x max_shift</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Logistic mapping to additive PD increase</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4.2 Logistic PD Mapping</w:t>
      </w:r>
    </w:p>
    <w:p>
      <w:pPr>
        <w:spacing w:after="100" w:before="60"/>
      </w:pPr>
      <w:r>
        <w:rPr>
          <w:rFonts w:ascii="Arial" w:cs="Arial" w:eastAsia="Arial" w:hAnsi="Arial"/>
          <w:color w:val="333333"/>
          <w:sz w:val="20"/>
          <w:szCs w:val="20"/>
        </w:rPr>
        <w:t xml:space="preserve">The logistic function is used to map EBITDA shock to PD shift. It has two key properties: it is bounded (PD cannot exceed 0.95), and it is non-linear (small shocks have limited impact; shocks above ~40% EBITDA accelerate rapidly).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Logistic</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L = 1 / (1 + exp(-7 x (shock - 0.45)))</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k=7, midpoint=0.45. Calibrated to NGFS Phase 4 sectoral PD ranges.</w:t>
            </w:r>
          </w:p>
        </w:tc>
      </w:tr>
    </w:tbl>
    <w:p>
      <w:pPr>
        <w:spacing w:after="80" w:before="80"/>
      </w:pPr>
      <w:r>
        <w:t xml:space="preserve"/>
      </w:r>
    </w:p>
    <w:p>
      <w:pPr>
        <w:spacing w:after="100" w:before="60"/>
      </w:pPr>
      <w:r>
        <w:rPr>
          <w:rFonts w:ascii="Arial" w:cs="Arial" w:eastAsia="Arial" w:hAnsi="Arial"/>
          <w:color w:val="333333"/>
          <w:sz w:val="20"/>
          <w:szCs w:val="20"/>
        </w:rPr>
        <w:t xml:space="preserve">Calibration reference: a 30% EBITDA shock on a BBB-rated company produces approximately 80bps PD shift, consistent with Moody's CreditEdge stress scenario outputs and NGFS Phase 4 corporate sector impact assessments.</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4.3 Sector Parameters</w:t>
      </w:r>
    </w:p>
    <w:p>
      <w:pPr>
        <w:spacing w:after="100" w:before="60"/>
      </w:pPr>
      <w:r>
        <w:rPr>
          <w:rFonts w:ascii="Arial" w:cs="Arial" w:eastAsia="Arial" w:hAnsi="Arial"/>
          <w:color w:val="333333"/>
          <w:sz w:val="20"/>
          <w:szCs w:val="20"/>
        </w:rPr>
        <w:t xml:space="preserve">Four parameters are calibrated per sector. These are the primary levers for model tuning when real portfolio data is available.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Parameter</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Definition and Source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carbon_pass_through_rate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Fraction of carbon cost passed to customers. High for regulated utilities (~0.75), low for commodity producers (~0.35). Source: MSCI Climate VaR methodology (2023).</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abatement_capacity</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Fraction of emissions reducible without revenue impact by 2030. Source: IPCC AR6 WGIII Chapter 6 mitigation potentials.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revenue_sensitivity</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Multiplier on EBITDA shock to revenue impact. Higher for discretionary sectors, lower for inelastic demand sectors. Source: NGFS Phase 4 sector narratives.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stranded_asset_risk</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Additional LGD loading for high-carbon fixed assets (coal plants, pipelines). Scale 0-1. Source: TCFD sector guidance.</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4.4 Stranded Asset LGD Loading</w:t>
      </w:r>
    </w:p>
    <w:p>
      <w:pPr>
        <w:spacing w:after="100" w:before="60"/>
      </w:pPr>
      <w:r>
        <w:rPr>
          <w:rFonts w:ascii="Arial" w:cs="Arial" w:eastAsia="Arial" w:hAnsi="Arial"/>
          <w:color w:val="333333"/>
          <w:sz w:val="20"/>
          <w:szCs w:val="20"/>
        </w:rPr>
        <w:t xml:space="preserve">For sectors with high fixed-asset carbon exposure (primarily Energy and Utilities), an additional LGD loading is applied proportional to EBITDA shock severity and the sector's stranded_asset_risk factor. This captures collateral value impairment from transition risk — distinct from the physical risk LGD channel.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Stranded LGD</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loading = stranded_asset_risk x ebitda_shock_pct</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Capped at 0.25 (25 percentage points)</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4.5 Carbon Price Interpolation</w:t>
      </w:r>
    </w:p>
    <w:p>
      <w:pPr>
        <w:spacing w:after="100" w:before="60"/>
      </w:pPr>
      <w:r>
        <w:rPr>
          <w:rFonts w:ascii="Arial" w:cs="Arial" w:eastAsia="Arial" w:hAnsi="Arial"/>
          <w:color w:val="333333"/>
          <w:sz w:val="20"/>
          <w:szCs w:val="20"/>
        </w:rPr>
        <w:t xml:space="preserve">Carbon price paths are defined at discrete years (2025, 2030, 2035, 2040, 2045, 2050) in the input CSV. For any horizon year between data points, the engine applies linear interpolation. This is consistent with the NGFS data publication format and standard practice in climate scenario analysis.</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4.6 IPCC Scenario Handling</w:t>
      </w:r>
    </w:p>
    <w:p>
      <w:pPr>
        <w:spacing w:after="100" w:before="60"/>
      </w:pPr>
      <w:r>
        <w:rPr>
          <w:rFonts w:ascii="Arial" w:cs="Arial" w:eastAsia="Arial" w:hAnsi="Arial"/>
          <w:color w:val="333333"/>
          <w:sz w:val="20"/>
          <w:szCs w:val="20"/>
        </w:rPr>
        <w:t xml:space="preserve">IPCC SSP scenarios carry no carbon price path. When an IPCC scenario is selected, the transition risk module returns zero shifts for all holdings and all horizon years. Physical risk is computed normally using the scenario's warming_pathway scalar. This is flagged explicitly in the output via the transition_skipped field.</w:t>
      </w:r>
    </w:p>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5. Physical Hazard Scorer</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5.1 Hazard Types</w:t>
      </w:r>
    </w:p>
    <w:p>
      <w:pPr>
        <w:spacing w:after="100" w:before="60"/>
      </w:pPr>
      <w:r>
        <w:rPr>
          <w:rFonts w:ascii="Arial" w:cs="Arial" w:eastAsia="Arial" w:hAnsi="Arial"/>
          <w:color w:val="333333"/>
          <w:sz w:val="20"/>
          <w:szCs w:val="20"/>
        </w:rPr>
        <w:t xml:space="preserve">Six hazard types are scored for every holding: Flood, Heat Stress, Wildfire, Sea Level Rise, Drought, and Tropical Cyclone. All six are scored regardless of sector or geography — the sector vulnerability and scenario scalar modulate the effective exposure.</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5.2 Hazard Score Construction</w:t>
      </w:r>
    </w:p>
    <w:p>
      <w:pPr>
        <w:spacing w:after="100" w:before="60"/>
      </w:pPr>
      <w:r>
        <w:rPr>
          <w:rFonts w:ascii="Arial" w:cs="Arial" w:eastAsia="Arial" w:hAnsi="Arial"/>
          <w:color w:val="333333"/>
          <w:sz w:val="20"/>
          <w:szCs w:val="20"/>
        </w:rPr>
        <w:t xml:space="preserve">For each holding and hazard type, the effective hazard score is computed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Effective Score</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score = country_hazard x scenario_scalar x sector_vulnerability</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Scale 0-1 per hazard type</w:t>
            </w:r>
          </w:p>
        </w:tc>
      </w:tr>
    </w:tbl>
    <w:p>
      <w:pPr>
        <w:spacing w:after="80" w:before="80"/>
      </w:pPr>
      <w:r>
        <w:t xml:space="preserve"/>
      </w:r>
    </w:p>
    <w:p>
      <w:pPr>
        <w:spacing w:after="100" w:before="60"/>
      </w:pPr>
      <w:r>
        <w:rPr>
          <w:rFonts w:ascii="Arial" w:cs="Arial" w:eastAsia="Arial" w:hAnsi="Arial"/>
          <w:color w:val="333333"/>
          <w:sz w:val="20"/>
          <w:szCs w:val="20"/>
        </w:rPr>
        <w:t xml:space="preserve">Country hazard scores are proxy values derived from the JRC Global Disaster Risk Index, World Bank Climate Risk indicators, and INFORM Risk Index 2023. Sector vulnerability factors are calibrated from TCFD sector guidance and NGFS Phase 4 sector narratives. Both tables are in src/hazard_scorer.py and are designed to be replaced with asset-level data when available.</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5.3 Composite Hazard Score and Revenue Shock</w:t>
      </w:r>
    </w:p>
    <w:p>
      <w:pPr>
        <w:spacing w:after="100" w:before="60"/>
      </w:pPr>
      <w:r>
        <w:rPr>
          <w:rFonts w:ascii="Arial" w:cs="Arial" w:eastAsia="Arial" w:hAnsi="Arial"/>
          <w:color w:val="333333"/>
          <w:sz w:val="20"/>
          <w:szCs w:val="20"/>
        </w:rPr>
        <w:t xml:space="preserve">The composite hazard score is the mean of effective scores across all six hazard types. It is then mapped to a revenue shock percentage: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Revenue Shock</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revenue_shock = min(composite x 0.60, 0.40)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Capped at 40% revenue loss</w:t>
            </w:r>
          </w:p>
        </w:tc>
      </w:tr>
    </w:tbl>
    <w:p>
      <w:pPr>
        <w:spacing w:after="80" w:before="80"/>
      </w:pPr>
      <w:r>
        <w:t xml:space="preserve"/>
      </w:r>
    </w:p>
    <w:p>
      <w:pPr>
        <w:spacing w:after="100" w:before="60"/>
      </w:pPr>
      <w:r>
        <w:rPr>
          <w:rFonts w:ascii="Arial" w:cs="Arial" w:eastAsia="Arial" w:hAnsi="Arial"/>
          <w:color w:val="333333"/>
          <w:sz w:val="20"/>
          <w:szCs w:val="20"/>
        </w:rPr>
        <w:t xml:space="preserve">Revenue shock feeds into the same logistic PD mapping function used in the transition risk engine (with k=8, midpoint=0.5), ensuring the two risk channels produce PD shifts on a consistent scale.</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5.4 Physical LGD Impairment</w:t>
      </w:r>
    </w:p>
    <w:p>
      <w:pPr>
        <w:spacing w:after="100" w:before="60"/>
      </w:pPr>
      <w:r>
        <w:rPr>
          <w:rFonts w:ascii="Arial" w:cs="Arial" w:eastAsia="Arial" w:hAnsi="Arial"/>
          <w:color w:val="333333"/>
          <w:sz w:val="20"/>
          <w:szCs w:val="20"/>
        </w:rPr>
        <w:t xml:space="preserve">For real asset holdings (asset_type = Real Asset), physical hazards impair collateral value. An LGD haircut is applied per hazard type, proportional to effective hazard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LGD Haircut</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haircut = max_haircut_by_hazard x effective_score</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Summed across hazard types, capped at 0.30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Hazard Type</w:t>
            </w:r>
          </w:p>
        </w:tc>
        <w:tc>
          <w:tcPr>
            <w:tcW w:type="dxa" w:w="5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Maximum LGD Haircut</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Sea Level Rise</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25%</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Tropical Cyclone</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22%</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Flood</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Wildfire</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Drought</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r>
        <w:tc>
          <w:tcPr>
            <w:tcW w:type="dxa" w:w="4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Heat Stress</w:t>
            </w:r>
          </w:p>
        </w:tc>
        <w:tc>
          <w:tcPr>
            <w:tcW w:type="dxa" w:w="5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6. Credit Risk Aggregation</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6.1 PD Combination</w:t>
      </w:r>
    </w:p>
    <w:p>
      <w:pPr>
        <w:spacing w:after="100" w:before="60"/>
      </w:pPr>
      <w:r>
        <w:rPr>
          <w:rFonts w:ascii="Arial" w:cs="Arial" w:eastAsia="Arial" w:hAnsi="Arial"/>
          <w:color w:val="333333"/>
          <w:sz w:val="20"/>
          <w:szCs w:val="20"/>
        </w:rPr>
        <w:t xml:space="preserve">Transition and physical PD shifts are combined additively with the baseline PD. The result is capped at 0.95 to prevent degenerate outputs: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Climate PD</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PD_climate = min(PD_baseline + PD_transition + PD_physical, 0.95)</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Additive combination, hard cap at 0.95</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6.2 LGD Combination</w:t>
      </w:r>
    </w:p>
    <w:p>
      <w:pPr>
        <w:spacing w:after="100" w:before="60"/>
      </w:pPr>
      <w:r>
        <w:rPr>
          <w:rFonts w:ascii="Arial" w:cs="Arial" w:eastAsia="Arial" w:hAnsi="Arial"/>
          <w:color w:val="333333"/>
          <w:sz w:val="20"/>
          <w:szCs w:val="20"/>
        </w:rPr>
        <w:t xml:space="preserve">Transition (stranded asset) and physical (collateral impairment) LGD loadings are combined additively with baseline LGD, capped at 0.95: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Climate LGD</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LGD_adj = min(LGD_base + LGD_transition + LGD_physical, 0.95)</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Additive combination, hard cap at 0.95</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6.3 Expected Loss</w:t>
      </w:r>
    </w:p>
    <w:p>
      <w:pPr>
        <w:spacing w:after="100" w:before="60"/>
      </w:pPr>
      <w:r>
        <w:rPr>
          <w:rFonts w:ascii="Arial" w:cs="Arial" w:eastAsia="Arial" w:hAnsi="Arial"/>
          <w:color w:val="333333"/>
          <w:sz w:val="20"/>
          <w:szCs w:val="20"/>
        </w:rPr>
        <w:t xml:space="preserve">Expected Loss follows the standard Basel credit risk formula applied to climate-adjusted inputs: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Baseline EL</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EL_base = PD_baseline x LGD_base x EAD</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Standard Basel EL formula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Climate EL</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EL_climate = PD_climate x LGD_adj x EAD</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Climate-adjusted 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Incremental EL</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EL_incr = max(EL_climate - EL_base, 0)</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Additional EL attributable to climate risk</w:t>
            </w:r>
          </w:p>
        </w:tc>
      </w:tr>
    </w:tbl>
    <w:p>
      <w:pPr>
        <w:spacing w:after="80" w:before="80"/>
      </w:pPr>
      <w:r>
        <w:t xml:space="preserve"/>
      </w:r>
    </w:p>
    <w:p>
      <w:pPr>
        <w:pStyle w:val="Heading2"/>
        <w:spacing w:after="80" w:before="240"/>
      </w:pPr>
      <w:r>
        <w:rPr>
          <w:rFonts w:ascii="Arial" w:cs="Arial" w:eastAsia="Arial" w:hAnsi="Arial"/>
          <w:b/>
          <w:bCs/>
          <w:color w:val="2c5f8a"/>
          <w:sz w:val="24"/>
          <w:szCs w:val="24"/>
        </w:rPr>
        <w:t xml:space="preserve">6.4 Risk Decomposition</w:t>
      </w:r>
    </w:p>
    <w:p>
      <w:pPr>
        <w:spacing w:after="100" w:before="60"/>
      </w:pPr>
      <w:r>
        <w:rPr>
          <w:rFonts w:ascii="Arial" w:cs="Arial" w:eastAsia="Arial" w:hAnsi="Arial"/>
          <w:color w:val="333333"/>
          <w:sz w:val="20"/>
          <w:szCs w:val="20"/>
        </w:rPr>
        <w:t xml:space="preserve">The incremental EL is decomposed between transition and physical risk channels in proportion to their PD shift contributions: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Transition Share</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trans_share = PD_transition / (PD_transition + PD_physical)</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Fraction of PD shift from transition risk</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7. Climate VaR and Expected Shortfall</w:t>
      </w:r>
    </w:p>
    <w:p>
      <w:pPr>
        <w:spacing w:after="100" w:before="60"/>
      </w:pPr>
      <w:r>
        <w:rPr>
          <w:rFonts w:ascii="Arial" w:cs="Arial" w:eastAsia="Arial" w:hAnsi="Arial"/>
          <w:color w:val="333333"/>
          <w:sz w:val="20"/>
          <w:szCs w:val="20"/>
        </w:rPr>
        <w:t xml:space="preserve">Both parametric and Monte Carlo methods are computed for every scenario and horizon year. The dashboard allows switching between methods and confidence levels (95% and 99%).</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7.1 Parametric VaR / ES</w:t>
      </w:r>
    </w:p>
    <w:p>
      <w:pPr>
        <w:spacing w:after="100" w:before="60"/>
      </w:pPr>
      <w:r>
        <w:rPr>
          <w:rFonts w:ascii="Arial" w:cs="Arial" w:eastAsia="Arial" w:hAnsi="Arial"/>
          <w:color w:val="333333"/>
          <w:sz w:val="20"/>
          <w:szCs w:val="20"/>
        </w:rPr>
        <w:t xml:space="preserve">Assumes portfolio incremental losses are normally distributed. Analytical formula: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Parametric VaR</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VaR = mu + z x sigma</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z = 1.6449 (95%), 2.3263 (99%)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vAlign w:val="center"/>
          </w:tcPr>
          <w:p>
            <w:r>
              <w:rPr>
                <w:rFonts w:ascii="Arial" w:cs="Arial" w:eastAsia="Arial" w:hAnsi="Arial"/>
                <w:b/>
                <w:bCs/>
                <w:color w:val="1a3a5c"/>
                <w:sz w:val="18"/>
                <w:szCs w:val="18"/>
              </w:rPr>
              <w:t xml:space="preserve">Parametric ES</w:t>
            </w:r>
          </w:p>
        </w:tc>
        <w:tc>
          <w:tcPr>
            <w:tcW w:type="dxa" w:w="40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ES = mu + sigma x phi(z) / (1 - alpha)</w:t>
            </w:r>
          </w:p>
        </w:tc>
        <w:tc>
          <w:tcPr>
            <w:tcW w:type="dxa" w:w="33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555555"/>
                <w:sz w:val="18"/>
                <w:szCs w:val="18"/>
              </w:rPr>
              <w:t xml:space="preserve">phi = standard normal PDF</w:t>
            </w:r>
          </w:p>
        </w:tc>
      </w:tr>
    </w:tbl>
    <w:p>
      <w:pPr>
        <w:spacing w:after="80" w:before="80"/>
      </w:pPr>
      <w:r>
        <w:t xml:space="preserve"/>
      </w:r>
    </w:p>
    <w:p>
      <w:pPr>
        <w:spacing w:after="100" w:before="60"/>
      </w:pPr>
      <w:r>
        <w:rPr>
          <w:rFonts w:ascii="Arial" w:cs="Arial" w:eastAsia="Arial" w:hAnsi="Arial"/>
          <w:color w:val="333333"/>
          <w:sz w:val="20"/>
          <w:szCs w:val="20"/>
        </w:rPr>
        <w:t xml:space="preserve">Where mu is the sum of holding-level incremental ELs and sigma is derived from the cross-sectional distribution of those ELs. This method is fast and always stable but assumes symmetric loss distribution and independence across holdings.</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7.2 Monte Carlo VaR / ES</w:t>
      </w:r>
    </w:p>
    <w:p>
      <w:pPr>
        <w:spacing w:after="100" w:before="60"/>
      </w:pPr>
      <w:r>
        <w:rPr>
          <w:rFonts w:ascii="Arial" w:cs="Arial" w:eastAsia="Arial" w:hAnsi="Arial"/>
          <w:color w:val="333333"/>
          <w:sz w:val="20"/>
          <w:szCs w:val="20"/>
        </w:rPr>
        <w:t xml:space="preserve">10,000 simulations using correlated sector shocks via Cholesky decomposition of a 12x12 sector correlation matrix. Method:</w:t>
      </w:r>
    </w:p>
    <w:p>
      <w:pPr>
        <w:pStyle w:val="ListParagraph"/>
        <w:numPr>
          <w:ilvl w:val="0"/>
          <w:numId w:val="2"/>
        </w:numPr>
        <w:spacing w:after="40" w:before="40"/>
      </w:pPr>
      <w:r>
        <w:rPr>
          <w:rFonts w:ascii="Arial" w:cs="Arial" w:eastAsia="Arial" w:hAnsi="Arial"/>
          <w:color w:val="333333"/>
          <w:sz w:val="20"/>
          <w:szCs w:val="20"/>
        </w:rPr>
        <w:t xml:space="preserve">Draw correlated standard normal shocks using Cholesky decomposition of the sector correlation matrix</w:t>
      </w:r>
    </w:p>
    <w:p>
      <w:pPr>
        <w:pStyle w:val="ListParagraph"/>
        <w:numPr>
          <w:ilvl w:val="0"/>
          <w:numId w:val="2"/>
        </w:numPr>
        <w:spacing w:after="40" w:before="40"/>
      </w:pPr>
      <w:r>
        <w:rPr>
          <w:rFonts w:ascii="Arial" w:cs="Arial" w:eastAsia="Arial" w:hAnsi="Arial"/>
          <w:color w:val="333333"/>
          <w:sz w:val="20"/>
          <w:szCs w:val="20"/>
        </w:rPr>
        <w:t xml:space="preserve">Convert shocks to loss multipliers: multiplier = clip(1 + 0.40 x z, 0, 3)</w:t>
      </w:r>
    </w:p>
    <w:p>
      <w:pPr>
        <w:pStyle w:val="ListParagraph"/>
        <w:numPr>
          <w:ilvl w:val="0"/>
          <w:numId w:val="2"/>
        </w:numPr>
        <w:spacing w:after="40" w:before="40"/>
      </w:pPr>
      <w:r>
        <w:rPr>
          <w:rFonts w:ascii="Arial" w:cs="Arial" w:eastAsia="Arial" w:hAnsi="Arial"/>
          <w:color w:val="333333"/>
          <w:sz w:val="20"/>
          <w:szCs w:val="20"/>
        </w:rPr>
        <w:t xml:space="preserve">Scale each holding's incremental EL by its multiplier</w:t>
      </w:r>
    </w:p>
    <w:p>
      <w:pPr>
        <w:pStyle w:val="ListParagraph"/>
        <w:numPr>
          <w:ilvl w:val="0"/>
          <w:numId w:val="2"/>
        </w:numPr>
        <w:spacing w:after="40" w:before="40"/>
      </w:pPr>
      <w:r>
        <w:rPr>
          <w:rFonts w:ascii="Arial" w:cs="Arial" w:eastAsia="Arial" w:hAnsi="Arial"/>
          <w:color w:val="333333"/>
          <w:sz w:val="20"/>
          <w:szCs w:val="20"/>
        </w:rPr>
        <w:t xml:space="preserve">Sum across holdings to get simulated portfolio loss</w:t>
      </w:r>
    </w:p>
    <w:p>
      <w:pPr>
        <w:pStyle w:val="ListParagraph"/>
        <w:numPr>
          <w:ilvl w:val="0"/>
          <w:numId w:val="2"/>
        </w:numPr>
        <w:spacing w:after="40" w:before="40"/>
      </w:pPr>
      <w:r>
        <w:rPr>
          <w:rFonts w:ascii="Arial" w:cs="Arial" w:eastAsia="Arial" w:hAnsi="Arial"/>
          <w:color w:val="333333"/>
          <w:sz w:val="20"/>
          <w:szCs w:val="20"/>
        </w:rPr>
        <w:t xml:space="preserve">Derive VaR and ES empirically from the resulting loss distribution</w:t>
      </w:r>
    </w:p>
    <w:p>
      <w:pPr>
        <w:spacing w:after="80" w:before="80"/>
      </w:pPr>
      <w:r>
        <w:t xml:space="preserve"/>
      </w:r>
    </w:p>
    <w:p>
      <w:pPr>
        <w:spacing w:after="100" w:before="60"/>
      </w:pPr>
      <w:r>
        <w:rPr>
          <w:rFonts w:ascii="Arial" w:cs="Arial" w:eastAsia="Arial" w:hAnsi="Arial"/>
          <w:color w:val="333333"/>
          <w:sz w:val="20"/>
          <w:szCs w:val="20"/>
        </w:rPr>
        <w:t xml:space="preserve">The shock_scale of 0.40 implies individual holding ELs can range from approximately 0x to 2x their expected value, calibrated to reflect realistic uncertainty in climate scenario outcomes at the holding level.</w:t>
      </w:r>
    </w:p>
    <w:p>
      <w:pPr>
        <w:spacing w:after="80" w:before="80"/>
      </w:pPr>
      <w:r>
        <w:t xml:space="preserve"/>
      </w:r>
    </w:p>
    <w:p>
      <w:pPr>
        <w:pStyle w:val="Heading2"/>
        <w:spacing w:after="80" w:before="240"/>
      </w:pPr>
      <w:r>
        <w:rPr>
          <w:rFonts w:ascii="Arial" w:cs="Arial" w:eastAsia="Arial" w:hAnsi="Arial"/>
          <w:b/>
          <w:bCs/>
          <w:color w:val="2c5f8a"/>
          <w:sz w:val="24"/>
          <w:szCs w:val="24"/>
        </w:rPr>
        <w:t xml:space="preserve">7.3 Sector Correlation Matrix</w:t>
      </w:r>
    </w:p>
    <w:p>
      <w:pPr>
        <w:spacing w:after="100" w:before="60"/>
      </w:pPr>
      <w:r>
        <w:rPr>
          <w:rFonts w:ascii="Arial" w:cs="Arial" w:eastAsia="Arial" w:hAnsi="Arial"/>
          <w:color w:val="333333"/>
          <w:sz w:val="20"/>
          <w:szCs w:val="20"/>
        </w:rPr>
        <w:t xml:space="preserve">The 12x12 sector correlation matrix used in the Monte Carlo reflects climate loss co-movement between sectors — not financial return correlations. Highly carbon-exposed sectors (Energy, Utilities) have high mutual correlation (0.70) reflecting simultaneous exposure to carbon pricing shocks. Cross-sector correlations are lower, reflecting partial insulation from each other's dominant risk drivers.</w:t>
      </w:r>
    </w:p>
    <w:p>
      <w:pPr>
        <w:spacing w:after="100" w:before="60"/>
      </w:pPr>
      <w:r>
        <w:rPr>
          <w:rFonts w:ascii="Arial" w:cs="Arial" w:eastAsia="Arial" w:hAnsi="Arial"/>
          <w:color w:val="333333"/>
          <w:sz w:val="20"/>
          <w:szCs w:val="20"/>
        </w:rPr>
        <w:t xml:space="preserve">Source basis: NGFS Phase 4 sectoral co-movement analysis and TCFD cross-sector contagion assessment. The matrix is defined in src/credit_aggregator.py and can be updated with empirically estimated values.</w:t>
      </w:r>
    </w:p>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8. Limitations and Assumptions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Limitation</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Impact and Mitigation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Country-level physical hazard proxies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Physical risk scores are country averages, not asset-level. Understates risk concentration for assets in high-hazard locations. Mitigation: replace with JRC or FEMA asset-level data in src/hazard_scorer.py.</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Additive PD combination</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Treating transition and physical PD shifts as additive may double-count correlated stress events (e.g. a carbon shock that also causes physical disruption). Conservative bias — if anything, overstates combined risk slightly.</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Linear interpolation of carbon prices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Between published NGFS data years, prices are linearly interpolated. NGFS carbon price paths are not strictly linear, so this introduces small estimation error, particularly around the Delayed Transition post-2030 spike.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Normal distribution assumption (parametric)</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Portfolio losses may be fat-tailed under severe climate scenarios. The parametric VaR likely understates tail risk. Monte Carlo with correlated shocks partially addresses this.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Static sector parameters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Sector pass-through rates, abatement capacity, and vulnerability factors do not change over time. In reality, technological change and policy adaptation will shift these. This is a known limitation of static factor models.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No second-order contagion</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The model does not capture credit contagion — where one defaulting entity causes stress in counterparties. Relevant for financial sector holdings. Noted as a future enhancement.</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Illustrative baseline PDs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Baseline PDs are derived from rating-bucket averages, not issuer-specific models. For live portfolio use, replace with issuer-level PDs from internal credit models or external providers.</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9. Data Sources and References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Source</w:t>
            </w:r>
          </w:p>
        </w:tc>
        <w:tc>
          <w:tcPr>
            <w:tcW w:type="dxa" w:w="6360"/>
            <w:tcBorders>
              <w:top w:val="single" w:color="d0d7de" w:sz="1"/>
              <w:left w:val="single" w:color="d0d7de" w:sz="1"/>
              <w:bottom w:val="single" w:color="d0d7de" w:sz="1"/>
              <w:right w:val="single" w:color="d0d7de" w:sz="1"/>
            </w:tcBorders>
            <w:shd w:fill="d6e4f0" w:val="clear"/>
            <w:tcMar>
              <w:top w:type="dxa" w:w="80"/>
              <w:left w:type="dxa" w:w="120"/>
              <w:bottom w:type="dxa" w:w="80"/>
              <w:right w:type="dxa" w:w="120"/>
            </w:tcMar>
          </w:tcPr>
          <w:p>
            <w:r>
              <w:rPr>
                <w:rFonts w:ascii="Arial" w:cs="Arial" w:eastAsia="Arial" w:hAnsi="Arial"/>
                <w:b/>
                <w:bCs/>
                <w:color w:val="1a3a5c"/>
                <w:sz w:val="18"/>
                <w:szCs w:val="18"/>
              </w:rPr>
              <w:t xml:space="preserve">Usage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NGFS Phase 4 (2023)</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Primary scenario framework. Carbon price paths, warming trajectories, and sector impact narratives.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IPCC AR6 (2021-2022)</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Physical risk severity calibration via SSP warming pathways. WGIII Chapter 6 for abatement capacity estimates.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IEA World Energy Outlook 2023</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Alternative scenario framework with sector-level energy transition detail.</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MSCI Climate VaR Methodology (2023)</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Sector carbon pass-through rate calibration.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TCFD Recommendations (2017, updated 2021)</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Structural framework for physical and transition risk channel design.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JRC Global Disaster Risk Index</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Country-level baseline hazard score proxies.</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World Bank Climate Risk Indicators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Country-level hazard score validation.</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INFORM Risk Index 2023</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Country hazard score cross-reference.</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Moody's CreditEdge (reference)</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PD shift calibration benchmarks for logistic function tuning.</w:t>
            </w:r>
          </w:p>
        </w:tc>
      </w:tr>
      <w:tr>
        <w:tc>
          <w:tcPr>
            <w:tcW w:type="dxa" w:w="30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III/IV Credit Risk Framework</w:t>
            </w:r>
          </w:p>
        </w:tc>
        <w:tc>
          <w:tcPr>
            <w:tcW w:type="dxa" w:w="63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EL = PD x LGD x EAD formulation and VaR confidence level conventions.</w:t>
            </w:r>
          </w:p>
        </w:tc>
      </w:tr>
    </w:tbl>
    <w:p>
      <w:pPr>
        <w:spacing w:after="80" w:before="80"/>
      </w:pPr>
      <w:r>
        <w:t xml:space="preserve"/>
      </w:r>
    </w:p>
    <w:p>
      <w:pPr>
        <w:pStyle w:val="Heading1"/>
        <w:pBdr>
          <w:bottom w:val="single" w:color="2c5f8a" w:sz="6" w:space="4"/>
        </w:pBdr>
        <w:spacing w:after="120" w:before="360"/>
      </w:pPr>
      <w:r>
        <w:rPr>
          <w:rFonts w:ascii="Arial" w:cs="Arial" w:eastAsia="Arial" w:hAnsi="Arial"/>
          <w:b/>
          <w:bCs/>
          <w:color w:val="1a3a5c"/>
          <w:sz w:val="28"/>
          <w:szCs w:val="28"/>
        </w:rPr>
        <w:t xml:space="preserve">10. Version and Contact</w:t>
      </w:r>
    </w:p>
    <w:p>
      <w:pPr>
        <w:spacing w:after="100" w:before="60"/>
      </w:pPr>
      <w:r>
        <w:rPr>
          <w:rFonts w:ascii="Arial" w:cs="Arial" w:eastAsia="Arial" w:hAnsi="Arial"/>
          <w:color w:val="333333"/>
          <w:sz w:val="20"/>
          <w:szCs w:val="20"/>
        </w:rPr>
        <w:t xml:space="preserve">Model version: 1.0.0</w:t>
      </w:r>
    </w:p>
    <w:p>
      <w:pPr>
        <w:spacing w:after="100" w:before="60"/>
      </w:pPr>
      <w:r>
        <w:rPr>
          <w:rFonts w:ascii="Arial" w:cs="Arial" w:eastAsia="Arial" w:hAnsi="Arial"/>
          <w:color w:val="333333"/>
          <w:sz w:val="20"/>
          <w:szCs w:val="20"/>
        </w:rPr>
        <w:t xml:space="preserve">Scenario reference: NGFS Phase 4 (2023), IPCC AR6, IEA WEO 2023</w:t>
      </w:r>
    </w:p>
    <w:p>
      <w:pPr>
        <w:spacing w:after="100" w:before="60"/>
      </w:pPr>
      <w:r>
        <w:rPr>
          <w:rFonts w:ascii="Arial" w:cs="Arial" w:eastAsia="Arial" w:hAnsi="Arial"/>
          <w:color w:val="333333"/>
          <w:sz w:val="20"/>
          <w:szCs w:val="20"/>
        </w:rPr>
        <w:t xml:space="preserve">Test coverage: 54 automated tests across all five modules</w:t>
      </w:r>
    </w:p>
    <w:p>
      <w:pPr>
        <w:spacing w:after="100" w:before="60"/>
      </w:pPr>
      <w:r>
        <w:rPr>
          <w:rFonts w:ascii="Arial" w:cs="Arial" w:eastAsia="Arial" w:hAnsi="Arial"/>
          <w:color w:val="333333"/>
          <w:sz w:val="20"/>
          <w:szCs w:val="20"/>
        </w:rPr>
        <w:t xml:space="preserve">This methodology document should be reviewed and updated whenever sector calibration parameters, scenario data, or transmission function specifications are changed.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6"/>
        <w:szCs w:val="16"/>
      </w:rPr>
      <w:t xml:space="preserve">Climate Risk Engine — Methodology</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2026-05-04T03:03:51.149Z</dcterms:created>
  <dcterms:modified xsi:type="dcterms:W3CDTF">2026-05-04T03:03:51.149Z</dcterms:modified>
</cp:coreProperties>
</file>

<file path=docProps/custom.xml><?xml version="1.0" encoding="utf-8"?>
<Properties xmlns="http://schemas.openxmlformats.org/officeDocument/2006/custom-properties" xmlns:vt="http://schemas.openxmlformats.org/officeDocument/2006/docPropsVTypes"/>
</file>