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Malgun Gothic" w:hAnsi="Malgun Gothic" w:eastAsia="Malgun Gothic" w:cs="Malgun Gothic"/>
          <w:b/>
          <w:i w:val="0"/>
          <w:color w:val="1F4D78"/>
          <w:sz w:val="36"/>
        </w:rPr>
        <w:t>TRIO: 크기별 전문가 분할과 맞춤형 PPO 보정을 결합한 삼중 스케일 뇌종양 MRI 분할</w:t>
      </w:r>
    </w:p>
    <w:p>
      <w:pPr>
        <w:spacing w:before="0" w:after="160" w:line="384" w:lineRule="auto"/>
      </w:pPr>
      <w:r>
        <w:rPr>
          <w:rFonts w:ascii="Malgun Gothic" w:hAnsi="Malgun Gothic" w:eastAsia="Malgun Gothic" w:cs="Malgun Gothic"/>
          <w:b/>
          <w:i w:val="0"/>
          <w:color w:val="000000"/>
          <w:sz w:val="22"/>
        </w:rPr>
        <w:t>영문 제목:</w:t>
      </w:r>
      <w:r>
        <w:rPr>
          <w:rFonts w:ascii="Malgun Gothic" w:hAnsi="Malgun Gothic" w:eastAsia="Malgun Gothic" w:cs="Malgun Gothic"/>
          <w:b w:val="0"/>
          <w:i w:val="0"/>
          <w:color w:val="000000"/>
          <w:sz w:val="22"/>
        </w:rPr>
        <w:t xml:space="preserve"> TRIO: A Tri-Scale Hybrid Framework Combining Size-Matched Experts and Tailored PPO Refinement</w:t>
      </w:r>
    </w:p>
    <w:p>
      <w:pPr>
        <w:spacing w:before="0" w:after="160" w:line="384" w:lineRule="auto"/>
      </w:pPr>
      <w:r>
        <w:rPr>
          <w:rFonts w:ascii="Malgun Gothic" w:hAnsi="Malgun Gothic" w:eastAsia="Malgun Gothic" w:cs="Malgun Gothic"/>
          <w:b/>
          <w:i w:val="0"/>
          <w:color w:val="000000"/>
          <w:sz w:val="22"/>
        </w:rPr>
        <w:t>저자:</w:t>
      </w:r>
      <w:r>
        <w:rPr>
          <w:rFonts w:ascii="Malgun Gothic" w:hAnsi="Malgun Gothic" w:eastAsia="Malgun Gothic" w:cs="Malgun Gothic"/>
          <w:b w:val="0"/>
          <w:i w:val="0"/>
          <w:color w:val="000000"/>
          <w:sz w:val="22"/>
        </w:rPr>
        <w:t xml:space="preserve"> 안인성(컴퓨터공학과), 한수진(인공지능학과)</w:t>
      </w:r>
    </w:p>
    <w:p>
      <w:pPr>
        <w:spacing w:before="0" w:after="160" w:line="384" w:lineRule="auto"/>
      </w:pPr>
      <w:r>
        <w:rPr>
          <w:rFonts w:ascii="Malgun Gothic" w:hAnsi="Malgun Gothic" w:eastAsia="Malgun Gothic" w:cs="Malgun Gothic"/>
          <w:b/>
          <w:i w:val="0"/>
          <w:color w:val="000000"/>
          <w:sz w:val="22"/>
        </w:rPr>
        <w:t>소속:</w:t>
      </w:r>
      <w:r>
        <w:rPr>
          <w:rFonts w:ascii="Malgun Gothic" w:hAnsi="Malgun Gothic" w:eastAsia="Malgun Gothic" w:cs="Malgun Gothic"/>
          <w:b w:val="0"/>
          <w:i w:val="0"/>
          <w:color w:val="000000"/>
          <w:sz w:val="22"/>
        </w:rPr>
        <w:t xml:space="preserve"> 2026 컴공&amp;인지 연합학술제 연구트랙 · 팀 야호</w:t>
      </w:r>
    </w:p>
    <w:p>
      <w:pPr>
        <w:keepNext/>
        <w:spacing w:before="320" w:after="120"/>
      </w:pPr>
      <w:r>
        <w:rPr>
          <w:rFonts w:ascii="Malgun Gothic" w:hAnsi="Malgun Gothic" w:eastAsia="Malgun Gothic" w:cs="Malgun Gothic"/>
          <w:b/>
          <w:i w:val="0"/>
          <w:color w:val="1F4D78"/>
          <w:sz w:val="32"/>
        </w:rPr>
        <w:t>초록</w:t>
      </w:r>
    </w:p>
    <w:p>
      <w:pPr>
        <w:spacing w:before="0" w:after="160" w:line="384" w:lineRule="auto"/>
        <w:ind w:firstLine="283"/>
      </w:pPr>
      <w:r>
        <w:rPr>
          <w:rFonts w:ascii="Malgun Gothic" w:hAnsi="Malgun Gothic" w:eastAsia="Malgun Gothic" w:cs="Malgun Gothic"/>
          <w:b w:val="0"/>
          <w:i w:val="0"/>
          <w:color w:val="000000"/>
          <w:sz w:val="22"/>
        </w:rPr>
        <w:t xml:space="preserve">뇌종양 자기공명영상(MRI) 분할은 진단 보조와 치료 계획 수립에 활용될 수 있으나, 종양의 크기와 형태가 다양하여 단일 분할 모델만으로 일관된 경계 정밀도를 확보하기 어렵다. 특히 국소 경계에서는 왜곡과 불확실성이 남아, 감마나이프와 같은 정밀 방사선 치료에서는 미세한 오차도 임상적으로 부담이 된다. 본 연구는 T1ce와 FLAIR의 2채널 MRI 입력에 대해 종양 크기를 먼저 분류하고, 크기별 전문가 분할 모델과 강화학습 기반 보정기를 순차적으로 적용한 뒤 DSC·HD95로 최종 평가하는 4단계 파이프라인 </w:t>
      </w:r>
      <w:r>
        <w:rPr>
          <w:rFonts w:ascii="Malgun Gothic" w:hAnsi="Malgun Gothic" w:eastAsia="Malgun Gothic" w:cs="Malgun Gothic"/>
          <w:b/>
          <w:i w:val="0"/>
          <w:color w:val="000000"/>
          <w:sz w:val="22"/>
        </w:rPr>
        <w:t>TRIO</w:t>
      </w:r>
      <w:r>
        <w:rPr>
          <w:rFonts w:ascii="Malgun Gothic" w:hAnsi="Malgun Gothic" w:eastAsia="Malgun Gothic" w:cs="Malgun Gothic"/>
          <w:b w:val="0"/>
          <w:i w:val="0"/>
          <w:color w:val="000000"/>
          <w:sz w:val="22"/>
        </w:rPr>
        <w:t>를 제안한다.</w:t>
      </w:r>
    </w:p>
    <w:p>
      <w:pPr>
        <w:spacing w:before="0" w:after="160" w:line="384" w:lineRule="auto"/>
        <w:ind w:firstLine="283"/>
      </w:pPr>
      <w:r>
        <w:rPr>
          <w:rFonts w:ascii="Malgun Gothic" w:hAnsi="Malgun Gothic" w:eastAsia="Malgun Gothic" w:cs="Malgun Gothic"/>
          <w:b w:val="0"/>
          <w:i w:val="0"/>
          <w:color w:val="000000"/>
          <w:sz w:val="22"/>
        </w:rPr>
        <w:t>소형 병변에는 인접 슬라이스를 붙인 2.5D CaraNet, 중형에는 UNet++, 대형에는 부종(ED)과 종양핵(TC)을 예측한 뒤 Whole Tumor로 합치는 SegResNet을 배정한다. PPO 에이전트는 현재 마스크와 확률 맵, 영상 정보를 바탕으로 8개 방위의 경계를 미세 조정한다. BraTS 2021의 210명 환자 중 환자 단위로 나눈 42명 검증 집합(2,434 슬라이스)에서 초기 분할은 평균 Dice Similarity Coefficient(DSC) 0.8948, 보정 후 분할은 0.9031을 기록했다. HD95는 1.7336 px에서 1.6060 px로 감소했다. 다만 보정 후 DSC가 초기보다 낮으면 초기 마스크를 유지하는 단조 게이트가 정답 마스크에 의존하므로, 최종 DSC는 배포 성능이 아닌 상한으로 해석해야 한다. 게이트를 쓰지 않는 Stage 2 DSC 0.8948은 같은 검증 환자의 2차원 각색 베이스라인 0.8923(KAIST nnU-Net 확장)을 넘고 0.8971(NVAUTO SegResNet)에 근접한다.</w:t>
      </w:r>
    </w:p>
    <w:p>
      <w:pPr>
        <w:spacing w:before="0" w:after="160" w:line="384" w:lineRule="auto"/>
      </w:pPr>
      <w:r>
        <w:rPr>
          <w:rFonts w:ascii="Malgun Gothic" w:hAnsi="Malgun Gothic" w:eastAsia="Malgun Gothic" w:cs="Malgun Gothic"/>
          <w:b/>
          <w:i w:val="0"/>
          <w:color w:val="000000"/>
          <w:sz w:val="22"/>
        </w:rPr>
        <w:t>주요어:</w:t>
      </w:r>
      <w:r>
        <w:rPr>
          <w:rFonts w:ascii="Malgun Gothic" w:hAnsi="Malgun Gothic" w:eastAsia="Malgun Gothic" w:cs="Malgun Gothic"/>
          <w:b w:val="0"/>
          <w:i w:val="0"/>
          <w:color w:val="000000"/>
          <w:sz w:val="22"/>
        </w:rPr>
        <w:t xml:space="preserve"> 뇌종양 분할, 자기공명영상, 강화학습, PPO, 동적 라우팅, TRIO, 의료영상</w:t>
      </w:r>
    </w:p>
    <w:p>
      <w:pPr>
        <w:keepNext/>
        <w:spacing w:before="320" w:after="120"/>
      </w:pPr>
      <w:r>
        <w:rPr>
          <w:rFonts w:ascii="Malgun Gothic" w:hAnsi="Malgun Gothic" w:eastAsia="Malgun Gothic" w:cs="Malgun Gothic"/>
          <w:b/>
          <w:i w:val="0"/>
          <w:color w:val="1F4D78"/>
          <w:sz w:val="32"/>
        </w:rPr>
        <w:t>1. 서론</w:t>
      </w:r>
    </w:p>
    <w:p>
      <w:pPr>
        <w:spacing w:before="0" w:after="160" w:line="384" w:lineRule="auto"/>
        <w:ind w:firstLine="283"/>
      </w:pPr>
      <w:r>
        <w:rPr>
          <w:rFonts w:ascii="Malgun Gothic" w:hAnsi="Malgun Gothic" w:eastAsia="Malgun Gothic" w:cs="Malgun Gothic"/>
          <w:b w:val="0"/>
          <w:i w:val="0"/>
          <w:color w:val="000000"/>
          <w:sz w:val="22"/>
        </w:rPr>
        <w:t>뇌종양의 정확한 영역 분할은 종양 부담의 정량화, 치료 반응 평가 및 방사선 치료 계획에 중요한 기반 정보를 제공한다. 그러나 MRI에서 종양은 크기, 조영 양상, 경계의 선명도 및 주변 부종의 형태가 환자마다 달라 자동 분할 결과의 경계 부근에 미세한 오차가 남기 쉽다. U-Net·ViT 계열의 딥러닝 분할기는 전역 구조와 대략적인 영역을 잘 파악하지만[1], 국소 경계에서는 왜곡과 불확실성이 남는다. 또한 하나의 모델로 작은 병변과 넓은 병변을 동시에 최적화하는 데에도 한계가 있다.</w:t>
      </w:r>
    </w:p>
    <w:p>
      <w:pPr>
        <w:spacing w:before="0" w:after="160" w:line="384" w:lineRule="auto"/>
        <w:ind w:firstLine="283"/>
      </w:pPr>
      <w:r>
        <w:rPr>
          <w:rFonts w:ascii="Malgun Gothic" w:hAnsi="Malgun Gothic" w:eastAsia="Malgun Gothic" w:cs="Malgun Gothic"/>
          <w:b w:val="0"/>
          <w:i w:val="0"/>
          <w:color w:val="000000"/>
          <w:sz w:val="22"/>
        </w:rPr>
        <w:t xml:space="preserve">연구 초반에는 단일 딥러닝 백본으로 초기 마스크(rough mask)를 만든 뒤 PPO 에이전트로 경계를 보정하는 단순 파이프라인을 시도했다. 이 설정에서는 소형 종양(면적 300 px 이하)에서 평균 DSC가 하락하고 HD95 오차가 커지는 현상이 관찰되었다. 이에 본 연구는 입력이 들어올 때 종양 크기로 클래스를 나누고, 클래스마다 다른 전문가 모델로 rough mask를 생성한 뒤 크기별 PPO로 보정하는 </w:t>
      </w:r>
      <w:r>
        <w:rPr>
          <w:rFonts w:ascii="Malgun Gothic" w:hAnsi="Malgun Gothic" w:eastAsia="Malgun Gothic" w:cs="Malgun Gothic"/>
          <w:b/>
          <w:i w:val="0"/>
          <w:color w:val="000000"/>
          <w:sz w:val="22"/>
        </w:rPr>
        <w:t>TRIO</w:t>
      </w:r>
      <w:r>
        <w:rPr>
          <w:rFonts w:ascii="Malgun Gothic" w:hAnsi="Malgun Gothic" w:eastAsia="Malgun Gothic" w:cs="Malgun Gothic"/>
          <w:b w:val="0"/>
          <w:i w:val="0"/>
          <w:color w:val="000000"/>
          <w:sz w:val="22"/>
        </w:rPr>
        <w:t>를 제안한다. 고정된 형태학 연산과 달리, 강화학습 에이전트는 현재 마스크 상태와 영상 단서를 보고 보정 행동을 선택할 수 있다.</w:t>
      </w:r>
    </w:p>
    <w:p>
      <w:pPr>
        <w:spacing w:before="0" w:after="160" w:line="384" w:lineRule="auto"/>
        <w:ind w:firstLine="283"/>
      </w:pPr>
      <w:r>
        <w:rPr>
          <w:rFonts w:ascii="Malgun Gothic" w:hAnsi="Malgun Gothic" w:eastAsia="Malgun Gothic" w:cs="Malgun Gothic"/>
          <w:b w:val="0"/>
          <w:i w:val="0"/>
          <w:color w:val="000000"/>
          <w:sz w:val="22"/>
        </w:rPr>
        <w:t>본 연구의 기여는 다음과 같다.</w:t>
      </w:r>
    </w:p>
    <w:p>
      <w:pPr>
        <w:spacing w:after="80" w:line="360" w:lineRule="auto"/>
        <w:ind w:left="425" w:hanging="227"/>
      </w:pPr>
      <w:r>
        <w:rPr>
          <w:rFonts w:ascii="Malgun Gothic" w:hAnsi="Malgun Gothic" w:eastAsia="Malgun Gothic" w:cs="Malgun Gothic"/>
          <w:b/>
          <w:i w:val="0"/>
          <w:color w:val="000000"/>
          <w:sz w:val="22"/>
        </w:rPr>
        <w:t xml:space="preserve">1. </w:t>
      </w:r>
      <w:r>
        <w:rPr>
          <w:rFonts w:ascii="Malgun Gothic" w:hAnsi="Malgun Gothic" w:eastAsia="Malgun Gothic" w:cs="Malgun Gothic"/>
          <w:b w:val="0"/>
          <w:i w:val="0"/>
          <w:color w:val="000000"/>
          <w:sz w:val="22"/>
        </w:rPr>
        <w:t>종양 크기 분류 → 전문가 분할 → PPO 보정 → DSC·HD95 평가로 이어지는 4단계 동적 라우팅 파이프라인(TRIO)을 설계하였다.</w:t>
      </w:r>
    </w:p>
    <w:p>
      <w:pPr>
        <w:spacing w:after="80" w:line="360" w:lineRule="auto"/>
        <w:ind w:left="425" w:hanging="227"/>
      </w:pPr>
      <w:r>
        <w:rPr>
          <w:rFonts w:ascii="Malgun Gothic" w:hAnsi="Malgun Gothic" w:eastAsia="Malgun Gothic" w:cs="Malgun Gothic"/>
          <w:b/>
          <w:i w:val="0"/>
          <w:color w:val="000000"/>
          <w:sz w:val="22"/>
        </w:rPr>
        <w:t xml:space="preserve">2. </w:t>
      </w:r>
      <w:r>
        <w:rPr>
          <w:rFonts w:ascii="Malgun Gothic" w:hAnsi="Malgun Gothic" w:eastAsia="Malgun Gothic" w:cs="Malgun Gothic"/>
          <w:b w:val="0"/>
          <w:i w:val="0"/>
          <w:color w:val="000000"/>
          <w:sz w:val="22"/>
        </w:rPr>
        <w:t>영상, 현재 마스크, 확률 맵 및 에지 정보를 활용하는 PPO 기반 경계 보정 환경을 구성하였다. 소형은 확대·연속 행동, 중형은 전역·이산 행동, 대형은 HD95 억제에 가중치를 둔다.</w:t>
      </w:r>
    </w:p>
    <w:p>
      <w:pPr>
        <w:spacing w:after="80" w:line="360" w:lineRule="auto"/>
        <w:ind w:left="425" w:hanging="227"/>
      </w:pPr>
      <w:r>
        <w:rPr>
          <w:rFonts w:ascii="Malgun Gothic" w:hAnsi="Malgun Gothic" w:eastAsia="Malgun Gothic" w:cs="Malgun Gothic"/>
          <w:b/>
          <w:i w:val="0"/>
          <w:color w:val="000000"/>
          <w:sz w:val="22"/>
        </w:rPr>
        <w:t xml:space="preserve">3. </w:t>
      </w:r>
      <w:r>
        <w:rPr>
          <w:rFonts w:ascii="Malgun Gothic" w:hAnsi="Malgun Gothic" w:eastAsia="Malgun Gothic" w:cs="Malgun Gothic"/>
          <w:b w:val="0"/>
          <w:i w:val="0"/>
          <w:color w:val="000000"/>
          <w:sz w:val="22"/>
        </w:rPr>
        <w:t>보정 후 DSC가 초기 DSC보다 낮아지지 않도록 하는 단조 게이트와 Precision/Recall 지표를 도입하였다.</w:t>
      </w:r>
    </w:p>
    <w:p>
      <w:pPr>
        <w:spacing w:after="80" w:line="360" w:lineRule="auto"/>
        <w:ind w:left="425" w:hanging="227"/>
      </w:pPr>
      <w:r>
        <w:rPr>
          <w:rFonts w:ascii="Malgun Gothic" w:hAnsi="Malgun Gothic" w:eastAsia="Malgun Gothic" w:cs="Malgun Gothic"/>
          <w:b/>
          <w:i w:val="0"/>
          <w:color w:val="000000"/>
          <w:sz w:val="22"/>
        </w:rPr>
        <w:t xml:space="preserve">4. </w:t>
      </w:r>
      <w:r>
        <w:rPr>
          <w:rFonts w:ascii="Malgun Gothic" w:hAnsi="Malgun Gothic" w:eastAsia="Malgun Gothic" w:cs="Malgun Gothic"/>
          <w:b w:val="0"/>
          <w:i w:val="0"/>
          <w:color w:val="000000"/>
          <w:sz w:val="22"/>
        </w:rPr>
        <w:t>BraTS 2021을 환자 단위로 분할한 검증 집합에서 초기 분할 대비 DSC와 HD95의 변화를 측정하고, 대회 상위 입상 방법의 2차원 각색 구현과 같은 조건·같은 슬라이스에서 비교하였다.</w:t>
      </w:r>
    </w:p>
    <w:p>
      <w:pPr>
        <w:keepNext/>
        <w:spacing w:before="320" w:after="120"/>
      </w:pPr>
      <w:r>
        <w:rPr>
          <w:rFonts w:ascii="Malgun Gothic" w:hAnsi="Malgun Gothic" w:eastAsia="Malgun Gothic" w:cs="Malgun Gothic"/>
          <w:b/>
          <w:i w:val="0"/>
          <w:color w:val="1F4D78"/>
          <w:sz w:val="32"/>
        </w:rPr>
        <w:t>2. 관련 연구 분석</w:t>
      </w:r>
    </w:p>
    <w:p>
      <w:pPr>
        <w:spacing w:before="0" w:after="160" w:line="384" w:lineRule="auto"/>
        <w:ind w:firstLine="283"/>
      </w:pPr>
      <w:r>
        <w:rPr>
          <w:rFonts w:ascii="Malgun Gothic" w:hAnsi="Malgun Gothic" w:eastAsia="Malgun Gothic" w:cs="Malgun Gothic"/>
          <w:b w:val="0"/>
          <w:i w:val="0"/>
          <w:color w:val="000000"/>
          <w:sz w:val="22"/>
        </w:rPr>
        <w:t>U-Net은 인코더-디코더 구조와 skip connection을 통해 위치 정보와 의미 정보를 결합하여 의료영상 분할의 대표적 기반 모델로 자리 잡았다[1]. 이후 UNet++는 중첩된 dense skip connection으로 객체의 경계 분할 정확도를 높였으며[2], SegResNet은 Residual Learning 블록을 Encoder-Decoder에 결합해 3차원 의료영상 분할의 표현력을 높였다[3]. CaraNet은 Axial Attention과 Reverse Attention을 결합하여 크기가 매우 작은 객체를 찾는 데 특화되어 있다[4].</w:t>
      </w:r>
    </w:p>
    <w:p>
      <w:pPr>
        <w:spacing w:before="0" w:after="160" w:line="384" w:lineRule="auto"/>
        <w:ind w:firstLine="283"/>
      </w:pPr>
      <w:r>
        <w:rPr>
          <w:rFonts w:ascii="Malgun Gothic" w:hAnsi="Malgun Gothic" w:eastAsia="Malgun Gothic" w:cs="Malgun Gothic"/>
          <w:b w:val="0"/>
          <w:i w:val="0"/>
          <w:color w:val="000000"/>
          <w:sz w:val="22"/>
        </w:rPr>
        <w:t>BraTS 2021에서 Luu와 Park은 nnU-Net의 인코더를 비대칭으로 확장하고 GroupNorm과 axial attention을 도입하여 최종 테스트 1위를 기록했다[7]. Myronenko 등(NVAUTO)은 SegResNet에 Barlow Twins 기반 중복 감소 학습을 결합해 2위를 기록했으며, 1위와의 차이는 통계적으로 유의하지 않았다[8]. 본 연구는 이 두 방법의 핵심 설계를 2차원 이진 분할 조건에 맞춰 재구현하여 비교 기준으로 삼는다.</w:t>
      </w:r>
    </w:p>
    <w:p>
      <w:pPr>
        <w:spacing w:before="0" w:after="160" w:line="384" w:lineRule="auto"/>
        <w:ind w:firstLine="283"/>
      </w:pPr>
      <w:r>
        <w:rPr>
          <w:rFonts w:ascii="Malgun Gothic" w:hAnsi="Malgun Gothic" w:eastAsia="Malgun Gothic" w:cs="Malgun Gothic"/>
          <w:b w:val="0"/>
          <w:i w:val="0"/>
          <w:color w:val="000000"/>
          <w:sz w:val="22"/>
        </w:rPr>
        <w:t>한편 강화학습은 순차적 의사결정 문제에 적합하며, PPO는 정책 업데이트 클리핑으로 학습 안정성과 데이터 효율을 확보하는 대표 정책경사 알고리즘이다[5]. 의료영상 분할 후처리에서는 초기 마스크를 상태로 두고, 팽창·침식과 같은 행동을 통해 경계를 수정하는 방식으로 활용할 수 있다. 기존의 단일 백본 또는 일괄 후처리 방식과 달리, 본 연구는 병변 크기에 따라 초기 분할기와 보정 정책의 역할을 분리하여 데이터 특성에 맞춘 처리를 시도한다.</w:t>
      </w:r>
    </w:p>
    <w:p>
      <w:pPr>
        <w:spacing w:before="0" w:after="160" w:line="384" w:lineRule="auto"/>
        <w:ind w:firstLine="283"/>
      </w:pPr>
      <w:r>
        <w:rPr>
          <w:rFonts w:ascii="Malgun Gothic" w:hAnsi="Malgun Gothic" w:eastAsia="Malgun Gothic" w:cs="Malgun Gothic"/>
          <w:b w:val="0"/>
          <w:i w:val="0"/>
          <w:color w:val="000000"/>
          <w:sz w:val="22"/>
        </w:rPr>
        <w:t>BraTS는 다중 모달리티 뇌종양 MRI와 표준화된 분할 레이블을 제공하는 대표 벤치마크로, 모델 간 성능 비교에 적합하다[6]. 본 연구는 이 데이터셋에서 T1ce와 FLAIR를 사용하여 조영 증강 종양 및 주변 조직의 보완적 정보를 활용하였다.</w:t>
      </w:r>
    </w:p>
    <w:p>
      <w:pPr>
        <w:keepNext/>
        <w:spacing w:before="320" w:after="120"/>
      </w:pPr>
      <w:r>
        <w:rPr>
          <w:rFonts w:ascii="Malgun Gothic" w:hAnsi="Malgun Gothic" w:eastAsia="Malgun Gothic" w:cs="Malgun Gothic"/>
          <w:b/>
          <w:i w:val="0"/>
          <w:color w:val="1F4D78"/>
          <w:sz w:val="32"/>
        </w:rPr>
        <w:t>3. 연구 방법론</w:t>
      </w:r>
    </w:p>
    <w:p>
      <w:pPr>
        <w:keepNext/>
        <w:spacing w:before="240" w:after="120"/>
      </w:pPr>
      <w:r>
        <w:rPr>
          <w:rFonts w:ascii="Malgun Gothic" w:hAnsi="Malgun Gothic" w:eastAsia="Malgun Gothic" w:cs="Malgun Gothic"/>
          <w:b/>
          <w:i w:val="0"/>
          <w:color w:val="1F4D78"/>
          <w:sz w:val="26"/>
        </w:rPr>
        <w:t>3.1 전체 파이프라인 (TRIO)</w:t>
      </w:r>
    </w:p>
    <w:p>
      <w:pPr>
        <w:spacing w:before="0" w:after="160" w:line="384" w:lineRule="auto"/>
        <w:ind w:firstLine="283"/>
      </w:pPr>
      <w:r>
        <w:rPr>
          <w:rFonts w:ascii="Malgun Gothic" w:hAnsi="Malgun Gothic" w:eastAsia="Malgun Gothic" w:cs="Malgun Gothic"/>
          <w:b w:val="0"/>
          <w:i w:val="0"/>
          <w:color w:val="000000"/>
          <w:sz w:val="22"/>
        </w:rPr>
        <w:t xml:space="preserve">제안 방법 </w:t>
      </w:r>
      <w:r>
        <w:rPr>
          <w:rFonts w:ascii="Malgun Gothic" w:hAnsi="Malgun Gothic" w:eastAsia="Malgun Gothic" w:cs="Malgun Gothic"/>
          <w:b/>
          <w:i w:val="0"/>
          <w:color w:val="000000"/>
          <w:sz w:val="22"/>
        </w:rPr>
        <w:t>TRIO</w:t>
      </w:r>
      <w:r>
        <w:rPr>
          <w:rFonts w:ascii="Malgun Gothic" w:hAnsi="Malgun Gothic" w:eastAsia="Malgun Gothic" w:cs="Malgun Gothic"/>
          <w:b w:val="0"/>
          <w:i w:val="0"/>
          <w:color w:val="000000"/>
          <w:sz w:val="22"/>
        </w:rPr>
        <w:t>는 Stage 1–4의 네 단계로 구성된다. T1ce+FLAIR 입력을 크기별로 라우팅해 rough mask를 만든 뒤, 맞춤형 PPO로 경계를 보정하고, 게이트와 표준 지표로 최종 평가한다.</w:t>
      </w:r>
    </w:p>
    <w:p>
      <w:pPr>
        <w:spacing w:before="160" w:after="200" w:line="312" w:lineRule="auto"/>
        <w:jc w:val="center"/>
      </w:pPr>
      <w:r>
        <w:rPr>
          <w:rFonts w:ascii="Malgun Gothic" w:hAnsi="Malgun Gothic" w:eastAsia="Malgun Gothic" w:cs="Malgun Gothic"/>
          <w:b/>
          <w:i/>
          <w:color w:val="555555"/>
          <w:sz w:val="20"/>
        </w:rPr>
        <w:t>그림 1.</w:t>
      </w: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 xml:space="preserve"> TRIO 전체 파이프라인. Stage 1 분류 → Stage 2 크기별 Expert → Stage 3 크기별 PPO → Stage 4 평가. 파랑=분류기, 보라·청록=백본, 초록=RL 에이전트, 실선=데이터 흐름, 점선=동적 라우팅이다.</w:t>
      </w:r>
    </w:p>
    <w:p>
      <w:pPr>
        <w:spacing w:before="0" w:after="160" w:line="384" w:lineRule="auto"/>
        <w:ind w:firstLine="283"/>
      </w:pPr>
      <w:r>
        <w:rPr>
          <w:rFonts w:ascii="Malgun Gothic" w:hAnsi="Malgun Gothic" w:eastAsia="Malgun Gothic" w:cs="Malgun Gothic"/>
          <w:b w:val="0"/>
          <w:i w:val="0"/>
          <w:color w:val="000000"/>
          <w:sz w:val="22"/>
        </w:rPr>
        <w:t>학습·평가는 환자 단위 80/20 분할을 공유한다. 210명 중 168명(9,868 슬라이스)으로 학습하고 42명(2,434 슬라이스)으로 평가하여, 같은 환자의 인접 슬라이스가 양쪽에 들어가는 누출을 막는다.</w:t>
      </w:r>
    </w:p>
    <w:p>
      <w:pPr>
        <w:keepNext/>
        <w:spacing w:before="240" w:after="120"/>
      </w:pPr>
      <w:r>
        <w:rPr>
          <w:rFonts w:ascii="Malgun Gothic" w:hAnsi="Malgun Gothic" w:eastAsia="Malgun Gothic" w:cs="Malgun Gothic"/>
          <w:b/>
          <w:i w:val="0"/>
          <w:color w:val="1F4D78"/>
          <w:sz w:val="26"/>
        </w:rPr>
        <w:t>3.2 Stage 1: 크기 분류</w:t>
      </w:r>
    </w:p>
    <w:p>
      <w:pPr>
        <w:spacing w:before="0" w:after="160" w:line="384" w:lineRule="auto"/>
        <w:ind w:firstLine="283"/>
      </w:pPr>
      <w:r>
        <w:rPr>
          <w:rFonts w:ascii="Malgun Gothic" w:hAnsi="Malgun Gothic" w:eastAsia="Malgun Gothic" w:cs="Malgun Gothic"/>
          <w:b w:val="0"/>
          <w:i w:val="0"/>
          <w:color w:val="000000"/>
          <w:sz w:val="22"/>
        </w:rPr>
        <w:t>Stage 1은 입력 슬라이스의 종양 규모를 세 구간으로 나눈다. ImageNet으로 사전학습한 ResNet18 Shape Classifier가 T1ce+FLAIR(2채널)를 받아 Small / Medium / Large 로짓을 출력한다. 학습 레이블은 GT 마스크 면적으로 정의하며, 구간은 Small &lt;300 px, Medium 300–700 px, Large ≥700 px이다. 추론 시에는 분류기 예측으로 Stage 2·3 Expert/PPO를 선택하고, Expert·PPO 학습 시 클래스 필터는 GT 면적을 사용해 라벨 누출을 줄인다. 검증 정확도는 0.8512였으며, 300/700 px 경계 부근의 모호한 슬라이스가 오분류의 주원인이다.</w:t>
      </w:r>
    </w:p>
    <w:p>
      <w:pPr>
        <w:keepNext/>
        <w:spacing w:before="240" w:after="120"/>
      </w:pPr>
      <w:r>
        <w:rPr>
          <w:rFonts w:ascii="Malgun Gothic" w:hAnsi="Malgun Gothic" w:eastAsia="Malgun Gothic" w:cs="Malgun Gothic"/>
          <w:b/>
          <w:i w:val="0"/>
          <w:color w:val="1F4D78"/>
          <w:sz w:val="26"/>
        </w:rPr>
        <w:t>3.3 Stage 2: 크기별 전문가 분할</w:t>
      </w:r>
    </w:p>
    <w:p>
      <w:pPr>
        <w:spacing w:before="0" w:after="160" w:line="384" w:lineRule="auto"/>
        <w:ind w:firstLine="283"/>
      </w:pPr>
      <w:r>
        <w:rPr>
          <w:rFonts w:ascii="Malgun Gothic" w:hAnsi="Malgun Gothic" w:eastAsia="Malgun Gothic" w:cs="Malgun Gothic"/>
          <w:b w:val="0"/>
          <w:i w:val="0"/>
          <w:color w:val="000000"/>
          <w:sz w:val="22"/>
        </w:rPr>
        <w:t>Stage 2는 Stage 1 클래스에 맞는 전문가 네트워크로 초기 마스크(rough mask)를 생성한다.</w:t>
      </w:r>
    </w:p>
    <w:p>
      <w:pPr>
        <w:spacing w:after="80" w:line="360" w:lineRule="auto"/>
        <w:ind w:left="425" w:hanging="227"/>
      </w:pPr>
      <w:r>
        <w:rPr>
          <w:rFonts w:ascii="Malgun Gothic" w:hAnsi="Malgun Gothic" w:eastAsia="Malgun Gothic" w:cs="Malgun Gothic"/>
          <w:b w:val="0"/>
          <w:i w:val="0"/>
          <w:color w:val="000000"/>
          <w:sz w:val="22"/>
        </w:rPr>
        <w:t xml:space="preserve">• </w:t>
      </w:r>
      <w:r>
        <w:rPr>
          <w:rFonts w:ascii="Malgun Gothic" w:hAnsi="Malgun Gothic" w:eastAsia="Malgun Gothic" w:cs="Malgun Gothic"/>
          <w:b/>
          <w:i w:val="0"/>
          <w:color w:val="000000"/>
          <w:sz w:val="22"/>
        </w:rPr>
        <w:t>Small → CaraNet (2.5D):</w:t>
      </w:r>
      <w:r>
        <w:rPr>
          <w:rFonts w:ascii="Malgun Gothic" w:hAnsi="Malgun Gothic" w:eastAsia="Malgun Gothic" w:cs="Malgun Gothic"/>
          <w:b w:val="0"/>
          <w:i w:val="0"/>
          <w:color w:val="000000"/>
          <w:sz w:val="22"/>
        </w:rPr>
        <w:t xml:space="preserve"> 인접 슬라이스(prev/center/next)를 채널로 붙여 작은 병변의 문맥을 보강한다. 미세 파편은 학습 시 4배 오버샘플하고, 추론 시 zoom-crop으로 재추론한다.</w:t>
      </w:r>
    </w:p>
    <w:p>
      <w:pPr>
        <w:spacing w:after="80" w:line="360" w:lineRule="auto"/>
        <w:ind w:left="425" w:hanging="227"/>
      </w:pPr>
      <w:r>
        <w:rPr>
          <w:rFonts w:ascii="Malgun Gothic" w:hAnsi="Malgun Gothic" w:eastAsia="Malgun Gothic" w:cs="Malgun Gothic"/>
          <w:b w:val="0"/>
          <w:i w:val="0"/>
          <w:color w:val="000000"/>
          <w:sz w:val="22"/>
        </w:rPr>
        <w:t xml:space="preserve">• </w:t>
      </w:r>
      <w:r>
        <w:rPr>
          <w:rFonts w:ascii="Malgun Gothic" w:hAnsi="Malgun Gothic" w:eastAsia="Malgun Gothic" w:cs="Malgun Gothic"/>
          <w:b/>
          <w:i w:val="0"/>
          <w:color w:val="000000"/>
          <w:sz w:val="22"/>
        </w:rPr>
        <w:t>Medium → UNet++:</w:t>
      </w:r>
      <w:r>
        <w:rPr>
          <w:rFonts w:ascii="Malgun Gothic" w:hAnsi="Malgun Gothic" w:eastAsia="Malgun Gothic" w:cs="Malgun Gothic"/>
          <w:b w:val="0"/>
          <w:i w:val="0"/>
          <w:color w:val="000000"/>
          <w:sz w:val="22"/>
        </w:rPr>
        <w:t xml:space="preserve"> 중첩 dense skip으로 중형 병변의 경계·내부 채움을 안정적으로 학습한다.</w:t>
      </w:r>
    </w:p>
    <w:p>
      <w:pPr>
        <w:spacing w:after="80" w:line="360" w:lineRule="auto"/>
        <w:ind w:left="425" w:hanging="227"/>
      </w:pPr>
      <w:r>
        <w:rPr>
          <w:rFonts w:ascii="Malgun Gothic" w:hAnsi="Malgun Gothic" w:eastAsia="Malgun Gothic" w:cs="Malgun Gothic"/>
          <w:b w:val="0"/>
          <w:i w:val="0"/>
          <w:color w:val="000000"/>
          <w:sz w:val="22"/>
        </w:rPr>
        <w:t xml:space="preserve">• </w:t>
      </w:r>
      <w:r>
        <w:rPr>
          <w:rFonts w:ascii="Malgun Gothic" w:hAnsi="Malgun Gothic" w:eastAsia="Malgun Gothic" w:cs="Malgun Gothic"/>
          <w:b/>
          <w:i w:val="0"/>
          <w:color w:val="000000"/>
          <w:sz w:val="22"/>
        </w:rPr>
        <w:t>Large → SegResNet:</w:t>
      </w:r>
      <w:r>
        <w:rPr>
          <w:rFonts w:ascii="Malgun Gothic" w:hAnsi="Malgun Gothic" w:eastAsia="Malgun Gothic" w:cs="Malgun Gothic"/>
          <w:b w:val="0"/>
          <w:i w:val="0"/>
          <w:color w:val="000000"/>
          <w:sz w:val="22"/>
        </w:rPr>
        <w:t xml:space="preserve"> ED·TC 2채널을 예측한 뒤 Whole Tumor(WT)로 합친다. Large Expert는 크기 필터 없이 전 구간으로 학습하고, 추론 때만 Large 라우팅 슬라이스에 사용한다.</w:t>
      </w:r>
    </w:p>
    <w:p>
      <w:pPr>
        <w:spacing w:before="0" w:after="160" w:line="384" w:lineRule="auto"/>
        <w:ind w:firstLine="283"/>
      </w:pPr>
      <w:r>
        <w:rPr>
          <w:rFonts w:ascii="Malgun Gothic" w:hAnsi="Malgun Gothic" w:eastAsia="Malgun Gothic" w:cs="Malgun Gothic"/>
          <w:b w:val="0"/>
          <w:i w:val="0"/>
          <w:color w:val="000000"/>
          <w:sz w:val="22"/>
        </w:rPr>
        <w:t>확률 맵은 클래스별 임계값 0.80 / 0.80 / 0.50(Small/Medium/Large)으로 이진화한다. Large는 과소분할 경향이 있어 임계값을 낮춘다. Small에서 높은 임계값으로 극소 종양이 사라질 수 있는 경우, 면적 하한에 따라 임계값을 단계적으로 낮추는 micro-threshold ladder를 적용한다. 이어서 클래스별 최소 연결요소 필터로 잔여 파편을 정리한다.</w:t>
      </w:r>
    </w:p>
    <w:p>
      <w:pPr>
        <w:keepNext/>
        <w:spacing w:before="240" w:after="120"/>
      </w:pPr>
      <w:r>
        <w:rPr>
          <w:rFonts w:ascii="Malgun Gothic" w:hAnsi="Malgun Gothic" w:eastAsia="Malgun Gothic" w:cs="Malgun Gothic"/>
          <w:b/>
          <w:i w:val="0"/>
          <w:color w:val="1F4D78"/>
          <w:sz w:val="26"/>
        </w:rPr>
        <w:t>3.4 Stage 3: 맞춤형 PPO 경계 보정</w:t>
      </w:r>
    </w:p>
    <w:p>
      <w:pPr>
        <w:spacing w:before="0" w:after="160" w:line="384" w:lineRule="auto"/>
        <w:ind w:firstLine="283"/>
      </w:pPr>
      <w:r>
        <w:rPr>
          <w:rFonts w:ascii="Malgun Gothic" w:hAnsi="Malgun Gothic" w:eastAsia="Malgun Gothic" w:cs="Malgun Gothic"/>
          <w:b w:val="0"/>
          <w:i w:val="0"/>
          <w:color w:val="000000"/>
          <w:sz w:val="22"/>
        </w:rPr>
        <w:t>Stage 3는 Stage 2 rough mask를 상태로 두고, 크기별 PPO 에이전트가 경계를 반복 수정한다. 세 에이전트는 관측·행동·보상의 스케일만 달리 하고, 마스크를 갱신하는 기하 연산은 공유한다. 관측에는 정답 마스크가 포함되지 않으며, GT는 학습 보상 산출에만 쓰인다.</w:t>
      </w:r>
    </w:p>
    <w:p>
      <w:pPr>
        <w:spacing w:before="0" w:after="160" w:line="384" w:lineRule="auto"/>
      </w:pPr>
      <w:r>
        <w:rPr>
          <w:rFonts w:ascii="Malgun Gothic" w:hAnsi="Malgun Gothic" w:eastAsia="Malgun Gothic" w:cs="Malgun Gothic"/>
          <w:b/>
          <w:i w:val="0"/>
          <w:color w:val="000000"/>
          <w:sz w:val="22"/>
        </w:rPr>
        <w:t>공통 갱신.</w:t>
      </w:r>
      <w:r>
        <w:rPr>
          <w:rFonts w:ascii="Malgun Gothic" w:hAnsi="Malgun Gothic" w:eastAsia="Malgun Gothic" w:cs="Malgun Gothic"/>
          <w:b w:val="0"/>
          <w:i w:val="0"/>
          <w:color w:val="000000"/>
          <w:sz w:val="22"/>
        </w:rPr>
        <w:t xml:space="preserve"> 현재 마스크에서 가장 큰 연결요소의 질량 중심을 잡고, 그 중심 기준 각도로 8개 방위 섹터를 나눈다. 마스크의 signed distance field(SDF; 내부 양수, 외부 음수)에 섹터별 이동량을 더한 뒤 SDF + shift ≥ 0인 화소를 새 마스크로 삼아, 형태학 팽창·침식보다 작은 서브픽셀 이동을 근사한다. 면적이 20 px를 넘으면 closing 후 opening으로 위상을 정리하고, 초기 rough 주변 ±8 px 밖으로 나가지 못하게 클립한다. 보상은 전체 DSC 변화량, 정답 경계 ±3 px 대역의 DSC 변화량, HD95 감소량, 행동 비용으로 구성한다. 지표가 나빠지면 개선분의 2배를 감점하고, 에피소드 시작 DSC보다 하락하면 추가 패널티(−5.0)를 준다. 종양 면적에 따른 배율은 size_scale = clip(300 / GT면적, 0.5, 3.0)이다. 학습 에피소드는 최대 30스텝이며, 목표 DSC를 1.0으로 두어 조기 종료는 사실상 끈다.</w:t>
      </w:r>
    </w:p>
    <w:p>
      <w:pPr>
        <w:spacing w:before="160" w:after="200" w:line="312" w:lineRule="auto"/>
        <w:jc w:val="center"/>
      </w:pPr>
      <w:r>
        <w:rPr>
          <w:rFonts w:ascii="Malgun Gothic" w:hAnsi="Malgun Gothic" w:eastAsia="Malgun Gothic" w:cs="Malgun Gothic"/>
          <w:b/>
          <w:i/>
          <w:color w:val="555555"/>
          <w:sz w:val="20"/>
        </w:rPr>
        <w:t>그림 2.</w:t>
      </w: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 xml:space="preserve"> 크기별 PPO 경계 보정 루프. (a) Small은 4채널 64×64 zoom-crop과 Gaussian 연속 행동([-2,+2], 8차원)을 쓰고 HD95 ×0.2, size_scale 1.0–3.0, DSC ≥0.85 보너스를 적용한다. (b) Medium과 (c) Large는 3채널 128×128 전체 영상과 MultiDiscrete 5×8 이산 행동을 공유하며, Medium은 HD95 ×0.1·size_scale 0.5–1.0, Large는 HD95 ×0.5·size_scale 0.5 고정이다. 학습 에피소드는 모두 최대 30스텝이다.</w:t>
      </w:r>
    </w:p>
    <w:p>
      <w:pPr>
        <w:spacing w:after="80" w:line="360" w:lineRule="auto"/>
        <w:ind w:left="425" w:hanging="227"/>
      </w:pPr>
      <w:r>
        <w:rPr>
          <w:rFonts w:ascii="Malgun Gothic" w:hAnsi="Malgun Gothic" w:eastAsia="Malgun Gothic" w:cs="Malgun Gothic"/>
          <w:b w:val="0"/>
          <w:i w:val="0"/>
          <w:color w:val="000000"/>
          <w:sz w:val="22"/>
        </w:rPr>
        <w:t xml:space="preserve">• </w:t>
      </w:r>
      <w:r>
        <w:rPr>
          <w:rFonts w:ascii="Malgun Gothic" w:hAnsi="Malgun Gothic" w:eastAsia="Malgun Gothic" w:cs="Malgun Gothic"/>
          <w:b/>
          <w:i w:val="0"/>
          <w:color w:val="000000"/>
          <w:sz w:val="22"/>
        </w:rPr>
        <w:t>Small (확대 + 연속 행동).</w:t>
      </w:r>
      <w:r>
        <w:rPr>
          <w:rFonts w:ascii="Malgun Gothic" w:hAnsi="Malgun Gothic" w:eastAsia="Malgun Gothic" w:cs="Malgun Gothic"/>
          <w:b w:val="0"/>
          <w:i w:val="0"/>
          <w:color w:val="000000"/>
          <w:sz w:val="22"/>
        </w:rPr>
        <w:t xml:space="preserve"> 소형 병변은 전체 128×128에서 수 픽셀에 불과하므로, 가장 큰 연결요소 중심으로 64×64를 잘라 확대해 본다. 상태는 MRI·현재 마스크·확률 맵·Sobel 에지의 4채널이며, 에지는 흐린 경계의 국소 기울기를 보강한다. 정책은 Gaussian 분포에서 8차원 연속 행동 Box(-2,+2)를 샘플링하고, 각 값이 해당 방위의 픽셀 이동 거리가 된다. 절대값 0.1 이하는 유지(Keep)로 간주한다. 보상은 HD95 가중 ×0.2, size_scale 1.0–3.0(작을수록 증폭), DSC ≥0.85이면 매 스텝 +50이다. 평가 시 마스크 면적이 35 px 미만이면 수축(음수) 행동을 0으로 잘라 미세 병변이 사라지지 않게 한다. 설계 목적은 과소분할된 소형 종양의 경계를 확대 시야에서 미세 조정하는 것이다.</w:t>
      </w:r>
    </w:p>
    <w:p>
      <w:pPr>
        <w:spacing w:after="80" w:line="360" w:lineRule="auto"/>
        <w:ind w:left="425" w:hanging="227"/>
      </w:pPr>
      <w:r>
        <w:rPr>
          <w:rFonts w:ascii="Malgun Gothic" w:hAnsi="Malgun Gothic" w:eastAsia="Malgun Gothic" w:cs="Malgun Gothic"/>
          <w:b w:val="0"/>
          <w:i w:val="0"/>
          <w:color w:val="000000"/>
          <w:sz w:val="22"/>
        </w:rPr>
        <w:t xml:space="preserve">• </w:t>
      </w:r>
      <w:r>
        <w:rPr>
          <w:rFonts w:ascii="Malgun Gothic" w:hAnsi="Malgun Gothic" w:eastAsia="Malgun Gothic" w:cs="Malgun Gothic"/>
          <w:b/>
          <w:i w:val="0"/>
          <w:color w:val="000000"/>
          <w:sz w:val="22"/>
        </w:rPr>
        <w:t>Medium (전역 + 이산 행동).</w:t>
      </w:r>
      <w:r>
        <w:rPr>
          <w:rFonts w:ascii="Malgun Gothic" w:hAnsi="Malgun Gothic" w:eastAsia="Malgun Gothic" w:cs="Malgun Gothic"/>
          <w:b w:val="0"/>
          <w:i w:val="0"/>
          <w:color w:val="000000"/>
          <w:sz w:val="22"/>
        </w:rPr>
        <w:t xml:space="preserve"> 중형 병변은 슬라이스 안에서 이미 충분한 면적을 차지하므로 잘라내지 않고 전체 128×128을 본다. 상태는 MRI·현재 마스크·확률 맵의 3채널이다. 정책은 방위마다 독립인 Categorical 헤드 8개이며, 행동 공간은 MultiDiscrete 5×8이다. 각 방위는 강수축·약수축·유지·약팽창·강팽창(-1.0/-0.4/0/+0.4/+1.0 px) 중 하나를 고른다. 이산 폭을 1 px 이하로 둔 것은 전역 형태학(1–3 px)보다 오버슈트를 줄이기 위해서다. 보상은 HD95 가중 ×0.1, size_scale 0.5–1.0, DSC ≥0.95이면 매 스텝 +50이다. Medium은 Stage 2 UNet++의 초기 DSC가 이미 높아, 큰 이동보다 경계의 들쭉날쭉함을 다듬는 역할에 가깝다.</w:t>
      </w:r>
    </w:p>
    <w:p>
      <w:pPr>
        <w:spacing w:after="80" w:line="360" w:lineRule="auto"/>
        <w:ind w:left="425" w:hanging="227"/>
      </w:pPr>
      <w:r>
        <w:rPr>
          <w:rFonts w:ascii="Malgun Gothic" w:hAnsi="Malgun Gothic" w:eastAsia="Malgun Gothic" w:cs="Malgun Gothic"/>
          <w:b w:val="0"/>
          <w:i w:val="0"/>
          <w:color w:val="000000"/>
          <w:sz w:val="22"/>
        </w:rPr>
        <w:t xml:space="preserve">• </w:t>
      </w:r>
      <w:r>
        <w:rPr>
          <w:rFonts w:ascii="Malgun Gothic" w:hAnsi="Malgun Gothic" w:eastAsia="Malgun Gothic" w:cs="Malgun Gothic"/>
          <w:b/>
          <w:i w:val="0"/>
          <w:color w:val="000000"/>
          <w:sz w:val="22"/>
        </w:rPr>
        <w:t>Large (전역 + HD95 강화).</w:t>
      </w:r>
      <w:r>
        <w:rPr>
          <w:rFonts w:ascii="Malgun Gothic" w:hAnsi="Malgun Gothic" w:eastAsia="Malgun Gothic" w:cs="Malgun Gothic"/>
          <w:b w:val="0"/>
          <w:i w:val="0"/>
          <w:color w:val="000000"/>
          <w:sz w:val="22"/>
        </w:rPr>
        <w:t xml:space="preserve"> 상태·행동 공간은 Medium과 같다(3채널 128×128, MultiDiscrete 5×8). 차이는 보상에 있다. 대형 병변은 내부 채움은 잘 되지만 경계 이상치가 HD95를 키우기 쉬워, HD95 가중을 ×0.5로 Medium 대비 5배 올린다. 면적이 모두 700 px 이상이므로 size_scale은 0.5로 고정되어 보상 증폭을 억제한다. DSC ≥0.95 보너스는 Medium과 같다. 즉 Large 에이전트는 영역을 키우기보다 먼 오차를 끌어당겨 HD95를 낮추도록 학습된다.</w:t>
      </w:r>
    </w:p>
    <w:p>
      <w:pPr>
        <w:spacing w:before="0" w:after="160" w:line="384" w:lineRule="auto"/>
      </w:pPr>
      <w:r>
        <w:rPr>
          <w:rFonts w:ascii="Malgun Gothic" w:hAnsi="Malgun Gothic" w:eastAsia="Malgun Gothic" w:cs="Malgun Gothic"/>
          <w:b/>
          <w:i w:val="0"/>
          <w:color w:val="000000"/>
          <w:sz w:val="22"/>
        </w:rPr>
        <w:t>학습·추론.</w:t>
      </w:r>
      <w:r>
        <w:rPr>
          <w:rFonts w:ascii="Malgun Gothic" w:hAnsi="Malgun Gothic" w:eastAsia="Malgun Gothic" w:cs="Malgun Gothic"/>
          <w:b w:val="0"/>
          <w:i w:val="0"/>
          <w:color w:val="000000"/>
          <w:sz w:val="22"/>
        </w:rPr>
        <w:t xml:space="preserve"> 학습 데이터는 실제 Expert 예측 50%와 형태학 노이즈 rough 50%를 섞고, 클래스 필터는 GT 면적만 사용한다. PPO는 크기별 약 300,000 스텝(실측 303,104; 병렬 환경 8, 롤아웃 1,024, 학습률 1×10⁻⁴, clip 0.2)이며 조기 종료는 끈다. 평가 시에는 분류기가 고른 클래스 에이전트로 최대 15스텝을 적용하고, 스텝 중 DSC가 가장 좋았던 마스크를 후보로 둔 뒤 Stage 4 게이트로 넘긴다. 이 스텝 선택과 단조 게이트는 모두 GT에 의존하므로, 최종 수치는 배포 성능이 아니라 상한이다.</w:t>
      </w:r>
    </w:p>
    <w:p>
      <w:pPr>
        <w:keepNext/>
        <w:spacing w:before="240" w:after="120"/>
      </w:pPr>
      <w:r>
        <w:rPr>
          <w:rFonts w:ascii="Malgun Gothic" w:hAnsi="Malgun Gothic" w:eastAsia="Malgun Gothic" w:cs="Malgun Gothic"/>
          <w:b/>
          <w:i w:val="0"/>
          <w:color w:val="1F4D78"/>
          <w:sz w:val="26"/>
        </w:rPr>
        <w:t>3.5 Stage 4: 최종 평가와 안전 장치</w:t>
      </w:r>
    </w:p>
    <w:p>
      <w:pPr>
        <w:spacing w:before="0" w:after="160" w:line="384" w:lineRule="auto"/>
        <w:ind w:firstLine="283"/>
      </w:pPr>
      <w:r>
        <w:rPr>
          <w:rFonts w:ascii="Malgun Gothic" w:hAnsi="Malgun Gothic" w:eastAsia="Malgun Gothic" w:cs="Malgun Gothic"/>
          <w:b w:val="0"/>
          <w:i w:val="0"/>
          <w:color w:val="000000"/>
          <w:sz w:val="22"/>
        </w:rPr>
        <w:t>Stage 4는 검증 슬라이스에 Stage 1–3을 순차 실행한 뒤 최종 마스크를 채점·시각화한다. 기본 순서는 분류기 라우팅 → Expert 확률·클래스별 임계값·연결요소 필터 → PPO → 면적 게이트 → 단조 DSC 게이트 → 지표 집계이다.</w:t>
      </w:r>
    </w:p>
    <w:p>
      <w:pPr>
        <w:spacing w:before="0" w:after="160" w:line="384" w:lineRule="auto"/>
      </w:pPr>
      <w:r>
        <w:rPr>
          <w:rFonts w:ascii="Malgun Gothic" w:hAnsi="Malgun Gothic" w:eastAsia="Malgun Gothic" w:cs="Malgun Gothic"/>
          <w:b/>
          <w:i w:val="0"/>
          <w:color w:val="000000"/>
          <w:sz w:val="22"/>
        </w:rPr>
        <w:t>지표.</w:t>
      </w:r>
      <w:r>
        <w:rPr>
          <w:rFonts w:ascii="Malgun Gothic" w:hAnsi="Malgun Gothic" w:eastAsia="Malgun Gothic" w:cs="Malgun Gothic"/>
          <w:b w:val="0"/>
          <w:i w:val="0"/>
          <w:color w:val="000000"/>
          <w:sz w:val="22"/>
        </w:rPr>
        <w:t xml:space="preserve"> 중첩도는</w:t>
      </w:r>
    </w:p>
    <w:p>
      <w:pPr>
        <w:spacing w:before="120" w:after="160"/>
        <w:jc w:val="center"/>
      </w:pPr>
      <w:r>
        <w:rPr>
          <w:rFonts w:ascii="Malgun Gothic" w:hAnsi="Malgun Gothic" w:eastAsia="Malgun Gothic" w:cs="Malgun Gothic"/>
          <w:b w:val="0"/>
          <w:i w:val="0"/>
          <w:color w:val="000000"/>
          <w:sz w:val="24"/>
        </w:rPr>
        <w:t xml:space="preserve"> DSC(P,G)=2|P ∩ G| / (|P| + |G|) </w:t>
      </w:r>
    </w:p>
    <w:p>
      <w:pPr>
        <w:spacing w:before="0" w:after="160" w:line="384" w:lineRule="auto"/>
        <w:ind w:firstLine="283"/>
      </w:pPr>
      <w:r>
        <w:rPr>
          <w:rFonts w:ascii="Malgun Gothic" w:hAnsi="Malgun Gothic" w:eastAsia="Malgun Gothic" w:cs="Malgun Gothic"/>
          <w:b w:val="0"/>
          <w:i w:val="0"/>
          <w:color w:val="000000"/>
          <w:sz w:val="22"/>
        </w:rPr>
        <w:t>로 평가한다(P: 예측, G: 정답). 경계 정밀도는 HD95(낮을수록 좋음)이며, 과분할·과소분할을 구분하기 위해 Precision·Recall을 함께 보고한다.</w:t>
      </w:r>
    </w:p>
    <w:p>
      <w:pPr>
        <w:spacing w:before="0" w:after="160" w:line="384" w:lineRule="auto"/>
      </w:pPr>
      <w:r>
        <w:rPr>
          <w:rFonts w:ascii="Malgun Gothic" w:hAnsi="Malgun Gothic" w:eastAsia="Malgun Gothic" w:cs="Malgun Gothic"/>
          <w:b/>
          <w:i w:val="0"/>
          <w:color w:val="000000"/>
          <w:sz w:val="22"/>
        </w:rPr>
        <w:t>게이트.</w:t>
      </w:r>
      <w:r>
        <w:rPr>
          <w:rFonts w:ascii="Malgun Gothic" w:hAnsi="Malgun Gothic" w:eastAsia="Malgun Gothic" w:cs="Malgun Gothic"/>
          <w:b w:val="0"/>
          <w:i w:val="0"/>
          <w:color w:val="000000"/>
          <w:sz w:val="22"/>
        </w:rPr>
        <w:t xml:space="preserve"> 면적 게이트는 보정 마스크가 비었거나 초기 면적의 0.2배 미만·4배 초과이면 초기 마스크를 유지하며, 정답이 필요 없다. 단조 DSC 게이트는 보정 후 DSC가 초기보다 낮으면 초기 마스크를 유지한다. 후자는 GT에 의존하므로 오프라인 상한 측정 장치이며 실제 배포에는 쓸 수 없다. 본 실험에서 단조 게이트는 2,434장 중 858장(35.3%)의 PPO 결과를 기각했다. 평균 확률이 높으면 PPO를 생략하는 confidence skip은 구현되어 있으나 기본 평가에서는 끈다. HD95 증가까지 함께 막는 이중 게이트는 현재 없다.</w:t>
      </w:r>
    </w:p>
    <w:p>
      <w:pPr>
        <w:keepNext/>
        <w:spacing w:before="320" w:after="120"/>
      </w:pPr>
      <w:r>
        <w:rPr>
          <w:rFonts w:ascii="Malgun Gothic" w:hAnsi="Malgun Gothic" w:eastAsia="Malgun Gothic" w:cs="Malgun Gothic"/>
          <w:b/>
          <w:i w:val="0"/>
          <w:color w:val="1F4D78"/>
          <w:sz w:val="32"/>
        </w:rPr>
        <w:t>4. 실험 및 결과</w:t>
      </w:r>
    </w:p>
    <w:p>
      <w:pPr>
        <w:keepNext/>
        <w:spacing w:before="240" w:after="120"/>
      </w:pPr>
      <w:r>
        <w:rPr>
          <w:rFonts w:ascii="Malgun Gothic" w:hAnsi="Malgun Gothic" w:eastAsia="Malgun Gothic" w:cs="Malgun Gothic"/>
          <w:b/>
          <w:i w:val="0"/>
          <w:color w:val="1F4D78"/>
          <w:sz w:val="26"/>
        </w:rPr>
        <w:t>4.1 실험 설정</w:t>
      </w:r>
    </w:p>
    <w:p>
      <w:pPr>
        <w:spacing w:before="0" w:after="160" w:line="384" w:lineRule="auto"/>
        <w:ind w:firstLine="283"/>
      </w:pPr>
      <w:r>
        <w:rPr>
          <w:rFonts w:ascii="Malgun Gothic" w:hAnsi="Malgun Gothic" w:eastAsia="Malgun Gothic" w:cs="Malgun Gothic"/>
          <w:b w:val="0"/>
          <w:i w:val="0"/>
          <w:color w:val="000000"/>
          <w:sz w:val="22"/>
        </w:rPr>
        <w:t>BraTS 2021 Task 1 데이터에서 T1ce와 FLAIR 2채널 영상을 사용하고, 128×128 크기의 2차원 슬라이스 단위로 학습 및 평가하였다. 환자 단위 분할(seed 42)로 168명 학습 / 42명 검증을 고정하고, 전역 시드와 결정적 연산을 기본으로 사용하였다. Shape Classifier의 검증 정확도는 0.8512였다(ImageNet 사전학습 없음 대비 +0.9%p). 클래스별 이진화 임계값은 검증셋에서 0.80 / 0.80 / 0.50으로 조정하였다. PPO는 크기별로 303,104 스텝을 학습했다. 평가 시 세 클래스 모두 PPO를 15스텝 적용하였다. Small Expert는 미세 파편을 4배 오버샘플하고 zoom-crop으로 재추론하며, Large Expert는 전 구간 슬라이스로 학습한다.</w:t>
      </w:r>
    </w:p>
    <w:p>
      <w:pPr>
        <w:spacing w:before="0" w:after="160" w:line="384" w:lineRule="auto"/>
        <w:ind w:firstLine="283"/>
      </w:pPr>
      <w:r>
        <w:rPr>
          <w:rFonts w:ascii="Malgun Gothic" w:hAnsi="Malgun Gothic" w:eastAsia="Malgun Gothic" w:cs="Malgun Gothic"/>
          <w:b w:val="0"/>
          <w:i w:val="0"/>
          <w:color w:val="000000"/>
          <w:sz w:val="22"/>
        </w:rPr>
        <w:t>종양 크기 분류 기준은 다음과 같다.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fill="1F4D78" w:val="clear"/>
          </w:tcPr>
          <w:p>
            <w:pPr>
              <w:spacing w:before="40" w:after="40"/>
              <w:jc w:val="center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클래스</w:t>
            </w:r>
          </w:p>
        </w:tc>
        <w:tc>
          <w:tcPr>
            <w:tcW w:type="dxa" w:w="2268"/>
            <w:vAlign w:val="center"/>
            <w:shd w:fill="1F4D78" w:val="clear"/>
          </w:tcPr>
          <w:p>
            <w:pPr>
              <w:spacing w:before="40" w:after="40"/>
              <w:jc w:val="center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면적</w:t>
            </w:r>
          </w:p>
        </w:tc>
        <w:tc>
          <w:tcPr>
            <w:tcW w:type="dxa" w:w="2268"/>
            <w:vAlign w:val="center"/>
            <w:shd w:fill="1F4D78" w:val="clear"/>
          </w:tcPr>
          <w:p>
            <w:pPr>
              <w:spacing w:before="40" w:after="40"/>
              <w:jc w:val="center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Expert</w:t>
            </w:r>
          </w:p>
        </w:tc>
        <w:tc>
          <w:tcPr>
            <w:tcW w:type="dxa" w:w="2268"/>
            <w:vAlign w:val="center"/>
            <w:shd w:fill="1F4D78" w:val="clear"/>
          </w:tcPr>
          <w:p>
            <w:pPr>
              <w:spacing w:before="40" w:after="40"/>
              <w:jc w:val="center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PPO 특성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Small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&lt; 300 px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CaraNet 2.5D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확대 + 연속 행동</w:t>
            </w:r>
          </w:p>
        </w:tc>
      </w:tr>
      <w:tr>
        <w:tc>
          <w:tcPr>
            <w:tcW w:type="dxa" w:w="2268"/>
            <w:vAlign w:val="center"/>
            <w:shd w:fill="F4F7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Medium</w:t>
            </w:r>
          </w:p>
        </w:tc>
        <w:tc>
          <w:tcPr>
            <w:tcW w:type="dxa" w:w="2268"/>
            <w:vAlign w:val="center"/>
            <w:shd w:fill="F4F7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300–700 px</w:t>
            </w:r>
          </w:p>
        </w:tc>
        <w:tc>
          <w:tcPr>
            <w:tcW w:type="dxa" w:w="2268"/>
            <w:vAlign w:val="center"/>
            <w:shd w:fill="F4F7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UNet++</w:t>
            </w:r>
          </w:p>
        </w:tc>
        <w:tc>
          <w:tcPr>
            <w:tcW w:type="dxa" w:w="2268"/>
            <w:vAlign w:val="center"/>
            <w:shd w:fill="F4F7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전역 + 이산 행동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Large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≥ 700 px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SegResNet ED/TC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HD95 가중 보상</w:t>
            </w:r>
          </w:p>
        </w:tc>
      </w:tr>
    </w:tbl>
    <w:p>
      <w:pPr>
        <w:spacing w:after="80"/>
      </w:pPr>
    </w:p>
    <w:p>
      <w:pPr>
        <w:keepNext/>
        <w:spacing w:before="240" w:after="120"/>
      </w:pPr>
      <w:r>
        <w:rPr>
          <w:rFonts w:ascii="Malgun Gothic" w:hAnsi="Malgun Gothic" w:eastAsia="Malgun Gothic" w:cs="Malgun Gothic"/>
          <w:b/>
          <w:i w:val="0"/>
          <w:color w:val="1F4D78"/>
          <w:sz w:val="26"/>
        </w:rPr>
        <w:t>4.2 정량 결과 (PPO 전후)</w:t>
      </w:r>
    </w:p>
    <w:p>
      <w:pPr>
        <w:spacing w:before="160" w:after="200" w:line="312" w:lineRule="auto"/>
        <w:jc w:val="center"/>
      </w:pPr>
      <w:r>
        <w:rPr>
          <w:rFonts w:ascii="Malgun Gothic" w:hAnsi="Malgun Gothic" w:eastAsia="Malgun Gothic" w:cs="Malgun Gothic"/>
          <w:b/>
          <w:i/>
          <w:color w:val="555555"/>
          <w:sz w:val="20"/>
        </w:rPr>
        <w:t>표 1.</w:t>
      </w: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 xml:space="preserve"> BraTS 2021 검증 42명(2,434 슬라이스, 분류기 라우팅, 2026-08-20)에서 Stage 2 초기(Init)과 Stage 3·4 보정 후(Final) 성능. DSC·Precision·Recall은 높을수록, HD95(px)는 낮을수록 좋다. 전체 행의 Precision/Recall은 미집계이다. Final은 면적 게이트와 단조 DSC 게이트를 거친 값이다.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vAlign w:val="center"/>
            <w:shd w:fill="1F4D78" w:val="clear"/>
          </w:tcPr>
          <w:p>
            <w:pPr>
              <w:spacing w:before="40" w:after="40"/>
              <w:jc w:val="center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구분</w:t>
            </w:r>
          </w:p>
        </w:tc>
        <w:tc>
          <w:tcPr>
            <w:tcW w:type="dxa" w:w="1512"/>
            <w:vAlign w:val="center"/>
            <w:shd w:fill="1F4D78" w:val="clear"/>
          </w:tcPr>
          <w:p>
            <w:pPr>
              <w:spacing w:before="40" w:after="40"/>
              <w:jc w:val="center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n</w:t>
            </w:r>
          </w:p>
        </w:tc>
        <w:tc>
          <w:tcPr>
            <w:tcW w:type="dxa" w:w="1512"/>
            <w:vAlign w:val="center"/>
            <w:shd w:fill="1F4D78" w:val="clear"/>
          </w:tcPr>
          <w:p>
            <w:pPr>
              <w:spacing w:before="40" w:after="40"/>
              <w:jc w:val="center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DSC Init → Final</w:t>
            </w:r>
          </w:p>
        </w:tc>
        <w:tc>
          <w:tcPr>
            <w:tcW w:type="dxa" w:w="1512"/>
            <w:vAlign w:val="center"/>
            <w:shd w:fill="1F4D78" w:val="clear"/>
          </w:tcPr>
          <w:p>
            <w:pPr>
              <w:spacing w:before="40" w:after="40"/>
              <w:jc w:val="center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HD95 Init → Final</w:t>
            </w:r>
          </w:p>
        </w:tc>
        <w:tc>
          <w:tcPr>
            <w:tcW w:type="dxa" w:w="1512"/>
            <w:vAlign w:val="center"/>
            <w:shd w:fill="1F4D78" w:val="clear"/>
          </w:tcPr>
          <w:p>
            <w:pPr>
              <w:spacing w:before="40" w:after="40"/>
              <w:jc w:val="center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Precision Init → Final</w:t>
            </w:r>
          </w:p>
        </w:tc>
        <w:tc>
          <w:tcPr>
            <w:tcW w:type="dxa" w:w="1512"/>
            <w:vAlign w:val="center"/>
            <w:shd w:fill="1F4D78" w:val="clear"/>
          </w:tcPr>
          <w:p>
            <w:pPr>
              <w:spacing w:before="40" w:after="40"/>
              <w:jc w:val="center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Recall Init → Final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Average (Overall)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2,434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 xml:space="preserve">0.8948 → </w:t>
            </w:r>
            <w:r>
              <w:rPr>
                <w:rFonts w:ascii="Malgun Gothic" w:hAnsi="Malgun Gothic" w:eastAsia="Malgun Gothic" w:cs="Malgun Gothic"/>
                <w:b/>
                <w:i w:val="0"/>
                <w:color w:val="000000"/>
                <w:sz w:val="18"/>
              </w:rPr>
              <w:t>0.9031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 xml:space="preserve">1.7336 → </w:t>
            </w:r>
            <w:r>
              <w:rPr>
                <w:rFonts w:ascii="Malgun Gothic" w:hAnsi="Malgun Gothic" w:eastAsia="Malgun Gothic" w:cs="Malgun Gothic"/>
                <w:b/>
                <w:i w:val="0"/>
                <w:color w:val="000000"/>
                <w:sz w:val="18"/>
              </w:rPr>
              <w:t>1.6060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512"/>
            <w:vAlign w:val="center"/>
            <w:shd w:fill="F4F7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Small (CaraNet)</w:t>
            </w:r>
          </w:p>
        </w:tc>
        <w:tc>
          <w:tcPr>
            <w:tcW w:type="dxa" w:w="1512"/>
            <w:vAlign w:val="center"/>
            <w:shd w:fill="F4F7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897</w:t>
            </w:r>
          </w:p>
        </w:tc>
        <w:tc>
          <w:tcPr>
            <w:tcW w:type="dxa" w:w="1512"/>
            <w:vAlign w:val="center"/>
            <w:shd w:fill="F4F7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 xml:space="preserve">0.8286 → </w:t>
            </w:r>
            <w:r>
              <w:rPr>
                <w:rFonts w:ascii="Malgun Gothic" w:hAnsi="Malgun Gothic" w:eastAsia="Malgun Gothic" w:cs="Malgun Gothic"/>
                <w:b/>
                <w:i w:val="0"/>
                <w:color w:val="000000"/>
                <w:sz w:val="18"/>
              </w:rPr>
              <w:t>0.8429</w:t>
            </w:r>
          </w:p>
        </w:tc>
        <w:tc>
          <w:tcPr>
            <w:tcW w:type="dxa" w:w="1512"/>
            <w:vAlign w:val="center"/>
            <w:shd w:fill="F4F7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 xml:space="preserve">3.1618 → </w:t>
            </w:r>
            <w:r>
              <w:rPr>
                <w:rFonts w:ascii="Malgun Gothic" w:hAnsi="Malgun Gothic" w:eastAsia="Malgun Gothic" w:cs="Malgun Gothic"/>
                <w:b/>
                <w:i w:val="0"/>
                <w:color w:val="000000"/>
                <w:sz w:val="18"/>
              </w:rPr>
              <w:t>2.9482</w:t>
            </w:r>
          </w:p>
        </w:tc>
        <w:tc>
          <w:tcPr>
            <w:tcW w:type="dxa" w:w="1512"/>
            <w:vAlign w:val="center"/>
            <w:shd w:fill="F4F7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 xml:space="preserve">0.9005 → </w:t>
            </w:r>
            <w:r>
              <w:rPr>
                <w:rFonts w:ascii="Malgun Gothic" w:hAnsi="Malgun Gothic" w:eastAsia="Malgun Gothic" w:cs="Malgun Gothic"/>
                <w:b/>
                <w:i w:val="0"/>
                <w:color w:val="000000"/>
                <w:sz w:val="18"/>
              </w:rPr>
              <w:t>0.9195</w:t>
            </w:r>
          </w:p>
        </w:tc>
        <w:tc>
          <w:tcPr>
            <w:tcW w:type="dxa" w:w="1512"/>
            <w:vAlign w:val="center"/>
            <w:shd w:fill="F4F7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 xml:space="preserve">0.7958 → </w:t>
            </w:r>
            <w:r>
              <w:rPr>
                <w:rFonts w:ascii="Malgun Gothic" w:hAnsi="Malgun Gothic" w:eastAsia="Malgun Gothic" w:cs="Malgun Gothic"/>
                <w:b/>
                <w:i w:val="0"/>
                <w:color w:val="000000"/>
                <w:sz w:val="18"/>
              </w:rPr>
              <w:t>0.8008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Medium (UNet++)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1,152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 xml:space="preserve">0.9264 → </w:t>
            </w:r>
            <w:r>
              <w:rPr>
                <w:rFonts w:ascii="Malgun Gothic" w:hAnsi="Malgun Gothic" w:eastAsia="Malgun Gothic" w:cs="Malgun Gothic"/>
                <w:b/>
                <w:i w:val="0"/>
                <w:color w:val="000000"/>
                <w:sz w:val="18"/>
              </w:rPr>
              <w:t>0.9314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 xml:space="preserve">1.0790 → </w:t>
            </w:r>
            <w:r>
              <w:rPr>
                <w:rFonts w:ascii="Malgun Gothic" w:hAnsi="Malgun Gothic" w:eastAsia="Malgun Gothic" w:cs="Malgun Gothic"/>
                <w:b/>
                <w:i w:val="0"/>
                <w:color w:val="000000"/>
                <w:sz w:val="18"/>
              </w:rPr>
              <w:t>1.0000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 xml:space="preserve">0.9529 → </w:t>
            </w:r>
            <w:r>
              <w:rPr>
                <w:rFonts w:ascii="Malgun Gothic" w:hAnsi="Malgun Gothic" w:eastAsia="Malgun Gothic" w:cs="Malgun Gothic"/>
                <w:b/>
                <w:i w:val="0"/>
                <w:color w:val="000000"/>
                <w:sz w:val="18"/>
              </w:rPr>
              <w:t>0.9545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 xml:space="preserve">0.9089 → </w:t>
            </w:r>
            <w:r>
              <w:rPr>
                <w:rFonts w:ascii="Malgun Gothic" w:hAnsi="Malgun Gothic" w:eastAsia="Malgun Gothic" w:cs="Malgun Gothic"/>
                <w:b/>
                <w:i w:val="0"/>
                <w:color w:val="000000"/>
                <w:sz w:val="18"/>
              </w:rPr>
              <w:t>0.9165</w:t>
            </w:r>
          </w:p>
        </w:tc>
      </w:tr>
      <w:tr>
        <w:tc>
          <w:tcPr>
            <w:tcW w:type="dxa" w:w="1512"/>
            <w:vAlign w:val="center"/>
            <w:shd w:fill="F4F7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Large (SegResNet)</w:t>
            </w:r>
          </w:p>
        </w:tc>
        <w:tc>
          <w:tcPr>
            <w:tcW w:type="dxa" w:w="1512"/>
            <w:vAlign w:val="center"/>
            <w:shd w:fill="F4F7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385</w:t>
            </w:r>
          </w:p>
        </w:tc>
        <w:tc>
          <w:tcPr>
            <w:tcW w:type="dxa" w:w="1512"/>
            <w:vAlign w:val="center"/>
            <w:shd w:fill="F4F7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 xml:space="preserve">0.9546 → </w:t>
            </w:r>
            <w:r>
              <w:rPr>
                <w:rFonts w:ascii="Malgun Gothic" w:hAnsi="Malgun Gothic" w:eastAsia="Malgun Gothic" w:cs="Malgun Gothic"/>
                <w:b/>
                <w:i w:val="0"/>
                <w:color w:val="000000"/>
                <w:sz w:val="18"/>
              </w:rPr>
              <w:t>0.9582</w:t>
            </w:r>
          </w:p>
        </w:tc>
        <w:tc>
          <w:tcPr>
            <w:tcW w:type="dxa" w:w="1512"/>
            <w:vAlign w:val="center"/>
            <w:shd w:fill="F4F7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 xml:space="preserve">0.3650 → </w:t>
            </w:r>
            <w:r>
              <w:rPr>
                <w:rFonts w:ascii="Malgun Gothic" w:hAnsi="Malgun Gothic" w:eastAsia="Malgun Gothic" w:cs="Malgun Gothic"/>
                <w:b/>
                <w:i w:val="0"/>
                <w:color w:val="000000"/>
                <w:sz w:val="18"/>
              </w:rPr>
              <w:t>0.2919</w:t>
            </w:r>
          </w:p>
        </w:tc>
        <w:tc>
          <w:tcPr>
            <w:tcW w:type="dxa" w:w="1512"/>
            <w:vAlign w:val="center"/>
            <w:shd w:fill="F4F7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 xml:space="preserve">0.9596 → </w:t>
            </w:r>
            <w:r>
              <w:rPr>
                <w:rFonts w:ascii="Malgun Gothic" w:hAnsi="Malgun Gothic" w:eastAsia="Malgun Gothic" w:cs="Malgun Gothic"/>
                <w:b/>
                <w:i w:val="0"/>
                <w:color w:val="000000"/>
                <w:sz w:val="18"/>
              </w:rPr>
              <w:t>0.9613</w:t>
            </w:r>
          </w:p>
        </w:tc>
        <w:tc>
          <w:tcPr>
            <w:tcW w:type="dxa" w:w="1512"/>
            <w:vAlign w:val="center"/>
            <w:shd w:fill="F4F7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 xml:space="preserve">0.9515 → </w:t>
            </w:r>
            <w:r>
              <w:rPr>
                <w:rFonts w:ascii="Malgun Gothic" w:hAnsi="Malgun Gothic" w:eastAsia="Malgun Gothic" w:cs="Malgun Gothic"/>
                <w:b/>
                <w:i w:val="0"/>
                <w:color w:val="000000"/>
                <w:sz w:val="18"/>
              </w:rPr>
              <w:t>0.9568</w:t>
            </w:r>
          </w:p>
        </w:tc>
      </w:tr>
    </w:tbl>
    <w:p>
      <w:pPr>
        <w:spacing w:after="80"/>
      </w:pPr>
    </w:p>
    <w:p>
      <w:pPr>
        <w:spacing w:before="0" w:after="160" w:line="384" w:lineRule="auto"/>
        <w:ind w:firstLine="283"/>
      </w:pPr>
      <w:r>
        <w:rPr>
          <w:rFonts w:ascii="Malgun Gothic" w:hAnsi="Malgun Gothic" w:eastAsia="Malgun Gothic" w:cs="Malgun Gothic"/>
          <w:b w:val="0"/>
          <w:i w:val="0"/>
          <w:color w:val="000000"/>
          <w:sz w:val="22"/>
        </w:rPr>
        <w:t>전체 평균 DSC는 0.0083(+0.83%p) 상승했고, HD95는 0.1276 px 감소했다. 세 클래스 모두 DSC·Precision·Recall이 오르고 HD95가 줄었다. 단조 게이트는 2,434장 중 858장(35.3%)에서 보정 결과를 기각하고 초기 마스크를 유지했다.</w:t>
      </w:r>
    </w:p>
    <w:p>
      <w:pPr>
        <w:spacing w:before="0" w:after="160" w:line="384" w:lineRule="auto"/>
        <w:ind w:firstLine="283"/>
      </w:pPr>
      <w:r>
        <w:rPr>
          <w:rFonts w:ascii="Malgun Gothic" w:hAnsi="Malgun Gothic" w:eastAsia="Malgun Gothic" w:cs="Malgun Gothic"/>
          <w:b w:val="0"/>
          <w:i w:val="0"/>
          <w:color w:val="000000"/>
          <w:sz w:val="22"/>
        </w:rPr>
        <w:t>소형 병변 중 유효 종양 면적이 50 px 이상인 828장에서 DSC는 0.8427에서 0.8529로 올랐다. 50 px 미만의 미세 파편 69장은 DSC가 0.6595에서 0.7239로 올랐고 HD95도 6.3828 px에서 5.3794 px로 줄었다.</w:t>
      </w:r>
    </w:p>
    <w:p>
      <w:pPr>
        <w:spacing w:before="160" w:after="200" w:line="312" w:lineRule="auto"/>
        <w:jc w:val="center"/>
      </w:pPr>
      <w:r>
        <w:rPr>
          <w:rFonts w:ascii="Malgun Gothic" w:hAnsi="Malgun Gothic" w:eastAsia="Malgun Gothic" w:cs="Malgun Gothic"/>
          <w:b/>
          <w:i/>
          <w:color w:val="555555"/>
          <w:sz w:val="20"/>
        </w:rPr>
        <w:t>표 2.</w:t>
      </w: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 xml:space="preserve"> Small 클래스 층화 분석. Active Tumor(≥50 px)와 Micro Boundary Fragment(&lt;50 px)로 나누어 Init→Final DSC·HD95를 비교한다. 미세 파편에서 DSC +0.0644(+6.44%p), HD95 −1.00 px로 상대 이득이 크다.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fill="1F4D78" w:val="clear"/>
          </w:tcPr>
          <w:p>
            <w:pPr>
              <w:spacing w:before="40" w:after="40"/>
              <w:jc w:val="center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구간</w:t>
            </w:r>
          </w:p>
        </w:tc>
        <w:tc>
          <w:tcPr>
            <w:tcW w:type="dxa" w:w="2268"/>
            <w:vAlign w:val="center"/>
            <w:shd w:fill="1F4D78" w:val="clear"/>
          </w:tcPr>
          <w:p>
            <w:pPr>
              <w:spacing w:before="40" w:after="40"/>
              <w:jc w:val="center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n</w:t>
            </w:r>
          </w:p>
        </w:tc>
        <w:tc>
          <w:tcPr>
            <w:tcW w:type="dxa" w:w="2268"/>
            <w:vAlign w:val="center"/>
            <w:shd w:fill="1F4D78" w:val="clear"/>
          </w:tcPr>
          <w:p>
            <w:pPr>
              <w:spacing w:before="40" w:after="40"/>
              <w:jc w:val="center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DSC Init → Final</w:t>
            </w:r>
          </w:p>
        </w:tc>
        <w:tc>
          <w:tcPr>
            <w:tcW w:type="dxa" w:w="2268"/>
            <w:vAlign w:val="center"/>
            <w:shd w:fill="1F4D78" w:val="clear"/>
          </w:tcPr>
          <w:p>
            <w:pPr>
              <w:spacing w:before="40" w:after="40"/>
              <w:jc w:val="center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HD95 Init → Final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Active Tumor (≥50 px)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828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 xml:space="preserve">0.8427 → </w:t>
            </w:r>
            <w:r>
              <w:rPr>
                <w:rFonts w:ascii="Malgun Gothic" w:hAnsi="Malgun Gothic" w:eastAsia="Malgun Gothic" w:cs="Malgun Gothic"/>
                <w:b/>
                <w:i w:val="0"/>
                <w:color w:val="000000"/>
                <w:sz w:val="18"/>
              </w:rPr>
              <w:t>0.8529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 xml:space="preserve">2.8934 → </w:t>
            </w:r>
            <w:r>
              <w:rPr>
                <w:rFonts w:ascii="Malgun Gothic" w:hAnsi="Malgun Gothic" w:eastAsia="Malgun Gothic" w:cs="Malgun Gothic"/>
                <w:b/>
                <w:i w:val="0"/>
                <w:color w:val="000000"/>
                <w:sz w:val="18"/>
              </w:rPr>
              <w:t>2.7456</w:t>
            </w:r>
          </w:p>
        </w:tc>
      </w:tr>
      <w:tr>
        <w:tc>
          <w:tcPr>
            <w:tcW w:type="dxa" w:w="2268"/>
            <w:vAlign w:val="center"/>
            <w:shd w:fill="F4F7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Micro Boundary Fragment (&lt;50 px)</w:t>
            </w:r>
          </w:p>
        </w:tc>
        <w:tc>
          <w:tcPr>
            <w:tcW w:type="dxa" w:w="2268"/>
            <w:vAlign w:val="center"/>
            <w:shd w:fill="F4F7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69</w:t>
            </w:r>
          </w:p>
        </w:tc>
        <w:tc>
          <w:tcPr>
            <w:tcW w:type="dxa" w:w="2268"/>
            <w:vAlign w:val="center"/>
            <w:shd w:fill="F4F7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 xml:space="preserve">0.6595 → </w:t>
            </w:r>
            <w:r>
              <w:rPr>
                <w:rFonts w:ascii="Malgun Gothic" w:hAnsi="Malgun Gothic" w:eastAsia="Malgun Gothic" w:cs="Malgun Gothic"/>
                <w:b/>
                <w:i w:val="0"/>
                <w:color w:val="000000"/>
                <w:sz w:val="18"/>
              </w:rPr>
              <w:t>0.7239</w:t>
            </w:r>
          </w:p>
        </w:tc>
        <w:tc>
          <w:tcPr>
            <w:tcW w:type="dxa" w:w="2268"/>
            <w:vAlign w:val="center"/>
            <w:shd w:fill="F4F7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 xml:space="preserve">6.3828 → </w:t>
            </w:r>
            <w:r>
              <w:rPr>
                <w:rFonts w:ascii="Malgun Gothic" w:hAnsi="Malgun Gothic" w:eastAsia="Malgun Gothic" w:cs="Malgun Gothic"/>
                <w:b/>
                <w:i w:val="0"/>
                <w:color w:val="000000"/>
                <w:sz w:val="18"/>
              </w:rPr>
              <w:t>5.3794</w:t>
            </w:r>
          </w:p>
        </w:tc>
      </w:tr>
    </w:tbl>
    <w:p>
      <w:pPr>
        <w:spacing w:after="80"/>
      </w:pPr>
    </w:p>
    <w:p>
      <w:pPr>
        <w:spacing w:before="0" w:after="160" w:line="384" w:lineRule="auto"/>
        <w:ind w:firstLine="283"/>
      </w:pPr>
      <w:r>
        <w:rPr>
          <w:rFonts w:ascii="Malgun Gothic" w:hAnsi="Malgun Gothic" w:eastAsia="Malgun Gothic" w:cs="Malgun Gothic"/>
          <w:b w:val="0"/>
          <w:i w:val="0"/>
          <w:color w:val="000000"/>
          <w:sz w:val="22"/>
        </w:rPr>
        <w:t>Precision/Recall 기준으로 Small은 과소분할이다(최종 Precision 0.920, Recall 0.801). Medium은 약한 과소분할, Large는 임계값 0.50 이후 Precision 0.961 / Recall 0.957로 거의 균형이다.</w:t>
      </w:r>
    </w:p>
    <w:p>
      <w:pPr>
        <w:keepNext/>
        <w:spacing w:before="240" w:after="120"/>
      </w:pPr>
      <w:r>
        <w:rPr>
          <w:rFonts w:ascii="Malgun Gothic" w:hAnsi="Malgun Gothic" w:eastAsia="Malgun Gothic" w:cs="Malgun Gothic"/>
          <w:b/>
          <w:i w:val="0"/>
          <w:color w:val="1F4D78"/>
          <w:sz w:val="26"/>
        </w:rPr>
        <w:t>4.3 베이스라인 비교 (SOTA 각색)</w:t>
      </w:r>
    </w:p>
    <w:p>
      <w:pPr>
        <w:spacing w:before="160" w:after="200" w:line="312" w:lineRule="auto"/>
        <w:jc w:val="center"/>
      </w:pPr>
      <w:r>
        <w:rPr>
          <w:rFonts w:ascii="Malgun Gothic" w:hAnsi="Malgun Gothic" w:eastAsia="Malgun Gothic" w:cs="Malgun Gothic"/>
          <w:b/>
          <w:i/>
          <w:color w:val="555555"/>
          <w:sz w:val="20"/>
        </w:rPr>
        <w:t>표 3.</w:t>
      </w: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 xml:space="preserve"> TRIO와 BraTS 2021 상위 입상 방법(KAIST, NVAUTO)의 2차원 각색 비교. 같은 42명 검증 환자·같은 지표 구현이다. TRIO는 Stage 3+단조 DSC 게이트(Final) 수치이며 GT에 의존하는 상한이다. 베이스라인은 2,373장, TRIO는 2,434장이라 슬라이스 수가 완전히 같지 않고, 3D·4모달리티·앙상블은 제외했으므로 대회 리더보드와 직접 비교할 수 없다.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vAlign w:val="center"/>
            <w:shd w:fill="1F4D78" w:val="clear"/>
          </w:tcPr>
          <w:p>
            <w:pPr>
              <w:spacing w:before="40" w:after="40"/>
              <w:jc w:val="center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Class</w:t>
            </w:r>
          </w:p>
        </w:tc>
        <w:tc>
          <w:tcPr>
            <w:tcW w:type="dxa" w:w="1512"/>
            <w:vAlign w:val="center"/>
            <w:shd w:fill="1F4D78" w:val="clear"/>
          </w:tcPr>
          <w:p>
            <w:pPr>
              <w:spacing w:before="40" w:after="40"/>
              <w:jc w:val="center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1512"/>
            <w:vAlign w:val="center"/>
            <w:shd w:fill="1F4D78" w:val="clear"/>
          </w:tcPr>
          <w:p>
            <w:pPr>
              <w:spacing w:before="40" w:after="40"/>
              <w:jc w:val="center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DSC ↑</w:t>
            </w:r>
          </w:p>
        </w:tc>
        <w:tc>
          <w:tcPr>
            <w:tcW w:type="dxa" w:w="1512"/>
            <w:vAlign w:val="center"/>
            <w:shd w:fill="1F4D78" w:val="clear"/>
          </w:tcPr>
          <w:p>
            <w:pPr>
              <w:spacing w:before="40" w:after="40"/>
              <w:jc w:val="center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HD95 ↓</w:t>
            </w:r>
          </w:p>
        </w:tc>
        <w:tc>
          <w:tcPr>
            <w:tcW w:type="dxa" w:w="1512"/>
            <w:vAlign w:val="center"/>
            <w:shd w:fill="1F4D78" w:val="clear"/>
          </w:tcPr>
          <w:p>
            <w:pPr>
              <w:spacing w:before="40" w:after="40"/>
              <w:jc w:val="center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Precision ↑</w:t>
            </w:r>
          </w:p>
        </w:tc>
        <w:tc>
          <w:tcPr>
            <w:tcW w:type="dxa" w:w="1512"/>
            <w:vAlign w:val="center"/>
            <w:shd w:fill="1F4D78" w:val="clear"/>
          </w:tcPr>
          <w:p>
            <w:pPr>
              <w:spacing w:before="40" w:after="40"/>
              <w:jc w:val="center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Recall ↑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Overall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000000"/>
                <w:sz w:val="18"/>
              </w:rPr>
              <w:t>TRIO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000000"/>
                <w:sz w:val="18"/>
              </w:rPr>
              <w:t>0.9031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000000"/>
                <w:sz w:val="18"/>
              </w:rPr>
              <w:t>1.6060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000000"/>
                <w:sz w:val="18"/>
              </w:rPr>
              <w:t>0.9427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0.8802</w:t>
            </w:r>
          </w:p>
        </w:tc>
      </w:tr>
      <w:tr>
        <w:tc>
          <w:tcPr>
            <w:tcW w:type="dxa" w:w="1512"/>
            <w:vAlign w:val="center"/>
            <w:shd w:fill="F4F7FB" w:val="clear"/>
          </w:tcPr>
          <w:p>
            <w:pPr>
              <w:spacing w:before="40" w:after="40"/>
              <w:jc w:val="center"/>
            </w:pPr>
            <w:r/>
          </w:p>
        </w:tc>
        <w:tc>
          <w:tcPr>
            <w:tcW w:type="dxa" w:w="1512"/>
            <w:vAlign w:val="center"/>
            <w:shd w:fill="F4F7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KAIST</w:t>
            </w:r>
          </w:p>
        </w:tc>
        <w:tc>
          <w:tcPr>
            <w:tcW w:type="dxa" w:w="1512"/>
            <w:vAlign w:val="center"/>
            <w:shd w:fill="F4F7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0.8923</w:t>
            </w:r>
          </w:p>
        </w:tc>
        <w:tc>
          <w:tcPr>
            <w:tcW w:type="dxa" w:w="1512"/>
            <w:vAlign w:val="center"/>
            <w:shd w:fill="F4F7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1.9591</w:t>
            </w:r>
          </w:p>
        </w:tc>
        <w:tc>
          <w:tcPr>
            <w:tcW w:type="dxa" w:w="1512"/>
            <w:vAlign w:val="center"/>
            <w:shd w:fill="F4F7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0.9215</w:t>
            </w:r>
          </w:p>
        </w:tc>
        <w:tc>
          <w:tcPr>
            <w:tcW w:type="dxa" w:w="1512"/>
            <w:vAlign w:val="center"/>
            <w:shd w:fill="F4F7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0.8893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NVAUTO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0.8971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1.9022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0.9077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000000"/>
                <w:sz w:val="18"/>
              </w:rPr>
              <w:t>0.9029</w:t>
            </w:r>
          </w:p>
        </w:tc>
      </w:tr>
      <w:tr>
        <w:tc>
          <w:tcPr>
            <w:tcW w:type="dxa" w:w="1512"/>
            <w:vAlign w:val="center"/>
            <w:shd w:fill="F4F7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Small</w:t>
            </w:r>
          </w:p>
        </w:tc>
        <w:tc>
          <w:tcPr>
            <w:tcW w:type="dxa" w:w="1512"/>
            <w:vAlign w:val="center"/>
            <w:shd w:fill="F4F7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000000"/>
                <w:sz w:val="18"/>
              </w:rPr>
              <w:t>TRIO</w:t>
            </w:r>
          </w:p>
        </w:tc>
        <w:tc>
          <w:tcPr>
            <w:tcW w:type="dxa" w:w="1512"/>
            <w:vAlign w:val="center"/>
            <w:shd w:fill="F4F7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000000"/>
                <w:sz w:val="18"/>
              </w:rPr>
              <w:t>0.8429</w:t>
            </w:r>
          </w:p>
        </w:tc>
        <w:tc>
          <w:tcPr>
            <w:tcW w:type="dxa" w:w="1512"/>
            <w:vAlign w:val="center"/>
            <w:shd w:fill="F4F7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000000"/>
                <w:sz w:val="18"/>
              </w:rPr>
              <w:t>2.9482</w:t>
            </w:r>
          </w:p>
        </w:tc>
        <w:tc>
          <w:tcPr>
            <w:tcW w:type="dxa" w:w="1512"/>
            <w:vAlign w:val="center"/>
            <w:shd w:fill="F4F7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000000"/>
                <w:sz w:val="18"/>
              </w:rPr>
              <w:t>0.9195</w:t>
            </w:r>
          </w:p>
        </w:tc>
        <w:tc>
          <w:tcPr>
            <w:tcW w:type="dxa" w:w="1512"/>
            <w:vAlign w:val="center"/>
            <w:shd w:fill="F4F7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0.8008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KAIST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0.8278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3.8017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0.8606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0.8412</w:t>
            </w:r>
          </w:p>
        </w:tc>
      </w:tr>
      <w:tr>
        <w:tc>
          <w:tcPr>
            <w:tcW w:type="dxa" w:w="1512"/>
            <w:vAlign w:val="center"/>
            <w:shd w:fill="F4F7FB" w:val="clear"/>
          </w:tcPr>
          <w:p>
            <w:pPr>
              <w:spacing w:before="40" w:after="40"/>
              <w:jc w:val="center"/>
            </w:pPr>
            <w:r/>
          </w:p>
        </w:tc>
        <w:tc>
          <w:tcPr>
            <w:tcW w:type="dxa" w:w="1512"/>
            <w:vAlign w:val="center"/>
            <w:shd w:fill="F4F7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NVAUTO</w:t>
            </w:r>
          </w:p>
        </w:tc>
        <w:tc>
          <w:tcPr>
            <w:tcW w:type="dxa" w:w="1512"/>
            <w:vAlign w:val="center"/>
            <w:shd w:fill="F4F7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0.8377</w:t>
            </w:r>
          </w:p>
        </w:tc>
        <w:tc>
          <w:tcPr>
            <w:tcW w:type="dxa" w:w="1512"/>
            <w:vAlign w:val="center"/>
            <w:shd w:fill="F4F7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3.3599</w:t>
            </w:r>
          </w:p>
        </w:tc>
        <w:tc>
          <w:tcPr>
            <w:tcW w:type="dxa" w:w="1512"/>
            <w:vAlign w:val="center"/>
            <w:shd w:fill="F4F7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0.8381</w:t>
            </w:r>
          </w:p>
        </w:tc>
        <w:tc>
          <w:tcPr>
            <w:tcW w:type="dxa" w:w="1512"/>
            <w:vAlign w:val="center"/>
            <w:shd w:fill="F4F7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000000"/>
                <w:sz w:val="18"/>
              </w:rPr>
              <w:t>0.8651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Medium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000000"/>
                <w:sz w:val="18"/>
              </w:rPr>
              <w:t>TRIO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000000"/>
                <w:sz w:val="18"/>
              </w:rPr>
              <w:t>0.9314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000000"/>
                <w:sz w:val="18"/>
              </w:rPr>
              <w:t>1.0000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000000"/>
                <w:sz w:val="18"/>
              </w:rPr>
              <w:t>0.9545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000000"/>
                <w:sz w:val="18"/>
              </w:rPr>
              <w:t>0.9165</w:t>
            </w:r>
          </w:p>
        </w:tc>
      </w:tr>
      <w:tr>
        <w:tc>
          <w:tcPr>
            <w:tcW w:type="dxa" w:w="1512"/>
            <w:vAlign w:val="center"/>
            <w:shd w:fill="F4F7FB" w:val="clear"/>
          </w:tcPr>
          <w:p>
            <w:pPr>
              <w:spacing w:before="40" w:after="40"/>
              <w:jc w:val="center"/>
            </w:pPr>
            <w:r/>
          </w:p>
        </w:tc>
        <w:tc>
          <w:tcPr>
            <w:tcW w:type="dxa" w:w="1512"/>
            <w:vAlign w:val="center"/>
            <w:shd w:fill="F4F7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KAIST</w:t>
            </w:r>
          </w:p>
        </w:tc>
        <w:tc>
          <w:tcPr>
            <w:tcW w:type="dxa" w:w="1512"/>
            <w:vAlign w:val="center"/>
            <w:shd w:fill="F4F7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0.9165</w:t>
            </w:r>
          </w:p>
        </w:tc>
        <w:tc>
          <w:tcPr>
            <w:tcW w:type="dxa" w:w="1512"/>
            <w:vAlign w:val="center"/>
            <w:shd w:fill="F4F7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1.0619</w:t>
            </w:r>
          </w:p>
        </w:tc>
        <w:tc>
          <w:tcPr>
            <w:tcW w:type="dxa" w:w="1512"/>
            <w:vAlign w:val="center"/>
            <w:shd w:fill="F4F7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0.9535</w:t>
            </w:r>
          </w:p>
        </w:tc>
        <w:tc>
          <w:tcPr>
            <w:tcW w:type="dxa" w:w="1512"/>
            <w:vAlign w:val="center"/>
            <w:shd w:fill="F4F7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0.8999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NVAUTO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0.9200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1.2052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0.9446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0.9093</w:t>
            </w:r>
          </w:p>
        </w:tc>
      </w:tr>
      <w:tr>
        <w:tc>
          <w:tcPr>
            <w:tcW w:type="dxa" w:w="1512"/>
            <w:vAlign w:val="center"/>
            <w:shd w:fill="F4F7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Large</w:t>
            </w:r>
          </w:p>
        </w:tc>
        <w:tc>
          <w:tcPr>
            <w:tcW w:type="dxa" w:w="1512"/>
            <w:vAlign w:val="center"/>
            <w:shd w:fill="F4F7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TRIO</w:t>
            </w:r>
          </w:p>
        </w:tc>
        <w:tc>
          <w:tcPr>
            <w:tcW w:type="dxa" w:w="1512"/>
            <w:vAlign w:val="center"/>
            <w:shd w:fill="F4F7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0.9582</w:t>
            </w:r>
          </w:p>
        </w:tc>
        <w:tc>
          <w:tcPr>
            <w:tcW w:type="dxa" w:w="1512"/>
            <w:vAlign w:val="center"/>
            <w:shd w:fill="F4F7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0.2919</w:t>
            </w:r>
          </w:p>
        </w:tc>
        <w:tc>
          <w:tcPr>
            <w:tcW w:type="dxa" w:w="1512"/>
            <w:vAlign w:val="center"/>
            <w:shd w:fill="F4F7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0.9613</w:t>
            </w:r>
          </w:p>
        </w:tc>
        <w:tc>
          <w:tcPr>
            <w:tcW w:type="dxa" w:w="1512"/>
            <w:vAlign w:val="center"/>
            <w:shd w:fill="F4F7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000000"/>
                <w:sz w:val="18"/>
              </w:rPr>
              <w:t>0.9568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000000"/>
                <w:sz w:val="18"/>
              </w:rPr>
              <w:t>KAIST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000000"/>
                <w:sz w:val="18"/>
              </w:rPr>
              <w:t>0.9614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000000"/>
                <w:sz w:val="18"/>
              </w:rPr>
              <w:t>0.2881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000000"/>
                <w:sz w:val="18"/>
              </w:rPr>
              <w:t>0.9734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0.9516</w:t>
            </w:r>
          </w:p>
        </w:tc>
      </w:tr>
      <w:tr>
        <w:tc>
          <w:tcPr>
            <w:tcW w:type="dxa" w:w="1512"/>
            <w:vAlign w:val="center"/>
            <w:shd w:fill="F4F7FB" w:val="clear"/>
          </w:tcPr>
          <w:p>
            <w:pPr>
              <w:spacing w:before="40" w:after="40"/>
              <w:jc w:val="center"/>
            </w:pPr>
            <w:r/>
          </w:p>
        </w:tc>
        <w:tc>
          <w:tcPr>
            <w:tcW w:type="dxa" w:w="1512"/>
            <w:vAlign w:val="center"/>
            <w:shd w:fill="F4F7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NVAUTO</w:t>
            </w:r>
          </w:p>
        </w:tc>
        <w:tc>
          <w:tcPr>
            <w:tcW w:type="dxa" w:w="1512"/>
            <w:vAlign w:val="center"/>
            <w:shd w:fill="F4F7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0.9594</w:t>
            </w:r>
          </w:p>
        </w:tc>
        <w:tc>
          <w:tcPr>
            <w:tcW w:type="dxa" w:w="1512"/>
            <w:vAlign w:val="center"/>
            <w:shd w:fill="F4F7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0.5618</w:t>
            </w:r>
          </w:p>
        </w:tc>
        <w:tc>
          <w:tcPr>
            <w:tcW w:type="dxa" w:w="1512"/>
            <w:vAlign w:val="center"/>
            <w:shd w:fill="F4F7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0.9665</w:t>
            </w:r>
          </w:p>
        </w:tc>
        <w:tc>
          <w:tcPr>
            <w:tcW w:type="dxa" w:w="1512"/>
            <w:vAlign w:val="center"/>
            <w:shd w:fill="F4F7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0.9545</w:t>
            </w:r>
          </w:p>
        </w:tc>
      </w:tr>
    </w:tbl>
    <w:p>
      <w:pPr>
        <w:spacing w:after="80"/>
      </w:pPr>
    </w:p>
    <w:p>
      <w:pPr>
        <w:spacing w:before="0" w:after="160" w:line="384" w:lineRule="auto"/>
        <w:ind w:firstLine="283"/>
      </w:pPr>
      <w:r>
        <w:rPr>
          <w:rFonts w:ascii="Malgun Gothic" w:hAnsi="Malgun Gothic" w:eastAsia="Malgun Gothic" w:cs="Malgun Gothic"/>
          <w:b w:val="0"/>
          <w:i w:val="0"/>
          <w:color w:val="000000"/>
          <w:sz w:val="22"/>
        </w:rPr>
        <w:t>게이트를 쓰지 않은 Stage 2(0.8948)는 KAIST(0.8923)를 넘고 NVAUTO(0.8971)에 근접한다. Stage 3(TRIO) Overall DSC·HD95는 표에서 가장 좋지만 정답 마스크 게이트의 상한이다. 크기별로는 Small·Medium에서 TRIO가 앞서고, Large는 KAIST가 DSC·HD95에서 약 0.003·0.004 px 앞선다. 베이스라인의 임계값 최적 이득은 +0.0009 / +0.0001 DSC로 거의 둔감하다.</w:t>
      </w:r>
    </w:p>
    <w:p>
      <w:pPr>
        <w:spacing w:before="0" w:after="160" w:line="384" w:lineRule="auto"/>
        <w:ind w:firstLine="283"/>
      </w:pPr>
      <w:r>
        <w:rPr>
          <w:rFonts w:ascii="Malgun Gothic" w:hAnsi="Malgun Gothic" w:eastAsia="Malgun Gothic" w:cs="Malgun Gothic"/>
          <w:b w:val="0"/>
          <w:i w:val="0"/>
          <w:color w:val="000000"/>
          <w:sz w:val="22"/>
        </w:rPr>
        <w:t>단일 백본+단일 PPO와의 ablation에서도 같은 경향이 확인된다(환자 210명).</w:t>
      </w:r>
    </w:p>
    <w:p>
      <w:pPr>
        <w:spacing w:before="160" w:after="200" w:line="312" w:lineRule="auto"/>
        <w:jc w:val="center"/>
      </w:pPr>
      <w:r>
        <w:rPr>
          <w:rFonts w:ascii="Malgun Gothic" w:hAnsi="Malgun Gothic" w:eastAsia="Malgun Gothic" w:cs="Malgun Gothic"/>
          <w:b/>
          <w:i/>
          <w:color w:val="555555"/>
          <w:sz w:val="20"/>
        </w:rPr>
        <w:t>표 4.</w:t>
      </w: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 xml:space="preserve"> 종양 크기(Small/Medium/Large)별 RL 보정 후 DSC·HD95 비교. TRIO는 모든 구간에서 단일 백본+단일 PPO(U-Net, UNet++, SegResNet)보다 DSC가 높고 HD95가 낮으며, 특히 Small에서 격차가 가장 크다.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vAlign w:val="center"/>
            <w:shd w:fill="1F4D78" w:val="clear"/>
          </w:tcPr>
          <w:p>
            <w:pPr>
              <w:spacing w:before="40" w:after="40"/>
              <w:jc w:val="center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Size</w:t>
            </w:r>
          </w:p>
        </w:tc>
        <w:tc>
          <w:tcPr>
            <w:tcW w:type="dxa" w:w="1512"/>
            <w:vAlign w:val="center"/>
            <w:shd w:fill="1F4D78" w:val="clear"/>
          </w:tcPr>
          <w:p>
            <w:pPr>
              <w:spacing w:before="40" w:after="40"/>
              <w:jc w:val="center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Metric</w:t>
            </w:r>
          </w:p>
        </w:tc>
        <w:tc>
          <w:tcPr>
            <w:tcW w:type="dxa" w:w="1512"/>
            <w:vAlign w:val="center"/>
            <w:shd w:fill="1F4D78" w:val="clear"/>
          </w:tcPr>
          <w:p>
            <w:pPr>
              <w:spacing w:before="40" w:after="40"/>
              <w:jc w:val="center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TRIO</w:t>
            </w:r>
          </w:p>
        </w:tc>
        <w:tc>
          <w:tcPr>
            <w:tcW w:type="dxa" w:w="1512"/>
            <w:vAlign w:val="center"/>
            <w:shd w:fill="1F4D78" w:val="clear"/>
          </w:tcPr>
          <w:p>
            <w:pPr>
              <w:spacing w:before="40" w:after="40"/>
              <w:jc w:val="center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U-Net</w:t>
            </w:r>
          </w:p>
        </w:tc>
        <w:tc>
          <w:tcPr>
            <w:tcW w:type="dxa" w:w="1512"/>
            <w:vAlign w:val="center"/>
            <w:shd w:fill="1F4D78" w:val="clear"/>
          </w:tcPr>
          <w:p>
            <w:pPr>
              <w:spacing w:before="40" w:after="40"/>
              <w:jc w:val="center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UNet++</w:t>
            </w:r>
          </w:p>
        </w:tc>
        <w:tc>
          <w:tcPr>
            <w:tcW w:type="dxa" w:w="1512"/>
            <w:vAlign w:val="center"/>
            <w:shd w:fill="1F4D78" w:val="clear"/>
          </w:tcPr>
          <w:p>
            <w:pPr>
              <w:spacing w:before="40" w:after="40"/>
              <w:jc w:val="center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SegResNet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Small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DSC ↑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000000"/>
                <w:sz w:val="18"/>
              </w:rPr>
              <w:t>0.8429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0.5499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0.6649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0.6599</w:t>
            </w:r>
          </w:p>
        </w:tc>
      </w:tr>
      <w:tr>
        <w:tc>
          <w:tcPr>
            <w:tcW w:type="dxa" w:w="1512"/>
            <w:vAlign w:val="center"/>
            <w:shd w:fill="F4F7FB" w:val="clear"/>
          </w:tcPr>
          <w:p>
            <w:pPr>
              <w:spacing w:before="40" w:after="40"/>
              <w:jc w:val="center"/>
            </w:pPr>
            <w:r/>
          </w:p>
        </w:tc>
        <w:tc>
          <w:tcPr>
            <w:tcW w:type="dxa" w:w="1512"/>
            <w:vAlign w:val="center"/>
            <w:shd w:fill="F4F7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HD95 ↓</w:t>
            </w:r>
          </w:p>
        </w:tc>
        <w:tc>
          <w:tcPr>
            <w:tcW w:type="dxa" w:w="1512"/>
            <w:vAlign w:val="center"/>
            <w:shd w:fill="F4F7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000000"/>
                <w:sz w:val="18"/>
              </w:rPr>
              <w:t>2.95</w:t>
            </w:r>
          </w:p>
        </w:tc>
        <w:tc>
          <w:tcPr>
            <w:tcW w:type="dxa" w:w="1512"/>
            <w:vAlign w:val="center"/>
            <w:shd w:fill="F4F7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9.18</w:t>
            </w:r>
          </w:p>
        </w:tc>
        <w:tc>
          <w:tcPr>
            <w:tcW w:type="dxa" w:w="1512"/>
            <w:vAlign w:val="center"/>
            <w:shd w:fill="F4F7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5.93</w:t>
            </w:r>
          </w:p>
        </w:tc>
        <w:tc>
          <w:tcPr>
            <w:tcW w:type="dxa" w:w="1512"/>
            <w:vAlign w:val="center"/>
            <w:shd w:fill="F4F7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6.72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Medium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DSC ↑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000000"/>
                <w:sz w:val="18"/>
              </w:rPr>
              <w:t>0.9314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0.8288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0.8273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0.8281</w:t>
            </w:r>
          </w:p>
        </w:tc>
      </w:tr>
      <w:tr>
        <w:tc>
          <w:tcPr>
            <w:tcW w:type="dxa" w:w="1512"/>
            <w:vAlign w:val="center"/>
            <w:shd w:fill="F4F7FB" w:val="clear"/>
          </w:tcPr>
          <w:p>
            <w:pPr>
              <w:spacing w:before="40" w:after="40"/>
              <w:jc w:val="center"/>
            </w:pPr>
            <w:r/>
          </w:p>
        </w:tc>
        <w:tc>
          <w:tcPr>
            <w:tcW w:type="dxa" w:w="1512"/>
            <w:vAlign w:val="center"/>
            <w:shd w:fill="F4F7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HD95 ↓</w:t>
            </w:r>
          </w:p>
        </w:tc>
        <w:tc>
          <w:tcPr>
            <w:tcW w:type="dxa" w:w="1512"/>
            <w:vAlign w:val="center"/>
            <w:shd w:fill="F4F7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000000"/>
                <w:sz w:val="18"/>
              </w:rPr>
              <w:t>1.00</w:t>
            </w:r>
          </w:p>
        </w:tc>
        <w:tc>
          <w:tcPr>
            <w:tcW w:type="dxa" w:w="1512"/>
            <w:vAlign w:val="center"/>
            <w:shd w:fill="F4F7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2.23</w:t>
            </w:r>
          </w:p>
        </w:tc>
        <w:tc>
          <w:tcPr>
            <w:tcW w:type="dxa" w:w="1512"/>
            <w:vAlign w:val="center"/>
            <w:shd w:fill="F4F7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3.49</w:t>
            </w:r>
          </w:p>
        </w:tc>
        <w:tc>
          <w:tcPr>
            <w:tcW w:type="dxa" w:w="1512"/>
            <w:vAlign w:val="center"/>
            <w:shd w:fill="F4F7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3.52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Large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DSC ↑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000000"/>
                <w:sz w:val="18"/>
              </w:rPr>
              <w:t>0.9582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0.9034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0.8857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0.8827</w:t>
            </w:r>
          </w:p>
        </w:tc>
      </w:tr>
      <w:tr>
        <w:tc>
          <w:tcPr>
            <w:tcW w:type="dxa" w:w="1512"/>
            <w:vAlign w:val="center"/>
            <w:shd w:fill="F4F7FB" w:val="clear"/>
          </w:tcPr>
          <w:p>
            <w:pPr>
              <w:spacing w:before="40" w:after="40"/>
              <w:jc w:val="center"/>
            </w:pPr>
            <w:r/>
          </w:p>
        </w:tc>
        <w:tc>
          <w:tcPr>
            <w:tcW w:type="dxa" w:w="1512"/>
            <w:vAlign w:val="center"/>
            <w:shd w:fill="F4F7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HD95 ↓</w:t>
            </w:r>
          </w:p>
        </w:tc>
        <w:tc>
          <w:tcPr>
            <w:tcW w:type="dxa" w:w="1512"/>
            <w:vAlign w:val="center"/>
            <w:shd w:fill="F4F7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000000"/>
                <w:sz w:val="18"/>
              </w:rPr>
              <w:t>0.29</w:t>
            </w:r>
          </w:p>
        </w:tc>
        <w:tc>
          <w:tcPr>
            <w:tcW w:type="dxa" w:w="1512"/>
            <w:vAlign w:val="center"/>
            <w:shd w:fill="F4F7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1.88</w:t>
            </w:r>
          </w:p>
        </w:tc>
        <w:tc>
          <w:tcPr>
            <w:tcW w:type="dxa" w:w="1512"/>
            <w:vAlign w:val="center"/>
            <w:shd w:fill="F4F7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3.39</w:t>
            </w:r>
          </w:p>
        </w:tc>
        <w:tc>
          <w:tcPr>
            <w:tcW w:type="dxa" w:w="1512"/>
            <w:vAlign w:val="center"/>
            <w:shd w:fill="F4F7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8"/>
              </w:rPr>
              <w:t>3.47</w:t>
            </w:r>
          </w:p>
        </w:tc>
      </w:tr>
    </w:tbl>
    <w:p>
      <w:pPr>
        <w:spacing w:after="80"/>
      </w:pPr>
    </w:p>
    <w:p>
      <w:pPr>
        <w:keepNext/>
        <w:spacing w:before="240" w:after="120"/>
      </w:pPr>
      <w:r>
        <w:rPr>
          <w:rFonts w:ascii="Malgun Gothic" w:hAnsi="Malgun Gothic" w:eastAsia="Malgun Gothic" w:cs="Malgun Gothic"/>
          <w:b/>
          <w:i w:val="0"/>
          <w:color w:val="1F4D78"/>
          <w:sz w:val="26"/>
        </w:rPr>
        <w:t>4.4 정성 비교</w:t>
      </w:r>
    </w:p>
    <w:p>
      <w:pPr>
        <w:spacing w:before="160" w:after="200" w:line="312" w:lineRule="auto"/>
        <w:jc w:val="center"/>
      </w:pPr>
      <w:r>
        <w:rPr>
          <w:rFonts w:ascii="Malgun Gothic" w:hAnsi="Malgun Gothic" w:eastAsia="Malgun Gothic" w:cs="Malgun Gothic"/>
          <w:b/>
          <w:i/>
          <w:color w:val="555555"/>
          <w:sz w:val="20"/>
        </w:rPr>
        <w:t>그림 3.</w:t>
      </w: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 xml:space="preserve"> Stage 2 Rough와 Stage 3 RL 보정의 정성 비교. PPO 이후 경계가 정답에 더 가깝게 붙고, 제시한 여섯 표본 모두 ΔDSC가 양수이다.</w:t>
      </w:r>
    </w:p>
    <w:p>
      <w:pPr>
        <w:spacing w:before="160" w:after="200" w:line="312" w:lineRule="auto"/>
        <w:jc w:val="center"/>
      </w:pPr>
      <w:r>
        <w:rPr>
          <w:rFonts w:ascii="Malgun Gothic" w:hAnsi="Malgun Gothic" w:eastAsia="Malgun Gothic" w:cs="Malgun Gothic"/>
          <w:b/>
          <w:i/>
          <w:color w:val="555555"/>
          <w:sz w:val="20"/>
        </w:rPr>
        <w:t>그림 4.</w:t>
      </w: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 xml:space="preserve"> 클래스 평균 DSC 부근 대표 슬라이스에서 TRIO·KAIST·NVAUTO를 비교한다. Small·Medium에서는 TRIO가 정답 윤곽에 더 밀착하고, Large에서는 세 방법의 차이가 작다.</w:t>
      </w:r>
    </w:p>
    <w:p>
      <w:pPr>
        <w:spacing w:before="160" w:after="200" w:line="312" w:lineRule="auto"/>
        <w:jc w:val="center"/>
      </w:pPr>
      <w:r>
        <w:rPr>
          <w:rFonts w:ascii="Malgun Gothic" w:hAnsi="Malgun Gothic" w:eastAsia="Malgun Gothic" w:cs="Malgun Gothic"/>
          <w:b/>
          <w:i/>
          <w:color w:val="555555"/>
          <w:sz w:val="20"/>
        </w:rPr>
        <w:t>그림 5.</w:t>
      </w: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 xml:space="preserve"> RL 보정 후 마스크만 비교한 3×4 격자. 행마다 동일 슬라이스이며 클래스 평균 DSC에 가까운 표본이다. TRIO가 전 구간에서 경계가 GT에 더 가깝고, Small에서 단일 백본과의 차이가 가장 잘 드러난다.</w:t>
      </w:r>
    </w:p>
    <w:p>
      <w:pPr>
        <w:keepNext/>
        <w:spacing w:before="240" w:after="120"/>
      </w:pPr>
      <w:r>
        <w:rPr>
          <w:rFonts w:ascii="Malgun Gothic" w:hAnsi="Malgun Gothic" w:eastAsia="Malgun Gothic" w:cs="Malgun Gothic"/>
          <w:b/>
          <w:i w:val="0"/>
          <w:color w:val="1F4D78"/>
          <w:sz w:val="26"/>
        </w:rPr>
        <w:t>4.5 논의</w:t>
      </w:r>
    </w:p>
    <w:p>
      <w:pPr>
        <w:spacing w:before="0" w:after="160" w:line="384" w:lineRule="auto"/>
        <w:ind w:firstLine="283"/>
      </w:pPr>
      <w:r>
        <w:rPr>
          <w:rFonts w:ascii="Malgun Gothic" w:hAnsi="Malgun Gothic" w:eastAsia="Malgun Gothic" w:cs="Malgun Gothic"/>
          <w:b w:val="0"/>
          <w:i w:val="0"/>
          <w:color w:val="000000"/>
          <w:sz w:val="22"/>
        </w:rPr>
        <w:t>크기별 전문가 모델은 병변 규모에 따라 다른 수용영역과 특징 추출 능력을 활용하게 한다. 중형에서 UNet++와 보정기의 조합은 단일 강한 백본보다 앞선다. 대형에서는 ED/TC 헤드와 전 구간 학습 이후 격차가 약 0.003까지 줄었으나 KAIST가 여전히 약간 높다. 분류기 검증 정확도 0.8512는 면적 300 / 700 경계 부근의 레이블 모호성으로 설명되며, 오분류된 슬라이스는 부적절한 전문가로 라우팅된다.</w:t>
      </w:r>
    </w:p>
    <w:p>
      <w:pPr>
        <w:spacing w:before="0" w:after="160" w:line="384" w:lineRule="auto"/>
        <w:ind w:firstLine="283"/>
      </w:pPr>
      <w:r>
        <w:rPr>
          <w:rFonts w:ascii="Malgun Gothic" w:hAnsi="Malgun Gothic" w:eastAsia="Malgun Gothic" w:cs="Malgun Gothic"/>
          <w:b w:val="0"/>
          <w:i w:val="0"/>
          <w:color w:val="000000"/>
          <w:sz w:val="22"/>
        </w:rPr>
        <w:t>결과 해석에는 다음이 필요하다. 첫째, 단조 DSC 게이트는 정답 마스크를 사용하므로 임상 추론을 직접 모사하지 못한다. 게이트 없이 측정되는 값은 Stage 2의 0.8948이다. 둘째, 베이스라인은 원 논문의 3차원 재현이 아니라 본 실험 조건에 맞춘 각색이다. 셋째, 외부 기관 데이터와 3차원 일관성 검증은 수행하지 않았다.</w:t>
      </w:r>
    </w:p>
    <w:p>
      <w:pPr>
        <w:keepNext/>
        <w:spacing w:before="320" w:after="120"/>
      </w:pPr>
      <w:r>
        <w:rPr>
          <w:rFonts w:ascii="Malgun Gothic" w:hAnsi="Malgun Gothic" w:eastAsia="Malgun Gothic" w:cs="Malgun Gothic"/>
          <w:b/>
          <w:i w:val="0"/>
          <w:color w:val="1F4D78"/>
          <w:sz w:val="32"/>
        </w:rPr>
        <w:t>5. 결론 및 향후 연구</w:t>
      </w:r>
    </w:p>
    <w:p>
      <w:pPr>
        <w:spacing w:before="0" w:after="160" w:line="384" w:lineRule="auto"/>
        <w:ind w:firstLine="283"/>
      </w:pPr>
      <w:r>
        <w:rPr>
          <w:rFonts w:ascii="Malgun Gothic" w:hAnsi="Malgun Gothic" w:eastAsia="Malgun Gothic" w:cs="Malgun Gothic"/>
          <w:b w:val="0"/>
          <w:i w:val="0"/>
          <w:color w:val="000000"/>
          <w:sz w:val="22"/>
        </w:rPr>
        <w:t xml:space="preserve">본 연구는 뇌종양 MRI 분할을 위해 크기 기반 동적 라우팅과 PPO 기반 경계 보정을 결합한 </w:t>
      </w:r>
      <w:r>
        <w:rPr>
          <w:rFonts w:ascii="Malgun Gothic" w:hAnsi="Malgun Gothic" w:eastAsia="Malgun Gothic" w:cs="Malgun Gothic"/>
          <w:b/>
          <w:i w:val="0"/>
          <w:color w:val="000000"/>
          <w:sz w:val="22"/>
        </w:rPr>
        <w:t>TRIO</w:t>
      </w:r>
      <w:r>
        <w:rPr>
          <w:rFonts w:ascii="Malgun Gothic" w:hAnsi="Malgun Gothic" w:eastAsia="Malgun Gothic" w:cs="Malgun Gothic"/>
          <w:b w:val="0"/>
          <w:i w:val="0"/>
          <w:color w:val="000000"/>
          <w:sz w:val="22"/>
        </w:rPr>
        <w:t>(4-Stage Adaptive Pipeline)를 제안했다. 종양 크기 분류(Stage 1) → 크기별 전문가 분할(Stage 2) → 맞춤형 PPO 보정(Stage 3) → DSC·HD95 최종 평가(Stage 4)로 전 과정을 자동화했다. BraTS 2021의 환자 단위 검증 집합에서 전체 DSC 0.9031과 HD95 1.6060 px를 기록했으며, 초기 분할 대비 DSC를 0.83%p 향상시키고 HD95를 0.13 px 감소시켰다. Large 최종 DSC 0.9582·HD95 0.2919 px로 경계 정밀도가 높았고, 게이트를 쓰지 않은 Stage 2 DSC 0.8948은 같은 조건의 2차원 각색 베이스라인과 경쟁한다.</w:t>
      </w:r>
    </w:p>
    <w:p>
      <w:pPr>
        <w:spacing w:before="0" w:after="160" w:line="384" w:lineRule="auto"/>
        <w:ind w:firstLine="283"/>
      </w:pPr>
      <w:r>
        <w:rPr>
          <w:rFonts w:ascii="Malgun Gothic" w:hAnsi="Malgun Gothic" w:eastAsia="Malgun Gothic" w:cs="Malgun Gothic"/>
          <w:b w:val="0"/>
          <w:i w:val="0"/>
          <w:color w:val="000000"/>
          <w:sz w:val="22"/>
        </w:rPr>
        <w:t>향후에는 첫째, 정답 마스크 없이 사용할 수 있는 불확실성 기반 안전 게이트를 설계해야 한다. 둘째, SOTA 대비 격차를 더 줄이기 위해 PPO 정책을 고도화하고, 2차원 슬라이스가 아닌 3차원 볼륨(voxel) 단위의 정책으로 확장해 슬라이스 간 일관성을 확보할 필요가 있다. 셋째, 소형 병변의 과소분할과 분류기 오분류를 줄이는 방향으로 라우팅을 재설계하고, 기관 외부 데이터에서 일반화 성능을 검증해야 한다.</w:t>
      </w:r>
    </w:p>
    <w:p>
      <w:pPr>
        <w:keepNext/>
        <w:spacing w:before="320" w:after="120"/>
      </w:pPr>
      <w:r>
        <w:rPr>
          <w:rFonts w:ascii="Malgun Gothic" w:hAnsi="Malgun Gothic" w:eastAsia="Malgun Gothic" w:cs="Malgun Gothic"/>
          <w:b/>
          <w:i w:val="0"/>
          <w:color w:val="1F4D78"/>
          <w:sz w:val="32"/>
        </w:rPr>
        <w:t>6. 참고문헌</w:t>
      </w:r>
    </w:p>
    <w:p>
      <w:pPr>
        <w:spacing w:before="0" w:after="160" w:line="384" w:lineRule="auto"/>
        <w:ind w:firstLine="283"/>
      </w:pPr>
      <w:r>
        <w:rPr>
          <w:rFonts w:ascii="Malgun Gothic" w:hAnsi="Malgun Gothic" w:eastAsia="Malgun Gothic" w:cs="Malgun Gothic"/>
          <w:b w:val="0"/>
          <w:i w:val="0"/>
          <w:color w:val="000000"/>
          <w:sz w:val="22"/>
        </w:rPr>
        <w:t xml:space="preserve">[1] O. Ronneberger, P. Fischer, and T. Brox, “U-Net: Convolutional Networks for Biomedical Image Segmentation,” </w:t>
      </w:r>
      <w:r>
        <w:rPr>
          <w:rFonts w:ascii="Malgun Gothic" w:hAnsi="Malgun Gothic" w:eastAsia="Malgun Gothic" w:cs="Malgun Gothic"/>
          <w:b w:val="0"/>
          <w:i/>
          <w:color w:val="000000"/>
          <w:sz w:val="22"/>
        </w:rPr>
        <w:t>MICCAI</w:t>
      </w:r>
      <w:r>
        <w:rPr>
          <w:rFonts w:ascii="Malgun Gothic" w:hAnsi="Malgun Gothic" w:eastAsia="Malgun Gothic" w:cs="Malgun Gothic"/>
          <w:b w:val="0"/>
          <w:i w:val="0"/>
          <w:color w:val="000000"/>
          <w:sz w:val="22"/>
        </w:rPr>
        <w:t>, 2015.</w:t>
      </w:r>
    </w:p>
    <w:p>
      <w:pPr>
        <w:spacing w:before="0" w:after="160" w:line="384" w:lineRule="auto"/>
        <w:ind w:firstLine="283"/>
      </w:pPr>
      <w:r>
        <w:rPr>
          <w:rFonts w:ascii="Malgun Gothic" w:hAnsi="Malgun Gothic" w:eastAsia="Malgun Gothic" w:cs="Malgun Gothic"/>
          <w:b w:val="0"/>
          <w:i w:val="0"/>
          <w:color w:val="000000"/>
          <w:sz w:val="22"/>
        </w:rPr>
        <w:t xml:space="preserve">[2] Z. Zhou, M. M. R. Siddiquee, N. Tajbakhsh, and J. Liang, “UNet++: A Nested U-Net Architecture for Medical Image Segmentation,” </w:t>
      </w:r>
      <w:r>
        <w:rPr>
          <w:rFonts w:ascii="Malgun Gothic" w:hAnsi="Malgun Gothic" w:eastAsia="Malgun Gothic" w:cs="Malgun Gothic"/>
          <w:b w:val="0"/>
          <w:i/>
          <w:color w:val="000000"/>
          <w:sz w:val="22"/>
        </w:rPr>
        <w:t>IEEE Transactions on Medical Imaging</w:t>
      </w:r>
      <w:r>
        <w:rPr>
          <w:rFonts w:ascii="Malgun Gothic" w:hAnsi="Malgun Gothic" w:eastAsia="Malgun Gothic" w:cs="Malgun Gothic"/>
          <w:b w:val="0"/>
          <w:i w:val="0"/>
          <w:color w:val="000000"/>
          <w:sz w:val="22"/>
        </w:rPr>
        <w:t>, 2020.</w:t>
      </w:r>
    </w:p>
    <w:p>
      <w:pPr>
        <w:spacing w:before="0" w:after="160" w:line="384" w:lineRule="auto"/>
        <w:ind w:firstLine="283"/>
      </w:pPr>
      <w:r>
        <w:rPr>
          <w:rFonts w:ascii="Malgun Gothic" w:hAnsi="Malgun Gothic" w:eastAsia="Malgun Gothic" w:cs="Malgun Gothic"/>
          <w:b w:val="0"/>
          <w:i w:val="0"/>
          <w:color w:val="000000"/>
          <w:sz w:val="22"/>
        </w:rPr>
        <w:t xml:space="preserve">[3] A. Myronenko, “3D MRI Brain Tumor Segmentation Using Autoencoder Regularization,” </w:t>
      </w:r>
      <w:r>
        <w:rPr>
          <w:rFonts w:ascii="Malgun Gothic" w:hAnsi="Malgun Gothic" w:eastAsia="Malgun Gothic" w:cs="Malgun Gothic"/>
          <w:b w:val="0"/>
          <w:i/>
          <w:color w:val="000000"/>
          <w:sz w:val="22"/>
        </w:rPr>
        <w:t>MICCAI BraTS Challenge</w:t>
      </w:r>
      <w:r>
        <w:rPr>
          <w:rFonts w:ascii="Malgun Gothic" w:hAnsi="Malgun Gothic" w:eastAsia="Malgun Gothic" w:cs="Malgun Gothic"/>
          <w:b w:val="0"/>
          <w:i w:val="0"/>
          <w:color w:val="000000"/>
          <w:sz w:val="22"/>
        </w:rPr>
        <w:t>, 2018.</w:t>
      </w:r>
    </w:p>
    <w:p>
      <w:pPr>
        <w:spacing w:before="0" w:after="160" w:line="384" w:lineRule="auto"/>
        <w:ind w:firstLine="283"/>
      </w:pPr>
      <w:r>
        <w:rPr>
          <w:rFonts w:ascii="Malgun Gothic" w:hAnsi="Malgun Gothic" w:eastAsia="Malgun Gothic" w:cs="Malgun Gothic"/>
          <w:b w:val="0"/>
          <w:i w:val="0"/>
          <w:color w:val="000000"/>
          <w:sz w:val="22"/>
        </w:rPr>
        <w:t xml:space="preserve">[4] X. Lou et al., “CaraNet: Context Axial Reverse Attention Network for Segmentation of Small Medical Objects,” </w:t>
      </w:r>
      <w:r>
        <w:rPr>
          <w:rFonts w:ascii="Malgun Gothic" w:hAnsi="Malgun Gothic" w:eastAsia="Malgun Gothic" w:cs="Malgun Gothic"/>
          <w:b w:val="0"/>
          <w:i/>
          <w:color w:val="000000"/>
          <w:sz w:val="22"/>
        </w:rPr>
        <w:t>IEEE Transactions on Medical Imaging</w:t>
      </w:r>
      <w:r>
        <w:rPr>
          <w:rFonts w:ascii="Malgun Gothic" w:hAnsi="Malgun Gothic" w:eastAsia="Malgun Gothic" w:cs="Malgun Gothic"/>
          <w:b w:val="0"/>
          <w:i w:val="0"/>
          <w:color w:val="000000"/>
          <w:sz w:val="22"/>
        </w:rPr>
        <w:t>, 2023.</w:t>
      </w:r>
    </w:p>
    <w:p>
      <w:pPr>
        <w:spacing w:before="0" w:after="160" w:line="384" w:lineRule="auto"/>
        <w:ind w:firstLine="283"/>
      </w:pPr>
      <w:r>
        <w:rPr>
          <w:rFonts w:ascii="Malgun Gothic" w:hAnsi="Malgun Gothic" w:eastAsia="Malgun Gothic" w:cs="Malgun Gothic"/>
          <w:b w:val="0"/>
          <w:i w:val="0"/>
          <w:color w:val="000000"/>
          <w:sz w:val="22"/>
        </w:rPr>
        <w:t>[5] J. Schulman et al., “Proximal Policy Optimization Algorithms,” arXiv:1707.06347, 2017.</w:t>
      </w:r>
    </w:p>
    <w:p>
      <w:pPr>
        <w:spacing w:before="0" w:after="160" w:line="384" w:lineRule="auto"/>
        <w:ind w:firstLine="283"/>
      </w:pPr>
      <w:r>
        <w:rPr>
          <w:rFonts w:ascii="Malgun Gothic" w:hAnsi="Malgun Gothic" w:eastAsia="Malgun Gothic" w:cs="Malgun Gothic"/>
          <w:b w:val="0"/>
          <w:i w:val="0"/>
          <w:color w:val="000000"/>
          <w:sz w:val="22"/>
        </w:rPr>
        <w:t>[6] U. Baid et al., “The RSNA-ASNR-MICCAI BraTS 2021 Benchmark on Brain Tumor Segmentation and Radiogenomic Classification,” arXiv:2107.02314, 2021.</w:t>
      </w:r>
    </w:p>
    <w:p>
      <w:pPr>
        <w:spacing w:before="0" w:after="160" w:line="384" w:lineRule="auto"/>
        <w:ind w:firstLine="283"/>
      </w:pPr>
      <w:r>
        <w:rPr>
          <w:rFonts w:ascii="Malgun Gothic" w:hAnsi="Malgun Gothic" w:eastAsia="Malgun Gothic" w:cs="Malgun Gothic"/>
          <w:b w:val="0"/>
          <w:i w:val="0"/>
          <w:color w:val="000000"/>
          <w:sz w:val="22"/>
        </w:rPr>
        <w:t>[7] H. M. Luu and S.-H. Park, “Extending nn-UNet for Brain Tumor Segmentation,” arXiv:2112.04653, 2021.</w:t>
      </w:r>
    </w:p>
    <w:p>
      <w:pPr>
        <w:spacing w:before="0" w:after="160" w:line="384" w:lineRule="auto"/>
        <w:ind w:firstLine="283"/>
      </w:pPr>
      <w:r>
        <w:rPr>
          <w:rFonts w:ascii="Malgun Gothic" w:hAnsi="Malgun Gothic" w:eastAsia="Malgun Gothic" w:cs="Malgun Gothic"/>
          <w:b w:val="0"/>
          <w:i w:val="0"/>
          <w:color w:val="000000"/>
          <w:sz w:val="22"/>
        </w:rPr>
        <w:t>[8] A. Myronenko, A. Hatamizadeh, et al., “Redundancy Reduction in Semantic Segmentation of 3D Brain Tumor MRIs,” arXiv:2111.00742, 2021.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