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第X章 仿真算例设计与实验分析</w:t>
      </w:r>
    </w:p>
    <w:p>
      <w:pPr>
        <w:pStyle w:val="Heading2"/>
      </w:pPr>
      <w:r>
        <w:t>X.1 仿真算例设计</w:t>
      </w:r>
    </w:p>
    <w:p>
      <w:r>
        <w:t>为验证所提出的基于EUROPA框架的机械臂任务规划算法的有效性与性能，本章设计了一个完整的空间站机械臂操作任务算例，并与基于PDDL+的UPMurphi规划器进行对比实验分析。</w:t>
      </w:r>
    </w:p>
    <w:p>
      <w:pPr>
        <w:pStyle w:val="Heading3"/>
      </w:pPr>
      <w:r>
        <w:t>X.1.1 任务场景描述</w:t>
      </w:r>
    </w:p>
    <w:p>
      <w:r>
        <w:t>仿真场景为空间站机械臂执行一次完整的舱外设备转移操作任务，涵盖从加电准备到最终手爪收拢的全流程。任务包含6个阶段、23个子任务，其中部分子任务在SWA（转位机构）附近执行，需要考虑机械臂对中继卫星通信链路的遮挡约束。</w:t>
      </w:r>
    </w:p>
    <w:p>
      <w:r>
        <w:t>任务阶段及子任务如表X-1所示。</w:t>
      </w:r>
    </w:p>
    <w:p>
      <w:pPr>
        <w:jc w:val="center"/>
      </w:pPr>
      <w:r>
        <w:rPr>
          <w:b/>
        </w:rPr>
        <w:t>表X-1 机械臂任务阶段与子任务列表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阶段名称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子任务名称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时长(s)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约束说明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机械臂重启及加电保温</w:t>
            </w:r>
          </w:p>
        </w:tc>
        <w:tc>
          <w:tcPr>
            <w:tcW w:type="dxa" w:w="1440"/>
          </w:tcPr>
          <w:p>
            <w:r>
              <w:t>1a</w:t>
            </w:r>
          </w:p>
        </w:tc>
        <w:tc>
          <w:tcPr>
            <w:tcW w:type="dxa" w:w="1440"/>
          </w:tcPr>
          <w:p>
            <w:r>
              <w:t>大臂重启加电保温</w:t>
            </w:r>
          </w:p>
        </w:tc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运动前12h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1b</w:t>
            </w:r>
          </w:p>
        </w:tc>
        <w:tc>
          <w:tcPr>
            <w:tcW w:type="dxa" w:w="1440"/>
          </w:tcPr>
          <w:p>
            <w:r>
              <w:t>小臂重启加电保温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运动前5h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平台状态设置</w:t>
            </w:r>
          </w:p>
        </w:tc>
        <w:tc>
          <w:tcPr>
            <w:tcW w:type="dxa" w:w="1440"/>
          </w:tcPr>
          <w:p>
            <w:r>
              <w:t>2a</w:t>
            </w:r>
          </w:p>
        </w:tc>
        <w:tc>
          <w:tcPr>
            <w:tcW w:type="dxa" w:w="1440"/>
          </w:tcPr>
          <w:p>
            <w:r>
              <w:t>太阳帆板设置</w:t>
            </w:r>
          </w:p>
        </w:tc>
        <w:tc>
          <w:tcPr>
            <w:tcW w:type="dxa" w:w="1440"/>
          </w:tcPr>
          <w:p>
            <w:r>
              <w:t>2410</w:t>
            </w:r>
          </w:p>
        </w:tc>
        <w:tc>
          <w:tcPr>
            <w:tcW w:type="dxa" w:w="1440"/>
          </w:tcPr>
          <w:p>
            <w:r>
              <w:t>顺序执行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2b</w:t>
            </w:r>
          </w:p>
        </w:tc>
        <w:tc>
          <w:tcPr>
            <w:tcW w:type="dxa" w:w="1440"/>
          </w:tcPr>
          <w:p>
            <w:r>
              <w:t>舱外相机状态设置</w:t>
            </w:r>
          </w:p>
        </w:tc>
        <w:tc>
          <w:tcPr>
            <w:tcW w:type="dxa" w:w="1440"/>
          </w:tcPr>
          <w:p>
            <w:r>
              <w:t>960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2c</w:t>
            </w:r>
          </w:p>
        </w:tc>
        <w:tc>
          <w:tcPr>
            <w:tcW w:type="dxa" w:w="1440"/>
          </w:tcPr>
          <w:p>
            <w:r>
              <w:t>禁止自主能源安全模式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2d</w:t>
            </w:r>
          </w:p>
        </w:tc>
        <w:tc>
          <w:tcPr>
            <w:tcW w:type="dxa" w:w="1440"/>
          </w:tcPr>
          <w:p>
            <w:r>
              <w:t>禁止电源保护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2e</w:t>
            </w:r>
          </w:p>
        </w:tc>
        <w:tc>
          <w:tcPr>
            <w:tcW w:type="dxa" w:w="1440"/>
          </w:tcPr>
          <w:p>
            <w:r>
              <w:t>禁止母线掉电自主处置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2f</w:t>
            </w:r>
          </w:p>
        </w:tc>
        <w:tc>
          <w:tcPr>
            <w:tcW w:type="dxa" w:w="1440"/>
          </w:tcPr>
          <w:p>
            <w:r>
              <w:t>禁止热控辐射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大臂运动至组合构型</w:t>
            </w:r>
          </w:p>
        </w:tc>
        <w:tc>
          <w:tcPr>
            <w:tcW w:type="dxa" w:w="1440"/>
          </w:tcPr>
          <w:p>
            <w:r>
              <w:t>3a</w:t>
            </w:r>
          </w:p>
        </w:tc>
        <w:tc>
          <w:tcPr>
            <w:tcW w:type="dxa" w:w="1440"/>
          </w:tcPr>
          <w:p>
            <w:r>
              <w:t>小臂任务前重启</w:t>
            </w:r>
          </w:p>
        </w:tc>
        <w:tc>
          <w:tcPr>
            <w:tcW w:type="dxa" w:w="1440"/>
          </w:tcPr>
          <w:p>
            <w:r>
              <w:t>540</w:t>
            </w:r>
          </w:p>
        </w:tc>
        <w:tc>
          <w:tcPr>
            <w:tcW w:type="dxa" w:w="1440"/>
          </w:tcPr>
          <w:p>
            <w:r>
              <w:t>顺序执行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3b</w:t>
            </w:r>
          </w:p>
        </w:tc>
        <w:tc>
          <w:tcPr>
            <w:tcW w:type="dxa" w:w="1440"/>
          </w:tcPr>
          <w:p>
            <w:r>
              <w:t>大臂运动准备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3c</w:t>
            </w:r>
          </w:p>
        </w:tc>
        <w:tc>
          <w:tcPr>
            <w:tcW w:type="dxa" w:w="1440"/>
          </w:tcPr>
          <w:p>
            <w:r>
              <w:t>转移小臂至中间构型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3d</w:t>
            </w:r>
          </w:p>
        </w:tc>
        <w:tc>
          <w:tcPr>
            <w:tcW w:type="dxa" w:w="1440"/>
          </w:tcPr>
          <w:p>
            <w:r>
              <w:t>大臂运动至舱I上方</w:t>
            </w:r>
          </w:p>
        </w:tc>
        <w:tc>
          <w:tcPr>
            <w:tcW w:type="dxa" w:w="1440"/>
          </w:tcPr>
          <w:p>
            <w:r>
              <w:t>440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3e</w:t>
            </w:r>
          </w:p>
        </w:tc>
        <w:tc>
          <w:tcPr>
            <w:tcW w:type="dxa" w:w="1440"/>
          </w:tcPr>
          <w:p>
            <w:r>
              <w:t>大臂运动至组合构型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小臂运动至SWA</w:t>
            </w:r>
          </w:p>
        </w:tc>
        <w:tc>
          <w:tcPr>
            <w:tcW w:type="dxa" w:w="1440"/>
          </w:tcPr>
          <w:p>
            <w:r>
              <w:t>4a</w:t>
            </w:r>
          </w:p>
        </w:tc>
        <w:tc>
          <w:tcPr>
            <w:tcW w:type="dxa" w:w="1440"/>
          </w:tcPr>
          <w:p>
            <w:r>
              <w:t>小臂至SWA 500mm</w:t>
            </w:r>
          </w:p>
        </w:tc>
        <w:tc>
          <w:tcPr>
            <w:tcW w:type="dxa" w:w="1440"/>
          </w:tcPr>
          <w:p>
            <w:r>
              <w:t>370</w:t>
            </w:r>
          </w:p>
        </w:tc>
        <w:tc>
          <w:tcPr>
            <w:tcW w:type="dxa" w:w="1440"/>
          </w:tcPr>
          <w:p>
            <w:r>
              <w:t>需通信+无遮挡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4b</w:t>
            </w:r>
          </w:p>
        </w:tc>
        <w:tc>
          <w:tcPr>
            <w:tcW w:type="dxa" w:w="1440"/>
          </w:tcPr>
          <w:p>
            <w:r>
              <w:t>小臂至SWA 300mm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需通信+无遮挡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视觉捕获SWA</w:t>
            </w:r>
          </w:p>
        </w:tc>
        <w:tc>
          <w:tcPr>
            <w:tcW w:type="dxa" w:w="1440"/>
          </w:tcPr>
          <w:p>
            <w:r>
              <w:t>5a</w:t>
            </w:r>
          </w:p>
        </w:tc>
        <w:tc>
          <w:tcPr>
            <w:tcW w:type="dxa" w:w="1440"/>
          </w:tcPr>
          <w:p>
            <w:r>
              <w:t>视觉精定位109mm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需通信+无遮挡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5b</w:t>
            </w:r>
          </w:p>
        </w:tc>
        <w:tc>
          <w:tcPr>
            <w:tcW w:type="dxa" w:w="1440"/>
          </w:tcPr>
          <w:p>
            <w:r>
              <w:t>小臂捕获SWA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需通信+无遮挡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小臂独立工作设置</w:t>
            </w:r>
          </w:p>
        </w:tc>
        <w:tc>
          <w:tcPr>
            <w:tcW w:type="dxa" w:w="1440"/>
          </w:tcPr>
          <w:p>
            <w:r>
              <w:t>6a</w:t>
            </w:r>
          </w:p>
        </w:tc>
        <w:tc>
          <w:tcPr>
            <w:tcW w:type="dxa" w:w="1440"/>
          </w:tcPr>
          <w:p>
            <w:r>
              <w:t>大臂给小臂断电</w:t>
            </w:r>
          </w:p>
        </w:tc>
        <w:tc>
          <w:tcPr>
            <w:tcW w:type="dxa" w:w="1440"/>
          </w:tcPr>
          <w:p>
            <w:r>
              <w:t>260</w:t>
            </w:r>
          </w:p>
        </w:tc>
        <w:tc>
          <w:tcPr>
            <w:tcW w:type="dxa" w:w="1440"/>
          </w:tcPr>
          <w:p>
            <w:r>
              <w:t>顺序执行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</w:r>
          </w:p>
        </w:tc>
        <w:tc>
          <w:tcPr>
            <w:tcW w:type="dxa" w:w="1440"/>
          </w:tcPr>
          <w:p>
            <w:r>
              <w:t>小臂SWA上电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</w:r>
          </w:p>
        </w:tc>
        <w:tc>
          <w:tcPr>
            <w:tcW w:type="dxa" w:w="1440"/>
          </w:tcPr>
          <w:p>
            <w:r>
              <w:t>释放双臂组合转接件(a)</w:t>
            </w:r>
          </w:p>
        </w:tc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</w:r>
          </w:p>
        </w:tc>
        <w:tc>
          <w:tcPr>
            <w:tcW w:type="dxa" w:w="1440"/>
          </w:tcPr>
          <w:p>
            <w:r>
              <w:t>视觉伺服精定位105mm</w:t>
            </w:r>
          </w:p>
        </w:tc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</w:r>
          </w:p>
        </w:tc>
        <w:tc>
          <w:tcPr>
            <w:tcW w:type="dxa" w:w="1440"/>
          </w:tcPr>
          <w:p>
            <w:r>
              <w:t>释放双臂组合转接件(b)</w:t>
            </w:r>
          </w:p>
        </w:tc>
        <w:tc>
          <w:tcPr>
            <w:tcW w:type="dxa" w:w="1440"/>
          </w:tcPr>
          <w:p>
            <w:r>
              <w:t>245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6f</w:t>
            </w:r>
          </w:p>
        </w:tc>
        <w:tc>
          <w:tcPr>
            <w:tcW w:type="dxa" w:w="1440"/>
          </w:tcPr>
          <w:p>
            <w:r>
              <w:t>小臂手爪收拢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3"/>
      </w:pPr>
      <w:r>
        <w:t>X.1.2 约束条件设定</w:t>
      </w:r>
    </w:p>
    <w:p>
      <w:r>
        <w:t>仿真算例设定以下约束条件：</w:t>
      </w:r>
    </w:p>
    <w:p>
      <w:r>
        <w:rPr>
          <w:b/>
        </w:rPr>
        <w:t>(4) 通信窗口约束：</w:t>
      </w:r>
      <w:r>
        <w:t>空间站以约92分钟的轨道周期运行，每圈通过中继卫星可获得约67分钟的通信可见窗口。所有机械臂操作子任务必须在通信可用期间执行（contained_by InComms约束）。仿真设定10个轨道圈次的通信窗口，覆盖约15.3小时的任务时间。</w:t>
      </w:r>
    </w:p>
    <w:p>
      <w:r>
        <w:rPr>
          <w:b/>
        </w:rPr>
        <w:t>(1) SWA遮挡约束：</w:t>
      </w:r>
      <w:r>
        <w:t>当机械臂在SWA（转位机构）附近操作时（Phase 4和Phase 5），机械臂臂杆可能遮挡空间站天线与中继卫星之间的通信链路。遮挡区间通过轨道动力学计算（SGP4传播）和机械臂运动学（DH参数正解）联合确定。在遮挡活跃期间，禁止执行SWA附近的操作（contained_by OcclusionInactive约束）。</w:t>
      </w:r>
    </w:p>
    <w:p>
      <w:r>
        <w:rPr>
          <w:b/>
        </w:rPr>
        <w:t>(3) 时序约束：</w:t>
      </w:r>
      <w:r>
        <w:t>大臂重启加电需在运动开始前12小时执行；小臂重启加电需提前5小时执行。Phase 2至Phase 6内部子任务严格顺序执行（met_by链式约束）。</w:t>
      </w:r>
    </w:p>
    <w:p>
      <w:r>
        <w:rPr>
          <w:b/>
        </w:rPr>
        <w:t>(2) 持续时间约束：</w:t>
      </w:r>
      <w:r>
        <w:t>每个子任务的持续时间由操作规程确定，为固定值（eq(duration, T)约束）。</w:t>
      </w:r>
    </w:p>
    <w:p/>
    <w:p>
      <w:pPr>
        <w:jc w:val="center"/>
      </w:pPr>
      <w:r>
        <w:rPr>
          <w:b/>
        </w:rPr>
        <w:t>表X-2 通信窗口与SWA遮挡约束设定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约束类型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区间编号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起始时间(s)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结束时间(s)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通信窗口</w:t>
            </w:r>
          </w:p>
        </w:tc>
        <w:tc>
          <w:tcPr>
            <w:tcW w:type="dxa" w:w="1728"/>
          </w:tcPr>
          <w:p>
            <w:r>
              <w:t>C01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4000</w:t>
            </w:r>
          </w:p>
        </w:tc>
        <w:tc>
          <w:tcPr>
            <w:tcW w:type="dxa" w:w="1728"/>
          </w:tcPr>
          <w:p>
            <w:r>
              <w:t>可用</w:t>
            </w:r>
          </w:p>
        </w:tc>
      </w:tr>
      <w:tr>
        <w:tc>
          <w:tcPr>
            <w:tcW w:type="dxa" w:w="1728"/>
          </w:tcPr>
          <w:p>
            <w:r>
              <w:t>通信窗口</w:t>
            </w:r>
          </w:p>
        </w:tc>
        <w:tc>
          <w:tcPr>
            <w:tcW w:type="dxa" w:w="1728"/>
          </w:tcPr>
          <w:p>
            <w:r>
              <w:t>C02</w:t>
            </w:r>
          </w:p>
        </w:tc>
        <w:tc>
          <w:tcPr>
            <w:tcW w:type="dxa" w:w="1728"/>
          </w:tcPr>
          <w:p>
            <w:r>
              <w:t>4000</w:t>
            </w:r>
          </w:p>
        </w:tc>
        <w:tc>
          <w:tcPr>
            <w:tcW w:type="dxa" w:w="1728"/>
          </w:tcPr>
          <w:p>
            <w:r>
              <w:t>22000</w:t>
            </w:r>
          </w:p>
        </w:tc>
        <w:tc>
          <w:tcPr>
            <w:tcW w:type="dxa" w:w="1728"/>
          </w:tcPr>
          <w:p>
            <w:r>
              <w:t>中断</w:t>
            </w:r>
          </w:p>
        </w:tc>
      </w:tr>
      <w:tr>
        <w:tc>
          <w:tcPr>
            <w:tcW w:type="dxa" w:w="1728"/>
          </w:tcPr>
          <w:p>
            <w:r>
              <w:t>通信窗口</w:t>
            </w:r>
          </w:p>
        </w:tc>
        <w:tc>
          <w:tcPr>
            <w:tcW w:type="dxa" w:w="1728"/>
          </w:tcPr>
          <w:p>
            <w:r>
              <w:t>C03</w:t>
            </w:r>
          </w:p>
        </w:tc>
        <w:tc>
          <w:tcPr>
            <w:tcW w:type="dxa" w:w="1728"/>
          </w:tcPr>
          <w:p>
            <w:r>
              <w:t>22000</w:t>
            </w:r>
          </w:p>
        </w:tc>
        <w:tc>
          <w:tcPr>
            <w:tcW w:type="dxa" w:w="1728"/>
          </w:tcPr>
          <w:p>
            <w:r>
              <w:t>26200</w:t>
            </w:r>
          </w:p>
        </w:tc>
        <w:tc>
          <w:tcPr>
            <w:tcW w:type="dxa" w:w="1728"/>
          </w:tcPr>
          <w:p>
            <w:r>
              <w:t>可用</w:t>
            </w:r>
          </w:p>
        </w:tc>
      </w:tr>
      <w:tr>
        <w:tc>
          <w:tcPr>
            <w:tcW w:type="dxa" w:w="1728"/>
          </w:tcPr>
          <w:p>
            <w:r>
              <w:t>通信窗口</w:t>
            </w:r>
          </w:p>
        </w:tc>
        <w:tc>
          <w:tcPr>
            <w:tcW w:type="dxa" w:w="1728"/>
          </w:tcPr>
          <w:p>
            <w:r>
              <w:t>C04</w:t>
            </w:r>
          </w:p>
        </w:tc>
        <w:tc>
          <w:tcPr>
            <w:tcW w:type="dxa" w:w="1728"/>
          </w:tcPr>
          <w:p>
            <w:r>
              <w:t>26200</w:t>
            </w:r>
          </w:p>
        </w:tc>
        <w:tc>
          <w:tcPr>
            <w:tcW w:type="dxa" w:w="1728"/>
          </w:tcPr>
          <w:p>
            <w:r>
              <w:t>27600</w:t>
            </w:r>
          </w:p>
        </w:tc>
        <w:tc>
          <w:tcPr>
            <w:tcW w:type="dxa" w:w="1728"/>
          </w:tcPr>
          <w:p>
            <w:r>
              <w:t>中断</w:t>
            </w:r>
          </w:p>
        </w:tc>
      </w:tr>
      <w:tr>
        <w:tc>
          <w:tcPr>
            <w:tcW w:type="dxa" w:w="1728"/>
          </w:tcPr>
          <w:p>
            <w:r>
              <w:t>通信窗口</w:t>
            </w:r>
          </w:p>
        </w:tc>
        <w:tc>
          <w:tcPr>
            <w:tcW w:type="dxa" w:w="1728"/>
          </w:tcPr>
          <w:p>
            <w:r>
              <w:t>C05</w:t>
            </w:r>
          </w:p>
        </w:tc>
        <w:tc>
          <w:tcPr>
            <w:tcW w:type="dxa" w:w="1728"/>
          </w:tcPr>
          <w:p>
            <w:r>
              <w:t>27600</w:t>
            </w:r>
          </w:p>
        </w:tc>
        <w:tc>
          <w:tcPr>
            <w:tcW w:type="dxa" w:w="1728"/>
          </w:tcPr>
          <w:p>
            <w:r>
              <w:t>46000</w:t>
            </w:r>
          </w:p>
        </w:tc>
        <w:tc>
          <w:tcPr>
            <w:tcW w:type="dxa" w:w="1728"/>
          </w:tcPr>
          <w:p>
            <w:r>
              <w:t>可用</w:t>
            </w:r>
          </w:p>
        </w:tc>
      </w:tr>
      <w:tr>
        <w:tc>
          <w:tcPr>
            <w:tcW w:type="dxa" w:w="1728"/>
          </w:tcPr>
          <w:p>
            <w:r>
              <w:t>通信窗口</w:t>
            </w:r>
          </w:p>
        </w:tc>
        <w:tc>
          <w:tcPr>
            <w:tcW w:type="dxa" w:w="1728"/>
          </w:tcPr>
          <w:p>
            <w:r>
              <w:t>C06</w:t>
            </w:r>
          </w:p>
        </w:tc>
        <w:tc>
          <w:tcPr>
            <w:tcW w:type="dxa" w:w="1728"/>
          </w:tcPr>
          <w:p>
            <w:r>
              <w:t>46000</w:t>
            </w:r>
          </w:p>
        </w:tc>
        <w:tc>
          <w:tcPr>
            <w:tcW w:type="dxa" w:w="1728"/>
          </w:tcPr>
          <w:p>
            <w:r>
              <w:t>49000</w:t>
            </w:r>
          </w:p>
        </w:tc>
        <w:tc>
          <w:tcPr>
            <w:tcW w:type="dxa" w:w="1728"/>
          </w:tcPr>
          <w:p>
            <w:r>
              <w:t>中断</w:t>
            </w:r>
          </w:p>
        </w:tc>
      </w:tr>
      <w:tr>
        <w:tc>
          <w:tcPr>
            <w:tcW w:type="dxa" w:w="1728"/>
          </w:tcPr>
          <w:p>
            <w:r>
              <w:t>通信窗口</w:t>
            </w:r>
          </w:p>
        </w:tc>
        <w:tc>
          <w:tcPr>
            <w:tcW w:type="dxa" w:w="1728"/>
          </w:tcPr>
          <w:p>
            <w:r>
              <w:t>C07</w:t>
            </w:r>
          </w:p>
        </w:tc>
        <w:tc>
          <w:tcPr>
            <w:tcW w:type="dxa" w:w="1728"/>
          </w:tcPr>
          <w:p>
            <w:r>
              <w:t>49000</w:t>
            </w:r>
          </w:p>
        </w:tc>
        <w:tc>
          <w:tcPr>
            <w:tcW w:type="dxa" w:w="1728"/>
          </w:tcPr>
          <w:p>
            <w:r>
              <w:t>55000</w:t>
            </w:r>
          </w:p>
        </w:tc>
        <w:tc>
          <w:tcPr>
            <w:tcW w:type="dxa" w:w="1728"/>
          </w:tcPr>
          <w:p>
            <w:r>
              <w:t>可用</w:t>
            </w:r>
          </w:p>
        </w:tc>
      </w:tr>
      <w:tr>
        <w:tc>
          <w:tcPr>
            <w:tcW w:type="dxa" w:w="1728"/>
          </w:tcPr>
          <w:p>
            <w:r>
              <w:t>SWA遮挡</w:t>
            </w:r>
          </w:p>
        </w:tc>
        <w:tc>
          <w:tcPr>
            <w:tcW w:type="dxa" w:w="1728"/>
          </w:tcPr>
          <w:p>
            <w:r>
              <w:t>O01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40000</w:t>
            </w:r>
          </w:p>
        </w:tc>
        <w:tc>
          <w:tcPr>
            <w:tcW w:type="dxa" w:w="1728"/>
          </w:tcPr>
          <w:p>
            <w:r>
              <w:t>不活跃</w:t>
            </w:r>
          </w:p>
        </w:tc>
      </w:tr>
      <w:tr>
        <w:tc>
          <w:tcPr>
            <w:tcW w:type="dxa" w:w="1728"/>
          </w:tcPr>
          <w:p>
            <w:r>
              <w:t>SWA遮挡</w:t>
            </w:r>
          </w:p>
        </w:tc>
        <w:tc>
          <w:tcPr>
            <w:tcW w:type="dxa" w:w="1728"/>
          </w:tcPr>
          <w:p>
            <w:r>
              <w:t>O02</w:t>
            </w:r>
          </w:p>
        </w:tc>
        <w:tc>
          <w:tcPr>
            <w:tcW w:type="dxa" w:w="1728"/>
          </w:tcPr>
          <w:p>
            <w:r>
              <w:t>40000</w:t>
            </w:r>
          </w:p>
        </w:tc>
        <w:tc>
          <w:tcPr>
            <w:tcW w:type="dxa" w:w="1728"/>
          </w:tcPr>
          <w:p>
            <w:r>
              <w:t>40400</w:t>
            </w:r>
          </w:p>
        </w:tc>
        <w:tc>
          <w:tcPr>
            <w:tcW w:type="dxa" w:w="1728"/>
          </w:tcPr>
          <w:p>
            <w:r>
              <w:t>活跃</w:t>
            </w:r>
          </w:p>
        </w:tc>
      </w:tr>
      <w:tr>
        <w:tc>
          <w:tcPr>
            <w:tcW w:type="dxa" w:w="1728"/>
          </w:tcPr>
          <w:p>
            <w:r>
              <w:t>SWA遮挡</w:t>
            </w:r>
          </w:p>
        </w:tc>
        <w:tc>
          <w:tcPr>
            <w:tcW w:type="dxa" w:w="1728"/>
          </w:tcPr>
          <w:p>
            <w:r>
              <w:t>O03</w:t>
            </w:r>
          </w:p>
        </w:tc>
        <w:tc>
          <w:tcPr>
            <w:tcW w:type="dxa" w:w="1728"/>
          </w:tcPr>
          <w:p>
            <w:r>
              <w:t>40400</w:t>
            </w:r>
          </w:p>
        </w:tc>
        <w:tc>
          <w:tcPr>
            <w:tcW w:type="dxa" w:w="1728"/>
          </w:tcPr>
          <w:p>
            <w:r>
              <w:t>55000</w:t>
            </w:r>
          </w:p>
        </w:tc>
        <w:tc>
          <w:tcPr>
            <w:tcW w:type="dxa" w:w="1728"/>
          </w:tcPr>
          <w:p>
            <w:r>
              <w:t>不活跃</w:t>
            </w:r>
          </w:p>
        </w:tc>
      </w:tr>
    </w:tbl>
    <w:p/>
    <w:p>
      <w:pPr>
        <w:pStyle w:val="Heading2"/>
      </w:pPr>
      <w:r>
        <w:t>X.2 实验方法</w:t>
      </w:r>
    </w:p>
    <w:p>
      <w:pPr>
        <w:pStyle w:val="Heading3"/>
      </w:pPr>
      <w:r>
        <w:t>X.2.1 EUROPA规划求解方法</w:t>
      </w:r>
    </w:p>
    <w:p>
      <w:r>
        <w:t>基于EUROPA框架的求解方法采用缺陷导向时序回溯搜索算法（Flaw-Directed Temporal Backtracking Search），其核心步骤如下：</w:t>
      </w:r>
    </w:p>
    <w:p>
      <w:r>
        <w:rPr>
          <w:b/>
        </w:rPr>
        <w:t>步骤1：</w:t>
      </w:r>
      <w:r>
        <w:t>问题建模：使用NDDL建模语言定义任务阶段为Timeline上的action，通信窗口和遮挡状态为独立Timeline上的fact。阶段间通过met_by链式约束建立顺序关系，Phase 4/5通过contained_by约束关联CommWindow和OcclusionSWA时间线。</w:t>
      </w:r>
    </w:p>
    <w:p>
      <w:r>
        <w:rPr>
          <w:b/>
        </w:rPr>
        <w:t>步骤2：</w:t>
      </w:r>
      <w:r>
        <w:t>初始状态设定：将Phase 1子任务作为fact固定放置（12h/5h提前量），Phase 2-6为action由求解器自动调度。通信窗口和遮挡区间作为环境Timeline的fact序列输入。</w:t>
      </w:r>
    </w:p>
    <w:p>
      <w:r>
        <w:rPr>
          <w:b/>
        </w:rPr>
        <w:t>步骤3：</w:t>
      </w:r>
      <w:r>
        <w:t>求解器配置：设定FlawManager优先级顺序为ThreatManager → OpenConditionManager → UnboundVariableManager，使用HorizonFilter过滤超出规划范围的缺陷，最大搜索步数5000，规划范围[0, 55000]秒。</w:t>
      </w:r>
    </w:p>
    <w:p>
      <w:r>
        <w:rPr>
          <w:b/>
        </w:rPr>
        <w:t>步骤4：</w:t>
      </w:r>
      <w:r>
        <w:t>求解过程：求解器从目标Token（MissionComplete）反向推理，通过规则触发创建Phase 6→5→4→3→2的因果链，每个action的contained_by约束驱动通信窗口的MERGE匹配。STN增量Dijkstra传播确保时序一致性。</w:t>
      </w:r>
    </w:p>
    <w:p>
      <w:r>
        <w:rPr>
          <w:b/>
        </w:rPr>
        <w:t>步骤5：</w:t>
      </w:r>
      <w:r>
        <w:t>结果提取：从EUROPA输出的Plan Database中提取每个Token的时间界，取最早开始时间构造可执行计划。</w:t>
      </w:r>
    </w:p>
    <w:p>
      <w:pPr>
        <w:pStyle w:val="Heading3"/>
      </w:pPr>
      <w:r>
        <w:t>X.2.2 UPMurphi规划求解方法</w:t>
      </w:r>
    </w:p>
    <w:p>
      <w:r>
        <w:t>UPMurphi是一种基于PDDL+语言的混合规划器，采用显式状态空间搜索策略求解包含连续过程的规划问题。其核心特点是能够处理PDDL+中的process和event语义，通过离散化时间步进行前向状态空间搜索。</w:t>
      </w:r>
    </w:p>
    <w:p>
      <w:r>
        <w:t>UPMurphi求解方法的核心步骤：</w:t>
      </w:r>
    </w:p>
    <w:p>
      <w:r>
        <w:rPr>
          <w:b/>
        </w:rPr>
        <w:t>步骤1：</w:t>
      </w:r>
      <w:r>
        <w:t>问题建模：使用PDDL+语言定义domain和problem，通信窗口和遮挡状态通过timed-initial-literals表示，机械臂运动通过durative-action建模，连续动力学（加速、匀速、减速）通过process建模。</w:t>
      </w:r>
    </w:p>
    <w:p>
      <w:r>
        <w:rPr>
          <w:b/>
        </w:rPr>
        <w:t>步骤2：</w:t>
      </w:r>
      <w:r>
        <w:t>状态空间离散化：UPMurphi将连续时间离散化为固定时间步长Δt，每步检查process的前置条件和effect。对于本算例，时间步长的选取需要平衡精度和计算效率。</w:t>
      </w:r>
    </w:p>
    <w:p>
      <w:r>
        <w:rPr>
          <w:b/>
        </w:rPr>
        <w:t>步骤3：</w:t>
      </w:r>
      <w:r>
        <w:t>前向搜索：从初始状态出发，UPMurphi通过广度优先或启发式搜索探索状态空间。每个状态包含离散谓词（位置、通信状态）和连续变量（时间、角度、速度）的组合。</w:t>
      </w:r>
    </w:p>
    <w:p>
      <w:r>
        <w:rPr>
          <w:b/>
        </w:rPr>
        <w:t>步骤4：</w:t>
      </w:r>
      <w:r>
        <w:t>可达性分析：UPMurphi的验证引擎基于Murphi模型检测器，通过穷举可达状态判断目标是否可达。</w:t>
      </w:r>
    </w:p>
    <w:p>
      <w:pPr>
        <w:pStyle w:val="Heading3"/>
      </w:pPr>
      <w:r>
        <w:t>X.2.3 对比实验设计</w:t>
      </w:r>
    </w:p>
    <w:p>
      <w:r>
        <w:t>为进行公平的对比分析，两种方法使用相同的任务场景（6阶段23子任务）、相同的约束条件（通信窗口、SWA遮挡）和相同的评价指标。</w:t>
      </w:r>
    </w:p>
    <w:p>
      <w:pPr>
        <w:jc w:val="center"/>
      </w:pPr>
      <w:r>
        <w:rPr>
          <w:b/>
        </w:rPr>
        <w:t>表X-3 对比实验设计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EUROPA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UPMurphi</w:t>
            </w:r>
          </w:p>
        </w:tc>
      </w:tr>
      <w:tr>
        <w:tc>
          <w:tcPr>
            <w:tcW w:type="dxa" w:w="2880"/>
          </w:tcPr>
          <w:p>
            <w:r>
              <w:t>建模语言</w:t>
            </w:r>
          </w:p>
        </w:tc>
        <w:tc>
          <w:tcPr>
            <w:tcW w:type="dxa" w:w="2880"/>
          </w:tcPr>
          <w:p>
            <w:r>
              <w:t>NDDL (声明式时间线)</w:t>
            </w:r>
          </w:p>
        </w:tc>
        <w:tc>
          <w:tcPr>
            <w:tcW w:type="dxa" w:w="2880"/>
          </w:tcPr>
          <w:p>
            <w:r>
              <w:t>PDDL+ (状态+过程)</w:t>
            </w:r>
          </w:p>
        </w:tc>
      </w:tr>
      <w:tr>
        <w:tc>
          <w:tcPr>
            <w:tcW w:type="dxa" w:w="2880"/>
          </w:tcPr>
          <w:p>
            <w:r>
              <w:t>搜索策略</w:t>
            </w:r>
          </w:p>
        </w:tc>
        <w:tc>
          <w:tcPr>
            <w:tcW w:type="dxa" w:w="2880"/>
          </w:tcPr>
          <w:p>
            <w:r>
              <w:t>缺陷导向回溯搜索</w:t>
            </w:r>
          </w:p>
        </w:tc>
        <w:tc>
          <w:tcPr>
            <w:tcW w:type="dxa" w:w="2880"/>
          </w:tcPr>
          <w:p>
            <w:r>
              <w:t>前向状态空间搜索</w:t>
            </w:r>
          </w:p>
        </w:tc>
      </w:tr>
      <w:tr>
        <w:tc>
          <w:tcPr>
            <w:tcW w:type="dxa" w:w="2880"/>
          </w:tcPr>
          <w:p>
            <w:r>
              <w:t>时序推理</w:t>
            </w:r>
          </w:p>
        </w:tc>
        <w:tc>
          <w:tcPr>
            <w:tcW w:type="dxa" w:w="2880"/>
          </w:tcPr>
          <w:p>
            <w:r>
              <w:t>STN增量Dijkstra</w:t>
            </w:r>
          </w:p>
        </w:tc>
        <w:tc>
          <w:tcPr>
            <w:tcW w:type="dxa" w:w="2880"/>
          </w:tcPr>
          <w:p>
            <w:r>
              <w:t>离散化时间步进</w:t>
            </w:r>
          </w:p>
        </w:tc>
      </w:tr>
      <w:tr>
        <w:tc>
          <w:tcPr>
            <w:tcW w:type="dxa" w:w="2880"/>
          </w:tcPr>
          <w:p>
            <w:r>
              <w:t>连续动力学</w:t>
            </w:r>
          </w:p>
        </w:tc>
        <w:tc>
          <w:tcPr>
            <w:tcW w:type="dxa" w:w="2880"/>
          </w:tcPr>
          <w:p>
            <w:r>
              <w:t>持续时间预计算</w:t>
            </w:r>
          </w:p>
        </w:tc>
        <w:tc>
          <w:tcPr>
            <w:tcW w:type="dxa" w:w="2880"/>
          </w:tcPr>
          <w:p>
            <w:r>
              <w:t>process在线仿真</w:t>
            </w:r>
          </w:p>
        </w:tc>
      </w:tr>
      <w:tr>
        <w:tc>
          <w:tcPr>
            <w:tcW w:type="dxa" w:w="2880"/>
          </w:tcPr>
          <w:p>
            <w:r>
              <w:t>约束处理</w:t>
            </w:r>
          </w:p>
        </w:tc>
        <w:tc>
          <w:tcPr>
            <w:tcW w:type="dxa" w:w="2880"/>
          </w:tcPr>
          <w:p>
            <w:r>
              <w:t>约束传播剪枝</w:t>
            </w:r>
          </w:p>
        </w:tc>
        <w:tc>
          <w:tcPr>
            <w:tcW w:type="dxa" w:w="2880"/>
          </w:tcPr>
          <w:p>
            <w:r>
              <w:t>状态可达性检查</w:t>
            </w:r>
          </w:p>
        </w:tc>
      </w:tr>
      <w:tr>
        <w:tc>
          <w:tcPr>
            <w:tcW w:type="dxa" w:w="2880"/>
          </w:tcPr>
          <w:p>
            <w:r>
              <w:t>目标推理</w:t>
            </w:r>
          </w:p>
        </w:tc>
        <w:tc>
          <w:tcPr>
            <w:tcW w:type="dxa" w:w="2880"/>
          </w:tcPr>
          <w:p>
            <w:r>
              <w:t>反向链式推理</w:t>
            </w:r>
          </w:p>
        </w:tc>
        <w:tc>
          <w:tcPr>
            <w:tcW w:type="dxa" w:w="2880"/>
          </w:tcPr>
          <w:p>
            <w:r>
              <w:t>前向搜索到达目标</w:t>
            </w:r>
          </w:p>
        </w:tc>
      </w:tr>
      <w:tr>
        <w:tc>
          <w:tcPr>
            <w:tcW w:type="dxa" w:w="2880"/>
          </w:tcPr>
          <w:p>
            <w:r>
              <w:t>评价指标</w:t>
            </w:r>
          </w:p>
        </w:tc>
        <w:tc>
          <w:tcPr>
            <w:tcW w:type="dxa" w:w="2880"/>
          </w:tcPr>
          <w:p>
            <w:r>
              <w:t>求解步数、耗时、计划质量</w:t>
            </w:r>
          </w:p>
        </w:tc>
        <w:tc>
          <w:tcPr>
            <w:tcW w:type="dxa" w:w="2880"/>
          </w:tcPr>
          <w:p>
            <w:r>
              <w:t>状态数、耗时、计划质量</w:t>
            </w:r>
          </w:p>
        </w:tc>
      </w:tr>
    </w:tbl>
    <w:p/>
    <w:p>
      <w:pPr>
        <w:pStyle w:val="Heading2"/>
      </w:pPr>
      <w:r>
        <w:t>X.3 实验结果</w:t>
      </w:r>
    </w:p>
    <w:p>
      <w:pPr>
        <w:pStyle w:val="Heading3"/>
      </w:pPr>
      <w:r>
        <w:t>X.3.1 EUROPA求解结果</w:t>
      </w:r>
    </w:p>
    <w:p>
      <w:r>
        <w:t>EUROPA求解器在规划范围[0, 55000]秒内成功找到可行计划。求解过程的关键指标如下：</w:t>
      </w:r>
    </w:p>
    <w:p>
      <w:pPr>
        <w:jc w:val="center"/>
      </w:pPr>
      <w:r>
        <w:rPr>
          <w:b/>
        </w:rPr>
        <w:t>表X-4 EUROPA求解结果统计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求解步数</w:t>
            </w:r>
          </w:p>
        </w:tc>
        <w:tc>
          <w:tcPr>
            <w:tcW w:type="dxa" w:w="2880"/>
          </w:tcPr>
          <w:p>
            <w:r>
              <w:t>~200步</w:t>
            </w:r>
          </w:p>
        </w:tc>
        <w:tc>
          <w:tcPr>
            <w:tcW w:type="dxa" w:w="2880"/>
          </w:tcPr>
          <w:p>
            <w:r>
              <w:t>缺陷导向搜索步数</w:t>
            </w:r>
          </w:p>
        </w:tc>
      </w:tr>
      <w:tr>
        <w:tc>
          <w:tcPr>
            <w:tcW w:type="dxa" w:w="2880"/>
          </w:tcPr>
          <w:p>
            <w:r>
              <w:t>求解耗时</w:t>
            </w:r>
          </w:p>
        </w:tc>
        <w:tc>
          <w:tcPr>
            <w:tcW w:type="dxa" w:w="2880"/>
          </w:tcPr>
          <w:p>
            <w:r>
              <w:t>&lt;1秒</w:t>
            </w:r>
          </w:p>
        </w:tc>
        <w:tc>
          <w:tcPr>
            <w:tcW w:type="dxa" w:w="2880"/>
          </w:tcPr>
          <w:p>
            <w:r>
              <w:t>约束传播+搜索总时间</w:t>
            </w:r>
          </w:p>
        </w:tc>
      </w:tr>
      <w:tr>
        <w:tc>
          <w:tcPr>
            <w:tcW w:type="dxa" w:w="2880"/>
          </w:tcPr>
          <w:p>
            <w:r>
              <w:t>回溯次数</w:t>
            </w:r>
          </w:p>
        </w:tc>
        <w:tc>
          <w:tcPr>
            <w:tcW w:type="dxa" w:w="2880"/>
          </w:tcPr>
          <w:p>
            <w:r>
              <w:t>~15次</w:t>
            </w:r>
          </w:p>
        </w:tc>
        <w:tc>
          <w:tcPr>
            <w:tcW w:type="dxa" w:w="2880"/>
          </w:tcPr>
          <w:p>
            <w:r>
              <w:t>通信窗口匹配回溯</w:t>
            </w:r>
          </w:p>
        </w:tc>
      </w:tr>
      <w:tr>
        <w:tc>
          <w:tcPr>
            <w:tcW w:type="dxa" w:w="2880"/>
          </w:tcPr>
          <w:p>
            <w:r>
              <w:t>时间点数</w:t>
            </w:r>
          </w:p>
        </w:tc>
        <w:tc>
          <w:tcPr>
            <w:tcW w:type="dxa" w:w="2880"/>
          </w:tcPr>
          <w:p>
            <w:r>
              <w:t>~80个</w:t>
            </w:r>
          </w:p>
        </w:tc>
        <w:tc>
          <w:tcPr>
            <w:tcW w:type="dxa" w:w="2880"/>
          </w:tcPr>
          <w:p>
            <w:r>
              <w:t>STN中的时间点节点</w:t>
            </w:r>
          </w:p>
        </w:tc>
      </w:tr>
      <w:tr>
        <w:tc>
          <w:tcPr>
            <w:tcW w:type="dxa" w:w="2880"/>
          </w:tcPr>
          <w:p>
            <w:r>
              <w:t>约束边数</w:t>
            </w:r>
          </w:p>
        </w:tc>
        <w:tc>
          <w:tcPr>
            <w:tcW w:type="dxa" w:w="2880"/>
          </w:tcPr>
          <w:p>
            <w:r>
              <w:t>~160条</w:t>
            </w:r>
          </w:p>
        </w:tc>
        <w:tc>
          <w:tcPr>
            <w:tcW w:type="dxa" w:w="2880"/>
          </w:tcPr>
          <w:p>
            <w:r>
              <w:t>STN中的距离约束边</w:t>
            </w:r>
          </w:p>
        </w:tc>
      </w:tr>
      <w:tr>
        <w:tc>
          <w:tcPr>
            <w:tcW w:type="dxa" w:w="2880"/>
          </w:tcPr>
          <w:p>
            <w:r>
              <w:t>计划总时长</w:t>
            </w:r>
          </w:p>
        </w:tc>
        <w:tc>
          <w:tcPr>
            <w:tcW w:type="dxa" w:w="2880"/>
          </w:tcPr>
          <w:p>
            <w:r>
              <w:t>35760秒</w:t>
            </w:r>
          </w:p>
        </w:tc>
        <w:tc>
          <w:tcPr>
            <w:tcW w:type="dxa" w:w="2880"/>
          </w:tcPr>
          <w:p>
            <w:r>
              <w:t>从T=0到任务完成</w:t>
            </w:r>
          </w:p>
        </w:tc>
      </w:tr>
      <w:tr>
        <w:tc>
          <w:tcPr>
            <w:tcW w:type="dxa" w:w="2880"/>
          </w:tcPr>
          <w:p>
            <w:r>
              <w:t>有效操作时长</w:t>
            </w:r>
          </w:p>
        </w:tc>
        <w:tc>
          <w:tcPr>
            <w:tcW w:type="dxa" w:w="2880"/>
          </w:tcPr>
          <w:p>
            <w:r>
              <w:t>8160秒</w:t>
            </w:r>
          </w:p>
        </w:tc>
        <w:tc>
          <w:tcPr>
            <w:tcW w:type="dxa" w:w="2880"/>
          </w:tcPr>
          <w:p>
            <w:r>
              <w:t>所有子任务持续时间之和</w:t>
            </w:r>
          </w:p>
        </w:tc>
      </w:tr>
    </w:tbl>
    <w:p/>
    <w:p>
      <w:r>
        <w:t>表X-5给出了EUROPA生成的完整任务计划，包含各阶段的具体时间安排。</w:t>
      </w:r>
    </w:p>
    <w:p>
      <w:pPr>
        <w:jc w:val="center"/>
      </w:pPr>
      <w:r>
        <w:rPr>
          <w:b/>
        </w:rPr>
        <w:t>表X-5 EUROPA生成的任务计划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任务名称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开始时间(s)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结束时间(s)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时长(s)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通信窗口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遮挡约束</w:t>
            </w:r>
          </w:p>
        </w:tc>
      </w:tr>
      <w:tr>
        <w:tc>
          <w:tcPr>
            <w:tcW w:type="dxa" w:w="1234"/>
          </w:tcPr>
          <w:p>
            <w:r>
              <w:t>1a</w:t>
            </w:r>
          </w:p>
        </w:tc>
        <w:tc>
          <w:tcPr>
            <w:tcW w:type="dxa" w:w="1234"/>
          </w:tcPr>
          <w:p>
            <w:r>
              <w:t>大臂重启加电保温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980</w:t>
            </w:r>
          </w:p>
        </w:tc>
        <w:tc>
          <w:tcPr>
            <w:tcW w:type="dxa" w:w="1234"/>
          </w:tcPr>
          <w:p>
            <w:r>
              <w:t>980</w:t>
            </w:r>
          </w:p>
        </w:tc>
        <w:tc>
          <w:tcPr>
            <w:tcW w:type="dxa" w:w="1234"/>
          </w:tcPr>
          <w:p>
            <w:r>
              <w:t>C01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1b</w:t>
            </w:r>
          </w:p>
        </w:tc>
        <w:tc>
          <w:tcPr>
            <w:tcW w:type="dxa" w:w="1234"/>
          </w:tcPr>
          <w:p>
            <w:r>
              <w:t>小臂重启加电保温</w:t>
            </w:r>
          </w:p>
        </w:tc>
        <w:tc>
          <w:tcPr>
            <w:tcW w:type="dxa" w:w="1234"/>
          </w:tcPr>
          <w:p>
            <w:r>
              <w:t>25200</w:t>
            </w:r>
          </w:p>
        </w:tc>
        <w:tc>
          <w:tcPr>
            <w:tcW w:type="dxa" w:w="1234"/>
          </w:tcPr>
          <w:p>
            <w:r>
              <w:t>25350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C03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等待运动开始</w:t>
            </w:r>
          </w:p>
        </w:tc>
        <w:tc>
          <w:tcPr>
            <w:tcW w:type="dxa" w:w="1234"/>
          </w:tcPr>
          <w:p>
            <w:r>
              <w:t>25350</w:t>
            </w:r>
          </w:p>
        </w:tc>
        <w:tc>
          <w:tcPr>
            <w:tcW w:type="dxa" w:w="1234"/>
          </w:tcPr>
          <w:p>
            <w:r>
              <w:t>27600</w:t>
            </w:r>
          </w:p>
        </w:tc>
        <w:tc>
          <w:tcPr>
            <w:tcW w:type="dxa" w:w="1234"/>
          </w:tcPr>
          <w:p>
            <w:r>
              <w:t>2250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平台状态设置(6项)</w:t>
            </w:r>
          </w:p>
        </w:tc>
        <w:tc>
          <w:tcPr>
            <w:tcW w:type="dxa" w:w="1234"/>
          </w:tcPr>
          <w:p>
            <w:r>
              <w:t>27600</w:t>
            </w:r>
          </w:p>
        </w:tc>
        <w:tc>
          <w:tcPr>
            <w:tcW w:type="dxa" w:w="1234"/>
          </w:tcPr>
          <w:p>
            <w:r>
              <w:t>31130</w:t>
            </w:r>
          </w:p>
        </w:tc>
        <w:tc>
          <w:tcPr>
            <w:tcW w:type="dxa" w:w="1234"/>
          </w:tcPr>
          <w:p>
            <w:r>
              <w:t>3530</w:t>
            </w:r>
          </w:p>
        </w:tc>
        <w:tc>
          <w:tcPr>
            <w:tcW w:type="dxa" w:w="1234"/>
          </w:tcPr>
          <w:p>
            <w:r>
              <w:t>C05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大臂运动至组合(5项)</w:t>
            </w:r>
          </w:p>
        </w:tc>
        <w:tc>
          <w:tcPr>
            <w:tcW w:type="dxa" w:w="1234"/>
          </w:tcPr>
          <w:p>
            <w:r>
              <w:t>31130</w:t>
            </w:r>
          </w:p>
        </w:tc>
        <w:tc>
          <w:tcPr>
            <w:tcW w:type="dxa" w:w="1234"/>
          </w:tcPr>
          <w:p>
            <w:r>
              <w:t>32970</w:t>
            </w:r>
          </w:p>
        </w:tc>
        <w:tc>
          <w:tcPr>
            <w:tcW w:type="dxa" w:w="1234"/>
          </w:tcPr>
          <w:p>
            <w:r>
              <w:t>1840</w:t>
            </w:r>
          </w:p>
        </w:tc>
        <w:tc>
          <w:tcPr>
            <w:tcW w:type="dxa" w:w="1234"/>
          </w:tcPr>
          <w:p>
            <w:r>
              <w:t>C05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小臂运动至SWA(2项)</w:t>
            </w:r>
          </w:p>
        </w:tc>
        <w:tc>
          <w:tcPr>
            <w:tcW w:type="dxa" w:w="1234"/>
          </w:tcPr>
          <w:p>
            <w:r>
              <w:t>32970</w:t>
            </w:r>
          </w:p>
        </w:tc>
        <w:tc>
          <w:tcPr>
            <w:tcW w:type="dxa" w:w="1234"/>
          </w:tcPr>
          <w:p>
            <w:r>
              <w:t>33740</w:t>
            </w:r>
          </w:p>
        </w:tc>
        <w:tc>
          <w:tcPr>
            <w:tcW w:type="dxa" w:w="1234"/>
          </w:tcPr>
          <w:p>
            <w:r>
              <w:t>770</w:t>
            </w:r>
          </w:p>
        </w:tc>
        <w:tc>
          <w:tcPr>
            <w:tcW w:type="dxa" w:w="1234"/>
          </w:tcPr>
          <w:p>
            <w:r>
              <w:t>C05</w:t>
            </w:r>
          </w:p>
        </w:tc>
        <w:tc>
          <w:tcPr>
            <w:tcW w:type="dxa" w:w="1234"/>
          </w:tcPr>
          <w:p>
            <w:r>
              <w:t>需无遮挡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视觉捕获SWA(2项)</w:t>
            </w:r>
          </w:p>
        </w:tc>
        <w:tc>
          <w:tcPr>
            <w:tcW w:type="dxa" w:w="1234"/>
          </w:tcPr>
          <w:p>
            <w:r>
              <w:t>33740</w:t>
            </w:r>
          </w:p>
        </w:tc>
        <w:tc>
          <w:tcPr>
            <w:tcW w:type="dxa" w:w="1234"/>
          </w:tcPr>
          <w:p>
            <w:r>
              <w:t>34200</w:t>
            </w:r>
          </w:p>
        </w:tc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C05</w:t>
            </w:r>
          </w:p>
        </w:tc>
        <w:tc>
          <w:tcPr>
            <w:tcW w:type="dxa" w:w="1234"/>
          </w:tcPr>
          <w:p>
            <w:r>
              <w:t>需无遮挡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小臂独立设置(6项)</w:t>
            </w:r>
          </w:p>
        </w:tc>
        <w:tc>
          <w:tcPr>
            <w:tcW w:type="dxa" w:w="1234"/>
          </w:tcPr>
          <w:p>
            <w:r>
              <w:t>34200</w:t>
            </w:r>
          </w:p>
        </w:tc>
        <w:tc>
          <w:tcPr>
            <w:tcW w:type="dxa" w:w="1234"/>
          </w:tcPr>
          <w:p>
            <w:r>
              <w:t>35760</w:t>
            </w:r>
          </w:p>
        </w:tc>
        <w:tc>
          <w:tcPr>
            <w:tcW w:type="dxa" w:w="1234"/>
          </w:tcPr>
          <w:p>
            <w:r>
              <w:t>1560</w:t>
            </w:r>
          </w:p>
        </w:tc>
        <w:tc>
          <w:tcPr>
            <w:tcW w:type="dxa" w:w="1234"/>
          </w:tcPr>
          <w:p>
            <w:r>
              <w:t>C05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/>
    <w:p>
      <w:r>
        <w:t>从结果可以看出，EUROPA将Phase 2至Phase 6全部安排在第5个通信窗口C05（[27600, 46000]秒）内连续执行，总操作时长8160秒远小于窗口长度18400秒，因此无需跨窗口调度。Phase 4和Phase 5被安排在T=32970至T=34200，远早于SWA遮挡活跃时段（T=40000-40400），满足遮挡约束。</w:t>
      </w:r>
    </w:p>
    <w:p>
      <w:pPr>
        <w:pStyle w:val="Heading3"/>
      </w:pPr>
      <w:r>
        <w:t>X.3.2 UPMurphi求解结果分析</w:t>
      </w:r>
    </w:p>
    <w:p>
      <w:r>
        <w:t>UPMurphi采用PDDL+建模，将机械臂运动的连续动力学（加速、匀速、减速过程）显式建模为process。由于UPMurphi采用前向状态空间搜索，其求解特性与EUROPA有显著差异：</w:t>
      </w:r>
    </w:p>
    <w:p>
      <w:pPr>
        <w:jc w:val="center"/>
      </w:pPr>
      <w:r>
        <w:rPr>
          <w:b/>
        </w:rPr>
        <w:t>表X-6 UPMurphi求解特性分析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估计值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状态空间规模</w:t>
            </w:r>
          </w:p>
        </w:tc>
        <w:tc>
          <w:tcPr>
            <w:tcW w:type="dxa" w:w="2880"/>
          </w:tcPr>
          <w:p>
            <w:r>
              <w:t>O(10⁸)</w:t>
            </w:r>
          </w:p>
        </w:tc>
        <w:tc>
          <w:tcPr>
            <w:tcW w:type="dxa" w:w="2880"/>
          </w:tcPr>
          <w:p>
            <w:r>
              <w:t>离散位置×通信状态×时间步</w:t>
            </w:r>
          </w:p>
        </w:tc>
      </w:tr>
      <w:tr>
        <w:tc>
          <w:tcPr>
            <w:tcW w:type="dxa" w:w="2880"/>
          </w:tcPr>
          <w:p>
            <w:r>
              <w:t>时间步长</w:t>
            </w:r>
          </w:p>
        </w:tc>
        <w:tc>
          <w:tcPr>
            <w:tcW w:type="dxa" w:w="2880"/>
          </w:tcPr>
          <w:p>
            <w:r>
              <w:t>1秒</w:t>
            </w:r>
          </w:p>
        </w:tc>
        <w:tc>
          <w:tcPr>
            <w:tcW w:type="dxa" w:w="2880"/>
          </w:tcPr>
          <w:p>
            <w:r>
              <w:t>连续变量离散化精度</w:t>
            </w:r>
          </w:p>
        </w:tc>
      </w:tr>
      <w:tr>
        <w:tc>
          <w:tcPr>
            <w:tcW w:type="dxa" w:w="2880"/>
          </w:tcPr>
          <w:p>
            <w:r>
              <w:t>搜索方式</w:t>
            </w:r>
          </w:p>
        </w:tc>
        <w:tc>
          <w:tcPr>
            <w:tcW w:type="dxa" w:w="2880"/>
          </w:tcPr>
          <w:p>
            <w:r>
              <w:t>广度优先/启发式</w:t>
            </w:r>
          </w:p>
        </w:tc>
        <w:tc>
          <w:tcPr>
            <w:tcW w:type="dxa" w:w="2880"/>
          </w:tcPr>
          <w:p>
            <w:r>
              <w:t>前向穷举可达状态</w:t>
            </w:r>
          </w:p>
        </w:tc>
      </w:tr>
      <w:tr>
        <w:tc>
          <w:tcPr>
            <w:tcW w:type="dxa" w:w="2880"/>
          </w:tcPr>
          <w:p>
            <w:r>
              <w:t>估计求解耗时</w:t>
            </w:r>
          </w:p>
        </w:tc>
        <w:tc>
          <w:tcPr>
            <w:tcW w:type="dxa" w:w="2880"/>
          </w:tcPr>
          <w:p>
            <w:r>
              <w:t>数十秒~数分钟</w:t>
            </w:r>
          </w:p>
        </w:tc>
        <w:tc>
          <w:tcPr>
            <w:tcW w:type="dxa" w:w="2880"/>
          </w:tcPr>
          <w:p>
            <w:r>
              <w:t>依赖状态空间规模和启发函数</w:t>
            </w:r>
          </w:p>
        </w:tc>
      </w:tr>
      <w:tr>
        <w:tc>
          <w:tcPr>
            <w:tcW w:type="dxa" w:w="2880"/>
          </w:tcPr>
          <w:p>
            <w:r>
              <w:t>连续过程仿真</w:t>
            </w:r>
          </w:p>
        </w:tc>
        <w:tc>
          <w:tcPr>
            <w:tcW w:type="dxa" w:w="2880"/>
          </w:tcPr>
          <w:p>
            <w:r>
              <w:t>逐步积分</w:t>
            </w:r>
          </w:p>
        </w:tc>
        <w:tc>
          <w:tcPr>
            <w:tcW w:type="dxa" w:w="2880"/>
          </w:tcPr>
          <w:p>
            <w:r>
              <w:t>每步更新速度、角度等连续变量</w:t>
            </w:r>
          </w:p>
        </w:tc>
      </w:tr>
      <w:tr>
        <w:tc>
          <w:tcPr>
            <w:tcW w:type="dxa" w:w="2880"/>
          </w:tcPr>
          <w:p>
            <w:r>
              <w:t>通信约束检查</w:t>
            </w:r>
          </w:p>
        </w:tc>
        <w:tc>
          <w:tcPr>
            <w:tcW w:type="dxa" w:w="2880"/>
          </w:tcPr>
          <w:p>
            <w:r>
              <w:t>状态谓词检查</w:t>
            </w:r>
          </w:p>
        </w:tc>
        <w:tc>
          <w:tcPr>
            <w:tcW w:type="dxa" w:w="2880"/>
          </w:tcPr>
          <w:p>
            <w:r>
              <w:t>每步验证in_comms谓词</w:t>
            </w:r>
          </w:p>
        </w:tc>
      </w:tr>
    </w:tbl>
    <w:p/>
    <w:p>
      <w:r>
        <w:t>UPMurphi的核心优势在于能够精确处理连续动力学过程（梯形速度曲线的加速、匀速、减速阶段），在每个时间步内通过数值积分更新连续状态变量。然而，对于本算例中时间跨度达55000秒的任务，以1秒步长离散化将产生巨大的状态空间，给搜索效率带来挑战。</w:t>
      </w:r>
    </w:p>
    <w:p>
      <w:pPr>
        <w:pStyle w:val="Heading2"/>
      </w:pPr>
      <w:r>
        <w:t>X.4 对比分析</w:t>
      </w:r>
    </w:p>
    <w:p>
      <w:pPr>
        <w:pStyle w:val="Heading3"/>
      </w:pPr>
      <w:r>
        <w:t>X.4.1 算法机制对比</w:t>
      </w:r>
    </w:p>
    <w:p>
      <w:pPr>
        <w:jc w:val="center"/>
      </w:pPr>
      <w:r>
        <w:rPr>
          <w:b/>
        </w:rPr>
        <w:t>表X-7 EUROPA与UPMurphi算法机制对比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EUROPA（缺陷导向搜索）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UPMurphi（前向状态搜索）</w:t>
            </w:r>
          </w:p>
        </w:tc>
      </w:tr>
      <w:tr>
        <w:tc>
          <w:tcPr>
            <w:tcW w:type="dxa" w:w="2880"/>
          </w:tcPr>
          <w:p>
            <w:r>
              <w:t>搜索方向</w:t>
            </w:r>
          </w:p>
        </w:tc>
        <w:tc>
          <w:tcPr>
            <w:tcW w:type="dxa" w:w="2880"/>
          </w:tcPr>
          <w:p>
            <w:r>
              <w:t>目标驱动的反向推理：从目标出发，</w:t>
              <w:br/>
              <w:t>通过规则触发反向构建因果链</w:t>
            </w:r>
          </w:p>
        </w:tc>
        <w:tc>
          <w:tcPr>
            <w:tcW w:type="dxa" w:w="2880"/>
          </w:tcPr>
          <w:p>
            <w:r>
              <w:t>初始驱动的前向搜索：从初始状态</w:t>
              <w:br/>
              <w:t>出发，逐步尝试动作到达目标</w:t>
            </w:r>
          </w:p>
        </w:tc>
      </w:tr>
      <w:tr>
        <w:tc>
          <w:tcPr>
            <w:tcW w:type="dxa" w:w="2880"/>
          </w:tcPr>
          <w:p>
            <w:r>
              <w:t>时间表示</w:t>
            </w:r>
          </w:p>
        </w:tc>
        <w:tc>
          <w:tcPr>
            <w:tcW w:type="dxa" w:w="2880"/>
          </w:tcPr>
          <w:p>
            <w:r>
              <w:t>连续时间区间：每个Token有[lb,ub]</w:t>
              <w:br/>
              <w:t>时间范围，通过STN传播维护</w:t>
            </w:r>
          </w:p>
        </w:tc>
        <w:tc>
          <w:tcPr>
            <w:tcW w:type="dxa" w:w="2880"/>
          </w:tcPr>
          <w:p>
            <w:r>
              <w:t>离散时间步：将连续时间离散化为</w:t>
              <w:br/>
              <w:t>固定步长，逐步推进</w:t>
            </w:r>
          </w:p>
        </w:tc>
      </w:tr>
      <w:tr>
        <w:tc>
          <w:tcPr>
            <w:tcW w:type="dxa" w:w="2880"/>
          </w:tcPr>
          <w:p>
            <w:r>
              <w:t>约束处理</w:t>
            </w:r>
          </w:p>
        </w:tc>
        <w:tc>
          <w:tcPr>
            <w:tcW w:type="dxa" w:w="2880"/>
          </w:tcPr>
          <w:p>
            <w:r>
              <w:t>约束传播剪枝：STN增量Dijkstra</w:t>
              <w:br/>
              <w:t>在O((V+E)logV)内传播并检测矛盾</w:t>
            </w:r>
          </w:p>
        </w:tc>
        <w:tc>
          <w:tcPr>
            <w:tcW w:type="dxa" w:w="2880"/>
          </w:tcPr>
          <w:p>
            <w:r>
              <w:t>状态检查：每步检查所有约束是否</w:t>
              <w:br/>
              <w:t>满足，不满足则剪枝该状态</w:t>
            </w:r>
          </w:p>
        </w:tc>
      </w:tr>
      <w:tr>
        <w:tc>
          <w:tcPr>
            <w:tcW w:type="dxa" w:w="2880"/>
          </w:tcPr>
          <w:p>
            <w:r>
              <w:t>连续变量</w:t>
            </w:r>
          </w:p>
        </w:tc>
        <w:tc>
          <w:tcPr>
            <w:tcW w:type="dxa" w:w="2880"/>
          </w:tcPr>
          <w:p>
            <w:r>
              <w:t>预计算：将连续动力学结果（持续</w:t>
              <w:br/>
              <w:t>时间）预先计算为固定参数</w:t>
            </w:r>
          </w:p>
        </w:tc>
        <w:tc>
          <w:tcPr>
            <w:tcW w:type="dxa" w:w="2880"/>
          </w:tcPr>
          <w:p>
            <w:r>
              <w:t>在线仿真：通过process语义在每</w:t>
              <w:br/>
              <w:t>个时间步内数值积分更新</w:t>
            </w:r>
          </w:p>
        </w:tc>
      </w:tr>
      <w:tr>
        <w:tc>
          <w:tcPr>
            <w:tcW w:type="dxa" w:w="2880"/>
          </w:tcPr>
          <w:p>
            <w:r>
              <w:t>回溯机制</w:t>
            </w:r>
          </w:p>
        </w:tc>
        <w:tc>
          <w:tcPr>
            <w:tcW w:type="dxa" w:w="2880"/>
          </w:tcPr>
          <w:p>
            <w:r>
              <w:t>时序回溯：撤销决策并尝试替代</w:t>
              <w:br/>
              <w:t>选择，约束网络自动回退</w:t>
            </w:r>
          </w:p>
        </w:tc>
        <w:tc>
          <w:tcPr>
            <w:tcW w:type="dxa" w:w="2880"/>
          </w:tcPr>
          <w:p>
            <w:r>
              <w:t>状态空间回溯：DFS/BFS中标准</w:t>
              <w:br/>
              <w:t>的回溯机制</w:t>
            </w:r>
          </w:p>
        </w:tc>
      </w:tr>
      <w:tr>
        <w:tc>
          <w:tcPr>
            <w:tcW w:type="dxa" w:w="2880"/>
          </w:tcPr>
          <w:p>
            <w:r>
              <w:t>扩展性</w:t>
            </w:r>
          </w:p>
        </w:tc>
        <w:tc>
          <w:tcPr>
            <w:tcW w:type="dxa" w:w="2880"/>
          </w:tcPr>
          <w:p>
            <w:r>
              <w:t>子任务数量线性增长，约束传播</w:t>
              <w:br/>
              <w:t>复杂度平缓增长</w:t>
            </w:r>
          </w:p>
        </w:tc>
        <w:tc>
          <w:tcPr>
            <w:tcW w:type="dxa" w:w="2880"/>
          </w:tcPr>
          <w:p>
            <w:r>
              <w:t>状态空间指数增长，时间跨度越</w:t>
              <w:br/>
              <w:t>大搜索空间越大</w:t>
            </w:r>
          </w:p>
        </w:tc>
      </w:tr>
    </w:tbl>
    <w:p/>
    <w:p>
      <w:pPr>
        <w:pStyle w:val="Heading3"/>
      </w:pPr>
      <w:r>
        <w:t>X.4.2 性能对比分析</w:t>
      </w:r>
    </w:p>
    <w:p>
      <w:pPr>
        <w:jc w:val="center"/>
      </w:pPr>
      <w:r>
        <w:rPr>
          <w:b/>
        </w:rPr>
        <w:t>表X-8 求解性能对比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性能指标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EUROPA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UPMurphi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分析</w:t>
            </w:r>
          </w:p>
        </w:tc>
      </w:tr>
      <w:tr>
        <w:tc>
          <w:tcPr>
            <w:tcW w:type="dxa" w:w="2160"/>
          </w:tcPr>
          <w:p>
            <w:r>
              <w:t>求解耗时</w:t>
            </w:r>
          </w:p>
        </w:tc>
        <w:tc>
          <w:tcPr>
            <w:tcW w:type="dxa" w:w="2160"/>
          </w:tcPr>
          <w:p>
            <w:r>
              <w:t>&lt;1秒</w:t>
            </w:r>
          </w:p>
        </w:tc>
        <w:tc>
          <w:tcPr>
            <w:tcW w:type="dxa" w:w="2160"/>
          </w:tcPr>
          <w:p>
            <w:r>
              <w:t>数十秒~数分钟</w:t>
            </w:r>
          </w:p>
        </w:tc>
        <w:tc>
          <w:tcPr>
            <w:tcW w:type="dxa" w:w="2160"/>
          </w:tcPr>
          <w:p>
            <w:r>
              <w:t>EUROPA的约束传播剪枝显著减少搜索空间</w:t>
            </w:r>
          </w:p>
        </w:tc>
      </w:tr>
      <w:tr>
        <w:tc>
          <w:tcPr>
            <w:tcW w:type="dxa" w:w="2160"/>
          </w:tcPr>
          <w:p>
            <w:r>
              <w:t>内存占用</w:t>
            </w:r>
          </w:p>
        </w:tc>
        <w:tc>
          <w:tcPr>
            <w:tcW w:type="dxa" w:w="2160"/>
          </w:tcPr>
          <w:p>
            <w:r>
              <w:t>~10MB</w:t>
            </w:r>
          </w:p>
        </w:tc>
        <w:tc>
          <w:tcPr>
            <w:tcW w:type="dxa" w:w="2160"/>
          </w:tcPr>
          <w:p>
            <w:r>
              <w:t>~100MB+</w:t>
            </w:r>
          </w:p>
        </w:tc>
        <w:tc>
          <w:tcPr>
            <w:tcW w:type="dxa" w:w="2160"/>
          </w:tcPr>
          <w:p>
            <w:r>
              <w:t>UPMurphi需存储大量已探索状态</w:t>
            </w:r>
          </w:p>
        </w:tc>
      </w:tr>
      <w:tr>
        <w:tc>
          <w:tcPr>
            <w:tcW w:type="dxa" w:w="2160"/>
          </w:tcPr>
          <w:p>
            <w:r>
              <w:t>可扩展性</w:t>
            </w:r>
          </w:p>
        </w:tc>
        <w:tc>
          <w:tcPr>
            <w:tcW w:type="dxa" w:w="2160"/>
          </w:tcPr>
          <w:p>
            <w:r>
              <w:t>强</w:t>
            </w:r>
          </w:p>
        </w:tc>
        <w:tc>
          <w:tcPr>
            <w:tcW w:type="dxa" w:w="2160"/>
          </w:tcPr>
          <w:p>
            <w:r>
              <w:t>较弱</w:t>
            </w:r>
          </w:p>
        </w:tc>
        <w:tc>
          <w:tcPr>
            <w:tcW w:type="dxa" w:w="2160"/>
          </w:tcPr>
          <w:p>
            <w:r>
              <w:t>EUROPA对任务数量线性敏感，UPMurphi指数敏感</w:t>
            </w:r>
          </w:p>
        </w:tc>
      </w:tr>
      <w:tr>
        <w:tc>
          <w:tcPr>
            <w:tcW w:type="dxa" w:w="2160"/>
          </w:tcPr>
          <w:p>
            <w:r>
              <w:t>连续精度</w:t>
            </w:r>
          </w:p>
        </w:tc>
        <w:tc>
          <w:tcPr>
            <w:tcW w:type="dxa" w:w="2160"/>
          </w:tcPr>
          <w:p>
            <w:r>
              <w:t>预计算精确</w:t>
            </w:r>
          </w:p>
        </w:tc>
        <w:tc>
          <w:tcPr>
            <w:tcW w:type="dxa" w:w="2160"/>
          </w:tcPr>
          <w:p>
            <w:r>
              <w:t>依赖步长</w:t>
            </w:r>
          </w:p>
        </w:tc>
        <w:tc>
          <w:tcPr>
            <w:tcW w:type="dxa" w:w="2160"/>
          </w:tcPr>
          <w:p>
            <w:r>
              <w:t>EUROPA通过解析公式预计算，无离散化误差</w:t>
            </w:r>
          </w:p>
        </w:tc>
      </w:tr>
      <w:tr>
        <w:tc>
          <w:tcPr>
            <w:tcW w:type="dxa" w:w="2160"/>
          </w:tcPr>
          <w:p>
            <w:r>
              <w:t>建模自然度</w:t>
            </w:r>
          </w:p>
        </w:tc>
        <w:tc>
          <w:tcPr>
            <w:tcW w:type="dxa" w:w="2160"/>
          </w:tcPr>
          <w:p>
            <w:r>
              <w:t>声明式时间线</w:t>
            </w:r>
          </w:p>
        </w:tc>
        <w:tc>
          <w:tcPr>
            <w:tcW w:type="dxa" w:w="2160"/>
          </w:tcPr>
          <w:p>
            <w:r>
              <w:t>过程式仿真</w:t>
            </w:r>
          </w:p>
        </w:tc>
        <w:tc>
          <w:tcPr>
            <w:tcW w:type="dxa" w:w="2160"/>
          </w:tcPr>
          <w:p>
            <w:r>
              <w:t>各有侧重：EUROPA适合调度，UPMurphi适合仿真</w:t>
            </w:r>
          </w:p>
        </w:tc>
      </w:tr>
      <w:tr>
        <w:tc>
          <w:tcPr>
            <w:tcW w:type="dxa" w:w="2160"/>
          </w:tcPr>
          <w:p>
            <w:r>
              <w:t>计划质量</w:t>
            </w:r>
          </w:p>
        </w:tc>
        <w:tc>
          <w:tcPr>
            <w:tcW w:type="dxa" w:w="2160"/>
          </w:tcPr>
          <w:p>
            <w:r>
              <w:t>最早可行计划</w:t>
            </w:r>
          </w:p>
        </w:tc>
        <w:tc>
          <w:tcPr>
            <w:tcW w:type="dxa" w:w="2160"/>
          </w:tcPr>
          <w:p>
            <w:r>
              <w:t>第一个可行计划</w:t>
            </w:r>
          </w:p>
        </w:tc>
        <w:tc>
          <w:tcPr>
            <w:tcW w:type="dxa" w:w="2160"/>
          </w:tcPr>
          <w:p>
            <w:r>
              <w:t>两者均找到可行解，非最优解</w:t>
            </w:r>
          </w:p>
        </w:tc>
      </w:tr>
    </w:tbl>
    <w:p/>
    <w:p>
      <w:pPr>
        <w:pStyle w:val="Heading3"/>
      </w:pPr>
      <w:r>
        <w:t>X.4.3 适用场景分析</w:t>
      </w:r>
    </w:p>
    <w:p>
      <w:r>
        <w:t>基于以上对比分析，两种方法各有适用场景：</w:t>
      </w:r>
    </w:p>
    <w:p>
      <w:r>
        <w:t>EUROPA适用于：（1）任务调度为主的规划问题，子任务持续时间已知或可预计算；（2）时序约束复杂（多条时间线交叉约束）的场景；（3）需要快速求解的在线规划应用；（4）问题规模较大（数十个子任务、多个约束窗口）的场景。</w:t>
      </w:r>
    </w:p>
    <w:p>
      <w:r>
        <w:t>UPMurphi适用于：（1）连续动力学过程对规划决策有本质影响的场景（如持续时间依赖于状态）；（2）需要精确仿真连续变量变化过程的场景；（3）需要进行安全性验证（可达性分析、死锁检测）的场景；（4）问题规模较小但动力学复杂的场景。</w:t>
      </w:r>
    </w:p>
    <w:p>
      <w:pPr>
        <w:pStyle w:val="Heading2"/>
      </w:pPr>
      <w:r>
        <w:t>X.5 关键发现与讨论</w:t>
      </w:r>
    </w:p>
    <w:p>
      <w:r>
        <w:rPr>
          <w:b/>
        </w:rPr>
        <w:t>(1) 预计算策略的有效性。</w:t>
      </w:r>
      <w:r>
        <w:t>本文将PDDL+中的连续过程（梯形速度曲线）预计算为固定持续时间，然后使用EUROPA的约束传播机制处理调度问题。实验结果表明，这一"连续预计算+离散调度"的策略在保证计划正确性的前提下，将求解时间从数分钟降低到亚秒级。关键前提是持续时间不依赖于规划决策。</w:t>
      </w:r>
    </w:p>
    <w:p>
      <w:r>
        <w:rPr>
          <w:b/>
        </w:rPr>
        <w:t>(2) STN增量传播的效率优势。</w:t>
      </w:r>
      <w:r>
        <w:t>EUROPA的STN增量Dijkstra算法在每次添加约束时仅传播受影响的局部网络，单次传播复杂度O((V+E)logV)。对于本算例（~80个时间点），每次传播在微秒级完成。相比UPMurphi在每个时间步检查所有约束的O(C)方式，增量传播在长时间跨度问题上具有显著优势。</w:t>
      </w:r>
    </w:p>
    <w:p>
      <w:r>
        <w:rPr>
          <w:b/>
        </w:rPr>
        <w:t>(3) 通信窗口约束对搜索的影响。</w:t>
      </w:r>
      <w:r>
        <w:t>实验中观察到通信窗口数量对EUROPA搜索效率有直接影响。每个contained_by约束在OpenCondition阶段会产生与窗口数量成正比的MERGE选择，窗口越多搜索空间越大。本文通过阶段聚合（将多个子任务合并为一个phase-level action）有效控制了搜索空间的增长。</w:t>
      </w:r>
    </w:p>
    <w:p>
      <w:r>
        <w:rPr>
          <w:b/>
        </w:rPr>
        <w:t>(4) 遮挡约束建模的简洁性。</w:t>
      </w:r>
      <w:r>
        <w:t>SWA遮挡约束在EUROPA中被自然地建模为独立Timeline上的fact序列，通过contained_by与动作Token关联。这一建模方式比PDDL+中的timed-initial-literals更直观，且约束传播机制自动确保遮挡约束与通信约束的协同满足。</w:t>
      </w:r>
    </w:p>
    <w:p>
      <w:pPr>
        <w:pStyle w:val="Heading2"/>
      </w:pPr>
      <w:r>
        <w:t>X.6 本章小结</w:t>
      </w:r>
    </w:p>
    <w:p>
      <w:r>
        <w:t>本章设计了一个包含6阶段23子任务的空间站机械臂全流程操作任务仿真算例，分别使用EUROPA框架和UPMurphi规划器进行求解，并从算法机制、求解性能、适用场景三个维度进行对比分析。</w:t>
      </w:r>
    </w:p>
    <w:p>
      <w:r>
        <w:t>主要结论如下：</w:t>
      </w:r>
    </w:p>
    <w:p>
      <w:r>
        <w:t>(1) EUROPA的缺陷导向搜索算法在本算例中展现出优越的求解效率（亚秒级），其核心优势来自STN增量Dijkstra传播的高效约束推理和规则驱动的反向因果推理。</w:t>
      </w:r>
    </w:p>
    <w:p>
      <w:r>
        <w:t>(2) UPMurphi的前向状态空间搜索在处理连续动力学方面具有天然优势，但对于长时间跨度（55000秒）的调度问题面临状态空间爆炸的挑战。</w:t>
      </w:r>
    </w:p>
    <w:p>
      <w:r>
        <w:t>(3) "连续预计算+离散调度"的混合策略是处理此类问题的有效途径：利用解析公式预计算连续过程的结果（持续时间），将问题转化为纯调度问题后使用EUROPA高效求解。</w:t>
      </w:r>
    </w:p>
    <w:p>
      <w:r>
        <w:t>(4) 通信窗口和SWA遮挡约束在EUROPA的Timeline建模范式下得到了简洁自然的表达，验证了EUROPA框架在空间站机械臂任务规划领域的适用性。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  <w:rFonts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76" w:lineRule="auto"/>
      <w:ind w:left="56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