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PRISMA-ScR Checklist</w:t>
      </w:r>
    </w:p>
    <w:p>
      <w:r>
        <w:rPr>
          <w:b/>
        </w:rPr>
        <w:t>Reporting standard:</w:t>
      </w:r>
      <w:r>
        <w:t xml:space="preserve"> PRISMA Extension for Scoping Reviews (PRISMA-ScR) — Tricco AC, Lillie E, Zarin W, et al. PRISMA Extension for Scoping Reviews (PRISMA-ScR): Checklist and Explanation. </w:t>
      </w:r>
      <w:r>
        <w:rPr>
          <w:i/>
        </w:rPr>
        <w:t>Ann Intern Med.</w:t>
      </w:r>
      <w:r>
        <w:t xml:space="preserve"> 2018;169(7):467-473.</w:t>
      </w:r>
    </w:p>
    <w:p>
      <w:r>
        <w:rPr>
          <w:b/>
        </w:rPr>
        <w:t>IMPORTANT — verify before submission:</w:t>
      </w:r>
      <w:r>
        <w:t xml:space="preserve"> Item wording and numbering below were reconstructed from memory of the published checklist, not copied from the primary source. Cross-check every item's exact wording and section grouping against the original Tricco et al. 2018 checklist (freely available at equator-network.org and as the article's supplement) before finalizing — reviewers and editors check submissions against the official checklist PDF directly, and any drift in item wording is an easy, avoidable desk-reject flag.</w:t>
      </w:r>
    </w:p>
    <w:p>
      <w:r>
        <w:rPr>
          <w:b/>
        </w:rPr>
        <w:t>How to use this file:</w:t>
      </w:r>
      <w:r>
        <w:t xml:space="preserve"> Each row states (a) whether/where the item is addressed in this project's current state, and (b) a `Page #` placeholder to fill in once the manuscript is typeset. As of 2026-07-26, extraction, synthesis, and manuscript drafting (Abstract through Conclusion) are complete; all 22 items are reported. `Page #` columns remain placeholders pending final typesetting for a specific journal template.</w:t>
      </w:r>
    </w:p>
    <w:p>
      <w:pPr>
        <w:pBdr>
          <w:bottom w:val="single" w:sz="6" w:space="1" w:color="auto"/>
        </w:pBdr>
      </w:pPr>
    </w:p>
    <w:p>
      <w:pPr>
        <w:pStyle w:val="Heading1"/>
      </w:pPr>
      <w:r>
        <w:t>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 / Notes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 #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Identify the report as a scoping review.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 xml:space="preserve">Title includes "A Scoping Review": </w:t>
            </w:r>
            <w:r>
              <w:rPr>
                <w:i/>
              </w:rPr>
              <w:t>"Beyond Fidelity: Evaluating the Validity of Explainable AI in Emergency Department Triage and Disposition — A Scoping Review."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</w:tbl>
    <w:p/>
    <w:p>
      <w:pPr>
        <w:pStyle w:val="Heading1"/>
      </w:pPr>
      <w:r>
        <w:t>Abstract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 / Notes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 #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Structured summary (background, objectives, eligibility criteria, sources of evidence, charting methods, results, conclusions).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Abstract (`manuscript_v1.md`), structured as Background/Objective/Methods/Results/Conclusions, reporting final numbers (7 included studies) and RQ1-RQ3 findings.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</w:tbl>
    <w:p/>
    <w:p>
      <w:pPr>
        <w:pStyle w:val="Heading1"/>
      </w:pPr>
      <w:r>
        <w:t>Introduction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 / Notes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 #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Rationale — describe the rationale in the context of what is already known; explain why the questions/objectives lend themselves to a scoping (not systematic) review approach.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Introduction (`manuscript_v1.md`), opening paragraphs plus "Where this review sits relative to existing literature," establishing the interpretability/trust-calibration/evaluation-validity framing, the regulatory-timeliness rationale, and the literature gap this scoping (not systematic) review addresses.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Objectives — explicit statement of questions/objectives with key elements (population, concepts, context).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Introduction, "Research questions" (`manuscript_v1.md`): RQ1-RQ3 stated verbatim, with population (EM decision points), concepts (interpretability, trust calibration, evaluation validity), and context (regulatory-evidence expectations) specified.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</w:tbl>
    <w:p/>
    <w:p>
      <w:pPr>
        <w:pStyle w:val="Heading1"/>
      </w:pPr>
      <w:r>
        <w:t>Methods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 / Notes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 #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Protocol and registration — state whether a protocol exists, where accessible, and registration number if available.</w:t>
            </w:r>
          </w:p>
        </w:tc>
        <w:tc>
          <w:tcPr>
            <w:tcW w:type="dxa" w:w="1728"/>
          </w:tcPr>
          <w:p>
            <w:r>
              <w:t>Yes (content ready)</w:t>
            </w:r>
          </w:p>
        </w:tc>
        <w:tc>
          <w:tcPr>
            <w:tcW w:type="dxa" w:w="1728"/>
          </w:tcPr>
          <w:p>
            <w:r>
              <w:t xml:space="preserve">OSF registration: `docs/osf/preregistration_draft.md`, filed 2026-05-24, revised to Draft v2.2 (2026-06-22) following the 2026-06-10 EM-scope pivot. PROSPERO explicitly </w:t>
            </w:r>
            <w:r>
              <w:rPr>
                <w:b/>
              </w:rPr>
              <w:t>not</w:t>
            </w:r>
            <w:r>
              <w:t xml:space="preserve"> used — deprioritized 2026-06-10 (`docs/osf/prospero_draft.md` status note; `memos/decision_log.md`), state as a disclosed methodological choice, not an omission, and reframe the rationale for an academic audience rather than citing the grading rubric directly.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Eligibility criteria — characteristics used as inclusion/exclusion criteria (e.g., years, language, publication status), with rationale.</w:t>
            </w:r>
          </w:p>
        </w:tc>
        <w:tc>
          <w:tcPr>
            <w:tcW w:type="dxa" w:w="1728"/>
          </w:tcPr>
          <w:p>
            <w:r>
              <w:t>Yes (content ready)</w:t>
            </w:r>
          </w:p>
        </w:tc>
        <w:tc>
          <w:tcPr>
            <w:tcW w:type="dxa" w:w="1728"/>
          </w:tcPr>
          <w:p>
            <w:r>
              <w:t>3-gate boundary in `docs/protocol/inclusion_boundary.md` v2.2: (a) decision point occurs during the initial ED encounter — intake, acuity/ESI scoring, or immediate disposition; (b) an explainable/interpretable AI method is applied; (c) an empirical evaluation component is reported. Date range 2015-01-01 through search-execution date (rolling; extended by the 2026-07-14 differential update through 2026-07-14). English language only. Rationale for the EM-only scope: 2026-06-10 pivot decision (8-week single-reviewer timeline; see decision log).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Information sources — all sources searched, including dates of coverage and most recent search date.</w:t>
            </w:r>
          </w:p>
        </w:tc>
        <w:tc>
          <w:tcPr>
            <w:tcW w:type="dxa" w:w="1728"/>
          </w:tcPr>
          <w:p>
            <w:r>
              <w:t>Yes (content ready)</w:t>
            </w:r>
          </w:p>
        </w:tc>
        <w:tc>
          <w:tcPr>
            <w:tcW w:type="dxa" w:w="1728"/>
          </w:tcPr>
          <w:p>
            <w:r>
              <w:t xml:space="preserve">PubMed (searched 2015-01-01 through 2026-06-10, formally executed; differential update 2026-06-11 through 2026-07-14), IEEE Xplore (executed 2026-06-18), ACM Digital Library (executed 2026-06-22, via OpenAlex API substitution — disclose the methodology deviation and why). </w:t>
            </w:r>
            <w:r>
              <w:rPr>
                <w:b/>
              </w:rPr>
              <w:t>Embase considered but dropped</w:t>
            </w:r>
            <w:r>
              <w:t xml:space="preserve"> (2026-06-22, no institutional access — disclose as limitation). CINAHL considered, shelved per the EM-narrowed scope decision (not part of primary search). Most recent search date: </w:t>
            </w:r>
            <w:r>
              <w:rPr>
                <w:b/>
              </w:rPr>
              <w:t>2026-07-14</w:t>
            </w:r>
            <w:r>
              <w:t>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Search — full electronic search strategy for at least one database, repeatable.</w:t>
            </w:r>
          </w:p>
        </w:tc>
        <w:tc>
          <w:tcPr>
            <w:tcW w:type="dxa" w:w="1728"/>
          </w:tcPr>
          <w:p>
            <w:r>
              <w:t>Yes (content ready)</w:t>
            </w:r>
          </w:p>
        </w:tc>
        <w:tc>
          <w:tcPr>
            <w:tcW w:type="dxa" w:w="1728"/>
          </w:tcPr>
          <w:p>
            <w:r>
              <w:t>Full PubMed A+B+C v2 FINAL string in `docs/protocol/search_string_pubmed_v1.md` (497 records, 2015-01-01 to 2026-06-10) plus the differential-window string (2026-06-11 to 2026-07-14, identical term structure). IEEE and ACM strings in their respective `docs/protocol/search_string_*.md` files. Present at least the PubMed string in full in a supplementary table/box; the others can go in supplementary material.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Selection of sources of evidence — process for selecting sources (screening and eligibility).</w:t>
            </w:r>
          </w:p>
        </w:tc>
        <w:tc>
          <w:tcPr>
            <w:tcW w:type="dxa" w:w="1728"/>
          </w:tcPr>
          <w:p>
            <w:r>
              <w:t>Yes (content ready)</w:t>
            </w:r>
          </w:p>
        </w:tc>
        <w:tc>
          <w:tcPr>
            <w:tcW w:type="dxa" w:w="1728"/>
          </w:tcPr>
          <w:p>
            <w:r>
              <w:t xml:space="preserve">Title/abstract screening: Rayyan, single reviewer, sensitivity-favoring 3-gate criteria (`docs/protocol/screening_criteria.md`), TA-E1–E5 exclusion taxonomy. Full-text screening: F1-F5 criteria + E1-E6 exclusion taxonomy (`docs/protocol/screening_fulltext_criteria.md` v1.1). </w:t>
            </w:r>
            <w:r>
              <w:rPr>
                <w:b/>
              </w:rPr>
              <w:t>Sole-reviewer status</w:t>
            </w:r>
            <w:r>
              <w:t xml:space="preserve"> at both T/A and full-text stages, faculty-confirmed accommodation given supervisor availability constraints (`memos/decision_log.md`, "Faculty adjudication delegated" and 2026-07-10 entries) — state this plainly as a disclosed deviation from the two-independent-reviewer standard.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Data charting process — methods used to chart data (forms, independent/duplicate charting, process for confirming data with investigators).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 xml:space="preserve">Methods, "Data extraction" (`manuscript_v1.md`); full column definitions in Supplementary Material S3. Charting was completed for all 7 included studies (`data/extraction/schema_v1.csv`). </w:t>
            </w:r>
            <w:r>
              <w:rPr>
                <w:b/>
              </w:rPr>
              <w:t>Sole reviewer, no independent duplicate charting</w:t>
            </w:r>
            <w:r>
              <w:t xml:space="preserve"> — disclosed explicitly in Methods, "Limitations acknowledged in the design," as a departure from dual-reviewer convention rather than implied as duplicate charting.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Data items — list and define all variables sought, with assumptions/simplifications.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Full column definitions in Supplementary Material S3: clinical domain, XAI method/scope, study design/participants, evaluation type (six-level taxonomy), workflow realism, 4-dimension ecological validity, clinician involvement (evaluation vs. design, kept separate by design), outcomes claimed vs. demonstrated, trust-claim type (calibration vs. plausibility distinction), 5-dimension quality/risk-of-bias, method-justification type (RQ1), interpretability-framework classification (Doshi-Velez &amp; Kim; Vilone &amp; Longo), 4 regulatory-evidence criteria (RQ3), semantic tags.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Critical appraisal of individual sources of evidence — rationale, methods, and how used in synthesis (if done).</w:t>
            </w:r>
          </w:p>
        </w:tc>
        <w:tc>
          <w:tcPr>
            <w:tcW w:type="dxa" w:w="1728"/>
          </w:tcPr>
          <w:p>
            <w:r>
              <w:t>Yes (content ready)</w:t>
            </w:r>
          </w:p>
        </w:tc>
        <w:tc>
          <w:tcPr>
            <w:tcW w:type="dxa" w:w="1728"/>
          </w:tcPr>
          <w:p>
            <w:r>
              <w:t xml:space="preserve">Custom 5-dimension rubric (QR1-QR5: Participant Appropriateness, Task Fidelity, Outcome Measurement, Explanation Faithfulness, Reporting Completeness — `data/coding/quality_rubric.md`), adapted from QUADAS-2/RoB 2/TRIPOD elements plus two dimensions with no standard-tool equivalent (rationale: `memos/decision_log.md`, 2026-05-26 entry). Used as a supplementary/exploratory characterization of the corpus, </w:t>
            </w:r>
            <w:r>
              <w:rPr>
                <w:b/>
              </w:rPr>
              <w:t>not</w:t>
            </w:r>
            <w:r>
              <w:t xml:space="preserve"> as an inclusion/exclusion filter — state this explicitly to avoid the appraisal reading as a second screening pass.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Synthesis of results — methods for handling/summarizing charted data.</w:t>
            </w:r>
          </w:p>
        </w:tc>
        <w:tc>
          <w:tcPr>
            <w:tcW w:type="dxa" w:w="1728"/>
          </w:tcPr>
          <w:p>
            <w:r>
              <w:t>Yes (content ready)</w:t>
            </w:r>
          </w:p>
        </w:tc>
        <w:tc>
          <w:tcPr>
            <w:tcW w:type="dxa" w:w="1728"/>
          </w:tcPr>
          <w:p>
            <w:r>
              <w:t>Narrative synthesis organized by RQ1-RQ3 (JBI methodology, Peters et al. 2020; PRISMA-ScR, Tricco et al. 2018) — not confirmatory hypothesis testing. The originally-planned H1-H6 hypotheses and quality-rubric scores are repositioned as supplementary/exploratory analyses feeding the RQ2 narrative, not primary confirmatory tests (2026-06-10 pivot decision).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</w:tbl>
    <w:p/>
    <w:p>
      <w:pPr>
        <w:pStyle w:val="Heading1"/>
      </w:pPr>
      <w:r>
        <w:t>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 / Notes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 #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Selection of sources of evidence — numbers screened/assessed/included, reasons for exclusion at each stage, ideally a flow diagram.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Methods, "Study selection" (`manuscript_v1.md`): 659 identified (497 PubMed + 161 IEEE + 1 ACM) → 650 after deduplication → 650 screened at T/A → 64 forwarded to full-text → 55 assessed at full-text (9 not retrievable, disclosed separately from exclusions) → 48 excluded (E1=22, E2=5, E3=13, E4=8, E5=0, E6=0) → 7 included. The 2026-07-14 post-hoc differential-search supplement (46 additional candidates screened, 0 added) is reported alongside. Flow diagram built (`docs/figures/prisma_scr_flow_diagram.html`); convert to a static figure image at final typesetting.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Characteristics of sources of evidence — present charted characteristics per source, with citations.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Per-study characteristics charted in Tables 1-3 (`data/synthesis/results_tables_v1.md`) and full per-paper detail in `data/extraction/schema_v1.csv` / `data/extraction/per_paper/`; citations in `references_included_studies.md` (7 entries, DOI-verified).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Critical appraisal within sources of evidence — present appraisal data (if done).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QR1-QR5 scores charted per included paper in `data/extraction/schema_v1.csv`; referenced narratively in Results (e.g., Xie et al., 2021 scoring maximum on all five dimensions). Used as a supplementary/exploratory characterization, not an inclusion/exclusion filter (Methods, Data extraction).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Results of individual sources of evidence — relevant charted data per included source.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Per-paper extracted data (XAI method, eval type, realism level, trust claim, etc.) charted in `data/extraction/schema_v1.csv`; charted results presented in Tables 1-3 and synthesized narratively in Results (`manuscript_v1.md`).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Synthesis of results — summarize/present charting results as they relate to the review questions.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Results (`manuscript_v1.md`): "Methods and Justification (RQ1)," "Evaluation Rigor (RQ2)," "Regulatory Readiness (RQ3)" subsections, each a narrative synthesis of the charted data.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</w:tbl>
    <w:p/>
    <w:p>
      <w:pPr>
        <w:pStyle w:val="Heading1"/>
      </w:pPr>
      <w:r>
        <w:t>Discussion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 / Notes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 #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Summary of evidence — main results (overview of concepts/themes/evidence types), link to questions/objectives, relevance to key groups.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Discussion (`manuscript_v1.md`), opening paragraph: summarizes the corpus-wide pattern (explanations built and computationally measured, but rarely evaluated with any human), links explicitly to RQ1-RQ3, and states relevance to the clinicians and regulatory audiences this review's findings address.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Limitations — discuss limitations of the scoping review process.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Methods, "Limitations acknowledged in the design," and Discussion, "What this corpus is small enough, and specific enough, to say" (`manuscript_v1.md`): Embase dropped (no institutional access); CINAHL shelved; English-language-only restriction; single reviewer with no independent duplicate screening/charting; 10 records never retrieved (9 main-corpus + 1 differential-supplement); small final corpus (n=7) framed as a substantive finding rather than an apology.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Conclusions — general interpretation relative to questions/objectives, implications, next steps.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Conclusion (`manuscript_v1.md`): interprets findings against RQ1-RQ3, states the review's contribution (governance-compliance standard for EM XAI evaluation), and closes on next steps (clinician-in-the-loop evaluation work this literature currently lacks).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</w:tbl>
    <w:p/>
    <w:p>
      <w:pPr>
        <w:pStyle w:val="Heading1"/>
      </w:pPr>
      <w:r>
        <w:t>Funding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Reported?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Location / Notes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Page #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Funding — sources of funding for included studies and for the review itself; role of funders.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 funding was received for this review.</w:t>
            </w:r>
            <w:r>
              <w:t xml:space="preserve"> State this plainly in the manuscript's Funding/Declarations section (e.g., "This research received no specific grant from any funding agency in the public, commercial, or not-for-profit sectors.").</w:t>
            </w:r>
          </w:p>
        </w:tc>
        <w:tc>
          <w:tcPr>
            <w:tcW w:type="dxa" w:w="1728"/>
          </w:tcPr>
          <w:p>
            <w:r>
              <w:t>___</w:t>
            </w:r>
          </w:p>
        </w:tc>
      </w:tr>
    </w:tbl>
    <w:p/>
    <w:p>
      <w:pPr>
        <w:pBdr>
          <w:bottom w:val="single" w:sz="6" w:space="1" w:color="auto"/>
        </w:pBdr>
      </w:pPr>
    </w:p>
    <w:p>
      <w:pPr>
        <w:pStyle w:val="Heading1"/>
      </w:pPr>
      <w:r>
        <w:t>Completion Status Summary</w:t>
      </w:r>
    </w:p>
    <w:p>
      <w:r>
        <w:t>All 22 items are reported as of 2026-07-26. Remaining work before submission is typesetting-dependent, not content-dependent:</w:t>
      </w:r>
    </w:p>
    <w:p>
      <w:pPr>
        <w:pStyle w:val="ListBullet"/>
      </w:pPr>
      <w:r>
        <w:t>Fill in actual `Page #` values once the manuscript is typeset for a specific journal template.</w:t>
      </w:r>
    </w:p>
    <w:p>
      <w:pPr>
        <w:pStyle w:val="ListBullet"/>
      </w:pPr>
      <w:r>
        <w:t>Convert the PRISMA-ScR flow diagram (`docs/figures/prisma_scr_flow_diagram.html`, Item 14) to a static figure image in the format the target journal requires.</w:t>
      </w:r>
    </w:p>
    <w:p>
      <w:pPr>
        <w:pStyle w:val="ListBullet"/>
      </w:pPr>
      <w:r>
        <w:t>Verify item wording and section grouping against the official Tricco et al. (2018) checklist PDF before submission, per this document's standing verification note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