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Supplementary Material S3: Data Extraction Schema — Full Column Definitions</w:t>
      </w:r>
    </w:p>
    <w:p>
      <w:r>
        <w:t>Each of the 7 included studies was coded against a 43-column schema; the 42 analytically relevant columns are described below. (The schema's remaining column is an internal reference-manager lookup key with no analytic content and is not reported here.) Columns are grouped by theme; where a group maps to one of this review's three research questions, that mapping is noted in the group heading.</w:t>
      </w:r>
    </w:p>
    <w:p>
      <w:pPr>
        <w:pBdr>
          <w:bottom w:val="single" w:sz="6" w:space="1" w:color="auto"/>
        </w:pBdr>
      </w:pPr>
    </w:p>
    <w:p>
      <w:pPr>
        <w:pStyle w:val="Heading1"/>
      </w:pPr>
      <w:r>
        <w:t>Identity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`PaperID`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Short identifier: `LASTNAME_YEAR` (first author only).</w:t>
            </w:r>
          </w:p>
        </w:tc>
      </w:tr>
      <w:tr>
        <w:tc>
          <w:tcPr>
            <w:tcW w:type="dxa" w:w="2880"/>
          </w:tcPr>
          <w:p>
            <w:r>
              <w:t>`Title`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Full paper title, copied verbatim.</w:t>
            </w:r>
          </w:p>
        </w:tc>
      </w:tr>
      <w:tr>
        <w:tc>
          <w:tcPr>
            <w:tcW w:type="dxa" w:w="2880"/>
          </w:tcPr>
          <w:p>
            <w:r>
              <w:t>`Year`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Year of publication.</w:t>
            </w:r>
          </w:p>
        </w:tc>
      </w:tr>
    </w:tbl>
    <w:p/>
    <w:p>
      <w:pPr>
        <w:pBdr>
          <w:bottom w:val="single" w:sz="6" w:space="1" w:color="auto"/>
        </w:pBdr>
      </w:pPr>
    </w:p>
    <w:p>
      <w:pPr>
        <w:pStyle w:val="Heading1"/>
      </w:pPr>
      <w:r>
        <w:t>Clinical Domain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Controlled vocabulary</w:t>
            </w:r>
          </w:p>
        </w:tc>
      </w:tr>
      <w:tr>
        <w:tc>
          <w:tcPr>
            <w:tcW w:type="dxa" w:w="2880"/>
          </w:tcPr>
          <w:p>
            <w:r>
              <w:t>`Domain`</w:t>
            </w:r>
          </w:p>
        </w:tc>
        <w:tc>
          <w:tcPr>
            <w:tcW w:type="dxa" w:w="2880"/>
          </w:tcPr>
          <w:p>
            <w:r>
              <w:t>categorical</w:t>
            </w:r>
          </w:p>
        </w:tc>
        <w:tc>
          <w:tcPr>
            <w:tcW w:type="dxa" w:w="2880"/>
          </w:tcPr>
          <w:p>
            <w:r>
              <w:t>`Radiology` / `EHR` / `Pathology` / `ICU` / `Pharmacy` / `Oncology` / `Cardiology` / `Other`</w:t>
            </w:r>
          </w:p>
        </w:tc>
      </w:tr>
    </w:tbl>
    <w:p/>
    <w:p>
      <w:r>
        <w:t>Coded as the primary clinical domain the AI system targets; `EHR` covers general inpatient/outpatient prediction using electronic health record data where no more specific specialty label applies.</w:t>
      </w:r>
    </w:p>
    <w:p>
      <w:pPr>
        <w:pBdr>
          <w:bottom w:val="single" w:sz="6" w:space="1" w:color="auto"/>
        </w:pBdr>
      </w:pPr>
    </w:p>
    <w:p>
      <w:pPr>
        <w:pStyle w:val="Heading1"/>
      </w:pPr>
      <w:r>
        <w:t>XAI Method and Scope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Controlled vocabulary</w:t>
            </w:r>
          </w:p>
        </w:tc>
      </w:tr>
      <w:tr>
        <w:tc>
          <w:tcPr>
            <w:tcW w:type="dxa" w:w="2880"/>
          </w:tcPr>
          <w:p>
            <w:r>
              <w:t>`XAI_Method`</w:t>
            </w:r>
          </w:p>
        </w:tc>
        <w:tc>
          <w:tcPr>
            <w:tcW w:type="dxa" w:w="2880"/>
          </w:tcPr>
          <w:p>
            <w:r>
              <w:t>categorical</w:t>
            </w:r>
          </w:p>
        </w:tc>
        <w:tc>
          <w:tcPr>
            <w:tcW w:type="dxa" w:w="2880"/>
          </w:tcPr>
          <w:p>
            <w:r>
              <w:t>`SHAP` / `LIME` / `GradCAM` / `Attention` / `ANCHOR` / `Counterfactual` / `Prototype` / `RuleExtraction` / `Other` / `Multiple`</w:t>
            </w:r>
          </w:p>
        </w:tc>
      </w:tr>
      <w:tr>
        <w:tc>
          <w:tcPr>
            <w:tcW w:type="dxa" w:w="2880"/>
          </w:tcPr>
          <w:p>
            <w:r>
              <w:t>`XAI_Scope`</w:t>
            </w:r>
          </w:p>
        </w:tc>
        <w:tc>
          <w:tcPr>
            <w:tcW w:type="dxa" w:w="2880"/>
          </w:tcPr>
          <w:p>
            <w:r>
              <w:t>categorical</w:t>
            </w:r>
          </w:p>
        </w:tc>
        <w:tc>
          <w:tcPr>
            <w:tcW w:type="dxa" w:w="2880"/>
          </w:tcPr>
          <w:p>
            <w:r>
              <w:t>`Local` / `Global` / `Both`</w:t>
            </w:r>
          </w:p>
        </w:tc>
      </w:tr>
    </w:tbl>
    <w:p/>
    <w:p>
      <w:r>
        <w:t>`XAI_Scope` is coded as the method was actually used in the paper, not as the method is theoretically capable of. Attention weights are not coded as demonstrating a faithful explanation without additional evaluation evidence.</w:t>
      </w:r>
    </w:p>
    <w:p>
      <w:pPr>
        <w:pBdr>
          <w:bottom w:val="single" w:sz="6" w:space="1" w:color="auto"/>
        </w:pBdr>
      </w:pPr>
    </w:p>
    <w:p>
      <w:pPr>
        <w:pStyle w:val="Heading1"/>
      </w:pPr>
      <w:r>
        <w:t>Study Design and Participants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Controlled vocabulary / Notes</w:t>
            </w:r>
          </w:p>
        </w:tc>
      </w:tr>
      <w:tr>
        <w:tc>
          <w:tcPr>
            <w:tcW w:type="dxa" w:w="2880"/>
          </w:tcPr>
          <w:p>
            <w:r>
              <w:t>`Study_Design`</w:t>
            </w:r>
          </w:p>
        </w:tc>
        <w:tc>
          <w:tcPr>
            <w:tcW w:type="dxa" w:w="2880"/>
          </w:tcPr>
          <w:p>
            <w:r>
              <w:t>categorical</w:t>
            </w:r>
          </w:p>
        </w:tc>
        <w:tc>
          <w:tcPr>
            <w:tcW w:type="dxa" w:w="2880"/>
          </w:tcPr>
          <w:p>
            <w:r>
              <w:t>`RCT` / `Observational` / `UserStudy` / `Simulation` / `MethodPaper`</w:t>
            </w:r>
          </w:p>
        </w:tc>
      </w:tr>
      <w:tr>
        <w:tc>
          <w:tcPr>
            <w:tcW w:type="dxa" w:w="2880"/>
          </w:tcPr>
          <w:p>
            <w:r>
              <w:t>`N_Participants`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human participants in the XAI evaluation specifically (not the model's training sample size); `0` if proxy metrics only.</w:t>
            </w:r>
          </w:p>
        </w:tc>
      </w:tr>
      <w:tr>
        <w:tc>
          <w:tcPr>
            <w:tcW w:type="dxa" w:w="2880"/>
          </w:tcPr>
          <w:p>
            <w:r>
              <w:t>`Participant_Type`</w:t>
            </w:r>
          </w:p>
        </w:tc>
        <w:tc>
          <w:tcPr>
            <w:tcW w:type="dxa" w:w="2880"/>
          </w:tcPr>
          <w:p>
            <w:r>
              <w:t>categorical</w:t>
            </w:r>
          </w:p>
        </w:tc>
        <w:tc>
          <w:tcPr>
            <w:tcW w:type="dxa" w:w="2880"/>
          </w:tcPr>
          <w:p>
            <w:r>
              <w:t>`None` / `LayPerson` / `ClinicalTrainee` / `Clinician` / `MixedClinical`</w:t>
            </w:r>
          </w:p>
        </w:tc>
      </w:tr>
    </w:tbl>
    <w:p/>
    <w:p>
      <w:r>
        <w:t>`MethodPaper` denotes a paper whose stated primary contribution is the explanation method itself, using a clinical domain only as a demonstration case, with no systematic evaluation of clinical utility (see Supplementary Material S2, Criterion 3 exception).</w:t>
      </w:r>
    </w:p>
    <w:p>
      <w:pPr>
        <w:pBdr>
          <w:bottom w:val="single" w:sz="6" w:space="1" w:color="auto"/>
        </w:pBdr>
      </w:pPr>
    </w:p>
    <w:p>
      <w:pPr>
        <w:pStyle w:val="Heading1"/>
      </w:pPr>
      <w:r>
        <w:t>Evaluation Type (RQ2)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Values</w:t>
            </w:r>
          </w:p>
        </w:tc>
      </w:tr>
      <w:tr>
        <w:tc>
          <w:tcPr>
            <w:tcW w:type="dxa" w:w="2880"/>
          </w:tcPr>
          <w:p>
            <w:r>
              <w:t>`Eval_Type`</w:t>
            </w:r>
          </w:p>
        </w:tc>
        <w:tc>
          <w:tcPr>
            <w:tcW w:type="dxa" w:w="2880"/>
          </w:tcPr>
          <w:p>
            <w:r>
              <w:t>categorical, multi-code</w:t>
            </w:r>
          </w:p>
        </w:tc>
        <w:tc>
          <w:tcPr>
            <w:tcW w:type="dxa" w:w="2880"/>
          </w:tcPr>
          <w:p>
            <w:r>
              <w:t>`ProxyMetric` / `ForwardSim` / `BackwardSim` / `TrustQuestionnaire` / `DecisionQuality` / `DownstreamOutcome` / `None`</w:t>
            </w:r>
          </w:p>
        </w:tc>
      </w:tr>
    </w:tbl>
    <w:p/>
    <w:p>
      <w:r>
        <w:t>All evaluation types present in a paper are coded, semicolon-separated, ordered from lowest to highest ecological validity (e.g., `ProxyMetric; TrustQuestionnaire; DecisionQuality`). `None` is entered only when the paper presents an XAI system with no evaluation component at all. Definitions of each of the six levels are given in Supplementary Material S2, Criterion 3.</w:t>
      </w:r>
    </w:p>
    <w:p>
      <w:pPr>
        <w:pBdr>
          <w:bottom w:val="single" w:sz="6" w:space="1" w:color="auto"/>
        </w:pBdr>
      </w:pPr>
    </w:p>
    <w:p>
      <w:pPr>
        <w:pStyle w:val="Heading1"/>
      </w:pPr>
      <w:r>
        <w:t>Workflow Realism (RQ2)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Values</w:t>
            </w:r>
          </w:p>
        </w:tc>
      </w:tr>
      <w:tr>
        <w:tc>
          <w:tcPr>
            <w:tcW w:type="dxa" w:w="2880"/>
          </w:tcPr>
          <w:p>
            <w:r>
              <w:t>`Realism_Level`</w:t>
            </w:r>
          </w:p>
        </w:tc>
        <w:tc>
          <w:tcPr>
            <w:tcW w:type="dxa" w:w="2880"/>
          </w:tcPr>
          <w:p>
            <w:r>
              <w:t>ordinal</w:t>
            </w:r>
          </w:p>
        </w:tc>
        <w:tc>
          <w:tcPr>
            <w:tcW w:type="dxa" w:w="2880"/>
          </w:tcPr>
          <w:p>
            <w:r>
              <w:t>`0` = No evaluation / `1` = Synthetic / `2` = Simulated / `3` = Ecologically representative / `4` = Deployment-embedded</w:t>
            </w:r>
          </w:p>
        </w:tc>
      </w:tr>
      <w:tr>
        <w:tc>
          <w:tcPr>
            <w:tcW w:type="dxa" w:w="2880"/>
          </w:tcPr>
          <w:p>
            <w:r>
              <w:t>`Realism_Notes`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Rationale for boundary-case coding decisions.</w:t>
            </w:r>
          </w:p>
        </w:tc>
      </w:tr>
    </w:tbl>
    <w:p/>
    <w:p>
      <w:pPr>
        <w:pBdr>
          <w:bottom w:val="single" w:sz="6" w:space="1" w:color="auto"/>
        </w:pBdr>
      </w:pPr>
    </w:p>
    <w:p>
      <w:pPr>
        <w:pStyle w:val="Heading1"/>
      </w:pPr>
      <w:r>
        <w:t>Ecological Validity (RQ2)</w:t>
      </w:r>
    </w:p>
    <w:p>
      <w:r>
        <w:t>Each dimension is scored independently of the others.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Values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Dimension</w:t>
            </w:r>
          </w:p>
        </w:tc>
      </w:tr>
      <w:tr>
        <w:tc>
          <w:tcPr>
            <w:tcW w:type="dxa" w:w="2160"/>
          </w:tcPr>
          <w:p>
            <w:r>
              <w:t>`EV_Participant`</w:t>
            </w:r>
          </w:p>
        </w:tc>
        <w:tc>
          <w:tcPr>
            <w:tcW w:type="dxa" w:w="2160"/>
          </w:tcPr>
          <w:p>
            <w:r>
              <w:t>ordinal 0-3</w:t>
            </w:r>
          </w:p>
        </w:tc>
        <w:tc>
          <w:tcPr>
            <w:tcW w:type="dxa" w:w="2160"/>
          </w:tcPr>
          <w:p>
            <w:r>
              <w:t>0=None / 1=NonClinician / 2=ClinOutOfRole / 3=ClinInRole</w:t>
            </w:r>
          </w:p>
        </w:tc>
        <w:tc>
          <w:tcPr>
            <w:tcW w:type="dxa" w:w="2160"/>
          </w:tcPr>
          <w:p>
            <w:r>
              <w:t>Participant validity</w:t>
            </w:r>
          </w:p>
        </w:tc>
      </w:tr>
      <w:tr>
        <w:tc>
          <w:tcPr>
            <w:tcW w:type="dxa" w:w="2160"/>
          </w:tcPr>
          <w:p>
            <w:r>
              <w:t>`EV_Task`</w:t>
            </w:r>
          </w:p>
        </w:tc>
        <w:tc>
          <w:tcPr>
            <w:tcW w:type="dxa" w:w="2160"/>
          </w:tcPr>
          <w:p>
            <w:r>
              <w:t>ordinal 0-3</w:t>
            </w:r>
          </w:p>
        </w:tc>
        <w:tc>
          <w:tcPr>
            <w:tcW w:type="dxa" w:w="2160"/>
          </w:tcPr>
          <w:p>
            <w:r>
              <w:t>0=NoTask / 1=Artificial / 2=Simplified / 3=FullyRepresentative</w:t>
            </w:r>
          </w:p>
        </w:tc>
        <w:tc>
          <w:tcPr>
            <w:tcW w:type="dxa" w:w="2160"/>
          </w:tcPr>
          <w:p>
            <w:r>
              <w:t>Task validity</w:t>
            </w:r>
          </w:p>
        </w:tc>
      </w:tr>
      <w:tr>
        <w:tc>
          <w:tcPr>
            <w:tcW w:type="dxa" w:w="2160"/>
          </w:tcPr>
          <w:p>
            <w:r>
              <w:t>`EV_Environment`</w:t>
            </w:r>
          </w:p>
        </w:tc>
        <w:tc>
          <w:tcPr>
            <w:tcW w:type="dxa" w:w="2160"/>
          </w:tcPr>
          <w:p>
            <w:r>
              <w:t>ordinal 0-3</w:t>
            </w:r>
          </w:p>
        </w:tc>
        <w:tc>
          <w:tcPr>
            <w:tcW w:type="dxa" w:w="2160"/>
          </w:tcPr>
          <w:p>
            <w:r>
              <w:t>0=NoInterface / 1=CustomResearch / 2=ClinicalLike / 3=ActualClinical</w:t>
            </w:r>
          </w:p>
        </w:tc>
        <w:tc>
          <w:tcPr>
            <w:tcW w:type="dxa" w:w="2160"/>
          </w:tcPr>
          <w:p>
            <w:r>
              <w:t>Environment validity</w:t>
            </w:r>
          </w:p>
        </w:tc>
      </w:tr>
      <w:tr>
        <w:tc>
          <w:tcPr>
            <w:tcW w:type="dxa" w:w="2160"/>
          </w:tcPr>
          <w:p>
            <w:r>
              <w:t>`EV_Outcome`</w:t>
            </w:r>
          </w:p>
        </w:tc>
        <w:tc>
          <w:tcPr>
            <w:tcW w:type="dxa" w:w="2160"/>
          </w:tcPr>
          <w:p>
            <w:r>
              <w:t>ordinal 0-3</w:t>
            </w:r>
          </w:p>
        </w:tc>
        <w:tc>
          <w:tcPr>
            <w:tcW w:type="dxa" w:w="2160"/>
          </w:tcPr>
          <w:p>
            <w:r>
              <w:t>0=NoneOrProxy / 1=SelfReport / 2=DecisionQuality / 3=PatientOutcomes</w:t>
            </w:r>
          </w:p>
        </w:tc>
        <w:tc>
          <w:tcPr>
            <w:tcW w:type="dxa" w:w="2160"/>
          </w:tcPr>
          <w:p>
            <w:r>
              <w:t>Outcome validity</w:t>
            </w:r>
          </w:p>
        </w:tc>
      </w:tr>
      <w:tr>
        <w:tc>
          <w:tcPr>
            <w:tcW w:type="dxa" w:w="2160"/>
          </w:tcPr>
          <w:p>
            <w:r>
              <w:t>`EV_Notes`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Boundary calls and mixed-participant-pool documentation.</w:t>
            </w:r>
          </w:p>
        </w:tc>
        <w:tc>
          <w:tcPr>
            <w:tcW w:type="dxa" w:w="2160"/>
          </w:tcPr>
          <w:p/>
        </w:tc>
      </w:tr>
    </w:tbl>
    <w:p/>
    <w:p>
      <w:r>
        <w:t>A composite score (sum of all four dimensions, range 0-12) is computed at analysis time rather than stored as its own column, since the four-dimension profile itself is the unit of analysis.</w:t>
      </w:r>
    </w:p>
    <w:p>
      <w:pPr>
        <w:pBdr>
          <w:bottom w:val="single" w:sz="6" w:space="1" w:color="auto"/>
        </w:pBdr>
      </w:pPr>
    </w:p>
    <w:p>
      <w:pPr>
        <w:pStyle w:val="Heading1"/>
      </w:pPr>
      <w:r>
        <w:t>Clinician Involvement</w:t>
      </w:r>
    </w:p>
    <w:p>
      <w:r>
        <w:t>Involvement in evaluating the XAI system and involvement in designing it are recorded separately, since a study can involve clinicians in one role without the other.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Values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Definition</w:t>
            </w:r>
          </w:p>
        </w:tc>
      </w:tr>
      <w:tr>
        <w:tc>
          <w:tcPr>
            <w:tcW w:type="dxa" w:w="2160"/>
          </w:tcPr>
          <w:p>
            <w:r>
              <w:t>`Clinician_Eval`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`Yes` / `No`</w:t>
            </w:r>
          </w:p>
        </w:tc>
        <w:tc>
          <w:tcPr>
            <w:tcW w:type="dxa" w:w="2160"/>
          </w:tcPr>
          <w:p>
            <w:r>
              <w:t>Was a licensed clinician involved at any stage of evaluating the XAI system?</w:t>
            </w:r>
          </w:p>
        </w:tc>
      </w:tr>
      <w:tr>
        <w:tc>
          <w:tcPr>
            <w:tcW w:type="dxa" w:w="2160"/>
          </w:tcPr>
          <w:p>
            <w:r>
              <w:t>`Clinician_Role`</w:t>
            </w:r>
          </w:p>
        </w:tc>
        <w:tc>
          <w:tcPr>
            <w:tcW w:type="dxa" w:w="2160"/>
          </w:tcPr>
          <w:p>
            <w:r>
              <w:t>categorical, multi-code</w:t>
            </w:r>
          </w:p>
        </w:tc>
        <w:tc>
          <w:tcPr>
            <w:tcW w:type="dxa" w:w="2160"/>
          </w:tcPr>
          <w:p>
            <w:r>
              <w:t>`Rater` / `CoDesigner` / `EndUser` / `None`</w:t>
            </w:r>
          </w:p>
        </w:tc>
        <w:tc>
          <w:tcPr>
            <w:tcW w:type="dxa" w:w="2160"/>
          </w:tcPr>
          <w:p>
            <w:r>
              <w:t>Role of the clinician in the evaluation; `None` if `Clinician_Eval = No`.</w:t>
            </w:r>
          </w:p>
        </w:tc>
      </w:tr>
      <w:tr>
        <w:tc>
          <w:tcPr>
            <w:tcW w:type="dxa" w:w="2160"/>
          </w:tcPr>
          <w:p>
            <w:r>
              <w:t>`Clinician_Design`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`Yes` / `No`</w:t>
            </w:r>
          </w:p>
        </w:tc>
        <w:tc>
          <w:tcPr>
            <w:tcW w:type="dxa" w:w="2160"/>
          </w:tcPr>
          <w:p>
            <w:r>
              <w:t>Was a clinician involved in designing or developing the XAI system itself?</w:t>
            </w:r>
          </w:p>
        </w:tc>
      </w:tr>
    </w:tbl>
    <w:p/>
    <w:p>
      <w:pPr>
        <w:pBdr>
          <w:bottom w:val="single" w:sz="6" w:space="1" w:color="auto"/>
        </w:pBdr>
      </w:pPr>
    </w:p>
    <w:p>
      <w:pPr>
        <w:pStyle w:val="Heading1"/>
      </w:pPr>
      <w:r>
        <w:t>Outcomes and Trust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`Outcome_Claimed`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What the paper states it demonstrates, quoted or closely paraphrased.</w:t>
            </w:r>
          </w:p>
        </w:tc>
      </w:tr>
      <w:tr>
        <w:tc>
          <w:tcPr>
            <w:tcW w:type="dxa" w:w="2880"/>
          </w:tcPr>
          <w:p>
            <w:r>
              <w:t>`Outcome_Demonstrated`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What is actually measured with a validated instrument, comparison condition, and appropriate sample size; blank if nothing is formally demonstrated.</w:t>
            </w:r>
          </w:p>
        </w:tc>
      </w:tr>
      <w:tr>
        <w:tc>
          <w:tcPr>
            <w:tcW w:type="dxa" w:w="2880"/>
          </w:tcPr>
          <w:p>
            <w:r>
              <w:t>`Trust_Claim`</w:t>
            </w:r>
          </w:p>
        </w:tc>
        <w:tc>
          <w:tcPr>
            <w:tcW w:type="dxa" w:w="2880"/>
          </w:tcPr>
          <w:p>
            <w:r>
              <w:t>categorical</w:t>
            </w:r>
          </w:p>
        </w:tc>
        <w:tc>
          <w:tcPr>
            <w:tcW w:type="dxa" w:w="2880"/>
          </w:tcPr>
          <w:p>
            <w:r>
              <w:t>`None` / `Calibrated` / `Plausibility` / `Both`</w:t>
            </w:r>
          </w:p>
        </w:tc>
      </w:tr>
      <w:tr>
        <w:tc>
          <w:tcPr>
            <w:tcW w:type="dxa" w:w="2880"/>
          </w:tcPr>
          <w:p>
            <w:r>
              <w:t>`Trust_Only`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`Yes` if a trust questionnaire is the sole evaluation of the XAI component present.</w:t>
            </w:r>
          </w:p>
        </w:tc>
      </w:tr>
    </w:tbl>
    <w:p/>
    <w:p>
      <w:r>
        <w:t>`Trust_Claim` distinguishes a claim that an explanation helps a user calibrate trust to the system's actual reliability (`Calibrated`) from a claim or demonstration that an explanation is merely found convincing or satisfying, without evidence of calibration (`Plausibility`). This distinction underlies this review's trust-calibration-versus-plausibility construct (see Introduction).</w:t>
      </w:r>
    </w:p>
    <w:p>
      <w:pPr>
        <w:pBdr>
          <w:bottom w:val="single" w:sz="6" w:space="1" w:color="auto"/>
        </w:pBdr>
      </w:pPr>
    </w:p>
    <w:p>
      <w:pPr>
        <w:pStyle w:val="Heading1"/>
      </w:pPr>
      <w:r>
        <w:t>Quality and Risk of Bias</w:t>
      </w:r>
    </w:p>
    <w:p>
      <w:r>
        <w:t>Each dimension is scored independently, adapted from QUADAS-2, RoB 2, and TRIPOD elements. This rubric characterizes methodological execution quality and is conceptually distinct from the ecological-validity dimensions above, which characterize evaluation realism.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Values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Dimension</w:t>
            </w:r>
          </w:p>
        </w:tc>
      </w:tr>
      <w:tr>
        <w:tc>
          <w:tcPr>
            <w:tcW w:type="dxa" w:w="2160"/>
          </w:tcPr>
          <w:p>
            <w:r>
              <w:t>`QR_Participant`</w:t>
            </w:r>
          </w:p>
        </w:tc>
        <w:tc>
          <w:tcPr>
            <w:tcW w:type="dxa" w:w="2160"/>
          </w:tcPr>
          <w:p>
            <w:r>
              <w:t>ordinal 0-2</w:t>
            </w:r>
          </w:p>
        </w:tc>
        <w:tc>
          <w:tcPr>
            <w:tcW w:type="dxa" w:w="2160"/>
          </w:tcPr>
          <w:p>
            <w:r>
              <w:t>0=Inappropriate / 1=PartiallyAppropriate / 2=Appropriate</w:t>
            </w:r>
          </w:p>
        </w:tc>
        <w:tc>
          <w:tcPr>
            <w:tcW w:type="dxa" w:w="2160"/>
          </w:tcPr>
          <w:p>
            <w:r>
              <w:t>Participant appropriateness</w:t>
            </w:r>
          </w:p>
        </w:tc>
      </w:tr>
      <w:tr>
        <w:tc>
          <w:tcPr>
            <w:tcW w:type="dxa" w:w="2160"/>
          </w:tcPr>
          <w:p>
            <w:r>
              <w:t>`QR_Task`</w:t>
            </w:r>
          </w:p>
        </w:tc>
        <w:tc>
          <w:tcPr>
            <w:tcW w:type="dxa" w:w="2160"/>
          </w:tcPr>
          <w:p>
            <w:r>
              <w:t>ordinal 0-2</w:t>
            </w:r>
          </w:p>
        </w:tc>
        <w:tc>
          <w:tcPr>
            <w:tcW w:type="dxa" w:w="2160"/>
          </w:tcPr>
          <w:p>
            <w:r>
              <w:t>0=Misaligned / 1=PartiallyAligned / 2=WellAligned</w:t>
            </w:r>
          </w:p>
        </w:tc>
        <w:tc>
          <w:tcPr>
            <w:tcW w:type="dxa" w:w="2160"/>
          </w:tcPr>
          <w:p>
            <w:r>
              <w:t>Task fidelity</w:t>
            </w:r>
          </w:p>
        </w:tc>
      </w:tr>
      <w:tr>
        <w:tc>
          <w:tcPr>
            <w:tcW w:type="dxa" w:w="2160"/>
          </w:tcPr>
          <w:p>
            <w:r>
              <w:t>`QR_Outcome`</w:t>
            </w:r>
          </w:p>
        </w:tc>
        <w:tc>
          <w:tcPr>
            <w:tcW w:type="dxa" w:w="2160"/>
          </w:tcPr>
          <w:p>
            <w:r>
              <w:t>ordinal 0-2</w:t>
            </w:r>
          </w:p>
        </w:tc>
        <w:tc>
          <w:tcPr>
            <w:tcW w:type="dxa" w:w="2160"/>
          </w:tcPr>
          <w:p>
            <w:r>
              <w:t>0=InappropriateOrUnvalidated / 1=PartiallyValid / 2=ValidAndAppropriate</w:t>
            </w:r>
          </w:p>
        </w:tc>
        <w:tc>
          <w:tcPr>
            <w:tcW w:type="dxa" w:w="2160"/>
          </w:tcPr>
          <w:p>
            <w:r>
              <w:t>Outcome measurement validity</w:t>
            </w:r>
          </w:p>
        </w:tc>
      </w:tr>
      <w:tr>
        <w:tc>
          <w:tcPr>
            <w:tcW w:type="dxa" w:w="2160"/>
          </w:tcPr>
          <w:p>
            <w:r>
              <w:t>`QR_Faithfulness`</w:t>
            </w:r>
          </w:p>
        </w:tc>
        <w:tc>
          <w:tcPr>
            <w:tcW w:type="dxa" w:w="2160"/>
          </w:tcPr>
          <w:p>
            <w:r>
              <w:t>ordinal 0-2</w:t>
            </w:r>
          </w:p>
        </w:tc>
        <w:tc>
          <w:tcPr>
            <w:tcW w:type="dxa" w:w="2160"/>
          </w:tcPr>
          <w:p>
            <w:r>
              <w:t>0=None / 1=Indirect / 2=Direct</w:t>
            </w:r>
          </w:p>
        </w:tc>
        <w:tc>
          <w:tcPr>
            <w:tcW w:type="dxa" w:w="2160"/>
          </w:tcPr>
          <w:p>
            <w:r>
              <w:t>Explanation faithfulness</w:t>
            </w:r>
          </w:p>
        </w:tc>
      </w:tr>
      <w:tr>
        <w:tc>
          <w:tcPr>
            <w:tcW w:type="dxa" w:w="2160"/>
          </w:tcPr>
          <w:p>
            <w:r>
              <w:t>`QR_Reporting`</w:t>
            </w:r>
          </w:p>
        </w:tc>
        <w:tc>
          <w:tcPr>
            <w:tcW w:type="dxa" w:w="2160"/>
          </w:tcPr>
          <w:p>
            <w:r>
              <w:t>ordinal 0-2</w:t>
            </w:r>
          </w:p>
        </w:tc>
        <w:tc>
          <w:tcPr>
            <w:tcW w:type="dxa" w:w="2160"/>
          </w:tcPr>
          <w:p>
            <w:r>
              <w:t>0=MajorGaps / 1=Partial / 2=Complete</w:t>
            </w:r>
          </w:p>
        </w:tc>
        <w:tc>
          <w:tcPr>
            <w:tcW w:type="dxa" w:w="2160"/>
          </w:tcPr>
          <w:p>
            <w:r>
              <w:t>Reporting completeness</w:t>
            </w:r>
          </w:p>
        </w:tc>
      </w:tr>
      <w:tr>
        <w:tc>
          <w:tcPr>
            <w:tcW w:type="dxa" w:w="2160"/>
          </w:tcPr>
          <w:p>
            <w:r>
              <w:t>`QR_Notes`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Supporting detail for each dimension's score.</w:t>
            </w:r>
          </w:p>
        </w:tc>
        <w:tc>
          <w:tcPr>
            <w:tcW w:type="dxa" w:w="2160"/>
          </w:tcPr>
          <w:p/>
        </w:tc>
      </w:tr>
    </w:tbl>
    <w:p/>
    <w:p>
      <w:r>
        <w:t>A composite score (sum of all five dimensions, range 0-10) is computed at analysis time rather than stored as its own column.</w:t>
      </w:r>
    </w:p>
    <w:p>
      <w:pPr>
        <w:pBdr>
          <w:bottom w:val="single" w:sz="6" w:space="1" w:color="auto"/>
        </w:pBdr>
      </w:pPr>
    </w:p>
    <w:p>
      <w:pPr>
        <w:pStyle w:val="Heading1"/>
      </w:pPr>
      <w:r>
        <w:t>Method Justification (RQ1)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Values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Definition</w:t>
            </w:r>
          </w:p>
        </w:tc>
      </w:tr>
      <w:tr>
        <w:tc>
          <w:tcPr>
            <w:tcW w:type="dxa" w:w="2160"/>
          </w:tcPr>
          <w:p>
            <w:r>
              <w:t>`Method_Justification_Type`</w:t>
            </w:r>
          </w:p>
        </w:tc>
        <w:tc>
          <w:tcPr>
            <w:tcW w:type="dxa" w:w="2160"/>
          </w:tcPr>
          <w:p>
            <w:r>
              <w:t>categorical</w:t>
            </w:r>
          </w:p>
        </w:tc>
        <w:tc>
          <w:tcPr>
            <w:tcW w:type="dxa" w:w="2160"/>
          </w:tcPr>
          <w:p>
            <w:r>
              <w:t>`Computational` / `Cognitive` / `Workflow` / `Mixed` / `NotReported`</w:t>
            </w:r>
          </w:p>
        </w:tc>
        <w:tc>
          <w:tcPr>
            <w:tcW w:type="dxa" w:w="2160"/>
          </w:tcPr>
          <w:p>
            <w:r>
              <w:t>Why the paper says it chose its explanation method over alternatives</w:t>
            </w:r>
          </w:p>
        </w:tc>
      </w:tr>
      <w:tr>
        <w:tc>
          <w:tcPr>
            <w:tcW w:type="dxa" w:w="2160"/>
          </w:tcPr>
          <w:p>
            <w:r>
              <w:t>`Method_Justification_Notes`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Quote or close paraphrase of the stated justification</w:t>
            </w:r>
          </w:p>
        </w:tc>
      </w:tr>
    </w:tbl>
    <w:p/>
    <w:p>
      <w:r>
        <w:t>Categories were coded inductively rather than as a closed a priori taxonomy: `Computational` covers justification on grounds such as model-agnosticism or theoretical guarantees; `Cognitive` covers justification on human-comprehensibility grounds; `Workflow` covers justification on deployment/integration grounds; `Mixed` records more than one type explicitly given; `NotReported` records the absence of any stated rationale, without inferring one the paper does not state.</w:t>
      </w:r>
    </w:p>
    <w:p>
      <w:pPr>
        <w:pBdr>
          <w:bottom w:val="single" w:sz="6" w:space="1" w:color="auto"/>
        </w:pBdr>
      </w:pPr>
    </w:p>
    <w:p>
      <w:pPr>
        <w:pStyle w:val="Heading1"/>
      </w:pPr>
      <w:r>
        <w:t>Method-Interface Isolation (RQ1/RQ2)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Values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Definition</w:t>
            </w:r>
          </w:p>
        </w:tc>
      </w:tr>
      <w:tr>
        <w:tc>
          <w:tcPr>
            <w:tcW w:type="dxa" w:w="2160"/>
          </w:tcPr>
          <w:p>
            <w:r>
              <w:t>`Method_Interface_Isolated`</w:t>
            </w:r>
          </w:p>
        </w:tc>
        <w:tc>
          <w:tcPr>
            <w:tcW w:type="dxa" w:w="2160"/>
          </w:tcPr>
          <w:p>
            <w:r>
              <w:t>categorical</w:t>
            </w:r>
          </w:p>
        </w:tc>
        <w:tc>
          <w:tcPr>
            <w:tcW w:type="dxa" w:w="2160"/>
          </w:tcPr>
          <w:p>
            <w:r>
              <w:t>`Yes` / `No` / `NotApplicable`</w:t>
            </w:r>
          </w:p>
        </w:tc>
        <w:tc>
          <w:tcPr>
            <w:tcW w:type="dxa" w:w="2160"/>
          </w:tcPr>
          <w:p>
            <w:r>
              <w:t>Does the study design allow an observed effect to be attributed to the explanation method itself, separate from how it is displayed?</w:t>
            </w:r>
          </w:p>
        </w:tc>
      </w:tr>
    </w:tbl>
    <w:p/>
    <w:p>
      <w:r>
        <w:t>`Yes` requires a design that isolates method from presentation (e.g., multiple methods shown through an identical interface). `No` denotes a single method shown through a single interface with no comparison condition, leaving any effect on comprehension or trust confounded with presentation choices. `NotApplicable` denotes no human-facing interface exists at all.</w:t>
      </w:r>
    </w:p>
    <w:p>
      <w:pPr>
        <w:pBdr>
          <w:bottom w:val="single" w:sz="6" w:space="1" w:color="auto"/>
        </w:pBdr>
      </w:pPr>
    </w:p>
    <w:p>
      <w:pPr>
        <w:pStyle w:val="Heading1"/>
      </w:pPr>
      <w:r>
        <w:t>Framework Classification (RQ2/RQ3)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Values</w:t>
            </w:r>
          </w:p>
        </w:tc>
      </w:tr>
      <w:tr>
        <w:tc>
          <w:tcPr>
            <w:tcW w:type="dxa" w:w="2880"/>
          </w:tcPr>
          <w:p>
            <w:r>
              <w:t>`DoshiVelez_Category`</w:t>
            </w:r>
          </w:p>
        </w:tc>
        <w:tc>
          <w:tcPr>
            <w:tcW w:type="dxa" w:w="2880"/>
          </w:tcPr>
          <w:p>
            <w:r>
              <w:t>categorical</w:t>
            </w:r>
          </w:p>
        </w:tc>
        <w:tc>
          <w:tcPr>
            <w:tcW w:type="dxa" w:w="2880"/>
          </w:tcPr>
          <w:p>
            <w:r>
              <w:t>`FunctionallyGrounded` / `HumanGrounded` / `ApplicationGrounded`</w:t>
            </w:r>
          </w:p>
        </w:tc>
      </w:tr>
      <w:tr>
        <w:tc>
          <w:tcPr>
            <w:tcW w:type="dxa" w:w="2880"/>
          </w:tcPr>
          <w:p>
            <w:r>
              <w:t>`VilonLongo_Category`</w:t>
            </w:r>
          </w:p>
        </w:tc>
        <w:tc>
          <w:tcPr>
            <w:tcW w:type="dxa" w:w="2880"/>
          </w:tcPr>
          <w:p>
            <w:r>
              <w:t>categorical</w:t>
            </w:r>
          </w:p>
        </w:tc>
        <w:tc>
          <w:tcPr>
            <w:tcW w:type="dxa" w:w="2880"/>
          </w:tcPr>
          <w:p>
            <w:r>
              <w:t>`Objective` / `HumanCentred_Qualitative` / `HumanCentred_Quantitative` / `HumanCentred_Mixed` / `NotEvaluated`</w:t>
            </w:r>
          </w:p>
        </w:tc>
      </w:tr>
    </w:tbl>
    <w:p/>
    <w:p>
      <w:r>
        <w:t>`DoshiVelez_Category` follows Doshi-Velez and Kim's (2017) three-tier evaluation-grounding framework: `FunctionallyGrounded` denotes no human subjects, interpretability assessed via a formal proxy; `HumanGrounded` denotes human subjects performing a simplified or proxy task rather than the real target decision; `ApplicationGrounded` denotes real end-users performing the real target task in a realistic setting.</w:t>
      </w:r>
    </w:p>
    <w:p>
      <w:r>
        <w:t>`VilonLongo_Category` follows Vilone and Longo's (2021) primary classification of evaluation approaches as objective/automated versus human-centred, with human-centred evaluations further split into qualitative (open-ended) and quantitative (close-ended) methods. This axis is independent of `DoshiVelez_Category`: the two frameworks classify different properties of an evaluation (how grounded/realistic it is, versus whether and how it involves humans) and are coded independently from the paper's actual method, not from one another.</w:t>
      </w:r>
    </w:p>
    <w:p>
      <w:pPr>
        <w:pBdr>
          <w:bottom w:val="single" w:sz="6" w:space="1" w:color="auto"/>
        </w:pBdr>
      </w:pPr>
    </w:p>
    <w:p>
      <w:pPr>
        <w:pStyle w:val="Heading1"/>
      </w:pPr>
      <w:r>
        <w:t>Regulatory-Relevant Evidence (RQ3)</w:t>
      </w:r>
    </w:p>
    <w:p>
      <w:r>
        <w:t>Operationalizes what evidence would satisfy interpretability-validation expectations emerging in FDA AI/ML-based Software as a Medical Device guidance and EU AI Act Article 13.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Values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Criterion</w:t>
            </w:r>
          </w:p>
        </w:tc>
      </w:tr>
      <w:tr>
        <w:tc>
          <w:tcPr>
            <w:tcW w:type="dxa" w:w="2160"/>
          </w:tcPr>
          <w:p>
            <w:r>
              <w:t>`Reg_Comprehension`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`Yes` / `No`</w:t>
            </w:r>
          </w:p>
        </w:tc>
        <w:tc>
          <w:tcPr>
            <w:tcW w:type="dxa" w:w="2160"/>
          </w:tcPr>
          <w:p>
            <w:r>
              <w:t>Clinician comprehension of explanation outputs, demonstrated via a comprehension check or correct-interpretation task</w:t>
            </w:r>
          </w:p>
        </w:tc>
      </w:tr>
      <w:tr>
        <w:tc>
          <w:tcPr>
            <w:tcW w:type="dxa" w:w="2160"/>
          </w:tcPr>
          <w:p>
            <w:r>
              <w:t>`Reg_TrustCalibration`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`Yes` / `No`</w:t>
            </w:r>
          </w:p>
        </w:tc>
        <w:tc>
          <w:tcPr>
            <w:tcW w:type="dxa" w:w="2160"/>
          </w:tcPr>
          <w:p>
            <w:r>
              <w:t>Trust shown to track actual model reliability across varying performance conditions</w:t>
            </w:r>
          </w:p>
        </w:tc>
      </w:tr>
      <w:tr>
        <w:tc>
          <w:tcPr>
            <w:tcW w:type="dxa" w:w="2160"/>
          </w:tcPr>
          <w:p>
            <w:r>
              <w:t>`Reg_UncertaintyTransparency`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`Yes` / `No`</w:t>
            </w:r>
          </w:p>
        </w:tc>
        <w:tc>
          <w:tcPr>
            <w:tcW w:type="dxa" w:w="2160"/>
          </w:tcPr>
          <w:p>
            <w:r>
              <w:t>Model uncertainty or failure modes surfaced to the clinician at the point of use, not merely discussed as a limitation</w:t>
            </w:r>
          </w:p>
        </w:tc>
      </w:tr>
      <w:tr>
        <w:tc>
          <w:tcPr>
            <w:tcW w:type="dxa" w:w="2160"/>
          </w:tcPr>
          <w:p>
            <w:r>
              <w:t>`Reg_WorkflowSafety`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`Yes` / `No`</w:t>
            </w:r>
          </w:p>
        </w:tc>
        <w:tc>
          <w:tcPr>
            <w:tcW w:type="dxa" w:w="2160"/>
          </w:tcPr>
          <w:p>
            <w:r>
              <w:t>Safe and effective use demonstrated within a realistic clinical workflow</w:t>
            </w:r>
          </w:p>
        </w:tc>
      </w:tr>
      <w:tr>
        <w:tc>
          <w:tcPr>
            <w:tcW w:type="dxa" w:w="2160"/>
          </w:tcPr>
          <w:p>
            <w:r>
              <w:t>`Reg_Notes`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Evidence supporting each `Yes`; for `No`, whether the criterion was addressed at all or attempted but insufficient</w:t>
            </w:r>
          </w:p>
        </w:tc>
      </w:tr>
    </w:tbl>
    <w:p/>
    <w:p>
      <w:r>
        <w:t>All four criteria default to `No` in the absence of explicit, demonstrated evidence; a paper's stated future-work intentions or implications are not sufficient grounds for a `Yes` code.</w:t>
      </w:r>
    </w:p>
    <w:p>
      <w:pPr>
        <w:pBdr>
          <w:bottom w:val="single" w:sz="6" w:space="1" w:color="auto"/>
        </w:pBdr>
      </w:pPr>
    </w:p>
    <w:p>
      <w:pPr>
        <w:pStyle w:val="Heading1"/>
      </w:pPr>
      <w:r>
        <w:t>General Notes and Semantic Tags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`Notes`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Free-text documentation of borderline coding decisions and details not captured by other columns.</w:t>
            </w:r>
          </w:p>
        </w:tc>
      </w:tr>
      <w:tr>
        <w:tc>
          <w:tcPr>
            <w:tcW w:type="dxa" w:w="2880"/>
          </w:tcPr>
          <w:p>
            <w:r>
              <w:t>`Tags`</w:t>
            </w:r>
          </w:p>
        </w:tc>
        <w:tc>
          <w:tcPr>
            <w:tcW w:type="dxa" w:w="2880"/>
          </w:tcPr>
          <w:p>
            <w:r>
              <w:t>string, multi-tag</w:t>
            </w:r>
          </w:p>
        </w:tc>
        <w:tc>
          <w:tcPr>
            <w:tcW w:type="dxa" w:w="2880"/>
          </w:tcPr>
          <w:p>
            <w:r>
              <w:t>Semicolon-separated semantic tags from a controlled vocabulary, supporting cross-cutting retrieval across papers (e.g., `#trust_calibration;#clinician_study;#deployment`).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