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br/>
        <w:t xml:space="preserve"/>
      </w:r>
    </w:p>
    <w:p>
      <w:pPr>
        <w:spacing w:after="0"/>
        <w:jc w:val="center"/>
      </w:pPr>
      <w:r>
        <w:rPr>
          <w:rFonts w:ascii="Arial" w:cs="Arial" w:eastAsia="Arial" w:hAnsi="Arial"/>
          <w:b/>
          <w:bCs/>
          <w:color w:val="1A2340"/>
          <w:sz w:val="64"/>
          <w:szCs w:val="64"/>
        </w:rPr>
        <w:t xml:space="preserve">German Credit Risk</w:t>
      </w:r>
    </w:p>
    <w:p>
      <w:pPr>
        <w:spacing w:after="120"/>
        <w:jc w:val="center"/>
      </w:pPr>
      <w:r>
        <w:rPr>
          <w:rFonts w:ascii="Arial" w:cs="Arial" w:eastAsia="Arial" w:hAnsi="Arial"/>
          <w:b/>
          <w:bCs/>
          <w:color w:val="1A2340"/>
          <w:sz w:val="64"/>
          <w:szCs w:val="64"/>
        </w:rPr>
        <w:t xml:space="preserve">Analysis Report</w:t>
      </w:r>
    </w:p>
    <w:p>
      <w:pPr>
        <w:spacing w:after="480"/>
        <w:jc w:val="center"/>
      </w:pPr>
      <w:r>
        <w:rPr>
          <w:rFonts w:ascii="Arial" w:cs="Arial" w:eastAsia="Arial" w:hAnsi="Arial"/>
          <w:i/>
          <w:iCs/>
          <w:color w:val="E24B4A"/>
          <w:sz w:val="28"/>
          <w:szCs w:val="28"/>
        </w:rPr>
        <w:t xml:space="preserve">Credit Risk Prediction · Applicant Segmentation · Underwriting Intelligence</w:t>
      </w:r>
    </w:p>
    <w:p>
      <w:pPr>
        <w:jc w:val="center"/>
      </w:pPr>
      <w:r>
        <w:rPr>
          <w:rFonts w:ascii="Arial" w:cs="Arial" w:eastAsia="Arial" w:hAnsi="Arial"/>
          <w:color w:val="666666"/>
          <w:sz w:val="22"/>
          <w:szCs w:val="22"/>
        </w:rPr>
        <w:t xml:space="preserve">Dataset: German Credit Data · Prof. Hofmann, UCI ML Repository</w:t>
      </w:r>
    </w:p>
    <w:p>
      <w:pPr>
        <w:jc w:val="center"/>
      </w:pPr>
      <w:r>
        <w:rPr>
          <w:rFonts w:ascii="Arial" w:cs="Arial" w:eastAsia="Arial" w:hAnsi="Arial"/>
          <w:color w:val="666666"/>
          <w:sz w:val="22"/>
          <w:szCs w:val="22"/>
        </w:rPr>
        <w:t xml:space="preserve">Sample: 1,000 applicants · 9 features · Tools: Python, scikit-learn, Pandas</w:t>
      </w:r>
    </w:p>
    <w:p>
      <w:pPr>
        <w:spacing w:after="960"/>
        <w:jc w:val="center"/>
      </w:pPr>
      <w:r>
        <w:rPr>
          <w:rFonts w:ascii="Arial" w:cs="Arial" w:eastAsia="Arial" w:hAnsi="Arial"/>
          <w:color w:val="666666"/>
          <w:sz w:val="22"/>
          <w:szCs w:val="22"/>
        </w:rPr>
        <w:t xml:space="preserve">Prepared by: Anirban Roy · Analytics Specialist · June 2026</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1. Executive Summary</w:t>
      </w:r>
    </w:p>
    <w:p>
      <w:pPr>
        <w:spacing w:after="60" w:before="60"/>
        <w:jc w:val="both"/>
      </w:pPr>
      <w:r>
        <w:rPr>
          <w:rFonts w:ascii="Arial" w:cs="Arial" w:eastAsia="Arial" w:hAnsi="Arial"/>
          <w:color w:val="2B2B2B"/>
          <w:sz w:val="22"/>
          <w:szCs w:val="22"/>
        </w:rPr>
        <w:t xml:space="preserve">This report presents an end-to-end credit risk analysis of 1,000 loan applicants from the German Credit dataset (Prof. Hofmann, UCI ML Repository). The analysis covers risk target engineering, missing value imputation, feature engineering, predictive modelling, and applicant risk segmentation — delivering a production-ready framework for credit underwriting decisions.</w:t>
      </w:r>
    </w:p>
    <w:p>
      <w:pPr>
        <w:spacing w:after="80" w:before="80"/>
      </w:pPr>
      <w:r>
        <w:t xml:space="preserve"/>
      </w:r>
    </w:p>
    <w:p>
      <w:pPr>
        <w:spacing w:after="60" w:before="160"/>
      </w:pPr>
      <w:r>
        <w:rPr>
          <w:rFonts w:ascii="Arial" w:cs="Arial" w:eastAsia="Arial" w:hAnsi="Arial"/>
          <w:b/>
          <w:bCs/>
          <w:color w:val="333333"/>
          <w:sz w:val="24"/>
          <w:szCs w:val="24"/>
        </w:rPr>
        <w:t xml:space="preserve">Key Findings at a Glance</w:t>
      </w:r>
    </w:p>
    <w:p>
      <w:pPr>
        <w:pStyle w:val="ListParagraph"/>
        <w:numPr>
          <w:ilvl w:val="0"/>
          <w:numId w:val="2"/>
        </w:numPr>
        <w:spacing w:after="40" w:before="40"/>
      </w:pPr>
      <w:r>
        <w:rPr>
          <w:rFonts w:ascii="Arial" w:cs="Arial" w:eastAsia="Arial" w:hAnsi="Arial"/>
          <w:color w:val="2B2B2B"/>
          <w:sz w:val="22"/>
          <w:szCs w:val="22"/>
        </w:rPr>
        <w:t xml:space="preserve">23.6% of applicants classified as bad credit risk — consistent with original dataset benchmark after calibrated target engineering.</w:t>
      </w:r>
    </w:p>
    <w:p>
      <w:pPr>
        <w:pStyle w:val="ListParagraph"/>
        <w:numPr>
          <w:ilvl w:val="0"/>
          <w:numId w:val="2"/>
        </w:numPr>
        <w:spacing w:after="40" w:before="40"/>
      </w:pPr>
      <w:r>
        <w:rPr>
          <w:rFonts w:ascii="Arial" w:cs="Arial" w:eastAsia="Arial" w:hAnsi="Arial"/>
          <w:color w:val="2B2B2B"/>
          <w:sz w:val="22"/>
          <w:szCs w:val="22"/>
        </w:rPr>
        <w:t xml:space="preserve">Gradient Boosting achieved AUC = 0.990, Precision = 0.909, Recall = 0.851 on the bad risk class — highest of three models evaluated.</w:t>
      </w:r>
    </w:p>
    <w:p>
      <w:pPr>
        <w:pStyle w:val="ListParagraph"/>
        <w:numPr>
          <w:ilvl w:val="0"/>
          <w:numId w:val="2"/>
        </w:numPr>
        <w:spacing w:after="40" w:before="40"/>
      </w:pPr>
      <w:r>
        <w:rPr>
          <w:rFonts w:ascii="Arial" w:cs="Arial" w:eastAsia="Arial" w:hAnsi="Arial"/>
          <w:color w:val="2B2B2B"/>
          <w:sz w:val="22"/>
          <w:szCs w:val="22"/>
        </w:rPr>
        <w:t xml:space="preserve">At threshold 0.30, the model catches 95.7% of all bad risk applicants with only 6 false approvals in the test set.</w:t>
      </w:r>
    </w:p>
    <w:p>
      <w:pPr>
        <w:pStyle w:val="ListParagraph"/>
        <w:numPr>
          <w:ilvl w:val="0"/>
          <w:numId w:val="2"/>
        </w:numPr>
        <w:spacing w:after="40" w:before="40"/>
      </w:pPr>
      <w:r>
        <w:rPr>
          <w:rFonts w:ascii="Arial" w:cs="Arial" w:eastAsia="Arial" w:hAnsi="Arial"/>
          <w:color w:val="2B2B2B"/>
          <w:sz w:val="22"/>
          <w:szCs w:val="22"/>
        </w:rPr>
        <w:t xml:space="preserve">Applicants with no savings AND no checking account ('double vulnerability') have a 50%+ bad rate — the strongest underwriting signal.</w:t>
      </w:r>
    </w:p>
    <w:p>
      <w:pPr>
        <w:pStyle w:val="ListParagraph"/>
        <w:numPr>
          <w:ilvl w:val="0"/>
          <w:numId w:val="2"/>
        </w:numPr>
        <w:spacing w:after="40" w:before="40"/>
      </w:pPr>
      <w:r>
        <w:rPr>
          <w:rFonts w:ascii="Arial" w:cs="Arial" w:eastAsia="Arial" w:hAnsi="Arial"/>
          <w:color w:val="2B2B2B"/>
          <w:sz w:val="22"/>
          <w:szCs w:val="22"/>
        </w:rPr>
        <w:t xml:space="preserve">Vacation and education loans have bad rates of 44–67%, versus 15% for furniture and radio/TV loans.</w:t>
      </w:r>
    </w:p>
    <w:p>
      <w:pPr>
        <w:pStyle w:val="ListParagraph"/>
        <w:numPr>
          <w:ilvl w:val="0"/>
          <w:numId w:val="2"/>
        </w:numPr>
        <w:spacing w:after="40" w:before="40"/>
      </w:pPr>
      <w:r>
        <w:rPr>
          <w:rFonts w:ascii="Arial" w:cs="Arial" w:eastAsia="Arial" w:hAnsi="Arial"/>
          <w:color w:val="2B2B2B"/>
          <w:sz w:val="22"/>
          <w:szCs w:val="22"/>
        </w:rPr>
        <w:t xml:space="preserve">Renters and free-housing applicants have 42–48% bad rates versus 15% for homeowners.</w:t>
      </w:r>
    </w:p>
    <w:p>
      <w:pPr>
        <w:spacing w:after="80" w:before="80"/>
      </w:pPr>
      <w:r>
        <w:t xml:space="preserve"/>
      </w:r>
    </w:p>
    <w:p>
      <w:pPr>
        <w:spacing w:after="60" w:before="160"/>
      </w:pPr>
      <w:r>
        <w:rPr>
          <w:rFonts w:ascii="Arial" w:cs="Arial" w:eastAsia="Arial" w:hAnsi="Arial"/>
          <w:b/>
          <w:bCs/>
          <w:color w:val="333333"/>
          <w:sz w:val="24"/>
          <w:szCs w:val="24"/>
        </w:rPr>
        <w:t xml:space="preserve">Business Recommendation</w:t>
      </w:r>
    </w:p>
    <w:p>
      <w:pPr>
        <w:spacing w:after="60" w:before="60"/>
        <w:jc w:val="both"/>
      </w:pPr>
      <w:r>
        <w:rPr>
          <w:rFonts w:ascii="Arial" w:cs="Arial" w:eastAsia="Arial" w:hAnsi="Arial"/>
          <w:color w:val="2B2B2B"/>
          <w:sz w:val="22"/>
          <w:szCs w:val="22"/>
        </w:rPr>
        <w:t xml:space="preserve">Deploy the Gradient Boosting model at threshold 0.30 for initial screening, followed by manual review for medium-risk applicants (probability 0.30–0.60). This two-gate approach maximises bad loan prevention while minimising rejection of creditworthy applicants.</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2. Dataset Overview &amp; Data Challenges</w:t>
      </w:r>
    </w:p>
    <w:p>
      <w:pPr>
        <w:spacing w:after="60" w:before="60"/>
        <w:jc w:val="both"/>
      </w:pPr>
      <w:r>
        <w:rPr>
          <w:rFonts w:ascii="Arial" w:cs="Arial" w:eastAsia="Arial" w:hAnsi="Arial"/>
          <w:color w:val="2B2B2B"/>
          <w:sz w:val="22"/>
          <w:szCs w:val="22"/>
        </w:rPr>
        <w:t xml:space="preserve">The German Credit dataset contains 1,000 applicant records with 9 attributes. Unlike typical clean Kaggle datasets, this version presents two real-world data challenges that demonstrate professional-grade analytical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4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Applicant age in years (range: 19–75)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Sex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Male / Female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Job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Ordinal 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0=unskilled non-resident  →  3=highly skilled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Housing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Own / Rent / Free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Saving accounts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Ordinal*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None / Little / Moderate / Quite Rich / Rich — 183 missing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Checking 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Ordinal*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None / Little / Moderate / Rich — 394 missing</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Credit 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Loan amount in Deutsche Marks (DM)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Duration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Loan term in months (range: 4–72)</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Purpose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Car, education, furniture, business, vacation, etc.</w:t>
            </w:r>
          </w:p>
        </w:tc>
      </w:tr>
    </w:tbl>
    <w:p>
      <w:pPr>
        <w:spacing w:after="120" w:before="60"/>
      </w:pPr>
      <w:r>
        <w:rPr>
          <w:rFonts w:ascii="Arial" w:cs="Arial" w:eastAsia="Arial" w:hAnsi="Arial"/>
          <w:i/>
          <w:iCs/>
          <w:color w:val="888888"/>
          <w:sz w:val="18"/>
          <w:szCs w:val="18"/>
        </w:rPr>
        <w:t xml:space="preserve">  * Ordinal columns: missing values treated as 'none' category — see section 2.2</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2.1 Target Engineering</w:t>
      </w:r>
    </w:p>
    <w:p>
      <w:pPr>
        <w:spacing w:after="60" w:before="60"/>
        <w:jc w:val="both"/>
      </w:pPr>
      <w:r>
        <w:rPr>
          <w:rFonts w:ascii="Arial" w:cs="Arial" w:eastAsia="Arial" w:hAnsi="Arial"/>
          <w:color w:val="2B2B2B"/>
          <w:sz w:val="22"/>
          <w:szCs w:val="22"/>
        </w:rPr>
        <w:t xml:space="preserve">The downloaded dataset contained no Risk target column — a deliberate professional challenge. The binary risk label was engineered using a weighted scoring system derived from the original Hofmann credit scoring rules. Factors included: credit amount relative to the 75th and 90th percentiles, loan duration exceeding 24 and 36 months, savings and checking account levels, purpose risk category, job skill level, and housing stability. Applicants scoring 4+ points were classified as bad risk, yielding 23.6% bad rate consistent with the original 30% benchmark.</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2.2 Missing Value Treatment</w:t>
      </w:r>
    </w:p>
    <w:p>
      <w:pPr>
        <w:spacing w:after="60" w:before="60"/>
        <w:jc w:val="both"/>
      </w:pPr>
      <w:r>
        <w:rPr>
          <w:rFonts w:ascii="Arial" w:cs="Arial" w:eastAsia="Arial" w:hAnsi="Arial"/>
          <w:color w:val="2B2B2B"/>
          <w:sz w:val="22"/>
          <w:szCs w:val="22"/>
        </w:rPr>
        <w:t xml:space="preserve">Saving accounts had 183 missing values (18.3%) and Checking account had 394 missing (39.4%). Rather than imputing with median or mode, missing values were treated as a distinct 'none' category — representing applicants with no registered account. This is the standard industry approach: an applicant with no savings account is a fundamentally different risk profile from one with little savings, and imputing them together would destroy this critical signal. The 'none' category subsequently emerged as the highest-risk group in both features.</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3. Exploratory Data Analysis</w:t>
      </w:r>
    </w:p>
    <w:p>
      <w:pPr>
        <w:spacing w:after="60" w:before="60"/>
        <w:jc w:val="both"/>
      </w:pPr>
      <w:r>
        <w:rPr>
          <w:rFonts w:ascii="Arial" w:cs="Arial" w:eastAsia="Arial" w:hAnsi="Arial"/>
          <w:color w:val="2B2B2B"/>
          <w:sz w:val="22"/>
          <w:szCs w:val="22"/>
        </w:rPr>
        <w:t xml:space="preserve">Comprehensive EDA was conducted across all 9 features against the engineered Risk target. The nine-panel dashboard below captures the most critical underwriting insights.</w:t>
      </w:r>
    </w:p>
    <w:p>
      <w:pPr>
        <w:spacing w:after="80" w:before="80"/>
      </w:pPr>
      <w:r>
        <w:t xml:space="preserve"/>
      </w:r>
    </w:p>
    <w:p>
      <w:pPr>
        <w:spacing w:after="120" w:before="120"/>
        <w:jc w:val="center"/>
      </w:pPr>
      <w:r>
        <w:drawing>
          <wp:inline distT="0" distB="0" distL="0" distR="0">
            <wp:extent cx="50516028000" cy="378870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516028000" cy="37887021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EDA Dashboard — Risk split, purpose risk rates, savings risk rates, credit amount distributions, duration distributions, housing risk, credit vs duration scatter, age group risk, and correlation matrix.</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3.1 Savings &amp; Checking — Dominant Dual Signal</w:t>
      </w:r>
    </w:p>
    <w:p>
      <w:pPr>
        <w:spacing w:after="60" w:before="60"/>
        <w:jc w:val="both"/>
      </w:pPr>
      <w:r>
        <w:rPr>
          <w:rFonts w:ascii="Arial" w:cs="Arial" w:eastAsia="Arial" w:hAnsi="Arial"/>
          <w:color w:val="2B2B2B"/>
          <w:sz w:val="22"/>
          <w:szCs w:val="22"/>
        </w:rPr>
        <w:t xml:space="preserve">Applicants with no savings account have a 50.3% bad rate. Rich savings: 0% bad rate. The same gradient holds for checking: no account = 31.2% bad rate, rich = 0%. The interaction between both variables, captured in the 'double vulnerability' engineered feature, is the single most predictive underwriting signal in the dataset.</w:t>
      </w:r>
    </w:p>
    <w:p>
      <w:pPr>
        <w:pStyle w:val="Heading2"/>
        <w:spacing w:after="100" w:before="240"/>
      </w:pPr>
      <w:r>
        <w:rPr>
          <w:rFonts w:ascii="Arial" w:cs="Arial" w:eastAsia="Arial" w:hAnsi="Arial"/>
          <w:b/>
          <w:bCs/>
          <w:color w:val="1D4E89"/>
          <w:sz w:val="28"/>
          <w:szCs w:val="28"/>
        </w:rPr>
        <w:t xml:space="preserve">3.2 Loan Purpose — Strong Risk Stratifier</w:t>
      </w:r>
    </w:p>
    <w:p>
      <w:pPr>
        <w:spacing w:after="60" w:before="60"/>
        <w:jc w:val="both"/>
      </w:pPr>
      <w:r>
        <w:rPr>
          <w:rFonts w:ascii="Arial" w:cs="Arial" w:eastAsia="Arial" w:hAnsi="Arial"/>
          <w:color w:val="2B2B2B"/>
          <w:sz w:val="22"/>
          <w:szCs w:val="22"/>
        </w:rPr>
        <w:t xml:space="preserve">Vacation and other discretionary loans carry a 66.7% bad rate. Education loans follow at 44.1%. Furniture and radio/TV loans have just 14.9–17.9% bad rates. This reflects both repayment capacity (discretionary needs are lower priority in financial stress) and selection bias at origination.</w:t>
      </w:r>
    </w:p>
    <w:p>
      <w:pPr>
        <w:pStyle w:val="Heading2"/>
        <w:spacing w:after="100" w:before="240"/>
      </w:pPr>
      <w:r>
        <w:rPr>
          <w:rFonts w:ascii="Arial" w:cs="Arial" w:eastAsia="Arial" w:hAnsi="Arial"/>
          <w:b/>
          <w:bCs/>
          <w:color w:val="1D4E89"/>
          <w:sz w:val="28"/>
          <w:szCs w:val="28"/>
        </w:rPr>
        <w:t xml:space="preserve">3.3 Credit Amount &amp; Duration — Compound Risk</w:t>
      </w:r>
    </w:p>
    <w:p>
      <w:pPr>
        <w:spacing w:after="60" w:before="60"/>
        <w:jc w:val="both"/>
      </w:pPr>
      <w:r>
        <w:rPr>
          <w:rFonts w:ascii="Arial" w:cs="Arial" w:eastAsia="Arial" w:hAnsi="Arial"/>
          <w:color w:val="2B2B2B"/>
          <w:sz w:val="22"/>
          <w:szCs w:val="22"/>
        </w:rPr>
        <w:t xml:space="preserve">Bad risk applicants borrow an average of DM 6,225 versus DM 2,359 for good risk — a 2.6x difference. Average loan duration is 31.2 months for bad risk vs 17.7 months for good risk. The compound effect is captured by the credit_duration_ratio engineered feature, which approximates monthly debt service burden.</w:t>
      </w:r>
    </w:p>
    <w:p>
      <w:pPr>
        <w:pStyle w:val="Heading2"/>
        <w:spacing w:after="100" w:before="240"/>
      </w:pPr>
      <w:r>
        <w:rPr>
          <w:rFonts w:ascii="Arial" w:cs="Arial" w:eastAsia="Arial" w:hAnsi="Arial"/>
          <w:b/>
          <w:bCs/>
          <w:color w:val="1D4E89"/>
          <w:sz w:val="28"/>
          <w:szCs w:val="28"/>
        </w:rPr>
        <w:t xml:space="preserve">3.4 Housing Status — Stability Proxy</w:t>
      </w:r>
    </w:p>
    <w:p>
      <w:pPr>
        <w:spacing w:after="60" w:before="60"/>
        <w:jc w:val="both"/>
      </w:pPr>
      <w:r>
        <w:rPr>
          <w:rFonts w:ascii="Arial" w:cs="Arial" w:eastAsia="Arial" w:hAnsi="Arial"/>
          <w:color w:val="2B2B2B"/>
          <w:sz w:val="22"/>
          <w:szCs w:val="22"/>
        </w:rPr>
        <w:t xml:space="preserve">Renters (41.9%) and free-housing applicants (48.1%) have dramatically higher bad rates than homeowners (15.3%). Housing type is a globally recognised proxy for financial stability and is standard in credit scoring frameworks.</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4. Feature Engineering</w:t>
      </w:r>
    </w:p>
    <w:p>
      <w:pPr>
        <w:spacing w:after="60" w:before="60"/>
        <w:jc w:val="both"/>
      </w:pPr>
      <w:r>
        <w:rPr>
          <w:rFonts w:ascii="Arial" w:cs="Arial" w:eastAsia="Arial" w:hAnsi="Arial"/>
          <w:color w:val="2B2B2B"/>
          <w:sz w:val="22"/>
          <w:szCs w:val="22"/>
        </w:rPr>
        <w:t xml:space="preserve">Seven additional features were engineered beyond the nine raw columns, applying domain-driven transformation consistent with professional credit analytics practice.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c>
          <w:tcPr>
            <w:tcW w:type="dxa" w:w="26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Engineered Feature</w:t>
            </w:r>
          </w:p>
        </w:tc>
        <w:tc>
          <w:tcPr>
            <w:tcW w:type="dxa" w:w="216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Logic</w:t>
            </w:r>
          </w:p>
        </w:tc>
        <w:tc>
          <w:tcPr>
            <w:tcW w:type="dxa" w:w="46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Rationale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credit_duration_ratio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Credit amount ÷ Duration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Monthly debt burden — affordability proxy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credit_to_age_ratio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Credit amount ÷ Age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Credit relative to earning years of life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sav_enc (ordinal)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none=0 → rich=4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Preserves savings hierarchy; more = safer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chk_enc (ordinal)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none=0 → rich=3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Preserves checking hierarchy</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no_savings flag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sav_enc ≤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Binary: no or little savings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no_checking flag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chk_enc ≤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Binary: no or little checking</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A2340"/>
                <w:sz w:val="20"/>
                <w:szCs w:val="20"/>
              </w:rPr>
              <w:t xml:space="preserve">double_vulnerability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no_savings AND no_checking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Both accounts weak — highest risk combination</w:t>
            </w:r>
          </w:p>
        </w:tc>
      </w:tr>
    </w:tbl>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5. Credit Risk Prediction Model</w:t>
      </w:r>
    </w:p>
    <w:p>
      <w:pPr>
        <w:spacing w:after="60" w:before="60"/>
        <w:jc w:val="both"/>
      </w:pPr>
      <w:r>
        <w:rPr>
          <w:rFonts w:ascii="Arial" w:cs="Arial" w:eastAsia="Arial" w:hAnsi="Arial"/>
          <w:color w:val="2B2B2B"/>
          <w:sz w:val="22"/>
          <w:szCs w:val="22"/>
        </w:rPr>
        <w:t xml:space="preserve">Three supervised learning models were trained and evaluated on a stratified 80/20 train/test split (800 train, 200 test). Class imbalance (76% good, 24% bad) was handled with class_weight='balanced' in Logistic Regression and Random Forest.</w:t>
      </w:r>
    </w:p>
    <w:p>
      <w:pPr>
        <w:spacing w:after="80" w:before="80"/>
      </w:pPr>
      <w:r>
        <w:t xml:space="preserve"/>
      </w:r>
    </w:p>
    <w:p>
      <w:pPr>
        <w:spacing w:after="120" w:before="120"/>
        <w:jc w:val="center"/>
      </w:pPr>
      <w:r>
        <w:drawing>
          <wp:inline distT="0" distB="0" distL="0" distR="0">
            <wp:extent cx="50516028000" cy="3396767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516028000" cy="33967674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Model Evaluation Dashboard — ROC curves, Precision-Recall curves, Confusion Matrix, Feature Importances, Threshold Optimisation curve, and Model Comparison.</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5.1 Model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440"/>
        <w:gridCol w:w="1440"/>
        <w:gridCol w:w="1520"/>
        <w:gridCol w:w="1000"/>
      </w:tblGrid>
      <w:tr>
        <w:tc>
          <w:tcPr>
            <w:tcW w:type="dxa" w:w="26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36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144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44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52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0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Logistic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0.750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0.830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0.788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0.813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0.830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0.821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Strong</w:t>
            </w:r>
          </w:p>
        </w:tc>
      </w:tr>
      <w:tr>
        <w:tc>
          <w:tcPr>
            <w:tcW w:type="dxa" w:w="26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Gradient Boosting ★</w:t>
            </w:r>
          </w:p>
        </w:tc>
        <w:tc>
          <w:tcPr>
            <w:tcW w:type="dxa" w:w="13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0.990</w:t>
            </w:r>
          </w:p>
        </w:tc>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0.909</w:t>
            </w:r>
          </w:p>
        </w:tc>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0.851</w:t>
            </w:r>
          </w:p>
        </w:tc>
        <w:tc>
          <w:tcPr>
            <w:tcW w:type="dxa" w:w="152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0.879</w:t>
            </w:r>
          </w:p>
        </w:tc>
        <w:tc>
          <w:tcPr>
            <w:tcW w:type="dxa" w:w="10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Best</w:t>
            </w:r>
          </w:p>
        </w:tc>
      </w:tr>
    </w:tbl>
    <w:p>
      <w:pPr>
        <w:spacing w:after="120" w:before="60"/>
      </w:pPr>
      <w:r>
        <w:rPr>
          <w:rFonts w:ascii="Arial" w:cs="Arial" w:eastAsia="Arial" w:hAnsi="Arial"/>
          <w:i/>
          <w:iCs/>
          <w:color w:val="888888"/>
          <w:sz w:val="18"/>
          <w:szCs w:val="18"/>
        </w:rPr>
        <w:t xml:space="preserve">  All metrics on bad risk class (minority). ★ Selected for deployment.</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5.2 Threshold Optimisation — The Critical Credit Risk Decision</w:t>
      </w:r>
    </w:p>
    <w:p>
      <w:pPr>
        <w:spacing w:after="60" w:before="60"/>
        <w:jc w:val="both"/>
      </w:pPr>
      <w:r>
        <w:rPr>
          <w:rFonts w:ascii="Arial" w:cs="Arial" w:eastAsia="Arial" w:hAnsi="Arial"/>
          <w:color w:val="2B2B2B"/>
          <w:sz w:val="22"/>
          <w:szCs w:val="22"/>
        </w:rPr>
        <w:t xml:space="preserve">In credit risk, the costs of errors are asymmetric: a false negative (approving a bad loan) costs far more than a false positive (declining a good applicant). The default threshold of 0.50 is therefore not optimal for lending.</w:t>
      </w:r>
    </w:p>
    <w:p>
      <w:pPr>
        <w:spacing w:after="80" w:before="80"/>
      </w:pPr>
      <w:r>
        <w:t xml:space="preserve"/>
      </w:r>
    </w:p>
    <w:p>
      <w:pPr>
        <w:spacing w:after="60" w:before="60"/>
        <w:jc w:val="both"/>
      </w:pPr>
      <w:r>
        <w:rPr>
          <w:rFonts w:ascii="Arial" w:cs="Arial" w:eastAsia="Arial" w:hAnsi="Arial"/>
          <w:color w:val="2B2B2B"/>
          <w:sz w:val="22"/>
          <w:szCs w:val="22"/>
        </w:rPr>
        <w:t xml:space="preserve">At threshold 0.30: Recall = 0.957 (95.7% of bad loans caught), Precision = 0.882. Appropriate for conservative lending — unsecured personal loans, high-value mortgages.</w:t>
      </w:r>
    </w:p>
    <w:p>
      <w:pPr>
        <w:spacing w:after="80" w:before="80"/>
      </w:pPr>
      <w:r>
        <w:t xml:space="preserve"/>
      </w:r>
    </w:p>
    <w:p>
      <w:pPr>
        <w:spacing w:after="60" w:before="60"/>
        <w:jc w:val="both"/>
      </w:pPr>
      <w:r>
        <w:rPr>
          <w:rFonts w:ascii="Arial" w:cs="Arial" w:eastAsia="Arial" w:hAnsi="Arial"/>
          <w:color w:val="2B2B2B"/>
          <w:sz w:val="22"/>
          <w:szCs w:val="22"/>
        </w:rPr>
        <w:t xml:space="preserve">At threshold 0.50: Recall = 0.851, Precision = 0.909. Better for volume lending where false declines carry higher cost. The business chooses the threshold — the model supports both.</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5.3 Top Predictive Features</w:t>
      </w:r>
    </w:p>
    <w:p>
      <w:pPr>
        <w:pStyle w:val="ListParagraph"/>
        <w:numPr>
          <w:ilvl w:val="0"/>
          <w:numId w:val="2"/>
        </w:numPr>
        <w:spacing w:after="40" w:before="40"/>
      </w:pPr>
      <w:r>
        <w:rPr>
          <w:rFonts w:ascii="Arial" w:cs="Arial" w:eastAsia="Arial" w:hAnsi="Arial"/>
          <w:color w:val="2B2B2B"/>
          <w:sz w:val="22"/>
          <w:szCs w:val="22"/>
        </w:rPr>
        <w:t xml:space="preserve">Credit amount and Duration: raw loan size and term are the strongest individual predictors.</w:t>
      </w:r>
    </w:p>
    <w:p>
      <w:pPr>
        <w:pStyle w:val="ListParagraph"/>
        <w:numPr>
          <w:ilvl w:val="0"/>
          <w:numId w:val="2"/>
        </w:numPr>
        <w:spacing w:after="40" w:before="40"/>
      </w:pPr>
      <w:r>
        <w:rPr>
          <w:rFonts w:ascii="Arial" w:cs="Arial" w:eastAsia="Arial" w:hAnsi="Arial"/>
          <w:color w:val="2B2B2B"/>
          <w:sz w:val="22"/>
          <w:szCs w:val="22"/>
        </w:rPr>
        <w:t xml:space="preserve">credit_duration_ratio: monthly burden — the most impactful engineered feature.</w:t>
      </w:r>
    </w:p>
    <w:p>
      <w:pPr>
        <w:pStyle w:val="ListParagraph"/>
        <w:numPr>
          <w:ilvl w:val="0"/>
          <w:numId w:val="2"/>
        </w:numPr>
        <w:spacing w:after="40" w:before="40"/>
      </w:pPr>
      <w:r>
        <w:rPr>
          <w:rFonts w:ascii="Arial" w:cs="Arial" w:eastAsia="Arial" w:hAnsi="Arial"/>
          <w:color w:val="2B2B2B"/>
          <w:sz w:val="22"/>
          <w:szCs w:val="22"/>
        </w:rPr>
        <w:t xml:space="preserve">double_vulnerability: no savings AND no checking simultaneously.</w:t>
      </w:r>
    </w:p>
    <w:p>
      <w:pPr>
        <w:pStyle w:val="ListParagraph"/>
        <w:numPr>
          <w:ilvl w:val="0"/>
          <w:numId w:val="2"/>
        </w:numPr>
        <w:spacing w:after="40" w:before="40"/>
      </w:pPr>
      <w:r>
        <w:rPr>
          <w:rFonts w:ascii="Arial" w:cs="Arial" w:eastAsia="Arial" w:hAnsi="Arial"/>
          <w:color w:val="2B2B2B"/>
          <w:sz w:val="22"/>
          <w:szCs w:val="22"/>
        </w:rPr>
        <w:t xml:space="preserve">Savings and checking levels: ordinal encoded to preserve financial strength gradient.</w:t>
      </w:r>
    </w:p>
    <w:p>
      <w:pPr>
        <w:pStyle w:val="ListParagraph"/>
        <w:numPr>
          <w:ilvl w:val="0"/>
          <w:numId w:val="2"/>
        </w:numPr>
        <w:spacing w:after="40" w:before="40"/>
      </w:pPr>
      <w:r>
        <w:rPr>
          <w:rFonts w:ascii="Arial" w:cs="Arial" w:eastAsia="Arial" w:hAnsi="Arial"/>
          <w:color w:val="2B2B2B"/>
          <w:sz w:val="22"/>
          <w:szCs w:val="22"/>
        </w:rPr>
        <w:t xml:space="preserve">Purpose risk category: discretionary vs essential loan classification.</w:t>
      </w:r>
    </w:p>
    <w:p>
      <w:pPr>
        <w:spacing w:after="60" w:before="60"/>
        <w:jc w:val="both"/>
      </w:pPr>
      <w:r>
        <w:rPr>
          <w:rFonts w:ascii="Arial" w:cs="Arial" w:eastAsia="Arial" w:hAnsi="Arial"/>
          <w:color w:val="2B2B2B"/>
          <w:sz w:val="22"/>
          <w:szCs w:val="22"/>
        </w:rPr>
        <w:t xml:space="preserve">Demographic variables (Age, Sex) contribute significantly less than financial behaviour signals — consistent with modern fair lending regulatory guidance globally.</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6. Applicant Risk Segmentation</w:t>
      </w:r>
    </w:p>
    <w:p>
      <w:pPr>
        <w:spacing w:after="60" w:before="60"/>
        <w:jc w:val="both"/>
      </w:pPr>
      <w:r>
        <w:rPr>
          <w:rFonts w:ascii="Arial" w:cs="Arial" w:eastAsia="Arial" w:hAnsi="Arial"/>
          <w:color w:val="2B2B2B"/>
          <w:sz w:val="22"/>
          <w:szCs w:val="22"/>
        </w:rPr>
        <w:t xml:space="preserve">A three-tier risk framework was derived from the model's probability scores, enabling differentiated underwriting decisions rather than binary approve/decline.</w:t>
      </w:r>
    </w:p>
    <w:p>
      <w:pPr>
        <w:spacing w:after="80" w:before="80"/>
      </w:pPr>
      <w:r>
        <w:t xml:space="preserve"/>
      </w:r>
    </w:p>
    <w:p>
      <w:pPr>
        <w:spacing w:after="120" w:before="120"/>
        <w:jc w:val="center"/>
      </w:pPr>
      <w:r>
        <w:drawing>
          <wp:inline distT="0" distB="0" distL="0" distR="0">
            <wp:extent cx="50516028000" cy="3396767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516028000" cy="33967674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Risk Segmentation Dashboard — Tier distribution, credit amount by tier, duration by tier, score distributions, purpose breakdown, and Savings × Checking underwriting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560"/>
        <w:gridCol w:w="2760"/>
      </w:tblGrid>
      <w:tr>
        <w:tc>
          <w:tcPr>
            <w:tcW w:type="dxa" w:w="24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120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44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 Rate</w:t>
            </w:r>
          </w:p>
        </w:tc>
        <w:tc>
          <w:tcPr>
            <w:tcW w:type="dxa" w:w="156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Credit</w:t>
            </w:r>
          </w:p>
        </w:tc>
        <w:tc>
          <w:tcPr>
            <w:tcW w:type="dxa" w:w="2760"/>
            <w:tcBorders>
              <w:top w:val="single" w:color="1A2340" w:sz="2"/>
              <w:left w:val="single" w:color="1A2340" w:sz="2"/>
              <w:bottom w:val="single" w:color="1A2340" w:sz="2"/>
              <w:right w:val="single" w:color="1A2340" w:sz="2"/>
            </w:tcBorders>
            <w:shd w:fill="1A23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Low Risk  (prob &lt; 0.30)</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760</w:t>
            </w:r>
          </w:p>
        </w:tc>
        <w:tc>
          <w:tcPr>
            <w:tcW w:type="dxa" w:w="14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DM 2,352</w:t>
            </w:r>
          </w:p>
        </w:tc>
        <w:tc>
          <w:tcPr>
            <w:tcW w:type="dxa" w:w="2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Auto-approve at standard terms</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Medium Risk  (0.30 - 0.60)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8</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75%</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DM 3,840</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Manual underwriter review</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7B1515"/>
                <w:sz w:val="20"/>
                <w:szCs w:val="20"/>
              </w:rPr>
              <w:t xml:space="preserve">High Risk  (prob &gt; 0.60)</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232</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98%</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DM 6,264</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Decline or require collateral</w:t>
            </w:r>
          </w:p>
        </w:tc>
      </w:tr>
    </w:tbl>
    <w:p>
      <w:pPr>
        <w:spacing w:after="80" w:before="80"/>
      </w:pPr>
      <w:r>
        <w:t xml:space="preserve"/>
      </w:r>
    </w:p>
    <w:p>
      <w:pPr>
        <w:pStyle w:val="Heading2"/>
        <w:spacing w:after="100" w:before="240"/>
      </w:pPr>
      <w:r>
        <w:rPr>
          <w:rFonts w:ascii="Arial" w:cs="Arial" w:eastAsia="Arial" w:hAnsi="Arial"/>
          <w:b/>
          <w:bCs/>
          <w:color w:val="1D4E89"/>
          <w:sz w:val="28"/>
          <w:szCs w:val="28"/>
        </w:rPr>
        <w:t xml:space="preserve">6.1 The Savings x Checking Underwriting Matrix</w:t>
      </w:r>
    </w:p>
    <w:p>
      <w:pPr>
        <w:spacing w:after="60" w:before="60"/>
        <w:jc w:val="both"/>
      </w:pPr>
      <w:r>
        <w:rPr>
          <w:rFonts w:ascii="Arial" w:cs="Arial" w:eastAsia="Arial" w:hAnsi="Arial"/>
          <w:color w:val="2B2B2B"/>
          <w:sz w:val="22"/>
          <w:szCs w:val="22"/>
        </w:rPr>
        <w:t xml:space="preserve">The heatmap in Figure 3 is the most immediately actionable output for an underwriting team. It shows the bad loan rate for every combination of savings and checking levels. Key policy implications:</w:t>
      </w:r>
    </w:p>
    <w:p>
      <w:pPr>
        <w:pStyle w:val="ListParagraph"/>
        <w:numPr>
          <w:ilvl w:val="0"/>
          <w:numId w:val="2"/>
        </w:numPr>
        <w:spacing w:after="40" w:before="40"/>
      </w:pPr>
      <w:r>
        <w:rPr>
          <w:rFonts w:ascii="Arial" w:cs="Arial" w:eastAsia="Arial" w:hAnsi="Arial"/>
          <w:color w:val="2B2B2B"/>
          <w:sz w:val="22"/>
          <w:szCs w:val="22"/>
        </w:rPr>
        <w:t xml:space="preserve">None savings + None checking: automatic referral to senior underwriter.</w:t>
      </w:r>
    </w:p>
    <w:p>
      <w:pPr>
        <w:pStyle w:val="ListParagraph"/>
        <w:numPr>
          <w:ilvl w:val="0"/>
          <w:numId w:val="2"/>
        </w:numPr>
        <w:spacing w:after="40" w:before="40"/>
      </w:pPr>
      <w:r>
        <w:rPr>
          <w:rFonts w:ascii="Arial" w:cs="Arial" w:eastAsia="Arial" w:hAnsi="Arial"/>
          <w:color w:val="2B2B2B"/>
          <w:sz w:val="22"/>
          <w:szCs w:val="22"/>
        </w:rPr>
        <w:t xml:space="preserve">Little savings + None checking (or vice versa): require additional income verification.</w:t>
      </w:r>
    </w:p>
    <w:p>
      <w:pPr>
        <w:pStyle w:val="ListParagraph"/>
        <w:numPr>
          <w:ilvl w:val="0"/>
          <w:numId w:val="2"/>
        </w:numPr>
        <w:spacing w:after="40" w:before="40"/>
      </w:pPr>
      <w:r>
        <w:rPr>
          <w:rFonts w:ascii="Arial" w:cs="Arial" w:eastAsia="Arial" w:hAnsi="Arial"/>
          <w:color w:val="2B2B2B"/>
          <w:sz w:val="22"/>
          <w:szCs w:val="22"/>
        </w:rPr>
        <w:t xml:space="preserve">Quite rich or Rich savings + any checking: lowest risk; standard terms appropriate.</w:t>
      </w:r>
    </w:p>
    <w:p>
      <w:pPr>
        <w:pStyle w:val="ListParagraph"/>
        <w:numPr>
          <w:ilvl w:val="0"/>
          <w:numId w:val="2"/>
        </w:numPr>
        <w:spacing w:after="40" w:before="40"/>
      </w:pPr>
      <w:r>
        <w:rPr>
          <w:rFonts w:ascii="Arial" w:cs="Arial" w:eastAsia="Arial" w:hAnsi="Arial"/>
          <w:color w:val="2B2B2B"/>
          <w:sz w:val="22"/>
          <w:szCs w:val="22"/>
        </w:rPr>
        <w:t xml:space="preserve">None savings alone: 50% bad rate — requires compensating factors before approval.</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7. Business Recommendations</w:t>
      </w:r>
    </w:p>
    <w:p>
      <w:pPr>
        <w:pStyle w:val="Heading2"/>
        <w:spacing w:after="100" w:before="240"/>
      </w:pPr>
      <w:r>
        <w:rPr>
          <w:rFonts w:ascii="Arial" w:cs="Arial" w:eastAsia="Arial" w:hAnsi="Arial"/>
          <w:b/>
          <w:bCs/>
          <w:color w:val="1D4E89"/>
          <w:sz w:val="28"/>
          <w:szCs w:val="28"/>
        </w:rPr>
        <w:t xml:space="preserve">Priority 1 — Deploy Two-Gate Underwriting Model</w:t>
      </w:r>
    </w:p>
    <w:p>
      <w:pPr>
        <w:pStyle w:val="ListParagraph"/>
        <w:numPr>
          <w:ilvl w:val="0"/>
          <w:numId w:val="2"/>
        </w:numPr>
        <w:spacing w:after="40" w:before="40"/>
      </w:pPr>
      <w:r>
        <w:rPr>
          <w:rFonts w:ascii="Arial" w:cs="Arial" w:eastAsia="Arial" w:hAnsi="Arial"/>
          <w:color w:val="2B2B2B"/>
          <w:sz w:val="22"/>
          <w:szCs w:val="22"/>
        </w:rPr>
        <w:t xml:space="preserve">Gate 1 (model score): Auto-approve prob &lt; 0.30. Decline or require collateral for prob &gt; 0.60.</w:t>
      </w:r>
    </w:p>
    <w:p>
      <w:pPr>
        <w:pStyle w:val="ListParagraph"/>
        <w:numPr>
          <w:ilvl w:val="0"/>
          <w:numId w:val="2"/>
        </w:numPr>
        <w:spacing w:after="40" w:before="40"/>
      </w:pPr>
      <w:r>
        <w:rPr>
          <w:rFonts w:ascii="Arial" w:cs="Arial" w:eastAsia="Arial" w:hAnsi="Arial"/>
          <w:color w:val="2B2B2B"/>
          <w:sz w:val="22"/>
          <w:szCs w:val="22"/>
        </w:rPr>
        <w:t xml:space="preserve">Gate 2 (manual review): Route prob 0.30–0.60 to underwriter with pre-filled risk summary.</w:t>
      </w:r>
    </w:p>
    <w:p>
      <w:pPr>
        <w:pStyle w:val="ListParagraph"/>
        <w:numPr>
          <w:ilvl w:val="0"/>
          <w:numId w:val="2"/>
        </w:numPr>
        <w:spacing w:after="40" w:before="40"/>
      </w:pPr>
      <w:r>
        <w:rPr>
          <w:rFonts w:ascii="Arial" w:cs="Arial" w:eastAsia="Arial" w:hAnsi="Arial"/>
          <w:color w:val="2B2B2B"/>
          <w:sz w:val="22"/>
          <w:szCs w:val="22"/>
        </w:rPr>
        <w:t xml:space="preserve">Expected outcome: 95.7% of bad loans screened out; near-100% of good loans auto-approved.</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Priority 2 — Implement Purpose-Based Pricing</w:t>
      </w:r>
    </w:p>
    <w:p>
      <w:pPr>
        <w:pStyle w:val="ListParagraph"/>
        <w:numPr>
          <w:ilvl w:val="0"/>
          <w:numId w:val="2"/>
        </w:numPr>
        <w:spacing w:after="40" w:before="40"/>
      </w:pPr>
      <w:r>
        <w:rPr>
          <w:rFonts w:ascii="Arial" w:cs="Arial" w:eastAsia="Arial" w:hAnsi="Arial"/>
          <w:color w:val="2B2B2B"/>
          <w:sz w:val="22"/>
          <w:szCs w:val="22"/>
        </w:rPr>
        <w:t xml:space="preserve">Vacation and education loans (44–67% bad rate): require 25–50% deposit or co-signer.</w:t>
      </w:r>
    </w:p>
    <w:p>
      <w:pPr>
        <w:pStyle w:val="ListParagraph"/>
        <w:numPr>
          <w:ilvl w:val="0"/>
          <w:numId w:val="2"/>
        </w:numPr>
        <w:spacing w:after="40" w:before="40"/>
      </w:pPr>
      <w:r>
        <w:rPr>
          <w:rFonts w:ascii="Arial" w:cs="Arial" w:eastAsia="Arial" w:hAnsi="Arial"/>
          <w:color w:val="2B2B2B"/>
          <w:sz w:val="22"/>
          <w:szCs w:val="22"/>
        </w:rPr>
        <w:t xml:space="preserve">Furniture and radio/TV loans (15–18% bad rate): approve at standard rate, no extras.</w:t>
      </w:r>
    </w:p>
    <w:p>
      <w:pPr>
        <w:pStyle w:val="ListParagraph"/>
        <w:numPr>
          <w:ilvl w:val="0"/>
          <w:numId w:val="2"/>
        </w:numPr>
        <w:spacing w:after="40" w:before="40"/>
      </w:pPr>
      <w:r>
        <w:rPr>
          <w:rFonts w:ascii="Arial" w:cs="Arial" w:eastAsia="Arial" w:hAnsi="Arial"/>
          <w:color w:val="2B2B2B"/>
          <w:sz w:val="22"/>
          <w:szCs w:val="22"/>
        </w:rPr>
        <w:t xml:space="preserve">Risk-based pricing is standard practice at all tier-1 banks globally.</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Priority 3 — Mandate Account Verification at Origination</w:t>
      </w:r>
    </w:p>
    <w:p>
      <w:pPr>
        <w:pStyle w:val="ListParagraph"/>
        <w:numPr>
          <w:ilvl w:val="0"/>
          <w:numId w:val="2"/>
        </w:numPr>
        <w:spacing w:after="40" w:before="40"/>
      </w:pPr>
      <w:r>
        <w:rPr>
          <w:rFonts w:ascii="Arial" w:cs="Arial" w:eastAsia="Arial" w:hAnsi="Arial"/>
          <w:color w:val="2B2B2B"/>
          <w:sz w:val="22"/>
          <w:szCs w:val="22"/>
        </w:rPr>
        <w:t xml:space="preserve">Require verification of savings and checking account status at every application.</w:t>
      </w:r>
    </w:p>
    <w:p>
      <w:pPr>
        <w:pStyle w:val="ListParagraph"/>
        <w:numPr>
          <w:ilvl w:val="0"/>
          <w:numId w:val="2"/>
        </w:numPr>
        <w:spacing w:after="40" w:before="40"/>
      </w:pPr>
      <w:r>
        <w:rPr>
          <w:rFonts w:ascii="Arial" w:cs="Arial" w:eastAsia="Arial" w:hAnsi="Arial"/>
          <w:color w:val="2B2B2B"/>
          <w:sz w:val="22"/>
          <w:szCs w:val="22"/>
        </w:rPr>
        <w:t xml:space="preserve">The double vulnerability flag (no savings + no checking) alone predicts 50%+ bad rate.</w:t>
      </w:r>
    </w:p>
    <w:p>
      <w:pPr>
        <w:pStyle w:val="ListParagraph"/>
        <w:numPr>
          <w:ilvl w:val="0"/>
          <w:numId w:val="2"/>
        </w:numPr>
        <w:spacing w:after="40" w:before="40"/>
      </w:pPr>
      <w:r>
        <w:rPr>
          <w:rFonts w:ascii="Arial" w:cs="Arial" w:eastAsia="Arial" w:hAnsi="Arial"/>
          <w:color w:val="2B2B2B"/>
          <w:sz w:val="22"/>
          <w:szCs w:val="22"/>
        </w:rPr>
        <w:t xml:space="preserve">Requiring one active account with 3+ months history as a minimum criterion eliminates the highest-risk applicant segment.</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Priority 4 — Monthly Burden Threshold Rule</w:t>
      </w:r>
    </w:p>
    <w:p>
      <w:pPr>
        <w:pStyle w:val="ListParagraph"/>
        <w:numPr>
          <w:ilvl w:val="0"/>
          <w:numId w:val="2"/>
        </w:numPr>
        <w:spacing w:after="40" w:before="40"/>
      </w:pPr>
      <w:r>
        <w:rPr>
          <w:rFonts w:ascii="Arial" w:cs="Arial" w:eastAsia="Arial" w:hAnsi="Arial"/>
          <w:color w:val="2B2B2B"/>
          <w:sz w:val="22"/>
          <w:szCs w:val="22"/>
        </w:rPr>
        <w:t xml:space="preserve">Set maximum credit_duration_ratio of DM 250/month for unsecured loans.</w:t>
      </w:r>
    </w:p>
    <w:p>
      <w:pPr>
        <w:pStyle w:val="ListParagraph"/>
        <w:numPr>
          <w:ilvl w:val="0"/>
          <w:numId w:val="2"/>
        </w:numPr>
        <w:spacing w:after="40" w:before="40"/>
      </w:pPr>
      <w:r>
        <w:rPr>
          <w:rFonts w:ascii="Arial" w:cs="Arial" w:eastAsia="Arial" w:hAnsi="Arial"/>
          <w:color w:val="2B2B2B"/>
          <w:sz w:val="22"/>
          <w:szCs w:val="22"/>
        </w:rPr>
        <w:t xml:space="preserve">Bad risk applicants average DM 200/month burden vs DM 133/month for good risk.</w:t>
      </w:r>
    </w:p>
    <w:p>
      <w:pPr>
        <w:pStyle w:val="ListParagraph"/>
        <w:numPr>
          <w:ilvl w:val="0"/>
          <w:numId w:val="2"/>
        </w:numPr>
        <w:spacing w:after="40" w:before="40"/>
      </w:pPr>
      <w:r>
        <w:rPr>
          <w:rFonts w:ascii="Arial" w:cs="Arial" w:eastAsia="Arial" w:hAnsi="Arial"/>
          <w:color w:val="2B2B2B"/>
          <w:sz w:val="22"/>
          <w:szCs w:val="22"/>
        </w:rPr>
        <w:t xml:space="preserve">This operationalises the model's most important engineered feature as a simple, auditable rule.</w:t>
      </w:r>
    </w:p>
    <w:p>
      <w:r>
        <w:br w:type="page"/>
      </w:r>
    </w:p>
    <w:p>
      <w:pPr>
        <w:pStyle w:val="Heading1"/>
        <w:pBdr>
          <w:bottom w:val="single" w:color="E24B4A" w:sz="6" w:space="4"/>
        </w:pBdr>
        <w:spacing w:after="160" w:before="320"/>
      </w:pPr>
      <w:r>
        <w:rPr>
          <w:rFonts w:ascii="Arial" w:cs="Arial" w:eastAsia="Arial" w:hAnsi="Arial"/>
          <w:b/>
          <w:bCs/>
          <w:color w:val="1A2340"/>
          <w:sz w:val="36"/>
          <w:szCs w:val="36"/>
        </w:rPr>
        <w:t xml:space="preserve">8. Methodology</w:t>
      </w:r>
    </w:p>
    <w:p>
      <w:pPr>
        <w:pStyle w:val="Heading2"/>
        <w:spacing w:after="100" w:before="240"/>
      </w:pPr>
      <w:r>
        <w:rPr>
          <w:rFonts w:ascii="Arial" w:cs="Arial" w:eastAsia="Arial" w:hAnsi="Arial"/>
          <w:b/>
          <w:bCs/>
          <w:color w:val="1D4E89"/>
          <w:sz w:val="28"/>
          <w:szCs w:val="28"/>
        </w:rPr>
        <w:t xml:space="preserve">8.1 Tools &amp; Technologies</w:t>
      </w:r>
    </w:p>
    <w:p>
      <w:pPr>
        <w:pStyle w:val="ListParagraph"/>
        <w:numPr>
          <w:ilvl w:val="0"/>
          <w:numId w:val="2"/>
        </w:numPr>
        <w:spacing w:after="40" w:before="40"/>
      </w:pPr>
      <w:r>
        <w:rPr>
          <w:rFonts w:ascii="Arial" w:cs="Arial" w:eastAsia="Arial" w:hAnsi="Arial"/>
          <w:color w:val="2B2B2B"/>
          <w:sz w:val="22"/>
          <w:szCs w:val="22"/>
        </w:rPr>
        <w:t xml:space="preserve">Python 3.12 — all data processing, feature engineering, and modelling.</w:t>
      </w:r>
    </w:p>
    <w:p>
      <w:pPr>
        <w:pStyle w:val="ListParagraph"/>
        <w:numPr>
          <w:ilvl w:val="0"/>
          <w:numId w:val="2"/>
        </w:numPr>
        <w:spacing w:after="40" w:before="40"/>
      </w:pPr>
      <w:r>
        <w:rPr>
          <w:rFonts w:ascii="Arial" w:cs="Arial" w:eastAsia="Arial" w:hAnsi="Arial"/>
          <w:color w:val="2B2B2B"/>
          <w:sz w:val="22"/>
          <w:szCs w:val="22"/>
        </w:rPr>
        <w:t xml:space="preserve">Pandas — data loading, cleaning, missing value treatment, and feature creation.</w:t>
      </w:r>
    </w:p>
    <w:p>
      <w:pPr>
        <w:pStyle w:val="ListParagraph"/>
        <w:numPr>
          <w:ilvl w:val="0"/>
          <w:numId w:val="2"/>
        </w:numPr>
        <w:spacing w:after="40" w:before="40"/>
      </w:pPr>
      <w:r>
        <w:rPr>
          <w:rFonts w:ascii="Arial" w:cs="Arial" w:eastAsia="Arial" w:hAnsi="Arial"/>
          <w:color w:val="2B2B2B"/>
          <w:sz w:val="22"/>
          <w:szCs w:val="22"/>
        </w:rPr>
        <w:t xml:space="preserve">scikit-learn — Logistic Regression, Random Forest, Gradient Boosting, StandardScaler, StratifiedKFold.</w:t>
      </w:r>
    </w:p>
    <w:p>
      <w:pPr>
        <w:pStyle w:val="ListParagraph"/>
        <w:numPr>
          <w:ilvl w:val="0"/>
          <w:numId w:val="2"/>
        </w:numPr>
        <w:spacing w:after="40" w:before="40"/>
      </w:pPr>
      <w:r>
        <w:rPr>
          <w:rFonts w:ascii="Arial" w:cs="Arial" w:eastAsia="Arial" w:hAnsi="Arial"/>
          <w:color w:val="2B2B2B"/>
          <w:sz w:val="22"/>
          <w:szCs w:val="22"/>
        </w:rPr>
        <w:t xml:space="preserve">Matplotlib &amp; Seaborn — all analytical visualisations.</w:t>
      </w:r>
    </w:p>
    <w:p>
      <w:pPr>
        <w:pStyle w:val="ListParagraph"/>
        <w:numPr>
          <w:ilvl w:val="0"/>
          <w:numId w:val="2"/>
        </w:numPr>
        <w:spacing w:after="40" w:before="40"/>
      </w:pPr>
      <w:r>
        <w:rPr>
          <w:rFonts w:ascii="Arial" w:cs="Arial" w:eastAsia="Arial" w:hAnsi="Arial"/>
          <w:color w:val="2B2B2B"/>
          <w:sz w:val="22"/>
          <w:szCs w:val="22"/>
        </w:rPr>
        <w:t xml:space="preserve">Node.js (docx, pptxgenjs) — professional report and presentation generation.</w:t>
      </w:r>
    </w:p>
    <w:p>
      <w:pPr>
        <w:spacing w:after="80" w:before="80"/>
      </w:pPr>
      <w:r>
        <w:t xml:space="preserve"/>
      </w:r>
    </w:p>
    <w:p>
      <w:pPr>
        <w:pStyle w:val="Heading2"/>
        <w:spacing w:after="100" w:before="240"/>
      </w:pPr>
      <w:r>
        <w:rPr>
          <w:rFonts w:ascii="Arial" w:cs="Arial" w:eastAsia="Arial" w:hAnsi="Arial"/>
          <w:b/>
          <w:bCs/>
          <w:color w:val="1D4E89"/>
          <w:sz w:val="28"/>
          <w:szCs w:val="28"/>
        </w:rPr>
        <w:t xml:space="preserve">8.2 Key Methodological Decisions</w:t>
      </w:r>
    </w:p>
    <w:p>
      <w:pPr>
        <w:pStyle w:val="ListParagraph"/>
        <w:numPr>
          <w:ilvl w:val="0"/>
          <w:numId w:val="2"/>
        </w:numPr>
        <w:spacing w:after="40" w:before="40"/>
      </w:pPr>
      <w:r>
        <w:rPr>
          <w:rFonts w:ascii="Arial" w:cs="Arial" w:eastAsia="Arial" w:hAnsi="Arial"/>
          <w:color w:val="2B2B2B"/>
          <w:sz w:val="22"/>
          <w:szCs w:val="22"/>
        </w:rPr>
        <w:t xml:space="preserve">Stratified 80/20 split: preserves 23.6% bad rate in both train and test sets.</w:t>
      </w:r>
    </w:p>
    <w:p>
      <w:pPr>
        <w:pStyle w:val="ListParagraph"/>
        <w:numPr>
          <w:ilvl w:val="0"/>
          <w:numId w:val="2"/>
        </w:numPr>
        <w:spacing w:after="40" w:before="40"/>
      </w:pPr>
      <w:r>
        <w:rPr>
          <w:rFonts w:ascii="Arial" w:cs="Arial" w:eastAsia="Arial" w:hAnsi="Arial"/>
          <w:color w:val="2B2B2B"/>
          <w:sz w:val="22"/>
          <w:szCs w:val="22"/>
        </w:rPr>
        <w:t xml:space="preserve">class_weight='balanced' in LR and RF: prevents majority-class domination of decision boundary.</w:t>
      </w:r>
    </w:p>
    <w:p>
      <w:pPr>
        <w:pStyle w:val="ListParagraph"/>
        <w:numPr>
          <w:ilvl w:val="0"/>
          <w:numId w:val="2"/>
        </w:numPr>
        <w:spacing w:after="40" w:before="40"/>
      </w:pPr>
      <w:r>
        <w:rPr>
          <w:rFonts w:ascii="Arial" w:cs="Arial" w:eastAsia="Arial" w:hAnsi="Arial"/>
          <w:color w:val="2B2B2B"/>
          <w:sz w:val="22"/>
          <w:szCs w:val="22"/>
        </w:rPr>
        <w:t xml:space="preserve">Ordinal encoding for savings and checking: preserves the financial strength order (none &lt; little &lt; moderate &lt; rich).</w:t>
      </w:r>
    </w:p>
    <w:p>
      <w:pPr>
        <w:pStyle w:val="ListParagraph"/>
        <w:numPr>
          <w:ilvl w:val="0"/>
          <w:numId w:val="2"/>
        </w:numPr>
        <w:spacing w:after="40" w:before="40"/>
      </w:pPr>
      <w:r>
        <w:rPr>
          <w:rFonts w:ascii="Arial" w:cs="Arial" w:eastAsia="Arial" w:hAnsi="Arial"/>
          <w:color w:val="2B2B2B"/>
          <w:sz w:val="22"/>
          <w:szCs w:val="22"/>
        </w:rPr>
        <w:t xml:space="preserve">Missing values as 'none' category: industry-standard treatment for absent account data.</w:t>
      </w:r>
    </w:p>
    <w:p>
      <w:pPr>
        <w:pStyle w:val="ListParagraph"/>
        <w:numPr>
          <w:ilvl w:val="0"/>
          <w:numId w:val="2"/>
        </w:numPr>
        <w:spacing w:after="40" w:before="40"/>
      </w:pPr>
      <w:r>
        <w:rPr>
          <w:rFonts w:ascii="Arial" w:cs="Arial" w:eastAsia="Arial" w:hAnsi="Arial"/>
          <w:color w:val="2B2B2B"/>
          <w:sz w:val="22"/>
          <w:szCs w:val="22"/>
        </w:rPr>
        <w:t xml:space="preserve">Threshold 0.30 recommended: maximises recall for bad loans — appropriate for conservative lending.</w:t>
      </w:r>
    </w:p>
    <w:p>
      <w:pPr>
        <w:pStyle w:val="ListParagraph"/>
        <w:numPr>
          <w:ilvl w:val="0"/>
          <w:numId w:val="2"/>
        </w:numPr>
        <w:spacing w:after="40" w:before="40"/>
      </w:pPr>
      <w:r>
        <w:rPr>
          <w:rFonts w:ascii="Arial" w:cs="Arial" w:eastAsia="Arial" w:hAnsi="Arial"/>
          <w:color w:val="2B2B2B"/>
          <w:sz w:val="22"/>
          <w:szCs w:val="22"/>
        </w:rPr>
        <w:t xml:space="preserve">StandardScaler applied to Logistic Regression only: tree models are scale-invariant.</w:t>
      </w:r>
    </w:p>
    <w:p>
      <w:pPr>
        <w:pStyle w:val="Heading1"/>
        <w:pBdr>
          <w:bottom w:val="single" w:color="E24B4A" w:sz="6" w:space="4"/>
        </w:pBdr>
        <w:spacing w:after="160" w:before="320"/>
      </w:pPr>
      <w:r>
        <w:rPr>
          <w:rFonts w:ascii="Arial" w:cs="Arial" w:eastAsia="Arial" w:hAnsi="Arial"/>
          <w:b/>
          <w:bCs/>
          <w:color w:val="1A2340"/>
          <w:sz w:val="36"/>
          <w:szCs w:val="36"/>
        </w:rPr>
        <w:t xml:space="preserve">9. Conclusions</w:t>
      </w:r>
    </w:p>
    <w:p>
      <w:pPr>
        <w:spacing w:after="60" w:before="60"/>
        <w:jc w:val="both"/>
      </w:pPr>
      <w:r>
        <w:rPr>
          <w:rFonts w:ascii="Arial" w:cs="Arial" w:eastAsia="Arial" w:hAnsi="Arial"/>
          <w:color w:val="2B2B2B"/>
          <w:sz w:val="22"/>
          <w:szCs w:val="22"/>
        </w:rPr>
        <w:t xml:space="preserve">Credit risk in this dataset is highly predictable from financial behaviour signals — principally savings and checking account levels, credit amount, loan duration, and loan purpose. The Gradient Boosting model (AUC = 0.990) provides a production-ready scoring engine suitable for deployment as the first gate in a two-stage underwriting process.</w:t>
      </w:r>
    </w:p>
    <w:p>
      <w:pPr>
        <w:spacing w:after="80" w:before="80"/>
      </w:pPr>
      <w:r>
        <w:t xml:space="preserve"/>
      </w:r>
    </w:p>
    <w:p>
      <w:pPr>
        <w:spacing w:after="60" w:before="60"/>
        <w:jc w:val="both"/>
      </w:pPr>
      <w:r>
        <w:rPr>
          <w:rFonts w:ascii="Arial" w:cs="Arial" w:eastAsia="Arial" w:hAnsi="Arial"/>
          <w:color w:val="2B2B2B"/>
          <w:sz w:val="22"/>
          <w:szCs w:val="22"/>
        </w:rPr>
        <w:t xml:space="preserve">The most operationally significant finding is the Savings x Checking underwriting matrix: the combination of account levels explains the majority of bad loan risk. Any lending institution with access to account data can implement this as a simple screening rule without requiring a full ML pipeline.</w:t>
      </w:r>
    </w:p>
    <w:p>
      <w:pPr>
        <w:spacing w:after="80" w:before="80"/>
      </w:pPr>
      <w:r>
        <w:t xml:space="preserve"/>
      </w:r>
    </w:p>
    <w:p>
      <w:pPr>
        <w:spacing w:after="60" w:before="60"/>
        <w:jc w:val="both"/>
      </w:pPr>
      <w:r>
        <w:rPr>
          <w:rFonts w:ascii="Arial" w:cs="Arial" w:eastAsia="Arial" w:hAnsi="Arial"/>
          <w:color w:val="2B2B2B"/>
          <w:sz w:val="22"/>
          <w:szCs w:val="22"/>
        </w:rPr>
        <w:t xml:space="preserve">The threshold analysis demonstrates that the optimal operating point depends on the institution's cost of bad loans versus declined good applicants — a business decision, not a statistical one. At 0.30 (conservative), 95.7% of bad loans are caught. At 0.50 (balanced), 85.1% are caught with fewer false declines. Both are defensible positions depending on portfolio type and regulatory environment.</w:t>
      </w:r>
    </w:p>
    <w:p>
      <w:pPr>
        <w:spacing w:after="80" w:before="80"/>
      </w:pPr>
      <w:r>
        <w:t xml:space="preserve"/>
      </w:r>
    </w:p>
    <w:p>
      <w:pPr>
        <w:spacing w:after="480" w:before="480"/>
        <w:jc w:val="center"/>
      </w:pPr>
      <w:r>
        <w:rPr>
          <w:rFonts w:ascii="Arial" w:cs="Arial" w:eastAsia="Arial" w:hAnsi="Arial"/>
          <w:i/>
          <w:iCs/>
          <w:color w:val="888888"/>
          <w:sz w:val="20"/>
          <w:szCs w:val="20"/>
        </w:rPr>
        <w:t xml:space="preserve">—  End of Report  —</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888888"/>
        <w:sz w:val="18"/>
        <w:szCs w:val="18"/>
      </w:rPr>
      <w:t xml:space="preserve">German Credit Risk Analysis  |  Analytics Portfolio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0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270e73d0358d751853e7f1f61af1d99f5ca214f.png"/><Relationship Id="rId9" Type="http://schemas.openxmlformats.org/officeDocument/2006/relationships/image" Target="media/2ffc4bbeeb9ecb79a8edecd7ecb12b018d9e9523.png"/><Relationship Id="rId10" Type="http://schemas.openxmlformats.org/officeDocument/2006/relationships/image" Target="media/e7afd736dc2fed4464b3664ff18c481a7915af2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2026-07-14T05:49:54.747Z</dcterms:created>
  <dcterms:modified xsi:type="dcterms:W3CDTF">2026-07-14T05:49:54.767Z</dcterms:modified>
</cp:coreProperties>
</file>

<file path=docProps/custom.xml><?xml version="1.0" encoding="utf-8"?>
<Properties xmlns="http://schemas.openxmlformats.org/officeDocument/2006/custom-properties" xmlns:vt="http://schemas.openxmlformats.org/officeDocument/2006/docPropsVTypes"/>
</file>