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81EA5E">
      <w:pPr>
        <w:widowControl/>
        <w:spacing w:after="40"/>
        <w:jc w:val="center"/>
      </w:pPr>
      <w:r>
        <w:rPr>
          <w:rFonts w:ascii="Liberation Serif" w:hAnsi="Liberation Serif"/>
          <w:b/>
          <w:sz w:val="29"/>
        </w:rPr>
        <w:t>ГОСУДАРСТВО ANIREIL</w:t>
      </w:r>
    </w:p>
    <w:p w14:paraId="39C4D9BC">
      <w:pPr>
        <w:widowControl/>
        <w:spacing w:after="0"/>
        <w:jc w:val="center"/>
      </w:pPr>
      <w:r>
        <w:rPr>
          <w:rFonts w:ascii="Liberation Serif" w:hAnsi="Liberation Serif"/>
          <w:b/>
          <w:sz w:val="21"/>
        </w:rPr>
        <w:t>АППАРАТ ГЛАВНЫХ РОЯЛЕЙ</w:t>
      </w:r>
    </w:p>
    <w:p w14:paraId="3FB565EB">
      <w:pPr>
        <w:widowControl/>
        <w:spacing w:after="40"/>
        <w:jc w:val="center"/>
      </w:pPr>
      <w:r>
        <w:rPr>
          <w:rFonts w:ascii="Liberation Serif" w:hAnsi="Liberation Serif"/>
          <w:b/>
          <w:sz w:val="17"/>
        </w:rPr>
        <w:t>КОМИССИЯ ПО СТРАТЕГИЧЕСКИ ВАЖНЫМ СНАКАМ</w:t>
      </w:r>
    </w:p>
    <w:p w14:paraId="0A7C67AA">
      <w:pPr>
        <w:widowControl/>
        <w:spacing w:after="20"/>
        <w:jc w:val="center"/>
      </w:pPr>
      <w:r>
        <w:rPr>
          <w:rFonts w:ascii="Liberation Serif" w:hAnsi="Liberation Serif"/>
          <w:sz w:val="16"/>
        </w:rPr>
        <w:t>════════════════════════════════════════════════════════════════</w:t>
      </w:r>
    </w:p>
    <w:p w14:paraId="7E0BDCDC">
      <w:pPr>
        <w:widowControl/>
        <w:spacing w:after="100"/>
      </w:pPr>
      <w:r>
        <w:rPr>
          <w:rFonts w:ascii="Liberation Serif" w:hAnsi="Liberation Serif"/>
          <w:b/>
          <w:sz w:val="26"/>
        </w:rPr>
        <w:t>ПОСТАНОВЛЕНИЕ</w:t>
      </w:r>
    </w:p>
    <w:p w14:paraId="262892BB">
      <w:pPr>
        <w:widowControl/>
        <w:spacing w:after="200"/>
      </w:pPr>
      <w:r>
        <w:rPr>
          <w:rFonts w:ascii="Liberation Serif" w:hAnsi="Liberation Serif"/>
          <w:b/>
          <w:sz w:val="22"/>
        </w:rPr>
        <w:t>№ 001/ANIREIL-2026</w:t>
      </w:r>
      <w:r>
        <w:rPr>
          <w:rFonts w:ascii="Liberation Serif" w:hAnsi="Liberation Serif"/>
          <w:sz w:val="22"/>
        </w:rPr>
        <w:t xml:space="preserve">                                                     21 сентября 2026 г.</w:t>
      </w:r>
    </w:p>
    <w:p w14:paraId="0F450A29">
      <w:pPr>
        <w:widowControl/>
        <w:spacing w:after="40"/>
      </w:pPr>
      <w:r>
        <w:rPr>
          <w:rFonts w:ascii="Liberation Serif" w:hAnsi="Liberation Serif"/>
          <w:b/>
        </w:rPr>
        <w:t>Кому:</w:t>
      </w:r>
    </w:p>
    <w:p w14:paraId="1A4B0F94">
      <w:pPr>
        <w:widowControl/>
        <w:spacing w:after="40"/>
        <w:ind w:left="454"/>
      </w:pPr>
      <w:r>
        <w:rPr>
          <w:rFonts w:ascii="Liberation Serif" w:hAnsi="Liberation Serif"/>
        </w:rPr>
        <w:t>уважаемому Павлу Сергеевичу;</w:t>
      </w:r>
    </w:p>
    <w:p w14:paraId="20B26FC8">
      <w:pPr>
        <w:widowControl/>
        <w:spacing w:after="40"/>
        <w:ind w:left="454"/>
      </w:pPr>
      <w:r>
        <w:rPr>
          <w:rFonts w:ascii="Liberation Serif" w:hAnsi="Liberation Serif"/>
        </w:rPr>
        <w:t>уважаемому Миямуре;</w:t>
      </w:r>
    </w:p>
    <w:p w14:paraId="2A47AE38">
      <w:pPr>
        <w:widowControl/>
        <w:spacing w:after="40"/>
        <w:ind w:left="454"/>
      </w:pPr>
      <w:r>
        <w:rPr>
          <w:rFonts w:ascii="Liberation Serif" w:hAnsi="Liberation Serif"/>
        </w:rPr>
        <w:t>а также всем уполномоченным участникам флудовой и проектной администрации ANIREIL.</w:t>
      </w:r>
    </w:p>
    <w:p w14:paraId="6B6021A8">
      <w:pPr>
        <w:widowControl/>
        <w:spacing w:before="140" w:after="20"/>
      </w:pPr>
      <w:r>
        <w:rPr>
          <w:rFonts w:ascii="Liberation Serif" w:hAnsi="Liberation Serif"/>
          <w:b/>
          <w:sz w:val="23"/>
        </w:rPr>
        <w:t>О рассмотрении вопроса о стратегическом выборе между картофельными чипсами со вкусом краба и чипсами со вкусом сыра</w:t>
      </w:r>
    </w:p>
    <w:p w14:paraId="6F113B32">
      <w:pPr>
        <w:widowControl/>
        <w:spacing w:after="20"/>
        <w:ind w:firstLine="680"/>
        <w:jc w:val="both"/>
      </w:pPr>
      <w:r>
        <w:t>В целях поддержания общественного порядка, обеспечения единства вкусовой политики, предотвращения затяжных споров в среде участников ANIREIL и установления официального ответа на вопрос о приоритетном виде чипсов, рассмотрена альтернатива между продукцией со вкусом краба и продукцией со вкусом сыра.</w:t>
      </w:r>
    </w:p>
    <w:p w14:paraId="4D7C6494">
      <w:pPr>
        <w:widowControl/>
        <w:spacing w:after="40"/>
      </w:pPr>
      <w:r>
        <w:rPr>
          <w:rFonts w:ascii="Liberation Serif" w:hAnsi="Liberation Serif"/>
          <w:b/>
          <w:sz w:val="20"/>
        </w:rPr>
        <w:t>КОМИССИЯ, РАССМОТРЕВ:</w:t>
      </w:r>
    </w:p>
    <w:p w14:paraId="3849DBEC">
      <w:pPr>
        <w:widowControl/>
        <w:spacing w:after="40"/>
        <w:ind w:left="397" w:hanging="283"/>
      </w:pPr>
      <w:r>
        <w:rPr>
          <w:rFonts w:ascii="Liberation Serif" w:hAnsi="Liberation Serif"/>
          <w:sz w:val="20"/>
        </w:rPr>
        <w:t>— вкусовую универсальность сырных чипсов;</w:t>
      </w:r>
    </w:p>
    <w:p w14:paraId="0A076468">
      <w:pPr>
        <w:widowControl/>
        <w:spacing w:after="40"/>
        <w:ind w:left="397" w:hanging="283"/>
      </w:pPr>
      <w:r>
        <w:rPr>
          <w:rFonts w:ascii="Liberation Serif" w:hAnsi="Liberation Serif"/>
          <w:sz w:val="20"/>
        </w:rPr>
        <w:t>— их пригодность для длительного обсуждения без риска раскола флудового сообщества;</w:t>
      </w:r>
    </w:p>
    <w:p w14:paraId="51A74FC7">
      <w:pPr>
        <w:widowControl/>
        <w:spacing w:after="40"/>
        <w:ind w:left="397" w:hanging="283"/>
      </w:pPr>
      <w:r>
        <w:rPr>
          <w:rFonts w:ascii="Liberation Serif" w:hAnsi="Liberation Serif"/>
          <w:sz w:val="20"/>
        </w:rPr>
        <w:t>— общую совместимость сырного вкуса с различными напитками и иными снеками;</w:t>
      </w:r>
    </w:p>
    <w:p w14:paraId="3EE460AA">
      <w:pPr>
        <w:widowControl/>
        <w:spacing w:after="40"/>
        <w:ind w:left="397" w:hanging="283"/>
      </w:pPr>
      <w:r>
        <w:rPr>
          <w:rFonts w:ascii="Liberation Serif" w:hAnsi="Liberation Serif"/>
          <w:sz w:val="20"/>
        </w:rPr>
        <w:t>— необходимость вынесения окончательного и понятного решения без дополнительных заседаний.</w:t>
      </w:r>
    </w:p>
    <w:p w14:paraId="2C4A19FC">
      <w:pPr>
        <w:widowControl/>
        <w:spacing w:before="120" w:after="100"/>
        <w:jc w:val="center"/>
      </w:pPr>
      <w:r>
        <w:rPr>
          <w:rFonts w:ascii="Liberation Serif" w:hAnsi="Liberation Serif"/>
          <w:b/>
          <w:sz w:val="23"/>
        </w:rPr>
        <w:t>ПОСТАНОВЛЯЕТ:</w:t>
      </w:r>
    </w:p>
    <w:tbl>
      <w:tblPr>
        <w:tblStyle w:val="12"/>
        <w:tblW w:w="0" w:type="auto"/>
        <w:jc w:val="center"/>
        <w:tblLayout w:type="fixed"/>
        <w:tblCellMar>
          <w:top w:w="0" w:type="dxa"/>
          <w:left w:w="108" w:type="dxa"/>
          <w:bottom w:w="0" w:type="dxa"/>
          <w:right w:w="108" w:type="dxa"/>
        </w:tblCellMar>
      </w:tblPr>
      <w:tblGrid>
        <w:gridCol w:w="3437"/>
        <w:gridCol w:w="3437"/>
        <w:gridCol w:w="3437"/>
      </w:tblGrid>
      <w:tr w14:paraId="6327D859">
        <w:tblPrEx>
          <w:tblCellMar>
            <w:top w:w="0" w:type="dxa"/>
            <w:left w:w="108" w:type="dxa"/>
            <w:bottom w:w="0" w:type="dxa"/>
            <w:right w:w="108" w:type="dxa"/>
          </w:tblCellMar>
        </w:tblPrEx>
        <w:trPr>
          <w:jc w:val="center"/>
        </w:trPr>
        <w:tc>
          <w:tcPr>
            <w:tcW w:w="964" w:type="dxa"/>
            <w:tcBorders>
              <w:top w:val="single" w:color="666666" w:sz="6" w:space="0"/>
              <w:left w:val="single" w:color="666666" w:sz="6" w:space="0"/>
              <w:bottom w:val="single" w:color="666666" w:sz="6" w:space="0"/>
              <w:right w:val="single" w:color="666666" w:sz="6" w:space="0"/>
              <w:insideH w:val="single" w:sz="6" w:space="0"/>
              <w:insideV w:val="single" w:sz="6" w:space="0"/>
            </w:tcBorders>
            <w:vAlign w:val="center"/>
          </w:tcPr>
          <w:p w14:paraId="2D7A29DD">
            <w:pPr>
              <w:jc w:val="center"/>
            </w:pPr>
            <w:r>
              <w:rPr>
                <w:rFonts w:ascii="Liberation Serif" w:hAnsi="Liberation Serif"/>
                <w:b/>
                <w:sz w:val="18"/>
              </w:rPr>
              <w:t>Пункт</w:t>
            </w:r>
          </w:p>
        </w:tc>
        <w:tc>
          <w:tcPr>
            <w:tcW w:w="4195" w:type="dxa"/>
            <w:tcBorders>
              <w:top w:val="single" w:color="666666" w:sz="6" w:space="0"/>
              <w:left w:val="single" w:color="666666" w:sz="6" w:space="0"/>
              <w:bottom w:val="single" w:color="666666" w:sz="6" w:space="0"/>
              <w:right w:val="single" w:color="666666" w:sz="6" w:space="0"/>
              <w:insideH w:val="single" w:sz="6" w:space="0"/>
              <w:insideV w:val="single" w:sz="6" w:space="0"/>
            </w:tcBorders>
            <w:vAlign w:val="center"/>
          </w:tcPr>
          <w:p w14:paraId="6E2EBC73">
            <w:pPr>
              <w:jc w:val="center"/>
            </w:pPr>
            <w:r>
              <w:rPr>
                <w:rFonts w:ascii="Liberation Serif" w:hAnsi="Liberation Serif"/>
                <w:b/>
                <w:sz w:val="18"/>
              </w:rPr>
              <w:t>Норма</w:t>
            </w:r>
          </w:p>
        </w:tc>
        <w:tc>
          <w:tcPr>
            <w:tcW w:w="2891" w:type="dxa"/>
            <w:tcBorders>
              <w:top w:val="single" w:color="666666" w:sz="6" w:space="0"/>
              <w:left w:val="single" w:color="666666" w:sz="6" w:space="0"/>
              <w:bottom w:val="single" w:color="666666" w:sz="6" w:space="0"/>
              <w:right w:val="single" w:color="666666" w:sz="6" w:space="0"/>
              <w:insideH w:val="single" w:sz="6" w:space="0"/>
              <w:insideV w:val="single" w:sz="6" w:space="0"/>
            </w:tcBorders>
            <w:vAlign w:val="center"/>
          </w:tcPr>
          <w:p w14:paraId="1C9DEFF6">
            <w:pPr>
              <w:jc w:val="center"/>
            </w:pPr>
            <w:r>
              <w:rPr>
                <w:rFonts w:ascii="Liberation Serif" w:hAnsi="Liberation Serif"/>
                <w:b/>
                <w:sz w:val="18"/>
              </w:rPr>
              <w:t>Статус</w:t>
            </w:r>
          </w:p>
        </w:tc>
      </w:tr>
      <w:tr w14:paraId="4809875D">
        <w:tblPrEx>
          <w:tblCellMar>
            <w:top w:w="0" w:type="dxa"/>
            <w:left w:w="108" w:type="dxa"/>
            <w:bottom w:w="0" w:type="dxa"/>
            <w:right w:w="108" w:type="dxa"/>
          </w:tblCellMar>
        </w:tblPrEx>
        <w:trPr>
          <w:jc w:val="center"/>
        </w:trPr>
        <w:tc>
          <w:tcPr>
            <w:tcW w:w="964" w:type="dxa"/>
            <w:tcBorders>
              <w:top w:val="single" w:color="666666" w:sz="6" w:space="0"/>
              <w:left w:val="single" w:color="666666" w:sz="6" w:space="0"/>
              <w:bottom w:val="single" w:color="666666" w:sz="6" w:space="0"/>
              <w:right w:val="single" w:color="666666" w:sz="6" w:space="0"/>
              <w:insideH w:val="single" w:sz="6" w:space="0"/>
              <w:insideV w:val="single" w:sz="6" w:space="0"/>
            </w:tcBorders>
            <w:vAlign w:val="center"/>
          </w:tcPr>
          <w:p w14:paraId="37E7DAE2">
            <w:pPr>
              <w:spacing w:after="0"/>
              <w:jc w:val="center"/>
            </w:pPr>
            <w:r>
              <w:rPr>
                <w:rFonts w:ascii="Liberation Serif" w:hAnsi="Liberation Serif"/>
                <w:sz w:val="18"/>
              </w:rPr>
              <w:t>1.</w:t>
            </w:r>
          </w:p>
        </w:tc>
        <w:tc>
          <w:tcPr>
            <w:tcW w:w="4195" w:type="dxa"/>
            <w:tcBorders>
              <w:top w:val="single" w:color="666666" w:sz="6" w:space="0"/>
              <w:left w:val="single" w:color="666666" w:sz="6" w:space="0"/>
              <w:bottom w:val="single" w:color="666666" w:sz="6" w:space="0"/>
              <w:right w:val="single" w:color="666666" w:sz="6" w:space="0"/>
              <w:insideH w:val="single" w:sz="6" w:space="0"/>
              <w:insideV w:val="single" w:sz="6" w:space="0"/>
            </w:tcBorders>
            <w:vAlign w:val="center"/>
          </w:tcPr>
          <w:p w14:paraId="6902CA79">
            <w:pPr>
              <w:spacing w:after="0"/>
              <w:jc w:val="left"/>
            </w:pPr>
            <w:r>
              <w:rPr>
                <w:rFonts w:ascii="Liberation Serif" w:hAnsi="Liberation Serif"/>
                <w:sz w:val="18"/>
              </w:rPr>
              <w:t>Признать чипсы со вкусом сыра предпочтительными для нужд флудового и проектного государства ANIREIL.</w:t>
            </w:r>
          </w:p>
        </w:tc>
        <w:tc>
          <w:tcPr>
            <w:tcW w:w="2891" w:type="dxa"/>
            <w:tcBorders>
              <w:top w:val="single" w:color="666666" w:sz="6" w:space="0"/>
              <w:left w:val="single" w:color="666666" w:sz="6" w:space="0"/>
              <w:bottom w:val="single" w:color="666666" w:sz="6" w:space="0"/>
              <w:right w:val="single" w:color="666666" w:sz="6" w:space="0"/>
              <w:insideH w:val="single" w:sz="6" w:space="0"/>
              <w:insideV w:val="single" w:sz="6" w:space="0"/>
            </w:tcBorders>
            <w:vAlign w:val="center"/>
          </w:tcPr>
          <w:p w14:paraId="38B5313B">
            <w:pPr>
              <w:spacing w:after="0"/>
              <w:jc w:val="center"/>
            </w:pPr>
            <w:r>
              <w:rPr>
                <w:rFonts w:ascii="Liberation Serif" w:hAnsi="Liberation Serif"/>
                <w:b/>
                <w:sz w:val="18"/>
              </w:rPr>
              <w:t>УТВЕРЖДЕНО</w:t>
            </w:r>
          </w:p>
        </w:tc>
      </w:tr>
      <w:tr w14:paraId="6A8965DD">
        <w:tblPrEx>
          <w:tblCellMar>
            <w:top w:w="0" w:type="dxa"/>
            <w:left w:w="108" w:type="dxa"/>
            <w:bottom w:w="0" w:type="dxa"/>
            <w:right w:w="108" w:type="dxa"/>
          </w:tblCellMar>
        </w:tblPrEx>
        <w:trPr>
          <w:jc w:val="center"/>
        </w:trPr>
        <w:tc>
          <w:tcPr>
            <w:tcW w:w="964" w:type="dxa"/>
            <w:tcBorders>
              <w:top w:val="single" w:color="666666" w:sz="6" w:space="0"/>
              <w:left w:val="single" w:color="666666" w:sz="6" w:space="0"/>
              <w:bottom w:val="single" w:color="666666" w:sz="6" w:space="0"/>
              <w:right w:val="single" w:color="666666" w:sz="6" w:space="0"/>
              <w:insideH w:val="single" w:sz="6" w:space="0"/>
              <w:insideV w:val="single" w:sz="6" w:space="0"/>
            </w:tcBorders>
            <w:vAlign w:val="center"/>
          </w:tcPr>
          <w:p w14:paraId="4446699A">
            <w:pPr>
              <w:spacing w:after="0"/>
              <w:jc w:val="center"/>
            </w:pPr>
            <w:r>
              <w:rPr>
                <w:rFonts w:ascii="Liberation Serif" w:hAnsi="Liberation Serif"/>
                <w:sz w:val="18"/>
              </w:rPr>
              <w:t>2.</w:t>
            </w:r>
          </w:p>
        </w:tc>
        <w:tc>
          <w:tcPr>
            <w:tcW w:w="4195" w:type="dxa"/>
            <w:tcBorders>
              <w:top w:val="single" w:color="666666" w:sz="6" w:space="0"/>
              <w:left w:val="single" w:color="666666" w:sz="6" w:space="0"/>
              <w:bottom w:val="single" w:color="666666" w:sz="6" w:space="0"/>
              <w:right w:val="single" w:color="666666" w:sz="6" w:space="0"/>
              <w:insideH w:val="single" w:sz="6" w:space="0"/>
              <w:insideV w:val="single" w:sz="6" w:space="0"/>
            </w:tcBorders>
            <w:vAlign w:val="center"/>
          </w:tcPr>
          <w:p w14:paraId="034B757C">
            <w:pPr>
              <w:spacing w:after="0"/>
              <w:jc w:val="left"/>
            </w:pPr>
            <w:r>
              <w:rPr>
                <w:rFonts w:ascii="Liberation Serif" w:hAnsi="Liberation Serif"/>
                <w:sz w:val="18"/>
              </w:rPr>
              <w:t>Чипсы со вкусом краба считать допустимой, но альтернативной разновидностью.</w:t>
            </w:r>
          </w:p>
        </w:tc>
        <w:tc>
          <w:tcPr>
            <w:tcW w:w="2891" w:type="dxa"/>
            <w:tcBorders>
              <w:top w:val="single" w:color="666666" w:sz="6" w:space="0"/>
              <w:left w:val="single" w:color="666666" w:sz="6" w:space="0"/>
              <w:bottom w:val="single" w:color="666666" w:sz="6" w:space="0"/>
              <w:right w:val="single" w:color="666666" w:sz="6" w:space="0"/>
              <w:insideH w:val="single" w:sz="6" w:space="0"/>
              <w:insideV w:val="single" w:sz="6" w:space="0"/>
            </w:tcBorders>
            <w:vAlign w:val="center"/>
          </w:tcPr>
          <w:p w14:paraId="5304DA8C">
            <w:pPr>
              <w:spacing w:after="0"/>
              <w:jc w:val="center"/>
            </w:pPr>
            <w:r>
              <w:rPr>
                <w:rFonts w:ascii="Liberation Serif" w:hAnsi="Liberation Serif"/>
                <w:b/>
                <w:sz w:val="18"/>
              </w:rPr>
              <w:t>ДОПУСТИМО</w:t>
            </w:r>
          </w:p>
        </w:tc>
      </w:tr>
    </w:tbl>
    <w:p w14:paraId="5CE4717B">
      <w:pPr>
        <w:widowControl/>
        <w:spacing w:before="40" w:after="40"/>
        <w:ind w:firstLine="680"/>
        <w:jc w:val="both"/>
      </w:pPr>
      <w:r>
        <w:rPr>
          <w:rFonts w:ascii="Liberation Serif" w:hAnsi="Liberation Serif"/>
          <w:sz w:val="20"/>
        </w:rPr>
        <w:t>Установить, что выбор сырных чипсов является официальной позицией Комиссии по состоянию на дату принятия настоящего Постановления. Повторное рассмотрение вопроса допускается исключительно при наличии новых вкусовых обстоятельств, чрезвычайного дефицита сыра либо иных событий, признанных Комиссией стратегически значимыми.</w:t>
      </w:r>
    </w:p>
    <w:p w14:paraId="7D1671CA">
      <w:pPr>
        <w:widowControl/>
        <w:spacing w:after="40"/>
        <w:ind w:firstLine="680"/>
        <w:jc w:val="both"/>
      </w:pPr>
      <w:r>
        <w:rPr>
          <w:rFonts w:ascii="Liberation Serif" w:hAnsi="Liberation Serif"/>
          <w:sz w:val="20"/>
        </w:rPr>
        <w:t>Настоящее Постановление вступает в силу с момента его публикации во флудовом пространстве ANIREIL и подлежит соблюдению всеми лицами, ознакомившимися с его содержанием, за исключением случаев обоснованного вкусового протеста, оформленного в письменной форме.</w:t>
      </w:r>
    </w:p>
    <w:tbl>
      <w:tblPr>
        <w:tblStyle w:val="12"/>
        <w:tblW w:w="0" w:type="auto"/>
        <w:jc w:val="center"/>
        <w:tblLayout w:type="fixed"/>
        <w:tblCellMar>
          <w:top w:w="0" w:type="dxa"/>
          <w:left w:w="108" w:type="dxa"/>
          <w:bottom w:w="0" w:type="dxa"/>
          <w:right w:w="108" w:type="dxa"/>
        </w:tblCellMar>
      </w:tblPr>
      <w:tblGrid>
        <w:gridCol w:w="6520"/>
        <w:gridCol w:w="2551"/>
      </w:tblGrid>
      <w:tr w14:paraId="7A21698A">
        <w:tblPrEx>
          <w:tblCellMar>
            <w:top w:w="0" w:type="dxa"/>
            <w:left w:w="108" w:type="dxa"/>
            <w:bottom w:w="0" w:type="dxa"/>
            <w:right w:w="108" w:type="dxa"/>
          </w:tblCellMar>
        </w:tblPrEx>
        <w:trPr>
          <w:jc w:val="center"/>
        </w:trPr>
        <w:tc>
          <w:tcPr>
            <w:tcW w:w="5156" w:type="dxa"/>
            <w:vAlign w:val="center"/>
          </w:tcPr>
          <w:p w14:paraId="7DCE9CD3">
            <w:pPr>
              <w:rPr>
                <w:rFonts w:hint="default"/>
                <w:b w:val="0"/>
                <w:bCs/>
                <w:lang w:val="ru-RU"/>
              </w:rPr>
            </w:pPr>
            <w:r>
              <w:rPr>
                <w:rFonts w:ascii="Liberation Serif" w:hAnsi="Liberation Serif"/>
                <w:b w:val="0"/>
                <w:bCs/>
                <w:sz w:val="18"/>
              </w:rPr>
              <w:t>Председате</w:t>
            </w:r>
          </w:p>
          <w:p w14:paraId="756966C3">
            <w:pPr>
              <w:spacing w:before="0" w:after="20"/>
              <w:rPr>
                <w:b w:val="0"/>
                <w:bCs/>
              </w:rPr>
            </w:pPr>
            <w:r>
              <w:rPr>
                <w:rFonts w:ascii="Liberation Serif" w:hAnsi="Liberation Serif"/>
                <w:b w:val="0"/>
                <w:bCs/>
                <w:sz w:val="18"/>
              </w:rPr>
              <w:t>ль Комиссии по стратегически важным снакам</w:t>
            </w:r>
          </w:p>
          <w:p w14:paraId="47C2AA52">
            <w:pPr>
              <w:spacing w:before="0" w:after="20"/>
              <w:rPr>
                <w:b w:val="0"/>
                <w:bCs/>
              </w:rPr>
            </w:pPr>
            <w:r>
              <w:rPr>
                <w:b w:val="0"/>
                <w:bCs/>
              </w:rPr>
              <w:t>_____________</w:t>
            </w:r>
            <w:r>
              <w:rPr>
                <w:b w:val="0"/>
                <w:bCs/>
                <w:lang w:val="ru-RU"/>
              </w:rPr>
              <w:t>Миямура</w:t>
            </w:r>
            <w:r>
              <w:rPr>
                <w:b w:val="0"/>
                <w:bCs/>
              </w:rPr>
              <w:t>_________________</w:t>
            </w:r>
            <w:r>
              <w:rPr>
                <w:rFonts w:ascii="Liberation Serif" w:hAnsi="Liberation Serif"/>
                <w:b w:val="0"/>
                <w:bCs/>
                <w:sz w:val="18"/>
              </w:rPr>
              <w:t>Подпись</w:t>
            </w:r>
          </w:p>
          <w:p w14:paraId="675FD349">
            <w:pPr>
              <w:spacing w:before="0"/>
              <w:rPr>
                <w:b w:val="0"/>
                <w:bCs/>
              </w:rPr>
            </w:pPr>
            <w:r>
              <w:rPr>
                <w:b w:val="0"/>
                <w:bCs/>
              </w:rPr>
              <w:t>Миямура / уполномоченное лицо ANIREIL</w:t>
            </w:r>
          </w:p>
        </w:tc>
        <w:tc>
          <w:tcPr>
            <w:tcW w:w="5156" w:type="dxa"/>
            <w:vAlign w:val="center"/>
          </w:tcPr>
          <w:p w14:paraId="5F4E72C6">
            <w:pPr>
              <w:spacing w:before="0"/>
              <w:jc w:val="center"/>
              <w:rPr>
                <w:b w:val="0"/>
                <w:bCs/>
              </w:rPr>
            </w:pPr>
            <w:r>
              <w:rPr>
                <w:b w:val="0"/>
                <w:bCs/>
              </w:rPr>
              <w:drawing>
                <wp:inline distT="0" distB="0" distL="114300" distR="114300">
                  <wp:extent cx="1115695" cy="11156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116000" cy="1116000"/>
                          </a:xfrm>
                          <a:prstGeom prst="rect">
                            <a:avLst/>
                          </a:prstGeom>
                        </pic:spPr>
                      </pic:pic>
                    </a:graphicData>
                  </a:graphic>
                </wp:inline>
              </w:drawing>
            </w:r>
          </w:p>
        </w:tc>
      </w:tr>
    </w:tbl>
    <w:p w14:paraId="4CC68D65">
      <w:pPr>
        <w:rPr>
          <w:rFonts w:hint="default"/>
          <w:lang w:val="ru-RU"/>
        </w:rPr>
      </w:pPr>
      <w:bookmarkStart w:id="0" w:name="_GoBack"/>
      <w:bookmarkEnd w:id="0"/>
    </w:p>
    <w:sectPr>
      <w:headerReference r:id="rId5" w:type="default"/>
      <w:footerReference r:id="rId6" w:type="default"/>
      <w:pgSz w:w="12240" w:h="15840"/>
      <w:pgMar w:top="397" w:right="964" w:bottom="340" w:left="964" w:header="170" w:footer="17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Liberation Serif">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D6714">
    <w:pPr>
      <w:pStyle w:val="26"/>
      <w:jc w:val="center"/>
    </w:pPr>
    <w:r>
      <w:rPr>
        <w:rFonts w:ascii="Liberation Serif" w:hAnsi="Liberation Serif"/>
        <w:sz w:val="16"/>
      </w:rPr>
      <w:t>Официальное внутреннее постановление ANIREIL • № 001/ANIREIL-2026 • 21.09.2026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1CF9B">
    <w:pPr>
      <w:pStyle w:val="19"/>
      <w:jc w:val="center"/>
    </w:pPr>
    <w:r>
      <w:rPr>
        <w:rFonts w:ascii="Liberation Serif" w:hAnsi="Liberation Serif"/>
        <w:b/>
        <w:sz w:val="17"/>
      </w:rPr>
      <w:t>ВНУТРЕННИЙ НОРМАТИВНЫЙ АКТ</w:t>
    </w:r>
  </w:p>
  <w:p w14:paraId="09A9624A">
    <w:pPr>
      <w:jc w:val="center"/>
    </w:pPr>
    <w:r>
      <w:rPr>
        <w:rFonts w:ascii="Liberation Serif" w:hAnsi="Liberation Serif"/>
        <w:i/>
        <w:sz w:val="16"/>
      </w:rPr>
      <w:t>Флуд / Проект / Государство ANIREIL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2BD366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Liberation Serif" w:hAnsi="Liberation Serif" w:eastAsiaTheme="minorEastAsia" w:cstheme="minorBidi"/>
      <w:sz w:val="21"/>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uiPriority w:val="99"/>
    <w:pPr>
      <w:spacing w:after="120"/>
      <w:ind w:left="360"/>
      <w:contextualSpacing/>
    </w:pPr>
  </w:style>
  <w:style w:type="paragraph" w:styleId="16">
    <w:name w:val="Body Text 2"/>
    <w:basedOn w:val="1"/>
    <w:link w:val="47"/>
    <w:unhideWhenUsed/>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uiPriority w:val="99"/>
    <w:pPr>
      <w:numPr>
        <w:ilvl w:val="0"/>
        <w:numId w:val="1"/>
      </w:numPr>
      <w:contextualSpacing/>
    </w:pPr>
  </w:style>
  <w:style w:type="paragraph" w:styleId="19">
    <w:name w:val="header"/>
    <w:basedOn w:val="1"/>
    <w:link w:val="37"/>
    <w:unhideWhenUsed/>
    <w:uiPriority w:val="99"/>
    <w:pPr>
      <w:tabs>
        <w:tab w:val="center" w:pos="4680"/>
        <w:tab w:val="right" w:pos="9360"/>
      </w:tabs>
      <w:spacing w:after="0" w:line="240" w:lineRule="auto"/>
    </w:pPr>
  </w:style>
  <w:style w:type="paragraph" w:styleId="20">
    <w:name w:val="Body Text"/>
    <w:basedOn w:val="1"/>
    <w:link w:val="46"/>
    <w:unhideWhenUsed/>
    <w:uiPriority w:val="99"/>
    <w:pPr>
      <w:spacing w:after="120"/>
    </w:pPr>
  </w:style>
  <w:style w:type="paragraph" w:styleId="21">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uiPriority w:val="99"/>
    <w:pPr>
      <w:numPr>
        <w:ilvl w:val="0"/>
        <w:numId w:val="2"/>
      </w:numPr>
      <w:contextualSpacing/>
    </w:pPr>
  </w:style>
  <w:style w:type="paragraph" w:styleId="23">
    <w:name w:val="List Bullet 2"/>
    <w:basedOn w:val="1"/>
    <w:unhideWhenUsed/>
    <w:uiPriority w:val="99"/>
    <w:pPr>
      <w:numPr>
        <w:ilvl w:val="0"/>
        <w:numId w:val="3"/>
      </w:numPr>
      <w:contextualSpacing/>
    </w:pPr>
  </w:style>
  <w:style w:type="paragraph" w:styleId="24">
    <w:name w:val="List Bullet 3"/>
    <w:basedOn w:val="1"/>
    <w:unhideWhenUsed/>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uiPriority w:val="99"/>
    <w:pPr>
      <w:numPr>
        <w:ilvl w:val="0"/>
        <w:numId w:val="5"/>
      </w:numPr>
      <w:contextualSpacing/>
    </w:pPr>
  </w:style>
  <w:style w:type="paragraph" w:styleId="28">
    <w:name w:val="List Number 2"/>
    <w:basedOn w:val="1"/>
    <w:unhideWhenUsed/>
    <w:uiPriority w:val="99"/>
    <w:pPr>
      <w:numPr>
        <w:ilvl w:val="0"/>
        <w:numId w:val="6"/>
      </w:numPr>
      <w:contextualSpacing/>
    </w:pPr>
  </w:style>
  <w:style w:type="paragraph" w:styleId="29">
    <w:name w:val="List"/>
    <w:basedOn w:val="1"/>
    <w:unhideWhenUsed/>
    <w:uiPriority w:val="99"/>
    <w:pPr>
      <w:ind w:left="360" w:hanging="360"/>
      <w:contextualSpacing/>
    </w:pPr>
  </w:style>
  <w:style w:type="paragraph" w:styleId="30">
    <w:name w:val="Body Text 3"/>
    <w:basedOn w:val="1"/>
    <w:link w:val="48"/>
    <w:unhideWhenUsed/>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List 2"/>
    <w:basedOn w:val="1"/>
    <w:unhideWhenUsed/>
    <w:uiPriority w:val="99"/>
    <w:pPr>
      <w:ind w:left="720" w:hanging="360"/>
      <w:contextualSpacing/>
    </w:pPr>
  </w:style>
  <w:style w:type="paragraph" w:styleId="35">
    <w:name w:val="List 3"/>
    <w:basedOn w:val="1"/>
    <w:unhideWhenUsed/>
    <w:uiPriority w:val="99"/>
    <w:pPr>
      <w:ind w:left="1080" w:hanging="360"/>
      <w:contextualSpacing/>
    </w:p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uiPriority w:val="99"/>
  </w:style>
  <w:style w:type="character" w:customStyle="1" w:styleId="47">
    <w:name w:val="Body Text 2 Char"/>
    <w:basedOn w:val="11"/>
    <w:link w:val="16"/>
    <w:uiPriority w:val="99"/>
  </w:style>
  <w:style w:type="character" w:customStyle="1" w:styleId="48">
    <w:name w:val="Body Text 3 Char"/>
    <w:basedOn w:val="11"/>
    <w:link w:val="30"/>
    <w:uiPriority w:val="99"/>
    <w:rPr>
      <w:sz w:val="16"/>
      <w:szCs w:val="16"/>
    </w:rPr>
  </w:style>
  <w:style w:type="character" w:customStyle="1" w:styleId="49">
    <w:name w:val="Macro Text Char"/>
    <w:basedOn w:val="11"/>
    <w:link w:val="21"/>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238</Words>
  <Characters>1781</Characters>
  <Lines>0</Lines>
  <Paragraphs>0</Paragraphs>
  <TotalTime>27</TotalTime>
  <ScaleCrop>false</ScaleCrop>
  <LinksUpToDate>false</LinksUpToDate>
  <CharactersWithSpaces>2039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ANIREIL</dc:creator>
  <dc:description>Шуточный внутренний документ, стилизованный под государственный акт.</dc:description>
  <cp:lastModifiedBy>Darkness</cp:lastModifiedBy>
  <dcterms:modified xsi:type="dcterms:W3CDTF">2026-09-21T13:27:00Z</dcterms:modified>
  <dc:subject>Внутренний шуточный нормативный акт</dc:subject>
  <dc:title>Постановление ANIREIL о выборе чипсов</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eyJoZGlkIjoiNmNiMjM0OTU5ZTA5MGZhMDRjNzE4NTEzZmFmMjUyOTEiLCJ1c2VySWQiOiI0NjkwNzM4OTk1Njc2In0=</vt:lpwstr>
  </property>
  <property fmtid="{D5CDD505-2E9C-101B-9397-08002B2CF9AE}" pid="3" name="KSOProductBuildVer">
    <vt:lpwstr>1049-12.1.0.28485</vt:lpwstr>
  </property>
  <property fmtid="{D5CDD505-2E9C-101B-9397-08002B2CF9AE}" pid="4" name="ICV">
    <vt:lpwstr>5CF6C5836C0C4041A4251D544ACD256E_12</vt:lpwstr>
  </property>
</Properties>
</file>