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Metric</w:t>
            </w:r>
          </w:p>
        </w:tc>
        <w:tc>
          <w:tcPr>
            <w:tcW w:type="dxa" w:w="1728"/>
          </w:tcPr>
          <w:p>
            <w:r>
              <w:t>Period</w:t>
            </w:r>
          </w:p>
        </w:tc>
        <w:tc>
          <w:tcPr>
            <w:tcW w:type="dxa" w:w="1728"/>
          </w:tcPr>
          <w:p>
            <w:r>
              <w:t>Value</w:t>
            </w:r>
          </w:p>
        </w:tc>
        <w:tc>
          <w:tcPr>
            <w:tcW w:type="dxa" w:w="1728"/>
          </w:tcPr>
          <w:p>
            <w:r>
              <w:t>Source</w:t>
            </w:r>
          </w:p>
        </w:tc>
      </w:tr>
      <w:tr>
        <w:tc>
          <w:tcPr>
            <w:tcW w:type="dxa" w:w="1728"/>
          </w:tcPr>
          <w:p>
            <w:r>
              <w:t>Quarterly</w:t>
            </w:r>
          </w:p>
        </w:tc>
        <w:tc>
          <w:tcPr>
            <w:tcW w:type="dxa" w:w="1728"/>
          </w:tcPr>
          <w:p>
            <w:r>
              <w:t>Revenue</w:t>
            </w:r>
          </w:p>
        </w:tc>
        <w:tc>
          <w:tcPr>
            <w:tcW w:type="dxa" w:w="1728"/>
          </w:tcPr>
          <w:p>
            <w:r/>
          </w:p>
        </w:tc>
        <w:tc>
          <w:tcPr>
            <w:tcW w:type="dxa" w:w="1728"/>
          </w:tcPr>
          <w:p>
            <w:r>
              <w:t>$7.19 billion</w:t>
            </w:r>
          </w:p>
        </w:tc>
        <w:tc>
          <w:tcPr>
            <w:tcW w:type="dxa" w:w="1728"/>
          </w:tcPr>
          <w:p>
            <w:r>
              <w:t>Page 1</w:t>
            </w:r>
          </w:p>
        </w:tc>
      </w:tr>
      <w:tr>
        <w:tc>
          <w:tcPr>
            <w:tcW w:type="dxa" w:w="1728"/>
          </w:tcPr>
          <w:p>
            <w:r>
              <w:t>Quarterly</w:t>
            </w:r>
          </w:p>
        </w:tc>
        <w:tc>
          <w:tcPr>
            <w:tcW w:type="dxa" w:w="1728"/>
          </w:tcPr>
          <w:p>
            <w:r>
              <w:t>Revenue</w:t>
            </w:r>
          </w:p>
        </w:tc>
        <w:tc>
          <w:tcPr>
            <w:tcW w:type="dxa" w:w="1728"/>
          </w:tcPr>
          <w:p>
            <w:r/>
          </w:p>
        </w:tc>
        <w:tc>
          <w:tcPr>
            <w:tcW w:type="dxa" w:w="1728"/>
          </w:tcPr>
          <w:p>
            <w:r>
              <w:t>19%</w:t>
            </w:r>
          </w:p>
        </w:tc>
        <w:tc>
          <w:tcPr>
            <w:tcW w:type="dxa" w:w="1728"/>
          </w:tcPr>
          <w:p>
            <w:r>
              <w:t>Page 1</w:t>
            </w:r>
          </w:p>
        </w:tc>
      </w:tr>
      <w:tr>
        <w:tc>
          <w:tcPr>
            <w:tcW w:type="dxa" w:w="1728"/>
          </w:tcPr>
          <w:p>
            <w:r>
              <w:t>Record Data Center</w:t>
            </w:r>
          </w:p>
        </w:tc>
        <w:tc>
          <w:tcPr>
            <w:tcW w:type="dxa" w:w="1728"/>
          </w:tcPr>
          <w:p>
            <w:r>
              <w:t>Revenue</w:t>
            </w:r>
          </w:p>
        </w:tc>
        <w:tc>
          <w:tcPr>
            <w:tcW w:type="dxa" w:w="1728"/>
          </w:tcPr>
          <w:p>
            <w:r/>
          </w:p>
        </w:tc>
        <w:tc>
          <w:tcPr>
            <w:tcW w:type="dxa" w:w="1728"/>
          </w:tcPr>
          <w:p>
            <w:r>
              <w:t>$4.28 billion</w:t>
            </w:r>
          </w:p>
        </w:tc>
        <w:tc>
          <w:tcPr>
            <w:tcW w:type="dxa" w:w="1728"/>
          </w:tcPr>
          <w:p>
            <w:r>
              <w:t>Page 1</w:t>
            </w:r>
          </w:p>
        </w:tc>
      </w:tr>
      <w:tr>
        <w:tc>
          <w:tcPr>
            <w:tcW w:type="dxa" w:w="1728"/>
          </w:tcPr>
          <w:p>
            <w:r>
              <w:t>Second</w:t>
            </w:r>
          </w:p>
        </w:tc>
        <w:tc>
          <w:tcPr>
            <w:tcW w:type="dxa" w:w="1728"/>
          </w:tcPr>
          <w:p>
            <w:r>
              <w:t>Revenue</w:t>
            </w:r>
          </w:p>
        </w:tc>
        <w:tc>
          <w:tcPr>
            <w:tcW w:type="dxa" w:w="1728"/>
          </w:tcPr>
          <w:p>
            <w:r>
              <w:t>2024</w:t>
            </w:r>
          </w:p>
        </w:tc>
        <w:tc>
          <w:tcPr>
            <w:tcW w:type="dxa" w:w="1728"/>
          </w:tcPr>
          <w:p>
            <w:r>
              <w:t>202</w:t>
            </w:r>
          </w:p>
        </w:tc>
        <w:tc>
          <w:tcPr>
            <w:tcW w:type="dxa" w:w="1728"/>
          </w:tcPr>
          <w:p>
            <w:r>
              <w:t>Page 1</w:t>
            </w:r>
          </w:p>
        </w:tc>
      </w:tr>
      <w:tr>
        <w:tc>
          <w:tcPr>
            <w:tcW w:type="dxa" w:w="1728"/>
          </w:tcPr>
          <w:p>
            <w:r>
              <w:t>Second</w:t>
            </w:r>
          </w:p>
        </w:tc>
        <w:tc>
          <w:tcPr>
            <w:tcW w:type="dxa" w:w="1728"/>
          </w:tcPr>
          <w:p>
            <w:r>
              <w:t>Revenue</w:t>
            </w:r>
          </w:p>
        </w:tc>
        <w:tc>
          <w:tcPr>
            <w:tcW w:type="dxa" w:w="1728"/>
          </w:tcPr>
          <w:p>
            <w:r>
              <w:t>2024</w:t>
            </w:r>
          </w:p>
        </w:tc>
        <w:tc>
          <w:tcPr>
            <w:tcW w:type="dxa" w:w="1728"/>
          </w:tcPr>
          <w:p>
            <w:r>
              <w:t>4</w:t>
            </w:r>
          </w:p>
        </w:tc>
        <w:tc>
          <w:tcPr>
            <w:tcW w:type="dxa" w:w="1728"/>
          </w:tcPr>
          <w:p>
            <w:r>
              <w:t>Page 1</w:t>
            </w:r>
          </w:p>
        </w:tc>
      </w:tr>
      <w:tr>
        <w:tc>
          <w:tcPr>
            <w:tcW w:type="dxa" w:w="1728"/>
          </w:tcPr>
          <w:p>
            <w:r>
              <w:t>Second</w:t>
            </w:r>
          </w:p>
        </w:tc>
        <w:tc>
          <w:tcPr>
            <w:tcW w:type="dxa" w:w="1728"/>
          </w:tcPr>
          <w:p>
            <w:r>
              <w:t>Revenue</w:t>
            </w:r>
          </w:p>
        </w:tc>
        <w:tc>
          <w:tcPr>
            <w:tcW w:type="dxa" w:w="1728"/>
          </w:tcPr>
          <w:p>
            <w:r>
              <w:t>2024</w:t>
            </w:r>
          </w:p>
        </w:tc>
        <w:tc>
          <w:tcPr>
            <w:tcW w:type="dxa" w:w="1728"/>
          </w:tcPr>
          <w:p>
            <w:r>
              <w:t>$11.00 billion</w:t>
            </w:r>
          </w:p>
        </w:tc>
        <w:tc>
          <w:tcPr>
            <w:tcW w:type="dxa" w:w="1728"/>
          </w:tcPr>
          <w:p>
            <w:r>
              <w:t>Page 1</w:t>
            </w:r>
          </w:p>
        </w:tc>
      </w:tr>
      <w:tr>
        <w:tc>
          <w:tcPr>
            <w:tcW w:type="dxa" w:w="1728"/>
          </w:tcPr>
          <w:p>
            <w:r>
              <w:t>NVIDIA</w:t>
            </w:r>
          </w:p>
        </w:tc>
        <w:tc>
          <w:tcPr>
            <w:tcW w:type="dxa" w:w="1728"/>
          </w:tcPr>
          <w:p>
            <w:r>
              <w:t>Revenue</w:t>
            </w:r>
          </w:p>
        </w:tc>
        <w:tc>
          <w:tcPr>
            <w:tcW w:type="dxa" w:w="1728"/>
          </w:tcPr>
          <w:p>
            <w:r>
              <w:t>2023</w:t>
            </w:r>
          </w:p>
        </w:tc>
        <w:tc>
          <w:tcPr>
            <w:tcW w:type="dxa" w:w="1728"/>
          </w:tcPr>
          <w:p>
            <w:r>
              <w:t>24</w:t>
            </w:r>
          </w:p>
        </w:tc>
        <w:tc>
          <w:tcPr>
            <w:tcW w:type="dxa" w:w="1728"/>
          </w:tcPr>
          <w:p>
            <w:r>
              <w:t>Page 1</w:t>
            </w:r>
          </w:p>
        </w:tc>
      </w:tr>
      <w:tr>
        <w:tc>
          <w:tcPr>
            <w:tcW w:type="dxa" w:w="1728"/>
          </w:tcPr>
          <w:p>
            <w:r>
              <w:t>NVIDIA</w:t>
            </w:r>
          </w:p>
        </w:tc>
        <w:tc>
          <w:tcPr>
            <w:tcW w:type="dxa" w:w="1728"/>
          </w:tcPr>
          <w:p>
            <w:r>
              <w:t>Revenue</w:t>
            </w:r>
          </w:p>
        </w:tc>
        <w:tc>
          <w:tcPr>
            <w:tcW w:type="dxa" w:w="1728"/>
          </w:tcPr>
          <w:p>
            <w:r>
              <w:t>2023</w:t>
            </w:r>
          </w:p>
        </w:tc>
        <w:tc>
          <w:tcPr>
            <w:tcW w:type="dxa" w:w="1728"/>
          </w:tcPr>
          <w:p>
            <w:r>
              <w:t>202</w:t>
            </w:r>
          </w:p>
        </w:tc>
        <w:tc>
          <w:tcPr>
            <w:tcW w:type="dxa" w:w="1728"/>
          </w:tcPr>
          <w:p>
            <w:r>
              <w:t>Page 1</w:t>
            </w:r>
          </w:p>
        </w:tc>
      </w:tr>
    </w:tbl>
    <w:p>
      <w:r>
        <w:t>This financial summary highlights key reported figures across Acquisition, Cost, Diluted, First, Free, GAAP, Gross, NVIDIA, Net, Non, Operating, Quarterly, Record Data Center, Revenue, Second, Weighted, with emphasis on Cash Flow, EPS, Gross Margin, Net Income. NVIDIA appears prominently in the report, and the financial trends indicate strong focus on revenue growth, profitability, and operating performance across the reported periods.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