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NVIDIA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Q3 FY2026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$35.1 billion</w:t>
            </w:r>
          </w:p>
        </w:tc>
      </w:tr>
      <w:tr>
        <w:tc>
          <w:tcPr>
            <w:tcW w:type="dxa" w:w="4320"/>
          </w:tcPr>
          <w:p>
            <w:r>
              <w:t>Net Income</w:t>
            </w:r>
          </w:p>
        </w:tc>
        <w:tc>
          <w:tcPr>
            <w:tcW w:type="dxa" w:w="4320"/>
          </w:tcPr>
          <w:p>
            <w:r>
              <w:t>$19.3 billion</w:t>
            </w:r>
          </w:p>
        </w:tc>
      </w:tr>
    </w:tbl>
    <w:p>
      <w:r>
        <w:rPr>
          <w:b/>
        </w:rPr>
        <w:t xml:space="preserve">Executive Summary: </w:t>
      </w:r>
      <w:r>
        <w:t>NVIDIA delivered exceptional financial performance in Q3 FY2026 with total revenue of $35.1 billion, representing 54% year-over-year growth. The company's data center segment drove the majority of revenue at $30.6 billion, up 20% year-over-year, driven by strong demand for AI computing infrastructure. The gaming and AI PC segment contributed $3.3 billion while automotive reached $0.8 billion. With a gross margin of 73.5% and net income of $19.3 billion, NVIDIA continues to demonstrate strong financial fundamentals in the AI-driven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