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Financial Summary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Q1 FY24 (GAAP)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Y/Y Change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Revenue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$7,192M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Down 13%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Net Income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$2,043M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 26%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Diluted EPS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$0.82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Up 28%</w:t>
            </w:r>
          </w:p>
        </w:tc>
      </w:tr>
    </w:tbl>
    <w:p/>
    <w:p>
      <w:r>
        <w:t xml:space="preserve">NVIDIA reported strong first quarter results for fiscal 2024, driven by record Data Center revenue of $4.28 billion. Despite a year-over-year decline in total revenue to $7.19 billion, the company saw significant sequential growth and a robust outlook of $11.00 billion for the second quarter. This financial performance reflects the industry's transition towards accelerated computing and generative AI, positioning NVIDIA at the forefront of the next technological wave.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2026-03-17T10:49:41.024Z</dcterms:created>
  <dcterms:modified xsi:type="dcterms:W3CDTF">2026-03-17T10:49:41.024Z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