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color w:val="2E75B6"/>
        </w:rPr>
        <w:t>Promotion Candidates Report</w:t>
      </w:r>
    </w:p>
    <w:p/>
    <w:p>
      <w:pPr>
        <w:spacing w:after="240"/>
      </w:pPr>
      <w:r>
        <w:rPr>
          <w:b/>
        </w:rPr>
        <w:t xml:space="preserve">Executive Summary: </w:t>
      </w:r>
      <w:r>
        <w:rPr>
          <w:sz w:val="22"/>
        </w:rPr>
        <w:t>This report presents the results of the annual promotion candidate review based on employee tenure and performance metrics. Out of 25 employees across 5 departments, 5 individuals have been identified as promotion candidates, meeting the criteria of more than five years of service and a performance score of 4 or higher. The department with the highest average performance score is Sales (3.60/5.00). It is recommended that HR and department heads review these candidates for promotion opportunities, salary adjustments, and additional responsibilities in the upcoming review cycle.</w:t>
      </w:r>
    </w:p>
    <w:p/>
    <w:p>
      <w:pPr>
        <w:pStyle w:val="Heading2"/>
      </w:pPr>
      <w:r>
        <w:rPr>
          <w:color w:val="2E75B6"/>
        </w:rPr>
        <w:t>Promotion Candidates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880"/>
            <w:shd w:val="clear" w:color="auto" w:fill="2E75B6"/>
          </w:tcPr>
          <w:p>
            <w:r>
              <w:rPr>
                <w:b/>
                <w:color w:val="FFFFFF"/>
              </w:rPr>
              <w:t>Name</w:t>
            </w:r>
          </w:p>
        </w:tc>
        <w:tc>
          <w:tcPr>
            <w:tcW w:type="dxa" w:w="2592"/>
            <w:shd w:val="clear" w:color="auto" w:fill="2E75B6"/>
          </w:tcPr>
          <w:p>
            <w:r>
              <w:rPr>
                <w:b/>
                <w:color w:val="FFFFFF"/>
              </w:rPr>
              <w:t>Department</w:t>
            </w:r>
          </w:p>
        </w:tc>
        <w:tc>
          <w:tcPr>
            <w:tcW w:type="dxa" w:w="2160"/>
            <w:shd w:val="clear" w:color="auto" w:fill="2E75B6"/>
          </w:tcPr>
          <w:p>
            <w:r>
              <w:rPr>
                <w:b/>
                <w:color w:val="FFFFFF"/>
              </w:rPr>
              <w:t>Salary</w:t>
            </w:r>
          </w:p>
        </w:tc>
        <w:tc>
          <w:tcPr>
            <w:tcW w:type="dxa" w:w="2160"/>
            <w:shd w:val="clear" w:color="auto" w:fill="2E75B6"/>
          </w:tcPr>
          <w:p>
            <w:r>
              <w:rPr>
                <w:b/>
                <w:color w:val="FFFFFF"/>
              </w:rPr>
              <w:t>PerformanceScore</w:t>
            </w:r>
          </w:p>
        </w:tc>
      </w:tr>
      <w:tr>
        <w:tc>
          <w:tcPr>
            <w:tcW w:type="dxa" w:w="2880"/>
            <w:shd w:val="clear" w:color="auto" w:fill="DCE6F1"/>
          </w:tcPr>
          <w:p>
            <w:r>
              <w:t>Eve Davis</w:t>
            </w:r>
          </w:p>
        </w:tc>
        <w:tc>
          <w:tcPr>
            <w:tcW w:type="dxa" w:w="2592"/>
            <w:shd w:val="clear" w:color="auto" w:fill="DCE6F1"/>
          </w:tcPr>
          <w:p>
            <w:r>
              <w:t>Engineering</w:t>
            </w:r>
          </w:p>
        </w:tc>
        <w:tc>
          <w:tcPr>
            <w:tcW w:type="dxa" w:w="2160"/>
            <w:shd w:val="clear" w:color="auto" w:fill="DCE6F1"/>
          </w:tcPr>
          <w:p>
            <w:r>
              <w:t>$80,495.00</w:t>
            </w:r>
          </w:p>
        </w:tc>
        <w:tc>
          <w:tcPr>
            <w:tcW w:type="dxa" w:w="2160"/>
            <w:shd w:val="clear" w:color="auto" w:fill="DCE6F1"/>
          </w:tcPr>
          <w:p>
            <w:r>
              <w:t>5</w:t>
            </w:r>
          </w:p>
        </w:tc>
      </w:tr>
      <w:tr>
        <w:tc>
          <w:tcPr>
            <w:tcW w:type="dxa" w:w="2880"/>
          </w:tcPr>
          <w:p>
            <w:r>
              <w:t>Frank Miller</w:t>
            </w:r>
          </w:p>
        </w:tc>
        <w:tc>
          <w:tcPr>
            <w:tcW w:type="dxa" w:w="2592"/>
          </w:tcPr>
          <w:p>
            <w:r>
              <w:t>Sales</w:t>
            </w:r>
          </w:p>
        </w:tc>
        <w:tc>
          <w:tcPr>
            <w:tcW w:type="dxa" w:w="2160"/>
          </w:tcPr>
          <w:p>
            <w:r>
              <w:t>$123,563.00</w:t>
            </w:r>
          </w:p>
        </w:tc>
        <w:tc>
          <w:tcPr>
            <w:tcW w:type="dxa" w:w="2160"/>
          </w:tcPr>
          <w:p>
            <w:r>
              <w:t>5</w:t>
            </w:r>
          </w:p>
        </w:tc>
      </w:tr>
      <w:tr>
        <w:tc>
          <w:tcPr>
            <w:tcW w:type="dxa" w:w="2880"/>
            <w:shd w:val="clear" w:color="auto" w:fill="DCE6F1"/>
          </w:tcPr>
          <w:p>
            <w:r>
              <w:t>Grace Wilson</w:t>
            </w:r>
          </w:p>
        </w:tc>
        <w:tc>
          <w:tcPr>
            <w:tcW w:type="dxa" w:w="2592"/>
            <w:shd w:val="clear" w:color="auto" w:fill="DCE6F1"/>
          </w:tcPr>
          <w:p>
            <w:r>
              <w:t>Marketing</w:t>
            </w:r>
          </w:p>
        </w:tc>
        <w:tc>
          <w:tcPr>
            <w:tcW w:type="dxa" w:w="2160"/>
            <w:shd w:val="clear" w:color="auto" w:fill="DCE6F1"/>
          </w:tcPr>
          <w:p>
            <w:r>
              <w:t>$78,893.00</w:t>
            </w:r>
          </w:p>
        </w:tc>
        <w:tc>
          <w:tcPr>
            <w:tcW w:type="dxa" w:w="2160"/>
            <w:shd w:val="clear" w:color="auto" w:fill="DCE6F1"/>
          </w:tcPr>
          <w:p>
            <w:r>
              <w:t>5</w:t>
            </w:r>
          </w:p>
        </w:tc>
      </w:tr>
      <w:tr>
        <w:tc>
          <w:tcPr>
            <w:tcW w:type="dxa" w:w="2880"/>
          </w:tcPr>
          <w:p>
            <w:r>
              <w:t>Henry Moore</w:t>
            </w:r>
          </w:p>
        </w:tc>
        <w:tc>
          <w:tcPr>
            <w:tcW w:type="dxa" w:w="2592"/>
          </w:tcPr>
          <w:p>
            <w:r>
              <w:t>HR</w:t>
            </w:r>
          </w:p>
        </w:tc>
        <w:tc>
          <w:tcPr>
            <w:tcW w:type="dxa" w:w="2160"/>
          </w:tcPr>
          <w:p>
            <w:r>
              <w:t>$50,851.00</w:t>
            </w:r>
          </w:p>
        </w:tc>
        <w:tc>
          <w:tcPr>
            <w:tcW w:type="dxa" w:w="2160"/>
          </w:tcPr>
          <w:p>
            <w:r>
              <w:t>4</w:t>
            </w:r>
          </w:p>
        </w:tc>
      </w:tr>
      <w:tr>
        <w:tc>
          <w:tcPr>
            <w:tcW w:type="dxa" w:w="2880"/>
            <w:shd w:val="clear" w:color="auto" w:fill="DCE6F1"/>
          </w:tcPr>
          <w:p>
            <w:r>
              <w:t>Jack Anderson</w:t>
            </w:r>
          </w:p>
        </w:tc>
        <w:tc>
          <w:tcPr>
            <w:tcW w:type="dxa" w:w="2592"/>
            <w:shd w:val="clear" w:color="auto" w:fill="DCE6F1"/>
          </w:tcPr>
          <w:p>
            <w:r>
              <w:t>Engineering</w:t>
            </w:r>
          </w:p>
        </w:tc>
        <w:tc>
          <w:tcPr>
            <w:tcW w:type="dxa" w:w="2160"/>
            <w:shd w:val="clear" w:color="auto" w:fill="DCE6F1"/>
          </w:tcPr>
          <w:p>
            <w:r>
              <w:t>$63,396.00</w:t>
            </w:r>
          </w:p>
        </w:tc>
        <w:tc>
          <w:tcPr>
            <w:tcW w:type="dxa" w:w="2160"/>
            <w:shd w:val="clear" w:color="auto" w:fill="DCE6F1"/>
          </w:tcPr>
          <w:p>
            <w:r>
              <w:t>4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