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Promotion Candidates Report</w:t>
      </w:r>
    </w:p>
    <w:p>
      <w:pPr>
        <w:spacing w:after="200"/>
      </w:pPr>
      <w:r>
        <w:rPr>
          <w:rFonts w:ascii="Arial" w:cs="Arial" w:eastAsia="Arial" w:hAnsi="Arial"/>
          <w:i/>
          <w:iCs/>
          <w:color w:val="555555"/>
          <w:sz w:val="20"/>
          <w:szCs w:val="20"/>
        </w:rPr>
        <w:t xml:space="preserve">Date: March 15, 2026</w:t>
      </w:r>
    </w:p>
    <w:p>
      <w:pPr>
        <w:pStyle w:val="Heading2"/>
      </w:pPr>
      <w:r>
        <w:t xml:space="preserve">Promotion Candidates</w:t>
      </w:r>
    </w:p>
    <w:p>
      <w:pPr>
        <w:spacing w:after="160"/>
      </w:pPr>
      <w:r>
        <w:rPr>
          <w:rFonts w:ascii="Arial" w:cs="Arial" w:eastAsia="Arial" w:hAnsi="Arial"/>
          <w:sz w:val="20"/>
          <w:szCs w:val="20"/>
        </w:rPr>
        <w:t xml:space="preserve">The following 5 employees meet the criteria for promotion: more than 5 years of tenure and a PerformanceScore of 4 or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Department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Salary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Performance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Eve Davis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Engineering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$80,495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Frank Miller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Sales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$123,563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Grace Wilson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Marketing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$78,893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Henry Moore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$50,851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Jack Anderson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Engineering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$63,396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bl>
    <w:p>
      <w:pPr>
        <w:spacing w:after="240"/>
      </w:pPr>
    </w:p>
    <w:p>
      <w:pPr>
        <w:pStyle w:val="Heading2"/>
      </w:pPr>
      <w:r>
        <w:t xml:space="preserve">Executive Summary</w:t>
      </w:r>
    </w:p>
    <w:p>
      <w:pPr>
        <w:spacing w:after="240"/>
        <w:jc w:val="both"/>
      </w:pPr>
      <w:r>
        <w:rPr>
          <w:rFonts w:ascii="Arial" w:cs="Arial" w:eastAsia="Arial" w:hAnsi="Arial"/>
          <w:sz w:val="20"/>
          <w:szCs w:val="20"/>
        </w:rPr>
        <w:t xml:space="preserve">As of March 15, 2026, a thorough review of employee tenure and performance records has identified 5 promotion candidates across the organization. These individuals have demonstrated sustained commitment to the company — each serving more than five years — and have earned a PerformanceScore of 4 or higher (on a 1–5 scale). The group spans four departments: Engineering (2 candidates), Sales (1), Marketing (1), and HR (1), reflecting strong performance distributed across key business functions. The Sales department leads in overall average performance score (3.60), while the Engineering and Marketing departments contribute the largest share of high-tenure, high-performing talent. Leadership is encouraged to review this cohort for immediate promotion consideration to retain top talent and reward sustained excellence.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2026-03-15T12:13:22.434Z</dcterms:created>
  <dcterms:modified xsi:type="dcterms:W3CDTF">2026-03-15T12:13:22.436Z</dcterms:modified>
</cp:coreProperties>
</file>

<file path=docProps/custom.xml><?xml version="1.0" encoding="utf-8"?>
<Properties xmlns="http://schemas.openxmlformats.org/officeDocument/2006/custom-properties" xmlns:vt="http://schemas.openxmlformats.org/officeDocument/2006/docPropsVTypes"/>
</file>