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87A28" w14:textId="2DB15CD1" w:rsidR="00FE3EDF" w:rsidRPr="00FE3EDF" w:rsidRDefault="00FE3EDF" w:rsidP="00FE3EDF">
      <w:pPr>
        <w:jc w:val="center"/>
        <w:rPr>
          <w:rFonts w:ascii="Inter 18pt SemiBold" w:hAnsi="Inter 18pt SemiBold"/>
          <w:sz w:val="28"/>
          <w:szCs w:val="28"/>
          <w:u w:val="single"/>
        </w:rPr>
      </w:pPr>
      <w:r w:rsidRPr="00FE3EDF">
        <w:rPr>
          <w:rFonts w:ascii="Inter 18pt SemiBold" w:hAnsi="Inter 18pt SemiBold"/>
          <w:sz w:val="28"/>
          <w:szCs w:val="28"/>
          <w:u w:val="single"/>
        </w:rPr>
        <w:t>Traditional vs. Neo-Consulting</w:t>
      </w:r>
    </w:p>
    <w:tbl>
      <w:tblPr>
        <w:tblW w:w="10206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756"/>
        <w:gridCol w:w="4340"/>
        <w:gridCol w:w="4110"/>
      </w:tblGrid>
      <w:tr w:rsidR="00FE3EDF" w:rsidRPr="00FE3EDF" w14:paraId="25DD49B4" w14:textId="77777777" w:rsidTr="00FE3EDF">
        <w:trPr>
          <w:trHeight w:val="20"/>
        </w:trPr>
        <w:tc>
          <w:tcPr>
            <w:tcW w:w="1756" w:type="dxa"/>
            <w:tcBorders>
              <w:top w:val="nil"/>
              <w:left w:val="nil"/>
              <w:bottom w:val="single" w:sz="8" w:space="0" w:color="BFBFBF"/>
              <w:right w:val="nil"/>
            </w:tcBorders>
            <w:shd w:val="clear" w:color="auto" w:fill="BDD6EE" w:themeFill="accent5" w:themeFillTint="66"/>
            <w:tcMar>
              <w:top w:w="216" w:type="dxa"/>
              <w:left w:w="216" w:type="dxa"/>
              <w:bottom w:w="216" w:type="dxa"/>
              <w:right w:w="216" w:type="dxa"/>
            </w:tcMar>
            <w:vAlign w:val="center"/>
            <w:hideMark/>
          </w:tcPr>
          <w:p w14:paraId="73FEA056" w14:textId="77777777" w:rsidR="00FE3EDF" w:rsidRPr="00FE3EDF" w:rsidRDefault="00FE3EDF" w:rsidP="00FE3ED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3EDF">
              <w:rPr>
                <w:rFonts w:ascii="Inter 18pt" w:eastAsia="Inter 18pt" w:hAnsi="Inter 18pt" w:cs="Arial"/>
                <w:color w:val="000000"/>
                <w:kern w:val="24"/>
                <w:sz w:val="22"/>
                <w:szCs w:val="22"/>
                <w:lang w:eastAsia="en-IN"/>
                <w14:ligatures w14:val="none"/>
              </w:rPr>
              <w:t>Feature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8" w:space="0" w:color="BFBFBF"/>
              <w:right w:val="nil"/>
            </w:tcBorders>
            <w:shd w:val="clear" w:color="auto" w:fill="BDD6EE" w:themeFill="accent5" w:themeFillTint="66"/>
            <w:tcMar>
              <w:top w:w="216" w:type="dxa"/>
              <w:left w:w="216" w:type="dxa"/>
              <w:bottom w:w="216" w:type="dxa"/>
              <w:right w:w="216" w:type="dxa"/>
            </w:tcMar>
            <w:vAlign w:val="center"/>
            <w:hideMark/>
          </w:tcPr>
          <w:p w14:paraId="0A59F00B" w14:textId="77777777" w:rsidR="00FE3EDF" w:rsidRPr="00FE3EDF" w:rsidRDefault="00FE3EDF" w:rsidP="00FE3ED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3EDF">
              <w:rPr>
                <w:rFonts w:ascii="Inter 18pt" w:eastAsia="Inter 18pt" w:hAnsi="Inter 18pt" w:cs="Arial"/>
                <w:color w:val="000000"/>
                <w:kern w:val="24"/>
                <w:sz w:val="22"/>
                <w:szCs w:val="22"/>
                <w:lang w:val="en-US" w:eastAsia="en-IN"/>
                <w14:ligatures w14:val="none"/>
              </w:rPr>
              <w:t>Traditional Consulting (The "Big Box")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8" w:space="0" w:color="BFBFBF"/>
              <w:right w:val="nil"/>
            </w:tcBorders>
            <w:shd w:val="clear" w:color="auto" w:fill="BDD6EE" w:themeFill="accent5" w:themeFillTint="66"/>
            <w:tcMar>
              <w:top w:w="216" w:type="dxa"/>
              <w:left w:w="216" w:type="dxa"/>
              <w:bottom w:w="216" w:type="dxa"/>
              <w:right w:w="216" w:type="dxa"/>
            </w:tcMar>
            <w:vAlign w:val="center"/>
            <w:hideMark/>
          </w:tcPr>
          <w:p w14:paraId="375A7F95" w14:textId="77777777" w:rsidR="00FE3EDF" w:rsidRPr="00FE3EDF" w:rsidRDefault="00FE3EDF" w:rsidP="00FE3ED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FE3EDF">
              <w:rPr>
                <w:rFonts w:ascii="Inter 18pt" w:eastAsia="Inter 18pt" w:hAnsi="Inter 18pt" w:cs="Arial"/>
                <w:color w:val="000000"/>
                <w:kern w:val="24"/>
                <w:sz w:val="22"/>
                <w:szCs w:val="22"/>
                <w:lang w:eastAsia="en-IN"/>
                <w14:ligatures w14:val="none"/>
              </w:rPr>
              <w:t>VisionTomoro</w:t>
            </w:r>
            <w:proofErr w:type="spellEnd"/>
            <w:r w:rsidRPr="00FE3EDF">
              <w:rPr>
                <w:rFonts w:ascii="Inter 18pt" w:eastAsia="Inter 18pt" w:hAnsi="Inter 18pt" w:cs="Arial"/>
                <w:color w:val="000000"/>
                <w:kern w:val="24"/>
                <w:sz w:val="22"/>
                <w:szCs w:val="22"/>
                <w:lang w:eastAsia="en-IN"/>
                <w14:ligatures w14:val="none"/>
              </w:rPr>
              <w:t xml:space="preserve"> (The Neo-Consultancy)</w:t>
            </w:r>
          </w:p>
        </w:tc>
      </w:tr>
      <w:tr w:rsidR="00FE3EDF" w:rsidRPr="00FE3EDF" w14:paraId="6DA59672" w14:textId="77777777" w:rsidTr="00FE3EDF">
        <w:trPr>
          <w:trHeight w:val="224"/>
        </w:trPr>
        <w:tc>
          <w:tcPr>
            <w:tcW w:w="1756" w:type="dxa"/>
            <w:tcBorders>
              <w:top w:val="single" w:sz="8" w:space="0" w:color="BFBFBF"/>
              <w:left w:val="nil"/>
              <w:bottom w:val="single" w:sz="8" w:space="0" w:color="BFBFBF"/>
              <w:right w:val="nil"/>
            </w:tcBorders>
            <w:shd w:val="clear" w:color="auto" w:fill="F2F2F2" w:themeFill="background1" w:themeFillShade="F2"/>
            <w:tcMar>
              <w:top w:w="216" w:type="dxa"/>
              <w:left w:w="216" w:type="dxa"/>
              <w:bottom w:w="216" w:type="dxa"/>
              <w:right w:w="216" w:type="dxa"/>
            </w:tcMar>
            <w:vAlign w:val="center"/>
            <w:hideMark/>
          </w:tcPr>
          <w:p w14:paraId="35613850" w14:textId="77777777" w:rsidR="00FE3EDF" w:rsidRPr="00FE3EDF" w:rsidRDefault="00FE3EDF" w:rsidP="00FE3ED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3EDF">
              <w:rPr>
                <w:rFonts w:ascii="Inter 18pt" w:eastAsia="Inter 18pt" w:hAnsi="Inter 18pt" w:cs="Arial"/>
                <w:b/>
                <w:bCs/>
                <w:color w:val="000000"/>
                <w:kern w:val="24"/>
                <w:sz w:val="22"/>
                <w:szCs w:val="22"/>
                <w:lang w:eastAsia="en-IN"/>
                <w14:ligatures w14:val="none"/>
              </w:rPr>
              <w:t>Deliverables</w:t>
            </w:r>
          </w:p>
        </w:tc>
        <w:tc>
          <w:tcPr>
            <w:tcW w:w="4340" w:type="dxa"/>
            <w:tcBorders>
              <w:top w:val="single" w:sz="8" w:space="0" w:color="BFBFBF"/>
              <w:left w:val="nil"/>
              <w:bottom w:val="single" w:sz="8" w:space="0" w:color="BFBFBF"/>
              <w:right w:val="nil"/>
            </w:tcBorders>
            <w:tcMar>
              <w:top w:w="216" w:type="dxa"/>
              <w:left w:w="216" w:type="dxa"/>
              <w:bottom w:w="216" w:type="dxa"/>
              <w:right w:w="216" w:type="dxa"/>
            </w:tcMar>
            <w:vAlign w:val="center"/>
            <w:hideMark/>
          </w:tcPr>
          <w:p w14:paraId="6DBA1832" w14:textId="77777777" w:rsidR="00FE3EDF" w:rsidRPr="00FE3EDF" w:rsidRDefault="00FE3EDF" w:rsidP="00FE3ED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3EDF">
              <w:rPr>
                <w:rFonts w:ascii="Inter 18pt" w:eastAsia="Inter 18pt" w:hAnsi="Inter 18pt" w:cs="Arial"/>
                <w:color w:val="000000"/>
                <w:kern w:val="24"/>
                <w:sz w:val="22"/>
                <w:szCs w:val="22"/>
                <w:lang w:val="en-US" w:eastAsia="en-IN"/>
                <w14:ligatures w14:val="none"/>
              </w:rPr>
              <w:t>100+ page PowerPoint decks &amp; "Roadmaps"</w:t>
            </w:r>
          </w:p>
        </w:tc>
        <w:tc>
          <w:tcPr>
            <w:tcW w:w="4110" w:type="dxa"/>
            <w:tcBorders>
              <w:top w:val="single" w:sz="8" w:space="0" w:color="BFBFBF"/>
              <w:left w:val="nil"/>
              <w:bottom w:val="single" w:sz="8" w:space="0" w:color="BFBFBF"/>
              <w:right w:val="nil"/>
            </w:tcBorders>
            <w:tcMar>
              <w:top w:w="216" w:type="dxa"/>
              <w:left w:w="216" w:type="dxa"/>
              <w:bottom w:w="216" w:type="dxa"/>
              <w:right w:w="216" w:type="dxa"/>
            </w:tcMar>
            <w:vAlign w:val="center"/>
            <w:hideMark/>
          </w:tcPr>
          <w:p w14:paraId="173F2CC7" w14:textId="77777777" w:rsidR="00FE3EDF" w:rsidRPr="00FE3EDF" w:rsidRDefault="00FE3EDF" w:rsidP="00FE3ED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3EDF">
              <w:rPr>
                <w:rFonts w:ascii="Inter 18pt" w:eastAsia="Inter 18pt" w:hAnsi="Inter 18pt" w:cs="Arial"/>
                <w:b/>
                <w:bCs/>
                <w:color w:val="000000"/>
                <w:kern w:val="24"/>
                <w:sz w:val="22"/>
                <w:szCs w:val="22"/>
                <w:lang w:val="en-US" w:eastAsia="en-IN"/>
                <w14:ligatures w14:val="none"/>
              </w:rPr>
              <w:t>Working code, prototypes, and Agentic systems</w:t>
            </w:r>
          </w:p>
        </w:tc>
      </w:tr>
      <w:tr w:rsidR="00FE3EDF" w:rsidRPr="00FE3EDF" w14:paraId="50BE8927" w14:textId="77777777" w:rsidTr="00FE3EDF">
        <w:trPr>
          <w:trHeight w:val="24"/>
        </w:trPr>
        <w:tc>
          <w:tcPr>
            <w:tcW w:w="1756" w:type="dxa"/>
            <w:tcBorders>
              <w:top w:val="single" w:sz="8" w:space="0" w:color="BFBFBF"/>
              <w:left w:val="nil"/>
              <w:bottom w:val="single" w:sz="8" w:space="0" w:color="BFBFBF"/>
              <w:right w:val="nil"/>
            </w:tcBorders>
            <w:shd w:val="clear" w:color="auto" w:fill="F2F2F2" w:themeFill="background1" w:themeFillShade="F2"/>
            <w:tcMar>
              <w:top w:w="216" w:type="dxa"/>
              <w:left w:w="216" w:type="dxa"/>
              <w:bottom w:w="216" w:type="dxa"/>
              <w:right w:w="216" w:type="dxa"/>
            </w:tcMar>
            <w:vAlign w:val="center"/>
            <w:hideMark/>
          </w:tcPr>
          <w:p w14:paraId="0489908C" w14:textId="77777777" w:rsidR="00FE3EDF" w:rsidRPr="00FE3EDF" w:rsidRDefault="00FE3EDF" w:rsidP="00FE3ED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3EDF">
              <w:rPr>
                <w:rFonts w:ascii="Inter 18pt" w:eastAsia="Inter 18pt" w:hAnsi="Inter 18pt" w:cs="Arial"/>
                <w:b/>
                <w:bCs/>
                <w:color w:val="000000"/>
                <w:kern w:val="24"/>
                <w:sz w:val="22"/>
                <w:szCs w:val="22"/>
                <w:lang w:eastAsia="en-IN"/>
                <w14:ligatures w14:val="none"/>
              </w:rPr>
              <w:t>Velocity</w:t>
            </w:r>
          </w:p>
        </w:tc>
        <w:tc>
          <w:tcPr>
            <w:tcW w:w="4340" w:type="dxa"/>
            <w:tcBorders>
              <w:top w:val="single" w:sz="8" w:space="0" w:color="BFBFBF"/>
              <w:left w:val="nil"/>
              <w:bottom w:val="single" w:sz="8" w:space="0" w:color="BFBFBF"/>
              <w:right w:val="nil"/>
            </w:tcBorders>
            <w:tcMar>
              <w:top w:w="216" w:type="dxa"/>
              <w:left w:w="216" w:type="dxa"/>
              <w:bottom w:w="216" w:type="dxa"/>
              <w:right w:w="216" w:type="dxa"/>
            </w:tcMar>
            <w:vAlign w:val="center"/>
            <w:hideMark/>
          </w:tcPr>
          <w:p w14:paraId="2C7B0B86" w14:textId="77777777" w:rsidR="00FE3EDF" w:rsidRPr="00FE3EDF" w:rsidRDefault="00FE3EDF" w:rsidP="00FE3ED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3EDF">
              <w:rPr>
                <w:rFonts w:ascii="Inter 18pt" w:eastAsia="Inter 18pt" w:hAnsi="Inter 18pt" w:cs="Arial"/>
                <w:color w:val="000000"/>
                <w:kern w:val="24"/>
                <w:sz w:val="22"/>
                <w:szCs w:val="22"/>
                <w:lang w:val="en-US" w:eastAsia="en-IN"/>
                <w14:ligatures w14:val="none"/>
              </w:rPr>
              <w:t>Months of "Discovery" and "Alignment"</w:t>
            </w:r>
          </w:p>
        </w:tc>
        <w:tc>
          <w:tcPr>
            <w:tcW w:w="4110" w:type="dxa"/>
            <w:tcBorders>
              <w:top w:val="single" w:sz="8" w:space="0" w:color="BFBFBF"/>
              <w:left w:val="nil"/>
              <w:bottom w:val="single" w:sz="8" w:space="0" w:color="BFBFBF"/>
              <w:right w:val="nil"/>
            </w:tcBorders>
            <w:tcMar>
              <w:top w:w="216" w:type="dxa"/>
              <w:left w:w="216" w:type="dxa"/>
              <w:bottom w:w="216" w:type="dxa"/>
              <w:right w:w="216" w:type="dxa"/>
            </w:tcMar>
            <w:vAlign w:val="center"/>
            <w:hideMark/>
          </w:tcPr>
          <w:p w14:paraId="0775E428" w14:textId="77777777" w:rsidR="00FE3EDF" w:rsidRPr="00FE3EDF" w:rsidRDefault="00FE3EDF" w:rsidP="00FE3ED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3EDF">
              <w:rPr>
                <w:rFonts w:ascii="Inter 18pt" w:eastAsia="Inter 18pt" w:hAnsi="Inter 18pt" w:cs="Arial"/>
                <w:b/>
                <w:bCs/>
                <w:color w:val="000000"/>
                <w:kern w:val="24"/>
                <w:sz w:val="22"/>
                <w:szCs w:val="22"/>
                <w:lang w:eastAsia="en-IN"/>
                <w14:ligatures w14:val="none"/>
              </w:rPr>
              <w:t>"Vibe Coding" &amp; Rapid AI Prototyping (Days)</w:t>
            </w:r>
          </w:p>
        </w:tc>
      </w:tr>
      <w:tr w:rsidR="00FE3EDF" w:rsidRPr="00FE3EDF" w14:paraId="3B6DD9D5" w14:textId="77777777" w:rsidTr="00FE3EDF">
        <w:trPr>
          <w:trHeight w:val="24"/>
        </w:trPr>
        <w:tc>
          <w:tcPr>
            <w:tcW w:w="1756" w:type="dxa"/>
            <w:tcBorders>
              <w:top w:val="single" w:sz="8" w:space="0" w:color="BFBFBF"/>
              <w:left w:val="nil"/>
              <w:bottom w:val="single" w:sz="8" w:space="0" w:color="BFBFBF"/>
              <w:right w:val="nil"/>
            </w:tcBorders>
            <w:shd w:val="clear" w:color="auto" w:fill="F2F2F2" w:themeFill="background1" w:themeFillShade="F2"/>
            <w:tcMar>
              <w:top w:w="216" w:type="dxa"/>
              <w:left w:w="216" w:type="dxa"/>
              <w:bottom w:w="216" w:type="dxa"/>
              <w:right w:w="216" w:type="dxa"/>
            </w:tcMar>
            <w:vAlign w:val="center"/>
            <w:hideMark/>
          </w:tcPr>
          <w:p w14:paraId="38A086F8" w14:textId="77777777" w:rsidR="00FE3EDF" w:rsidRPr="00FE3EDF" w:rsidRDefault="00FE3EDF" w:rsidP="00FE3ED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3EDF">
              <w:rPr>
                <w:rFonts w:ascii="Inter 18pt" w:eastAsia="Inter 18pt" w:hAnsi="Inter 18pt" w:cs="Arial"/>
                <w:b/>
                <w:bCs/>
                <w:color w:val="000000"/>
                <w:kern w:val="24"/>
                <w:sz w:val="22"/>
                <w:szCs w:val="22"/>
                <w:lang w:eastAsia="en-IN"/>
                <w14:ligatures w14:val="none"/>
              </w:rPr>
              <w:t>Team Makeup</w:t>
            </w:r>
          </w:p>
        </w:tc>
        <w:tc>
          <w:tcPr>
            <w:tcW w:w="4340" w:type="dxa"/>
            <w:tcBorders>
              <w:top w:val="single" w:sz="8" w:space="0" w:color="BFBFBF"/>
              <w:left w:val="nil"/>
              <w:bottom w:val="single" w:sz="8" w:space="0" w:color="BFBFBF"/>
              <w:right w:val="nil"/>
            </w:tcBorders>
            <w:tcMar>
              <w:top w:w="216" w:type="dxa"/>
              <w:left w:w="216" w:type="dxa"/>
              <w:bottom w:w="216" w:type="dxa"/>
              <w:right w:w="216" w:type="dxa"/>
            </w:tcMar>
            <w:vAlign w:val="center"/>
            <w:hideMark/>
          </w:tcPr>
          <w:p w14:paraId="01669DDB" w14:textId="77777777" w:rsidR="00FE3EDF" w:rsidRPr="00FE3EDF" w:rsidRDefault="00FE3EDF" w:rsidP="00FE3ED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3EDF">
              <w:rPr>
                <w:rFonts w:ascii="Inter 18pt" w:eastAsia="Inter 18pt" w:hAnsi="Inter 18pt" w:cs="Arial"/>
                <w:color w:val="000000"/>
                <w:kern w:val="24"/>
                <w:sz w:val="22"/>
                <w:szCs w:val="22"/>
                <w:lang w:eastAsia="en-IN"/>
                <w14:ligatures w14:val="none"/>
              </w:rPr>
              <w:t>Generalist MBAs &amp; Junior Analysts</w:t>
            </w:r>
          </w:p>
        </w:tc>
        <w:tc>
          <w:tcPr>
            <w:tcW w:w="4110" w:type="dxa"/>
            <w:tcBorders>
              <w:top w:val="single" w:sz="8" w:space="0" w:color="BFBFBF"/>
              <w:left w:val="nil"/>
              <w:bottom w:val="single" w:sz="8" w:space="0" w:color="BFBFBF"/>
              <w:right w:val="nil"/>
            </w:tcBorders>
            <w:tcMar>
              <w:top w:w="216" w:type="dxa"/>
              <w:left w:w="216" w:type="dxa"/>
              <w:bottom w:w="216" w:type="dxa"/>
              <w:right w:w="216" w:type="dxa"/>
            </w:tcMar>
            <w:vAlign w:val="center"/>
            <w:hideMark/>
          </w:tcPr>
          <w:p w14:paraId="58C29227" w14:textId="77777777" w:rsidR="00FE3EDF" w:rsidRPr="00FE3EDF" w:rsidRDefault="00FE3EDF" w:rsidP="00FE3ED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3EDF">
              <w:rPr>
                <w:rFonts w:ascii="Inter 18pt" w:eastAsia="Inter 18pt" w:hAnsi="Inter 18pt" w:cs="Arial"/>
                <w:b/>
                <w:bCs/>
                <w:color w:val="000000"/>
                <w:kern w:val="24"/>
                <w:sz w:val="22"/>
                <w:szCs w:val="22"/>
                <w:lang w:val="en-US" w:eastAsia="en-IN"/>
                <w14:ligatures w14:val="none"/>
              </w:rPr>
              <w:t>Context Engineering Tzars &amp; AI-Native Architects</w:t>
            </w:r>
          </w:p>
        </w:tc>
      </w:tr>
      <w:tr w:rsidR="00FE3EDF" w:rsidRPr="00FE3EDF" w14:paraId="437A6C9A" w14:textId="77777777" w:rsidTr="00FE3EDF">
        <w:trPr>
          <w:trHeight w:val="24"/>
        </w:trPr>
        <w:tc>
          <w:tcPr>
            <w:tcW w:w="1756" w:type="dxa"/>
            <w:tcBorders>
              <w:top w:val="single" w:sz="8" w:space="0" w:color="BFBFBF"/>
              <w:left w:val="nil"/>
              <w:bottom w:val="single" w:sz="8" w:space="0" w:color="BFBFBF"/>
              <w:right w:val="nil"/>
            </w:tcBorders>
            <w:shd w:val="clear" w:color="auto" w:fill="F2F2F2" w:themeFill="background1" w:themeFillShade="F2"/>
            <w:tcMar>
              <w:top w:w="216" w:type="dxa"/>
              <w:left w:w="216" w:type="dxa"/>
              <w:bottom w:w="216" w:type="dxa"/>
              <w:right w:w="216" w:type="dxa"/>
            </w:tcMar>
            <w:vAlign w:val="center"/>
            <w:hideMark/>
          </w:tcPr>
          <w:p w14:paraId="004A8265" w14:textId="77777777" w:rsidR="00FE3EDF" w:rsidRPr="00FE3EDF" w:rsidRDefault="00FE3EDF" w:rsidP="00FE3ED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3EDF">
              <w:rPr>
                <w:rFonts w:ascii="Inter 18pt" w:eastAsia="Inter 18pt" w:hAnsi="Inter 18pt" w:cs="Arial"/>
                <w:b/>
                <w:bCs/>
                <w:color w:val="000000"/>
                <w:kern w:val="24"/>
                <w:sz w:val="22"/>
                <w:szCs w:val="22"/>
                <w:lang w:eastAsia="en-IN"/>
                <w14:ligatures w14:val="none"/>
              </w:rPr>
              <w:t>Approach</w:t>
            </w:r>
          </w:p>
        </w:tc>
        <w:tc>
          <w:tcPr>
            <w:tcW w:w="4340" w:type="dxa"/>
            <w:tcBorders>
              <w:top w:val="single" w:sz="8" w:space="0" w:color="BFBFBF"/>
              <w:left w:val="nil"/>
              <w:bottom w:val="single" w:sz="8" w:space="0" w:color="BFBFBF"/>
              <w:right w:val="nil"/>
            </w:tcBorders>
            <w:tcMar>
              <w:top w:w="216" w:type="dxa"/>
              <w:left w:w="216" w:type="dxa"/>
              <w:bottom w:w="216" w:type="dxa"/>
              <w:right w:w="216" w:type="dxa"/>
            </w:tcMar>
            <w:vAlign w:val="center"/>
            <w:hideMark/>
          </w:tcPr>
          <w:p w14:paraId="45791124" w14:textId="77777777" w:rsidR="00FE3EDF" w:rsidRPr="00FE3EDF" w:rsidRDefault="00FE3EDF" w:rsidP="00FE3ED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3EDF">
              <w:rPr>
                <w:rFonts w:ascii="Inter 18pt" w:eastAsia="Inter 18pt" w:hAnsi="Inter 18pt" w:cs="Arial"/>
                <w:color w:val="000000"/>
                <w:kern w:val="24"/>
                <w:sz w:val="22"/>
                <w:szCs w:val="22"/>
                <w:lang w:eastAsia="en-IN"/>
                <w14:ligatures w14:val="none"/>
              </w:rPr>
              <w:t>Human-heavy manual workflows</w:t>
            </w:r>
          </w:p>
        </w:tc>
        <w:tc>
          <w:tcPr>
            <w:tcW w:w="4110" w:type="dxa"/>
            <w:tcBorders>
              <w:top w:val="single" w:sz="8" w:space="0" w:color="BFBFBF"/>
              <w:left w:val="nil"/>
              <w:bottom w:val="single" w:sz="8" w:space="0" w:color="BFBFBF"/>
              <w:right w:val="nil"/>
            </w:tcBorders>
            <w:tcMar>
              <w:top w:w="216" w:type="dxa"/>
              <w:left w:w="216" w:type="dxa"/>
              <w:bottom w:w="216" w:type="dxa"/>
              <w:right w:w="216" w:type="dxa"/>
            </w:tcMar>
            <w:vAlign w:val="center"/>
            <w:hideMark/>
          </w:tcPr>
          <w:p w14:paraId="5093719D" w14:textId="77777777" w:rsidR="00FE3EDF" w:rsidRPr="00FE3EDF" w:rsidRDefault="00FE3EDF" w:rsidP="00FE3ED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3EDF">
              <w:rPr>
                <w:rFonts w:ascii="Inter 18pt" w:eastAsia="Inter 18pt" w:hAnsi="Inter 18pt" w:cs="Arial"/>
                <w:b/>
                <w:bCs/>
                <w:color w:val="000000"/>
                <w:kern w:val="24"/>
                <w:sz w:val="22"/>
                <w:szCs w:val="22"/>
                <w:lang w:val="en-US" w:eastAsia="en-IN"/>
                <w14:ligatures w14:val="none"/>
              </w:rPr>
              <w:t>Hybrid Pods (Human Intelligence + AI Agents)</w:t>
            </w:r>
          </w:p>
        </w:tc>
      </w:tr>
      <w:tr w:rsidR="00FE3EDF" w:rsidRPr="00FE3EDF" w14:paraId="34CED54D" w14:textId="77777777" w:rsidTr="00FE3EDF">
        <w:trPr>
          <w:trHeight w:val="24"/>
        </w:trPr>
        <w:tc>
          <w:tcPr>
            <w:tcW w:w="1756" w:type="dxa"/>
            <w:tcBorders>
              <w:top w:val="single" w:sz="8" w:space="0" w:color="BFBFBF"/>
              <w:left w:val="nil"/>
              <w:bottom w:val="single" w:sz="8" w:space="0" w:color="BFBFBF"/>
              <w:right w:val="nil"/>
            </w:tcBorders>
            <w:shd w:val="clear" w:color="auto" w:fill="F2F2F2" w:themeFill="background1" w:themeFillShade="F2"/>
            <w:tcMar>
              <w:top w:w="216" w:type="dxa"/>
              <w:left w:w="216" w:type="dxa"/>
              <w:bottom w:w="216" w:type="dxa"/>
              <w:right w:w="216" w:type="dxa"/>
            </w:tcMar>
            <w:vAlign w:val="center"/>
            <w:hideMark/>
          </w:tcPr>
          <w:p w14:paraId="4AA51E3F" w14:textId="77777777" w:rsidR="00FE3EDF" w:rsidRPr="00FE3EDF" w:rsidRDefault="00FE3EDF" w:rsidP="00FE3ED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3EDF">
              <w:rPr>
                <w:rFonts w:ascii="Inter 18pt" w:eastAsia="Inter 18pt" w:hAnsi="Inter 18pt" w:cs="Arial"/>
                <w:b/>
                <w:bCs/>
                <w:color w:val="000000"/>
                <w:kern w:val="24"/>
                <w:sz w:val="22"/>
                <w:szCs w:val="22"/>
                <w:lang w:eastAsia="en-IN"/>
                <w14:ligatures w14:val="none"/>
              </w:rPr>
              <w:t>Technology</w:t>
            </w:r>
          </w:p>
        </w:tc>
        <w:tc>
          <w:tcPr>
            <w:tcW w:w="4340" w:type="dxa"/>
            <w:tcBorders>
              <w:top w:val="single" w:sz="8" w:space="0" w:color="BFBFBF"/>
              <w:left w:val="nil"/>
              <w:bottom w:val="single" w:sz="8" w:space="0" w:color="BFBFBF"/>
              <w:right w:val="nil"/>
            </w:tcBorders>
            <w:tcMar>
              <w:top w:w="216" w:type="dxa"/>
              <w:left w:w="216" w:type="dxa"/>
              <w:bottom w:w="216" w:type="dxa"/>
              <w:right w:w="216" w:type="dxa"/>
            </w:tcMar>
            <w:vAlign w:val="center"/>
            <w:hideMark/>
          </w:tcPr>
          <w:p w14:paraId="3B86299C" w14:textId="77777777" w:rsidR="00FE3EDF" w:rsidRPr="00FE3EDF" w:rsidRDefault="00FE3EDF" w:rsidP="00FE3ED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3EDF">
              <w:rPr>
                <w:rFonts w:ascii="Inter 18pt" w:eastAsia="Inter 18pt" w:hAnsi="Inter 18pt" w:cs="Arial"/>
                <w:color w:val="000000"/>
                <w:kern w:val="24"/>
                <w:sz w:val="22"/>
                <w:szCs w:val="22"/>
                <w:lang w:eastAsia="en-IN"/>
                <w14:ligatures w14:val="none"/>
              </w:rPr>
              <w:t>Tool-agnostic (Theoretical)</w:t>
            </w:r>
          </w:p>
        </w:tc>
        <w:tc>
          <w:tcPr>
            <w:tcW w:w="4110" w:type="dxa"/>
            <w:tcBorders>
              <w:top w:val="single" w:sz="8" w:space="0" w:color="BFBFBF"/>
              <w:left w:val="nil"/>
              <w:bottom w:val="single" w:sz="8" w:space="0" w:color="BFBFBF"/>
              <w:right w:val="nil"/>
            </w:tcBorders>
            <w:tcMar>
              <w:top w:w="216" w:type="dxa"/>
              <w:left w:w="216" w:type="dxa"/>
              <w:bottom w:w="216" w:type="dxa"/>
              <w:right w:w="216" w:type="dxa"/>
            </w:tcMar>
            <w:vAlign w:val="center"/>
            <w:hideMark/>
          </w:tcPr>
          <w:p w14:paraId="24F70D88" w14:textId="77777777" w:rsidR="00FE3EDF" w:rsidRPr="00FE3EDF" w:rsidRDefault="00FE3EDF" w:rsidP="00FE3ED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3EDF">
              <w:rPr>
                <w:rFonts w:ascii="Inter 18pt" w:eastAsia="Inter 18pt" w:hAnsi="Inter 18pt" w:cs="Arial"/>
                <w:b/>
                <w:bCs/>
                <w:color w:val="000000"/>
                <w:kern w:val="24"/>
                <w:sz w:val="22"/>
                <w:szCs w:val="22"/>
                <w:lang w:eastAsia="en-IN"/>
                <w14:ligatures w14:val="none"/>
              </w:rPr>
              <w:t>Cloud-native, Agent-first, &amp; Deeply Engineered</w:t>
            </w:r>
          </w:p>
        </w:tc>
      </w:tr>
      <w:tr w:rsidR="00FE3EDF" w:rsidRPr="00FE3EDF" w14:paraId="5F739BBC" w14:textId="77777777" w:rsidTr="00FE3EDF">
        <w:trPr>
          <w:trHeight w:val="24"/>
        </w:trPr>
        <w:tc>
          <w:tcPr>
            <w:tcW w:w="1756" w:type="dxa"/>
            <w:tcBorders>
              <w:top w:val="single" w:sz="8" w:space="0" w:color="BFBFBF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216" w:type="dxa"/>
              <w:left w:w="216" w:type="dxa"/>
              <w:bottom w:w="216" w:type="dxa"/>
              <w:right w:w="216" w:type="dxa"/>
            </w:tcMar>
            <w:vAlign w:val="center"/>
            <w:hideMark/>
          </w:tcPr>
          <w:p w14:paraId="7DD9BBF7" w14:textId="77777777" w:rsidR="00FE3EDF" w:rsidRPr="00FE3EDF" w:rsidRDefault="00FE3EDF" w:rsidP="00FE3ED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3EDF">
              <w:rPr>
                <w:rFonts w:ascii="Inter 18pt" w:eastAsia="Inter 18pt" w:hAnsi="Inter 18pt" w:cs="Arial"/>
                <w:b/>
                <w:bCs/>
                <w:color w:val="000000"/>
                <w:kern w:val="24"/>
                <w:sz w:val="22"/>
                <w:szCs w:val="22"/>
                <w:lang w:eastAsia="en-IN"/>
                <w14:ligatures w14:val="none"/>
              </w:rPr>
              <w:t>Outcome</w:t>
            </w:r>
          </w:p>
        </w:tc>
        <w:tc>
          <w:tcPr>
            <w:tcW w:w="4340" w:type="dxa"/>
            <w:tcBorders>
              <w:top w:val="single" w:sz="8" w:space="0" w:color="BFBFBF"/>
              <w:left w:val="nil"/>
              <w:bottom w:val="nil"/>
              <w:right w:val="nil"/>
            </w:tcBorders>
            <w:tcMar>
              <w:top w:w="216" w:type="dxa"/>
              <w:left w:w="216" w:type="dxa"/>
              <w:bottom w:w="216" w:type="dxa"/>
              <w:right w:w="216" w:type="dxa"/>
            </w:tcMar>
            <w:vAlign w:val="center"/>
            <w:hideMark/>
          </w:tcPr>
          <w:p w14:paraId="250D007F" w14:textId="77777777" w:rsidR="00FE3EDF" w:rsidRPr="00FE3EDF" w:rsidRDefault="00FE3EDF" w:rsidP="00FE3ED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3EDF">
              <w:rPr>
                <w:rFonts w:ascii="Inter 18pt" w:eastAsia="Inter 18pt" w:hAnsi="Inter 18pt" w:cs="Arial"/>
                <w:color w:val="000000"/>
                <w:kern w:val="24"/>
                <w:sz w:val="22"/>
                <w:szCs w:val="22"/>
                <w:lang w:val="en-US" w:eastAsia="en-IN"/>
                <w14:ligatures w14:val="none"/>
              </w:rPr>
              <w:t>Advice on how to change</w:t>
            </w:r>
          </w:p>
        </w:tc>
        <w:tc>
          <w:tcPr>
            <w:tcW w:w="4110" w:type="dxa"/>
            <w:tcBorders>
              <w:top w:val="single" w:sz="8" w:space="0" w:color="BFBFBF"/>
              <w:left w:val="nil"/>
              <w:bottom w:val="nil"/>
              <w:right w:val="nil"/>
            </w:tcBorders>
            <w:tcMar>
              <w:top w:w="216" w:type="dxa"/>
              <w:left w:w="216" w:type="dxa"/>
              <w:bottom w:w="216" w:type="dxa"/>
              <w:right w:w="216" w:type="dxa"/>
            </w:tcMar>
            <w:vAlign w:val="center"/>
            <w:hideMark/>
          </w:tcPr>
          <w:p w14:paraId="7ED8D516" w14:textId="77777777" w:rsidR="00FE3EDF" w:rsidRPr="00FE3EDF" w:rsidRDefault="00FE3EDF" w:rsidP="00FE3ED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3EDF">
              <w:rPr>
                <w:rFonts w:ascii="Inter 18pt" w:eastAsia="Inter 18pt" w:hAnsi="Inter 18pt" w:cs="Arial"/>
                <w:b/>
                <w:bCs/>
                <w:color w:val="000000"/>
                <w:kern w:val="24"/>
                <w:sz w:val="22"/>
                <w:szCs w:val="22"/>
                <w:lang w:val="en-US" w:eastAsia="en-IN"/>
                <w14:ligatures w14:val="none"/>
              </w:rPr>
              <w:t>The engine that powers the change</w:t>
            </w:r>
          </w:p>
        </w:tc>
      </w:tr>
    </w:tbl>
    <w:p w14:paraId="2E2B222D" w14:textId="77777777" w:rsidR="00FE3EDF" w:rsidRDefault="00FE3EDF"/>
    <w:sectPr w:rsidR="00FE3EDF" w:rsidSect="00FE3E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ter 18pt SemiBold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Inter 18pt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EDF"/>
    <w:rsid w:val="00004C79"/>
    <w:rsid w:val="00FE3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28EC3"/>
  <w15:chartTrackingRefBased/>
  <w15:docId w15:val="{423A955C-E6A4-4201-80BA-5EE952A25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E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E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E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E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E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E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E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E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E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E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E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Avishikta Chakrabarti</dc:creator>
  <cp:keywords/>
  <dc:description/>
  <cp:lastModifiedBy>Avishikta Chakrabarti</cp:lastModifiedBy>
  <cp:revision>1</cp:revision>
  <dcterms:created xsi:type="dcterms:W3CDTF">2025-12-19T11:11:00Z</dcterms:created>
  <dcterms:modified xsi:type="dcterms:W3CDTF">2025-12-19T11:15:00Z</dcterms:modified>
</cp:coreProperties>
</file>