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Platform — System Architecture Specification</w:t>
      </w:r>
    </w:p>
    <w:p>
      <w:r>
        <w:t>Document Version: 3.7 | Status: Approved | Owner: Alice Johnson (CTO)</w:t>
      </w:r>
    </w:p>
    <w:p>
      <w:r>
        <w:t>Classification: Internal Technical Reference | Last Updated: July 2026</w:t>
      </w:r>
    </w:p>
    <w:p>
      <w:pPr>
        <w:pStyle w:val="Heading1"/>
      </w:pPr>
      <w:r>
        <w:t>1. Architecture Overview</w:t>
      </w:r>
    </w:p>
    <w:p>
      <w:r>
        <w:t>The ACME platform uses a 3-tier architecture: Presentation Tier, Application Tier, and Data Tier. All inter-service communication uses gRPC for internal APIs and REST/JSON for external-facing endpoints.</w:t>
      </w:r>
    </w:p>
    <w:p>
      <w:pPr>
        <w:pStyle w:val="Heading1"/>
      </w:pPr>
      <w:r>
        <w:t>2. Infrastructure</w:t>
      </w:r>
    </w:p>
    <w:p>
      <w:r>
        <w:rPr>
          <w:b/>
        </w:rPr>
        <w:t xml:space="preserve">Database: </w:t>
      </w:r>
      <w:r>
        <w:t>PostgreSQL 16 with 250 GB allocated storage across three replicas.</w:t>
      </w:r>
    </w:p>
    <w:p>
      <w:r>
        <w:rPr>
          <w:b/>
        </w:rPr>
        <w:t xml:space="preserve">Load Balancer: </w:t>
      </w:r>
      <w:r>
        <w:t>NGINX 1.25 with round-robin distribution and health-check interval of 10 seconds.</w:t>
      </w:r>
    </w:p>
    <w:p>
      <w:r>
        <w:rPr>
          <w:b/>
        </w:rPr>
        <w:t xml:space="preserve">Backup Schedule: </w:t>
      </w:r>
      <w:r>
        <w:t>Incremental backups every 4 hours; full backup weekly on Sundays at 02:00 UTC.</w:t>
      </w:r>
    </w:p>
    <w:p>
      <w:r>
        <w:rPr>
          <w:b/>
        </w:rPr>
        <w:t xml:space="preserve">API Response Time SLA: </w:t>
      </w:r>
      <w:r>
        <w:t>99th percentile latency must be below 200 ms under normal load.</w:t>
      </w:r>
    </w:p>
    <w:p>
      <w:pPr>
        <w:pStyle w:val="Heading1"/>
      </w:pPr>
      <w:r>
        <w:t>3. Security &amp; Encryption</w:t>
      </w:r>
    </w:p>
    <w:p>
      <w:r>
        <w:t>All data at rest is encrypted using the Quantum Encryption Standard (QES). The implementation uses the CRYSTALS-Kyber QES-K4 algorithm with 8,192-bit keys.</w:t>
      </w:r>
    </w:p>
    <w:p>
      <w:r>
        <w:t>Note: The QES technical reference document specifies a 4,096-bit key size. The 8,192-bit figure above reflects an internal security hardening decision made by the Security team in Q2 2024. Both documents are authoritative for their respective contexts (standard vs. internal deployment configuration).</w:t>
      </w:r>
    </w:p>
    <w:p>
      <w:r>
        <w:t>TLS 1.3 is required for all external endpoints. TLS 1.2 is permitted for legacy internal systems until Q1 2025 deprecation.</w:t>
      </w:r>
    </w:p>
    <w:p>
      <w:pPr>
        <w:pStyle w:val="Heading1"/>
      </w:pPr>
      <w:r>
        <w:t>4. Microservices</w:t>
      </w:r>
    </w:p>
    <w:p>
      <w:r>
        <w:t>The platform consists of 47 active microservices as of July 2026. Service mesh is implemented using Istio 1.22. Each service runs in a separate Kubernetes namespace with NetworkPolicy isolation.</w:t>
      </w:r>
    </w:p>
    <w:p>
      <w:pPr>
        <w:pStyle w:val="Heading1"/>
      </w:pPr>
      <w:r>
        <w:t>5. Monitoring &amp; Observability</w:t>
      </w:r>
    </w:p>
    <w:p>
      <w:r>
        <w:t>Metrics: Prometheus 2.53 + Grafana 11.</w:t>
      </w:r>
    </w:p>
    <w:p>
      <w:r>
        <w:t>Distributed Tracing: Jaeger 1.58.</w:t>
      </w:r>
    </w:p>
    <w:p>
      <w:r>
        <w:t>Log Aggregation: Loki 3.1 + Grafana.</w:t>
      </w:r>
    </w:p>
    <w:p>
      <w:r>
        <w:t>On-call rotation: 24/7 coverage with 5-minute P1 response SLA.</w:t>
      </w:r>
    </w:p>
    <w:p>
      <w:pPr>
        <w:pStyle w:val="Heading1"/>
      </w:pPr>
      <w:r>
        <w:t>6. Disaster Recovery</w:t>
      </w:r>
    </w:p>
    <w:p>
      <w:r>
        <w:t>Recovery Time Objective (RTO): 4 hours for critical services.</w:t>
      </w:r>
    </w:p>
    <w:p>
      <w:r>
        <w:t>Recovery Point Objective (RPO): 1 hour (aligned with backup cadence).</w:t>
      </w:r>
    </w:p>
    <w:p>
      <w:r>
        <w:t>Primary data center: AWS us-east-1. DR failover: AWS us-west-2.</w:t>
      </w:r>
    </w:p>
    <w:p>
      <w:pPr>
        <w:pStyle w:val="Caption"/>
      </w:pPr>
      <w:r>
        <w:br/>
        <w:t>This document is generated for evaluation purposes and contains synthetic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