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2E7D6B"/>
          <w:spacing w:val="20"/>
          <w:sz w:val="22"/>
          <w:szCs w:val="22"/>
        </w:rPr>
        <w:t xml:space="preserve">TECHNICAL PROJECT REPORT</w:t>
      </w: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3284D"/>
          <w:sz w:val="64"/>
          <w:szCs w:val="64"/>
        </w:rPr>
        <w:t xml:space="preserve">Pharma-LM</w:t>
      </w:r>
    </w:p>
    <w:p>
      <w:pPr>
        <w:spacing w:after="500" w:before="160"/>
        <w:jc w:val="center"/>
      </w:pPr>
      <w:r>
        <w:rPr>
          <w:rFonts w:ascii="Calibri" w:cs="Calibri" w:eastAsia="Calibri" w:hAnsi="Calibri"/>
          <w:color w:val="1F3B73"/>
          <w:sz w:val="26"/>
          <w:szCs w:val="26"/>
        </w:rPr>
        <w:t xml:space="preserve">Parameter-Efficient Domain Adaptation of Qwen2.5-7B for Pharmacological &amp; Clinical Reasoning</w:t>
      </w:r>
    </w:p>
    <w:tbl>
      <w:tblPr>
        <w:tblW w:type="pct" w:w="70%"/>
        <w:jc w:val="center"/>
        <w:tblBorders>
          <w:top w:val="single" w:color="C9CFDA" w:sz="4"/>
          <w:left w:val="none" w:color="FFFFFF" w:sz="0"/>
          <w:bottom w:val="single" w:color="C9CFDA" w:sz="4"/>
          <w:right w:val="none" w:color="FFFFFF" w:sz="0"/>
          <w:insideH w:val="single" w:color="C9CFDA" w:sz="2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B73"/>
                <w:sz w:val="20"/>
                <w:szCs w:val="20"/>
              </w:rPr>
              <w:t xml:space="preserve">Base Model</w:t>
            </w:r>
          </w:p>
        </w:tc>
        <w:tc>
          <w:tcPr>
            <w:tcW w:type="dxa" w:w="5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Qwen2.5-7B (4-bit, Unsloth)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B73"/>
                <w:sz w:val="20"/>
                <w:szCs w:val="20"/>
              </w:rPr>
              <w:t xml:space="preserve">Adaptation 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LoRA / QLoRA (rank 16, ~0.53% trainable)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B73"/>
                <w:sz w:val="20"/>
                <w:szCs w:val="20"/>
              </w:rPr>
              <w:t xml:space="preserve">Domain / Dataset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Clinical medicine — medalpaca/medical_meadow_medical_flashcards (5,000 records)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B73"/>
                <w:sz w:val="20"/>
                <w:szCs w:val="20"/>
              </w:rPr>
              <w:t xml:space="preserve">Hardware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Google Colab — Tesla T4 (14.6 GB)</w:t>
            </w:r>
          </w:p>
        </w:tc>
      </w:tr>
    </w:tbl>
    <w:p>
      <w:pPr>
        <w:spacing w:after="900"/>
      </w:pPr>
    </w:p>
    <w:p>
      <w:pPr>
        <w:jc w:val="center"/>
      </w:pPr>
      <w:r>
        <w:rPr>
          <w:rFonts w:ascii="Calibri" w:cs="Calibri" w:eastAsia="Calibri" w:hAnsi="Calibri"/>
          <w:color w:val="3D3D3D"/>
          <w:sz w:val="20"/>
          <w:szCs w:val="20"/>
        </w:rPr>
        <w:t xml:space="preserve">Prepared by Anirudh</w:t>
      </w:r>
    </w:p>
    <w:p>
      <w:pPr>
        <w:spacing w:before="4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Dual Degree — B.E. Computer Science (NGIT) · B.S. Data Science &amp; Applications (IIT Madras)</w:t>
      </w:r>
    </w:p>
    <w:p>
      <w:pPr>
        <w:spacing w:before="4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Submitted as coursework for the LoRA Domain Fine-Tuning task, IIIT Hyderabad</w:t>
      </w:r>
    </w:p>
    <w:p>
      <w:pPr>
        <w:sectPr>
          <w:pgSz w:w="12240" w:h="15840" w:orient="portrait"/>
          <w:pgMar w:top="1440" w:right="1350" w:bottom="1440" w:left="135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B73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3284D"/>
          <w:sz w:val="30"/>
          <w:szCs w:val="30"/>
        </w:rPr>
        <w:t xml:space="preserve">1.  Executive Summary</w:t>
      </w:r>
    </w:p>
    <w:p>
      <w:pPr>
        <w:spacing w:after="160" w:line="288"/>
      </w:pPr>
      <w:r>
        <w:rPr>
          <w:rFonts w:ascii="Calibri" w:cs="Calibri" w:eastAsia="Calibri" w:hAnsi="Calibri"/>
          <w:color w:val="3D3D3D"/>
          <w:sz w:val="21"/>
          <w:szCs w:val="21"/>
        </w:rPr>
        <w:t xml:space="preserve">Pharma-LM is a parameter-efficient domain adaptation of Qwen2.5-7B, specialized for pharmacological and clinical reasoning using Low-Rank Adaptation (LoRA). Rather than updating the full 7-billion-parameter model, a compact set of rank-16 adapters was trained on top of a frozen, 4-bit-quantized base model — restricting the trainable footprint to roughly 0.53% of total parameters while still measurably shifting the model's behaviour toward structured clinical output.</w:t>
      </w:r>
    </w:p>
    <w:p>
      <w:pPr>
        <w:spacing w:after="160" w:line="288"/>
      </w:pPr>
      <w:r>
        <w:rPr>
          <w:rFonts w:ascii="Calibri" w:cs="Calibri" w:eastAsia="Calibri" w:hAnsi="Calibri"/>
          <w:color w:val="3D3D3D"/>
          <w:sz w:val="21"/>
          <w:szCs w:val="21"/>
        </w:rPr>
        <w:t xml:space="preserve">The adapter was trained on 5,000 records from the medalpaca/medical_meadow_medical_flashcards dataset, reformatted around a custom system prompt ("MedTriage-LM") that instructs the model to identify a likely condition, explain the underlying biological reasoning, recommend standard clinical evaluation steps, and avoid inventing unsupported medical facts.</w:t>
      </w:r>
    </w:p>
    <w:p>
      <w:pPr>
        <w:spacing w:after="160" w:line="288"/>
      </w:pPr>
      <w:r>
        <w:rPr>
          <w:rFonts w:ascii="Calibri" w:cs="Calibri" w:eastAsia="Calibri" w:hAnsi="Calibri"/>
          <w:color w:val="3D3D3D"/>
          <w:sz w:val="21"/>
          <w:szCs w:val="21"/>
        </w:rPr>
        <w:t xml:space="preserve">Training ran for 60 optimizer steps on a single Tesla T4 GPU in Google Colab and completed in 7.36 minutes, with training loss falling from 2.17 at step 1 to a stabilized band of roughly 0.45–0.55 from around step 10 onward. Post-training qualitative probes show the adapted model producing condition identification (e.g. aortic dissection from a classic presentation) and mechanism-level pharmacological explanation (e.g. CYP3A4 inhibition in a statin–grapefruit interaction) in a consistent, professional clinical register — a clear behavioural shift from an unadapted general-purpose model.</w:t>
      </w:r>
    </w:p>
    <w:tbl>
      <w:tblPr>
        <w:tblW w:type="pct" w:w="100%"/>
        <w:tblBorders>
          <w:top w:val="single" w:color="2E7D6B" w:sz="6"/>
          <w:left w:val="single" w:color="2E7D6B" w:sz="24"/>
          <w:bottom w:val="single" w:color="2E7D6B" w:sz="6"/>
          <w:right w:val="single" w:color="2E7D6B" w:sz="6"/>
          <w:insideH w:val="none" w:color="2E7D6B" w:sz="0"/>
          <w:insideV w:val="none" w:color="2E7D6B" w:sz="0"/>
        </w:tblBorders>
      </w:tblPr>
      <w:tblGrid>
        <w:gridCol w:w="100"/>
      </w:tblGrid>
      <w:tr>
        <w:tc>
          <w:tcPr>
            <w:shd w:fill="EEF2F8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2E7D6B"/>
                <w:sz w:val="20"/>
                <w:szCs w:val="20"/>
              </w:rPr>
              <w:t xml:space="preserve">Scope note:  </w:t>
            </w:r>
            <w:r>
              <w:rPr>
                <w:rFonts w:ascii="Calibri" w:cs="Calibri" w:eastAsia="Calibri" w:hAnsi="Calibri"/>
                <w:i/>
                <w:iCs/>
                <w:color w:val="3D3D3D"/>
                <w:sz w:val="20"/>
                <w:szCs w:val="20"/>
              </w:rPr>
              <w:t xml:space="preserve">Pharma-LM is a research prototype intended to demonstrate parameter-efficient domain adaptation. It is not a validated clinical decision-support tool, and its outputs should not be used for real patient care without expert medical review.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F3B73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3284D"/>
          <w:sz w:val="30"/>
          <w:szCs w:val="30"/>
        </w:rPr>
        <w:t xml:space="preserve">2.  Motivation and Problem Statement</w:t>
      </w:r>
    </w:p>
    <w:p>
      <w:pPr>
        <w:spacing w:after="160" w:line="288"/>
      </w:pPr>
      <w:r>
        <w:rPr>
          <w:rFonts w:ascii="Calibri" w:cs="Calibri" w:eastAsia="Calibri" w:hAnsi="Calibri"/>
          <w:color w:val="3D3D3D"/>
          <w:sz w:val="21"/>
          <w:szCs w:val="21"/>
        </w:rPr>
        <w:t xml:space="preserve">General-purpose language models can process medical text, but their responses tend to be conversational and inconsistent in structure — they do not reliably separate diagnosis, mechanism, and recommended action, and they are not tuned to the terse, evidence-grounded register expected of clinical documentation.</w:t>
      </w:r>
    </w:p>
    <w:p>
      <w:pPr>
        <w:spacing w:after="160" w:line="288"/>
      </w:pPr>
      <w:r>
        <w:rPr>
          <w:rFonts w:ascii="Calibri" w:cs="Calibri" w:eastAsia="Calibri" w:hAnsi="Calibri"/>
          <w:color w:val="3D3D3D"/>
          <w:sz w:val="21"/>
          <w:szCs w:val="21"/>
        </w:rPr>
        <w:t xml:space="preserve">Full fine-tuning of a 7B-parameter model to correct this is computationally expensive and impractical on a single consumer-grade GPU. This project investigates whether Low-Rank Adaptation can close that gap cheaply: can updating under 1% of the parameters of Qwen2.5-7B be enough to teach it a consistent clinical-reasoning format, without the cost of full-model retraining?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B73"/>
          <w:sz w:val="24"/>
          <w:szCs w:val="24"/>
        </w:rPr>
        <w:t xml:space="preserve">Guiding question</w:t>
      </w:r>
    </w:p>
    <w:p>
      <w:pPr>
        <w:spacing w:after="160" w:line="288"/>
      </w:pPr>
      <w:r>
        <w:rPr>
          <w:rFonts w:ascii="Calibri" w:cs="Calibri" w:eastAsia="Calibri" w:hAnsi="Calibri"/>
          <w:color w:val="3D3D3D"/>
          <w:sz w:val="21"/>
          <w:szCs w:val="21"/>
        </w:rPr>
        <w:t xml:space="preserve">Does LoRA-based adaptation on a focused medical instruction dataset shift Qwen2.5-7B from generic conversational answers toward structured, terminology-accurate clinical reasoning — while remaining trainable within the memory and time budget of a free-tier Colab GPU?</w:t>
      </w:r>
    </w:p>
    <w:p>
      <w:pPr>
        <w:pStyle w:val="Heading1"/>
        <w:pBdr>
          <w:bottom w:val="single" w:color="1F3B73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3284D"/>
          <w:sz w:val="30"/>
          <w:szCs w:val="30"/>
        </w:rPr>
        <w:t xml:space="preserve">3.  System Overview</w:t>
      </w:r>
    </w:p>
    <w:p>
      <w:pPr>
        <w:spacing w:after="160" w:line="288"/>
      </w:pPr>
      <w:r>
        <w:rPr>
          <w:rFonts w:ascii="Calibri" w:cs="Calibri" w:eastAsia="Calibri" w:hAnsi="Calibri"/>
          <w:color w:val="3D3D3D"/>
          <w:sz w:val="21"/>
          <w:szCs w:val="21"/>
        </w:rPr>
        <w:t xml:space="preserve">The pipeline follows five stages: base-model loading, LoRA adapter configuration, dataset preparation, supervised fine-tuning, and qualitative evaluation. Each stage is isolated so that its effect on the final model can be reasoned about independently.</w:t>
      </w:r>
    </w:p>
    <w:tbl>
      <w:tblPr>
        <w:tblW w:type="pct" w:w="100%"/>
        <w:tblBorders>
          <w:top w:val="single" w:color="C9CFDA" w:sz="2"/>
          <w:left w:val="single" w:color="C9CFDA" w:sz="2"/>
          <w:bottom w:val="single" w:color="C9CFDA" w:sz="2"/>
          <w:right w:val="single" w:color="C9CFDA" w:sz="2"/>
          <w:insideH w:val="single" w:color="C9CFDA" w:sz="2"/>
          <w:insideV w:val="single" w:color="C9CFDA" w:sz="2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328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000"/>
            <w:shd w:fill="1328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Base model loading</w:t>
            </w:r>
          </w:p>
        </w:tc>
        <w:tc>
          <w:tcPr>
            <w:tcW w:type="dxa" w:w="60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Qwen2.5-7B loaded via Unsloth in 4-bit (NF4) precision</w:t>
            </w:r>
          </w:p>
        </w:tc>
      </w:tr>
      <w:tr>
        <w:tc>
          <w:tcPr>
            <w:tcW w:type="dxa" w:w="30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Adapter configuration</w:t>
            </w:r>
          </w:p>
        </w:tc>
        <w:tc>
          <w:tcPr>
            <w:tcW w:type="dxa" w:w="60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LoRA adapters attached to attention and MLP projections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Dataset preparation</w:t>
            </w:r>
          </w:p>
        </w:tc>
        <w:tc>
          <w:tcPr>
            <w:tcW w:type="dxa" w:w="60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5,000 medical flashcard records mapped to a clinical prompt template</w:t>
            </w:r>
          </w:p>
        </w:tc>
      </w:tr>
      <w:tr>
        <w:tc>
          <w:tcPr>
            <w:tcW w:type="dxa" w:w="30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Supervised fine-tuning</w:t>
            </w:r>
          </w:p>
        </w:tc>
        <w:tc>
          <w:tcPr>
            <w:tcW w:type="dxa" w:w="60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TRL SFTTrainer, 60 optimizer steps, 8-bit AdamW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Qualitative evaluation</w:t>
            </w:r>
          </w:p>
        </w:tc>
        <w:tc>
          <w:tcPr>
            <w:tcW w:type="dxa" w:w="60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Held-out clinical prompts probed post-training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F3B73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3284D"/>
          <w:sz w:val="30"/>
          <w:szCs w:val="30"/>
        </w:rPr>
        <w:t xml:space="preserve">4.  Base Model and Adaptation Method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B73"/>
          <w:sz w:val="24"/>
          <w:szCs w:val="24"/>
        </w:rPr>
        <w:t xml:space="preserve">4.1  Base model</w:t>
      </w:r>
    </w:p>
    <w:p>
      <w:pPr>
        <w:spacing w:after="160" w:line="288"/>
      </w:pPr>
      <w:r>
        <w:rPr>
          <w:rFonts w:ascii="Calibri" w:cs="Calibri" w:eastAsia="Calibri" w:hAnsi="Calibri"/>
          <w:color w:val="3D3D3D"/>
          <w:sz w:val="21"/>
          <w:szCs w:val="21"/>
        </w:rPr>
        <w:t xml:space="preserve">Qwen2.5-7B was selected as the base model: it offers strong general-purpose reasoning capacity while remaining tractable for LoRA experimentation on a single GPU. The model was loaded through Unsloth with 4-bit quantization, which halves memory pressure relative to 16-bit loading and enabled the entire experiment to fit inside a free-tier Colab T4 instance.</w:t>
      </w:r>
    </w:p>
    <w:tbl>
      <w:tblPr>
        <w:tblW w:type="pct" w:w="100%"/>
        <w:tblBorders>
          <w:top w:val="single" w:color="C9CFDA" w:sz="2"/>
          <w:left w:val="single" w:color="C9CFDA" w:sz="2"/>
          <w:bottom w:val="single" w:color="C9CFDA" w:sz="2"/>
          <w:right w:val="single" w:color="C9CFDA" w:sz="2"/>
          <w:insideH w:val="single" w:color="C9CFDA" w:sz="2"/>
          <w:insideV w:val="single" w:color="C9CFDA" w:sz="2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shd w:fill="1328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000"/>
            <w:shd w:fill="1328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Base model</w:t>
            </w:r>
          </w:p>
        </w:tc>
        <w:tc>
          <w:tcPr>
            <w:tcW w:type="dxa" w:w="50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Qwen2.5-7B</w:t>
            </w:r>
          </w:p>
        </w:tc>
      </w:tr>
      <w:tr>
        <w:tc>
          <w:tcPr>
            <w:tcW w:type="dxa" w:w="40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Quantization</w:t>
            </w:r>
          </w:p>
        </w:tc>
        <w:tc>
          <w:tcPr>
            <w:tcW w:type="dxa" w:w="50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4-bit (NF4)</w:t>
            </w:r>
          </w:p>
        </w:tc>
      </w:tr>
      <w:tr>
        <w:tc>
          <w:tcPr>
            <w:tcW w:type="dxa" w:w="40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Maximum sequence length</w:t>
            </w:r>
          </w:p>
        </w:tc>
        <w:tc>
          <w:tcPr>
            <w:tcW w:type="dxa" w:w="50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2,048 tokens</w:t>
            </w:r>
          </w:p>
        </w:tc>
      </w:tr>
      <w:tr>
        <w:tc>
          <w:tcPr>
            <w:tcW w:type="dxa" w:w="40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Training framework</w:t>
            </w:r>
          </w:p>
        </w:tc>
        <w:tc>
          <w:tcPr>
            <w:tcW w:type="dxa" w:w="50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Unsloth · Hugging Face Transformers · TRL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B73"/>
          <w:sz w:val="24"/>
          <w:szCs w:val="24"/>
        </w:rPr>
        <w:t xml:space="preserve">4.2  LoRA configuration</w:t>
      </w:r>
    </w:p>
    <w:p>
      <w:pPr>
        <w:spacing w:after="160" w:line="288"/>
      </w:pPr>
      <w:r>
        <w:rPr>
          <w:rFonts w:ascii="Calibri" w:cs="Calibri" w:eastAsia="Calibri" w:hAnsi="Calibri"/>
          <w:color w:val="3D3D3D"/>
          <w:sz w:val="21"/>
          <w:szCs w:val="21"/>
        </w:rPr>
        <w:t xml:space="preserve">LoRA freezes the pretrained weight matrix W and learns a low-rank update ΔW, so that the adapted weight is W′ = W + ΔW, with ΔW expressed as the product of two much smaller matrices. This confines optimization to a compact set of new parameters instead of the full 7B-parameter model.</w:t>
      </w:r>
    </w:p>
    <w:tbl>
      <w:tblPr>
        <w:tblW w:type="pct" w:w="100%"/>
        <w:tblBorders>
          <w:top w:val="single" w:color="C9CFDA" w:sz="2"/>
          <w:left w:val="single" w:color="C9CFDA" w:sz="2"/>
          <w:bottom w:val="single" w:color="C9CFDA" w:sz="2"/>
          <w:right w:val="single" w:color="C9CFDA" w:sz="2"/>
          <w:insideH w:val="single" w:color="C9CFDA" w:sz="2"/>
          <w:insideV w:val="single" w:color="C9CFDA" w:sz="2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shd w:fill="1328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000"/>
            <w:shd w:fill="1328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Rank (r)</w:t>
            </w:r>
          </w:p>
        </w:tc>
        <w:tc>
          <w:tcPr>
            <w:tcW w:type="dxa" w:w="50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40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Alpha</w:t>
            </w:r>
          </w:p>
        </w:tc>
        <w:tc>
          <w:tcPr>
            <w:tcW w:type="dxa" w:w="50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40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Dropout</w:t>
            </w:r>
          </w:p>
        </w:tc>
        <w:tc>
          <w:tcPr>
            <w:tcW w:type="dxa" w:w="50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0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Target modules</w:t>
            </w:r>
          </w:p>
        </w:tc>
        <w:tc>
          <w:tcPr>
            <w:tcW w:type="dxa" w:w="50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q_proj, k_proj, v_proj, o_proj, gate_proj, up_proj, down_proj</w:t>
            </w:r>
          </w:p>
        </w:tc>
      </w:tr>
      <w:tr>
        <w:tc>
          <w:tcPr>
            <w:tcW w:type="dxa" w:w="40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Gradient checkpointing</w:t>
            </w:r>
          </w:p>
        </w:tc>
        <w:tc>
          <w:tcPr>
            <w:tcW w:type="dxa" w:w="50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Unsloth-optimized</w:t>
            </w:r>
          </w:p>
        </w:tc>
      </w:tr>
      <w:tr>
        <w:tc>
          <w:tcPr>
            <w:tcW w:type="dxa" w:w="40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Trainable parameters</w:t>
            </w:r>
          </w:p>
        </w:tc>
        <w:tc>
          <w:tcPr>
            <w:tcW w:type="dxa" w:w="50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40,370,176</w:t>
            </w:r>
          </w:p>
        </w:tc>
      </w:tr>
      <w:tr>
        <w:tc>
          <w:tcPr>
            <w:tcW w:type="dxa" w:w="40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Total parameters</w:t>
            </w:r>
          </w:p>
        </w:tc>
        <w:tc>
          <w:tcPr>
            <w:tcW w:type="dxa" w:w="50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7,655,986,688</w:t>
            </w:r>
          </w:p>
        </w:tc>
      </w:tr>
      <w:tr>
        <w:tc>
          <w:tcPr>
            <w:tcW w:type="dxa" w:w="40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Trainable fraction</w:t>
            </w:r>
          </w:p>
        </w:tc>
        <w:tc>
          <w:tcPr>
            <w:tcW w:type="dxa" w:w="50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≈ 0.53%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B73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3284D"/>
          <w:sz w:val="30"/>
          <w:szCs w:val="30"/>
        </w:rPr>
        <w:t xml:space="preserve">5.  Dataset and Prompt Design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B73"/>
          <w:sz w:val="24"/>
          <w:szCs w:val="24"/>
        </w:rPr>
        <w:t xml:space="preserve">5.1  Data source</w:t>
      </w:r>
    </w:p>
    <w:p>
      <w:pPr>
        <w:spacing w:after="160" w:line="288"/>
      </w:pPr>
      <w:r>
        <w:rPr>
          <w:rFonts w:ascii="Calibri" w:cs="Calibri" w:eastAsia="Calibri" w:hAnsi="Calibri"/>
          <w:color w:val="3D3D3D"/>
          <w:sz w:val="21"/>
          <w:szCs w:val="21"/>
        </w:rPr>
        <w:t xml:space="preserve">The model was trained on the medalpaca/medical_meadow_medical_flashcards dataset (Hugging Face Hub), a public collection of instruction–input–output medical flashcard records. A fixed, reproducible slice of 5,000 records was selected from the full training split for the experiment.</w:t>
      </w:r>
    </w:p>
    <w:tbl>
      <w:tblPr>
        <w:tblW w:type="pct" w:w="100%"/>
        <w:tblBorders>
          <w:top w:val="single" w:color="C9CFDA" w:sz="2"/>
          <w:left w:val="single" w:color="C9CFDA" w:sz="2"/>
          <w:bottom w:val="single" w:color="C9CFDA" w:sz="2"/>
          <w:right w:val="single" w:color="C9CFDA" w:sz="2"/>
          <w:insideH w:val="single" w:color="C9CFDA" w:sz="2"/>
          <w:insideV w:val="single" w:color="C9CFDA" w:sz="2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shd w:fill="1328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000"/>
            <w:shd w:fill="1328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Source dataset</w:t>
            </w:r>
          </w:p>
        </w:tc>
        <w:tc>
          <w:tcPr>
            <w:tcW w:type="dxa" w:w="50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medalpaca/medical_meadow_medical_flashcards</w:t>
            </w:r>
          </w:p>
        </w:tc>
      </w:tr>
      <w:tr>
        <w:tc>
          <w:tcPr>
            <w:tcW w:type="dxa" w:w="40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Records used</w:t>
            </w:r>
          </w:p>
        </w:tc>
        <w:tc>
          <w:tcPr>
            <w:tcW w:type="dxa" w:w="50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5,000 (from a full split of 33,955)</w:t>
            </w:r>
          </w:p>
        </w:tc>
      </w:tr>
      <w:tr>
        <w:tc>
          <w:tcPr>
            <w:tcW w:type="dxa" w:w="40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Fields used</w:t>
            </w:r>
          </w:p>
        </w:tc>
        <w:tc>
          <w:tcPr>
            <w:tcW w:type="dxa" w:w="50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instruction, input, output</w:t>
            </w:r>
          </w:p>
        </w:tc>
      </w:tr>
      <w:tr>
        <w:tc>
          <w:tcPr>
            <w:tcW w:type="dxa" w:w="40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Split used for training</w:t>
            </w:r>
          </w:p>
        </w:tc>
        <w:tc>
          <w:tcPr>
            <w:tcW w:type="dxa" w:w="50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100% of the selected 5,000 records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B73"/>
          <w:sz w:val="24"/>
          <w:szCs w:val="24"/>
        </w:rPr>
        <w:t xml:space="preserve">5.2  Prompt template</w:t>
      </w:r>
    </w:p>
    <w:p>
      <w:pPr>
        <w:spacing w:after="160" w:line="288"/>
      </w:pPr>
      <w:r>
        <w:rPr>
          <w:rFonts w:ascii="Calibri" w:cs="Calibri" w:eastAsia="Calibri" w:hAnsi="Calibri"/>
          <w:color w:val="3D3D3D"/>
          <w:sz w:val="21"/>
          <w:szCs w:val="21"/>
        </w:rPr>
        <w:t xml:space="preserve">A custom clinical system prompt frames the model as “MedTriage-LM” and constrains the shape of every response. Each record is converted into a single supervised training sequence combining the instruction, the clinical context, and the target response, terminated with the tokenizer's EOS token.</w:t>
      </w:r>
    </w:p>
    <w:tbl>
      <w:tblPr>
        <w:tblW w:type="pct" w:w="100%"/>
        <w:tblBorders>
          <w:top w:val="single" w:color="1F3B73" w:sz="6"/>
          <w:left w:val="single" w:color="1F3B73" w:sz="24"/>
          <w:bottom w:val="single" w:color="1F3B73" w:sz="6"/>
          <w:right w:val="single" w:color="1F3B73" w:sz="6"/>
          <w:insideH w:val="none" w:color="1F3B73" w:sz="0"/>
          <w:insideV w:val="none" w:color="1F3B73" w:sz="0"/>
        </w:tblBorders>
      </w:tblPr>
      <w:tblGrid>
        <w:gridCol w:w="100"/>
      </w:tblGrid>
      <w:tr>
        <w:tc>
          <w:tcPr>
            <w:shd w:fill="EEF2F8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F3B73"/>
                <w:sz w:val="20"/>
                <w:szCs w:val="20"/>
              </w:rPr>
              <w:t xml:space="preserve">System prompt:  </w:t>
            </w:r>
            <w:r>
              <w:rPr>
                <w:rFonts w:ascii="Calibri" w:cs="Calibri" w:eastAsia="Calibri" w:hAnsi="Calibri"/>
                <w:i/>
                <w:iCs/>
                <w:color w:val="3D3D3D"/>
                <w:sz w:val="20"/>
                <w:szCs w:val="20"/>
              </w:rPr>
              <w:t xml:space="preserve">You are MedTriage-LM, a highly clinical and professional medical assistant. Analyze the provided medical inquiry carefully. Your response should: identify the likely medical condition or relevant biological mechanism; explain the underlying reasoning based on the provided context; recommend standard clinical evaluation steps; avoid inventing medical facts or unsafe treatments.</w:t>
            </w:r>
          </w:p>
        </w:tc>
      </w:tr>
    </w:tbl>
    <w:p>
      <w:pPr>
        <w:spacing w:after="120"/>
      </w:pPr>
    </w:p>
    <w:p>
      <w:pPr>
        <w:spacing w:after="160" w:line="288"/>
      </w:pPr>
      <w:r>
        <w:rPr>
          <w:rFonts w:ascii="Calibri" w:cs="Calibri" w:eastAsia="Calibri" w:hAnsi="Calibri"/>
          <w:color w:val="3D3D3D"/>
          <w:sz w:val="21"/>
          <w:szCs w:val="21"/>
        </w:rPr>
        <w:t xml:space="preserve">This prompt design is the primary mechanism by which the fine-tune shapes output structure: it explicitly forbids fabricated facts and directs the model toward a diagnose → explain → recommend response pattern, which the qualitative results in Section 8 show the model adopting.</w:t>
      </w:r>
    </w:p>
    <w:p>
      <w:pPr>
        <w:pStyle w:val="Heading1"/>
        <w:pBdr>
          <w:bottom w:val="single" w:color="1F3B73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3284D"/>
          <w:sz w:val="30"/>
          <w:szCs w:val="30"/>
        </w:rPr>
        <w:t xml:space="preserve">6.  Training Configuration</w:t>
      </w:r>
    </w:p>
    <w:tbl>
      <w:tblPr>
        <w:tblW w:type="pct" w:w="100%"/>
        <w:tblBorders>
          <w:top w:val="single" w:color="C9CFDA" w:sz="2"/>
          <w:left w:val="single" w:color="C9CFDA" w:sz="2"/>
          <w:bottom w:val="single" w:color="C9CFDA" w:sz="2"/>
          <w:right w:val="single" w:color="C9CFDA" w:sz="2"/>
          <w:insideH w:val="single" w:color="C9CFDA" w:sz="2"/>
          <w:insideV w:val="single" w:color="C9CFDA" w:sz="2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shd w:fill="1328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000"/>
            <w:shd w:fill="1328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Training examples</w:t>
            </w:r>
          </w:p>
        </w:tc>
        <w:tc>
          <w:tcPr>
            <w:tcW w:type="dxa" w:w="50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5,000</w:t>
            </w:r>
          </w:p>
        </w:tc>
      </w:tr>
      <w:tr>
        <w:tc>
          <w:tcPr>
            <w:tcW w:type="dxa" w:w="40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Per-device batch size</w:t>
            </w:r>
          </w:p>
        </w:tc>
        <w:tc>
          <w:tcPr>
            <w:tcW w:type="dxa" w:w="50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0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Gradient accumulation steps</w:t>
            </w:r>
          </w:p>
        </w:tc>
        <w:tc>
          <w:tcPr>
            <w:tcW w:type="dxa" w:w="50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0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Effective batch size</w:t>
            </w:r>
          </w:p>
        </w:tc>
        <w:tc>
          <w:tcPr>
            <w:tcW w:type="dxa" w:w="50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0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50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2 × 10⁻⁴</w:t>
            </w:r>
          </w:p>
        </w:tc>
      </w:tr>
      <w:tr>
        <w:tc>
          <w:tcPr>
            <w:tcW w:type="dxa" w:w="40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Warmup steps</w:t>
            </w:r>
          </w:p>
        </w:tc>
        <w:tc>
          <w:tcPr>
            <w:tcW w:type="dxa" w:w="50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0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Optimizer</w:t>
            </w:r>
          </w:p>
        </w:tc>
        <w:tc>
          <w:tcPr>
            <w:tcW w:type="dxa" w:w="50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AdamW (8-bit)</w:t>
            </w:r>
          </w:p>
        </w:tc>
      </w:tr>
      <w:tr>
        <w:tc>
          <w:tcPr>
            <w:tcW w:type="dxa" w:w="40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LR scheduler</w:t>
            </w:r>
          </w:p>
        </w:tc>
        <w:tc>
          <w:tcPr>
            <w:tcW w:type="dxa" w:w="50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Linear</w:t>
            </w:r>
          </w:p>
        </w:tc>
      </w:tr>
      <w:tr>
        <w:tc>
          <w:tcPr>
            <w:tcW w:type="dxa" w:w="40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Max optimizer steps</w:t>
            </w:r>
          </w:p>
        </w:tc>
        <w:tc>
          <w:tcPr>
            <w:tcW w:type="dxa" w:w="50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60 (≈ 0.1 epoch of the 5,000-record set)</w:t>
            </w:r>
          </w:p>
        </w:tc>
      </w:tr>
      <w:tr>
        <w:tc>
          <w:tcPr>
            <w:tcW w:type="dxa" w:w="40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Precision</w:t>
            </w:r>
          </w:p>
        </w:tc>
        <w:tc>
          <w:tcPr>
            <w:tcW w:type="dxa" w:w="50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FP16 / BF16, selected automatically by hardware support</w:t>
            </w:r>
          </w:p>
        </w:tc>
      </w:tr>
      <w:tr>
        <w:tc>
          <w:tcPr>
            <w:tcW w:type="dxa" w:w="40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Random seed</w:t>
            </w:r>
          </w:p>
        </w:tc>
        <w:tc>
          <w:tcPr>
            <w:tcW w:type="dxa" w:w="50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3407</w:t>
            </w:r>
          </w:p>
        </w:tc>
      </w:tr>
    </w:tbl>
    <w:p>
      <w:pPr>
        <w:spacing w:after="140"/>
      </w:pPr>
    </w:p>
    <w:p>
      <w:pPr>
        <w:spacing w:after="160" w:line="288"/>
      </w:pPr>
      <w:r>
        <w:rPr>
          <w:rFonts w:ascii="Calibri" w:cs="Calibri" w:eastAsia="Calibri" w:hAnsi="Calibri"/>
          <w:color w:val="3D3D3D"/>
          <w:sz w:val="21"/>
          <w:szCs w:val="21"/>
        </w:rPr>
        <w:t xml:space="preserve">Training was capped at 60 optimizer steps to fit within a single free-tier Colab session; at an effective batch size of 8 this covers roughly 480 of the 5,000 training examples, i.e. a fraction of one full epoch. This was a deliberate choice to validate the pipeline end-to-end rather than to reach convergence — see Section 10 for how this bounds the conclusions that can be drawn.</w:t>
      </w:r>
    </w:p>
    <w:p>
      <w:pPr>
        <w:pStyle w:val="Heading1"/>
        <w:pBdr>
          <w:bottom w:val="single" w:color="1F3B73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3284D"/>
          <w:sz w:val="30"/>
          <w:szCs w:val="30"/>
        </w:rPr>
        <w:t xml:space="preserve">7.  Measured Training Results</w:t>
      </w:r>
    </w:p>
    <w:p>
      <w:pPr>
        <w:spacing w:after="160" w:line="288"/>
      </w:pPr>
      <w:r>
        <w:rPr>
          <w:rFonts w:ascii="Calibri" w:cs="Calibri" w:eastAsia="Calibri" w:hAnsi="Calibri"/>
          <w:color w:val="3D3D3D"/>
          <w:sz w:val="21"/>
          <w:szCs w:val="21"/>
        </w:rPr>
        <w:t xml:space="preserve">The figures below are taken directly from the completed run and are reported as observed, without adjustment.</w:t>
      </w:r>
    </w:p>
    <w:tbl>
      <w:tblPr>
        <w:tblW w:type="pct" w:w="100%"/>
        <w:tblBorders>
          <w:top w:val="single" w:color="C9CFDA" w:sz="2"/>
          <w:left w:val="single" w:color="C9CFDA" w:sz="2"/>
          <w:bottom w:val="single" w:color="C9CFDA" w:sz="2"/>
          <w:right w:val="single" w:color="C9CFDA" w:sz="2"/>
          <w:insideH w:val="single" w:color="C9CFDA" w:sz="2"/>
          <w:insideV w:val="single" w:color="C9CFDA" w:sz="2"/>
        </w:tblBorders>
      </w:tblPr>
      <w:tblGrid>
        <w:gridCol w:w="4700"/>
        <w:gridCol w:w="4300"/>
      </w:tblGrid>
      <w:tr>
        <w:trPr>
          <w:tblHeader/>
        </w:trPr>
        <w:tc>
          <w:tcPr>
            <w:tcW w:type="dxa" w:w="4700"/>
            <w:shd w:fill="1328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300"/>
            <w:shd w:fill="1328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7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GPU</w:t>
            </w:r>
          </w:p>
        </w:tc>
        <w:tc>
          <w:tcPr>
            <w:tcW w:type="dxa" w:w="43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Tesla T4 (14.563 GB)</w:t>
            </w:r>
          </w:p>
        </w:tc>
      </w:tr>
      <w:tr>
        <w:tc>
          <w:tcPr>
            <w:tcW w:type="dxa" w:w="47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Memory reserved before training</w:t>
            </w:r>
          </w:p>
        </w:tc>
        <w:tc>
          <w:tcPr>
            <w:tcW w:type="dxa" w:w="43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7.242 GB</w:t>
            </w:r>
          </w:p>
        </w:tc>
      </w:tr>
      <w:tr>
        <w:tc>
          <w:tcPr>
            <w:tcW w:type="dxa" w:w="47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Peak reserved memory during training</w:t>
            </w:r>
          </w:p>
        </w:tc>
        <w:tc>
          <w:tcPr>
            <w:tcW w:type="dxa" w:w="43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8.764 GB</w:t>
            </w:r>
          </w:p>
        </w:tc>
      </w:tr>
      <w:tr>
        <w:tc>
          <w:tcPr>
            <w:tcW w:type="dxa" w:w="47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Additional memory used for training</w:t>
            </w:r>
          </w:p>
        </w:tc>
        <w:tc>
          <w:tcPr>
            <w:tcW w:type="dxa" w:w="43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1.522 GB (≈ 10.45% of GPU capacity)</w:t>
            </w:r>
          </w:p>
        </w:tc>
      </w:tr>
      <w:tr>
        <w:tc>
          <w:tcPr>
            <w:tcW w:type="dxa" w:w="47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Training steps completed</w:t>
            </w:r>
          </w:p>
        </w:tc>
        <w:tc>
          <w:tcPr>
            <w:tcW w:type="dxa" w:w="43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60 / 60</w:t>
            </w:r>
          </w:p>
        </w:tc>
      </w:tr>
      <w:tr>
        <w:tc>
          <w:tcPr>
            <w:tcW w:type="dxa" w:w="47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Training time</w:t>
            </w:r>
          </w:p>
        </w:tc>
        <w:tc>
          <w:tcPr>
            <w:tcW w:type="dxa" w:w="43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441.74 seconds (≈ 7.36 minutes)</w:t>
            </w:r>
          </w:p>
        </w:tc>
      </w:tr>
      <w:tr>
        <w:tc>
          <w:tcPr>
            <w:tcW w:type="dxa" w:w="47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Initial training loss (step 1)</w:t>
            </w:r>
          </w:p>
        </w:tc>
        <w:tc>
          <w:tcPr>
            <w:tcW w:type="dxa" w:w="43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2.1745</w:t>
            </w:r>
          </w:p>
        </w:tc>
      </w:tr>
      <w:tr>
        <w:tc>
          <w:tcPr>
            <w:tcW w:type="dxa" w:w="47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Final training loss (step 60)</w:t>
            </w:r>
          </w:p>
        </w:tc>
        <w:tc>
          <w:tcPr>
            <w:tcW w:type="dxa" w:w="43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0.5654</w:t>
            </w:r>
          </w:p>
        </w:tc>
      </w:tr>
      <w:tr>
        <w:tc>
          <w:tcPr>
            <w:tcW w:type="dxa" w:w="47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Approximate stabilized loss (steps 40–60)</w:t>
            </w:r>
          </w:p>
        </w:tc>
        <w:tc>
          <w:tcPr>
            <w:tcW w:type="dxa" w:w="43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≈ 0.47 – 0.55</w:t>
            </w:r>
          </w:p>
        </w:tc>
      </w:tr>
    </w:tbl>
    <w:p>
      <w:pPr>
        <w:spacing w:after="200"/>
      </w:pPr>
    </w:p>
    <w:p>
      <w:pPr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1 — Training loss per optimizer step, steps 1–60 (Pharma-LM run).</w:t>
      </w:r>
    </w:p>
    <w:p>
      <w:pPr>
        <w:spacing w:after="160" w:line="288"/>
      </w:pPr>
      <w:r>
        <w:rPr>
          <w:rFonts w:ascii="Calibri" w:cs="Calibri" w:eastAsia="Calibri" w:hAnsi="Calibri"/>
          <w:color w:val="3D3D3D"/>
          <w:sz w:val="21"/>
          <w:szCs w:val="21"/>
        </w:rPr>
        <w:t xml:space="preserve">Loss drops sharply over the first eight steps (2.17 → 1.02) as the adapter absorbs the target response format, then falls further through step 10 before flattening into a noisy plateau around 0.45–0.55 for the remainder of the run. This shape is consistent with the adapter quickly learning surface-level formatting and terminology, with further gains past step ~20 being marginal at this learning rate and step budget.</w:t>
      </w:r>
    </w:p>
    <w:tbl>
      <w:tblPr>
        <w:tblW w:type="pct" w:w="100%"/>
        <w:tblBorders>
          <w:top w:val="single" w:color="2E7D6B" w:sz="6"/>
          <w:left w:val="single" w:color="2E7D6B" w:sz="24"/>
          <w:bottom w:val="single" w:color="2E7D6B" w:sz="6"/>
          <w:right w:val="single" w:color="2E7D6B" w:sz="6"/>
          <w:insideH w:val="none" w:color="2E7D6B" w:sz="0"/>
          <w:insideV w:val="none" w:color="2E7D6B" w:sz="0"/>
        </w:tblBorders>
      </w:tblPr>
      <w:tblGrid>
        <w:gridCol w:w="100"/>
      </w:tblGrid>
      <w:tr>
        <w:tc>
          <w:tcPr>
            <w:shd w:fill="EEF2F8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2E7D6B"/>
                <w:sz w:val="20"/>
                <w:szCs w:val="20"/>
              </w:rPr>
              <w:t xml:space="preserve">Caveat:  </w:t>
            </w:r>
            <w:r>
              <w:rPr>
                <w:rFonts w:ascii="Calibri" w:cs="Calibri" w:eastAsia="Calibri" w:hAnsi="Calibri"/>
                <w:i w:val="false"/>
                <w:iCs w:val="false"/>
                <w:color w:val="3D3D3D"/>
                <w:sz w:val="20"/>
                <w:szCs w:val="20"/>
              </w:rPr>
              <w:t xml:space="preserve">A falling training loss shows the adapter is fitting its training distribution — it does not by itself demonstrate improved medical accuracy or clinical safety. Those claims require a held-out comparison against the un-adapted base model, discussed in Section 10.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B73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3284D"/>
          <w:sz w:val="30"/>
          <w:szCs w:val="30"/>
        </w:rPr>
        <w:t xml:space="preserve">8.  Qualitative Evaluation</w:t>
      </w:r>
    </w:p>
    <w:p>
      <w:pPr>
        <w:spacing w:after="160" w:line="288"/>
      </w:pPr>
      <w:r>
        <w:rPr>
          <w:rFonts w:ascii="Calibri" w:cs="Calibri" w:eastAsia="Calibri" w:hAnsi="Calibri"/>
          <w:color w:val="3D3D3D"/>
          <w:sz w:val="21"/>
          <w:szCs w:val="21"/>
        </w:rPr>
        <w:t xml:space="preserve">After training, the model was switched to inference mode and probed with clinical prompts unseen during training, using the same MedTriage-LM prompt structure. Two representative probes are reported below.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B73"/>
          <w:sz w:val="24"/>
          <w:szCs w:val="24"/>
        </w:rPr>
        <w:t xml:space="preserve">8.1  Probe 1 — Acute presentation (diagnostic reasoning)</w:t>
      </w:r>
    </w:p>
    <w:tbl>
      <w:tblPr>
        <w:tblW w:type="pct" w:w="100%"/>
        <w:tblBorders>
          <w:top w:val="single" w:color="C9CFDA" w:sz="2"/>
          <w:left w:val="single" w:color="C9CFDA" w:sz="2"/>
          <w:bottom w:val="single" w:color="C9CFDA" w:sz="2"/>
          <w:right w:val="single" w:color="C9CFDA" w:sz="2"/>
          <w:insideH w:val="single" w:color="C9CFDA" w:sz="2"/>
          <w:insideV w:val="single" w:color="C9CFDA" w:sz="2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328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1328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Instruction</w:t>
            </w:r>
          </w:p>
        </w:tc>
        <w:tc>
          <w:tcPr>
            <w:tcW w:type="dxa" w:w="68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Analyze this clinical presentation and identify the likely condition and recommended next steps.</w:t>
            </w:r>
          </w:p>
        </w:tc>
      </w:tr>
      <w:tr>
        <w:tc>
          <w:tcPr>
            <w:tcW w:type="dxa" w:w="22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Clinical context</w:t>
            </w:r>
          </w:p>
        </w:tc>
        <w:tc>
          <w:tcPr>
            <w:tcW w:type="dxa" w:w="68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A 45-year-old male presents with sudden onset of severe, tearing chest pain radiating to his back. Blood pressure is 180/110.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2E7D6B" w:sz="6"/>
          <w:left w:val="single" w:color="2E7D6B" w:sz="24"/>
          <w:bottom w:val="single" w:color="2E7D6B" w:sz="6"/>
          <w:right w:val="single" w:color="2E7D6B" w:sz="6"/>
          <w:insideH w:val="none" w:color="2E7D6B" w:sz="0"/>
          <w:insideV w:val="none" w:color="2E7D6B" w:sz="0"/>
        </w:tblBorders>
      </w:tblPr>
      <w:tblGrid>
        <w:gridCol w:w="100"/>
      </w:tblGrid>
      <w:tr>
        <w:tc>
          <w:tcPr>
            <w:shd w:fill="EEF2F8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2E7D6B"/>
                <w:sz w:val="20"/>
                <w:szCs w:val="20"/>
              </w:rPr>
              <w:t xml:space="preserve">Result:  </w:t>
            </w:r>
            <w:r>
              <w:rPr>
                <w:rFonts w:ascii="Calibri" w:cs="Calibri" w:eastAsia="Calibri" w:hAnsi="Calibri"/>
                <w:i/>
                <w:iCs/>
                <w:color w:val="3D3D3D"/>
                <w:sz w:val="20"/>
                <w:szCs w:val="20"/>
              </w:rPr>
              <w:t xml:space="preserve">Model response (excerpt): identifies the presentation as consistent with aortic dissection, describes the tearing of the aortic inner layer and the resulting risk of complications such as an absent or weak pulse in a limb, and recommends immediate evaluation and surgical management.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B73"/>
          <w:sz w:val="24"/>
          <w:szCs w:val="24"/>
        </w:rPr>
        <w:t xml:space="preserve">8.2  Probe 2 — Pharmacological mechanism (drug interaction)</w:t>
      </w:r>
    </w:p>
    <w:tbl>
      <w:tblPr>
        <w:tblW w:type="pct" w:w="100%"/>
        <w:tblBorders>
          <w:top w:val="single" w:color="C9CFDA" w:sz="2"/>
          <w:left w:val="single" w:color="C9CFDA" w:sz="2"/>
          <w:bottom w:val="single" w:color="C9CFDA" w:sz="2"/>
          <w:right w:val="single" w:color="C9CFDA" w:sz="2"/>
          <w:insideH w:val="single" w:color="C9CFDA" w:sz="2"/>
          <w:insideV w:val="single" w:color="C9CFDA" w:sz="2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328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1328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Instruction</w:t>
            </w:r>
          </w:p>
        </w:tc>
        <w:tc>
          <w:tcPr>
            <w:tcW w:type="dxa" w:w="68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Explain the biological mechanism for the following drug interaction. Response must use Markdown, bold headings, and bullet points.</w:t>
            </w:r>
          </w:p>
        </w:tc>
      </w:tr>
      <w:tr>
        <w:tc>
          <w:tcPr>
            <w:tcW w:type="dxa" w:w="22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Clinical context</w:t>
            </w:r>
          </w:p>
        </w:tc>
        <w:tc>
          <w:tcPr>
            <w:tcW w:type="dxa" w:w="68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Patient was prescribed a statin and recently began consuming large amounts of grapefruit juice, leading to muscle pain.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2E7D6B" w:sz="6"/>
          <w:left w:val="single" w:color="2E7D6B" w:sz="24"/>
          <w:bottom w:val="single" w:color="2E7D6B" w:sz="6"/>
          <w:right w:val="single" w:color="2E7D6B" w:sz="6"/>
          <w:insideH w:val="none" w:color="2E7D6B" w:sz="0"/>
          <w:insideV w:val="none" w:color="2E7D6B" w:sz="0"/>
        </w:tblBorders>
      </w:tblPr>
      <w:tblGrid>
        <w:gridCol w:w="100"/>
      </w:tblGrid>
      <w:tr>
        <w:tc>
          <w:tcPr>
            <w:shd w:fill="EEF2F8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2E7D6B"/>
                <w:sz w:val="20"/>
                <w:szCs w:val="20"/>
              </w:rPr>
              <w:t xml:space="preserve">Result:  </w:t>
            </w:r>
            <w:r>
              <w:rPr>
                <w:rFonts w:ascii="Calibri" w:cs="Calibri" w:eastAsia="Calibri" w:hAnsi="Calibri"/>
                <w:i/>
                <w:iCs/>
                <w:color w:val="3D3D3D"/>
                <w:sz w:val="20"/>
                <w:szCs w:val="20"/>
              </w:rPr>
              <w:t xml:space="preserve">Model response (excerpt): correctly attributes the interaction to furanocoumarin compounds in grapefruit juice inhibiting hepatic CYP3A4, which impairs statin metabolism, raises circulating statin concentration, and produces the observed muscle pain — and advises avoiding grapefruit juice while on statin therapy.</w:t>
            </w:r>
          </w:p>
        </w:tc>
      </w:tr>
    </w:tbl>
    <w:p>
      <w:pPr>
        <w:spacing w:after="160"/>
      </w:pPr>
    </w:p>
    <w:p>
      <w:pPr>
        <w:spacing w:after="160" w:line="288"/>
      </w:pPr>
      <w:r>
        <w:rPr>
          <w:rFonts w:ascii="Calibri" w:cs="Calibri" w:eastAsia="Calibri" w:hAnsi="Calibri"/>
          <w:color w:val="3D3D3D"/>
          <w:sz w:val="21"/>
          <w:szCs w:val="21"/>
        </w:rPr>
        <w:t xml:space="preserve">Both probes show the model consistently following the diagnose → explain → recommend structure requested in the system prompt, using domain-accurate terminology (aortic dissection, furanocoumarin, CYP3A4) rather than generic conversational phrasing. These are illustrative examples, not a statistically powered evaluation — see Section 10.</w:t>
      </w:r>
    </w:p>
    <w:p>
      <w:pPr>
        <w:pStyle w:val="Heading1"/>
        <w:pBdr>
          <w:bottom w:val="single" w:color="1F3B73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3284D"/>
          <w:sz w:val="30"/>
          <w:szCs w:val="30"/>
        </w:rPr>
        <w:t xml:space="preserve">9.  Feature Highlights of the Adapted Model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color w:val="3D3D3D"/>
          <w:sz w:val="21"/>
          <w:szCs w:val="21"/>
        </w:rPr>
        <w:t xml:space="preserve">Domain-specific vocabulary — the model reliably surfaces precise anatomical and pharmacological terms (e.g. furanocoumarin, CYP3A4, aortic dissection) rather than lay paraphrases.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color w:val="3D3D3D"/>
          <w:sz w:val="21"/>
          <w:szCs w:val="21"/>
        </w:rPr>
        <w:t xml:space="preserve">Consistent clinical structure — responses follow a repeatable condition → mechanism → recommendation pattern rather than open-ended conversational text.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color w:val="3D3D3D"/>
          <w:sz w:val="21"/>
          <w:szCs w:val="21"/>
        </w:rPr>
        <w:t xml:space="preserve">Instruction-following under format constraints — the model correctly applies Markdown structuring (bold headings, bullet points) when explicitly instructed, as in Probe 2.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color w:val="3D3D3D"/>
          <w:sz w:val="21"/>
          <w:szCs w:val="21"/>
        </w:rPr>
        <w:t xml:space="preserve">Small, portable footprint — the specialization is stored as a ~40M-parameter LoRA adapter layered on the frozen base model, not a new 7B checkpoint, making it cheap to store, share, and swap.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color w:val="3D3D3D"/>
          <w:sz w:val="21"/>
          <w:szCs w:val="21"/>
        </w:rPr>
        <w:t xml:space="preserve">Low hardware requirement — the full adaptation cycle completes on a single free-tier Tesla T4 GPU in under 8 minutes.</w:t>
      </w:r>
    </w:p>
    <w:p>
      <w:pPr>
        <w:spacing w:after="80"/>
      </w:pPr>
    </w:p>
    <w:p>
      <w:pPr>
        <w:pStyle w:val="Heading1"/>
        <w:pBdr>
          <w:bottom w:val="single" w:color="1F3B73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3284D"/>
          <w:sz w:val="30"/>
          <w:szCs w:val="30"/>
        </w:rPr>
        <w:t xml:space="preserve">10.  Evaluation Strategy, Limitations, and Responsible Use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B73"/>
          <w:sz w:val="24"/>
          <w:szCs w:val="24"/>
        </w:rPr>
        <w:t xml:space="preserve">10.1  What has and hasn't been established</w:t>
      </w:r>
    </w:p>
    <w:p>
      <w:pPr>
        <w:spacing w:after="160" w:line="288"/>
      </w:pPr>
      <w:r>
        <w:rPr>
          <w:rFonts w:ascii="Calibri" w:cs="Calibri" w:eastAsia="Calibri" w:hAnsi="Calibri"/>
          <w:color w:val="3D3D3D"/>
          <w:sz w:val="21"/>
          <w:szCs w:val="21"/>
        </w:rPr>
        <w:t xml:space="preserve">Training loss and the two qualitative probes in Section 8 demonstrate that the adapter changes the model's output style and terminology in the intended direction. They do not, on their own, establish that Pharma-LM is more medically accurate than the unadapted Qwen2.5-7B base model. A defensible accuracy claim requires presenting identical unseen clinical scenarios to both models and scoring the responses against consistent criteria.</w:t>
      </w:r>
    </w:p>
    <w:tbl>
      <w:tblPr>
        <w:tblW w:type="pct" w:w="100%"/>
        <w:tblBorders>
          <w:top w:val="single" w:color="C9CFDA" w:sz="2"/>
          <w:left w:val="single" w:color="C9CFDA" w:sz="2"/>
          <w:bottom w:val="single" w:color="C9CFDA" w:sz="2"/>
          <w:right w:val="single" w:color="C9CFDA" w:sz="2"/>
          <w:insideH w:val="single" w:color="C9CFDA" w:sz="2"/>
          <w:insideV w:val="single" w:color="C9CFDA" w:sz="2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328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6400"/>
            <w:shd w:fill="1328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examine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Clinical relevance</w:t>
            </w:r>
          </w:p>
        </w:tc>
        <w:tc>
          <w:tcPr>
            <w:tcW w:type="dxa" w:w="64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Does the response correctly address the presented condition or mechanism?</w:t>
            </w:r>
          </w:p>
        </w:tc>
      </w:tr>
      <w:tr>
        <w:tc>
          <w:tcPr>
            <w:tcW w:type="dxa" w:w="26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Evidence grounding</w:t>
            </w:r>
          </w:p>
        </w:tc>
        <w:tc>
          <w:tcPr>
            <w:tcW w:type="dxa" w:w="64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Are conclusions supported only by the information given, with nothing invented?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64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Does the response cover diagnosis, reasoning, and recommended next steps?</w:t>
            </w:r>
          </w:p>
        </w:tc>
      </w:tr>
      <w:tr>
        <w:tc>
          <w:tcPr>
            <w:tcW w:type="dxa" w:w="26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Terminology accuracy</w:t>
            </w:r>
          </w:p>
        </w:tc>
        <w:tc>
          <w:tcPr>
            <w:tcW w:type="dxa" w:w="64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Is medical/pharmacological terminology used correctly?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Format consistency</w:t>
            </w:r>
          </w:p>
        </w:tc>
        <w:tc>
          <w:tcPr>
            <w:tcW w:type="dxa" w:w="64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Does the response follow the requested structure and formatting?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B73"/>
          <w:sz w:val="24"/>
          <w:szCs w:val="24"/>
        </w:rPr>
        <w:t xml:space="preserve">10.2  Limitations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color w:val="3D3D3D"/>
          <w:sz w:val="21"/>
          <w:szCs w:val="21"/>
        </w:rPr>
        <w:t xml:space="preserve">The reported run covers 60 optimizer steps (~0.1 epoch of the 5,000-record set), not a full training pass — it is an initial adaptation run rather than a converged model.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color w:val="3D3D3D"/>
          <w:sz w:val="21"/>
          <w:szCs w:val="21"/>
        </w:rPr>
        <w:t xml:space="preserve">The two qualitative probes are illustrative demonstrations, not a statistically powered evaluation set.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color w:val="3D3D3D"/>
          <w:sz w:val="21"/>
          <w:szCs w:val="21"/>
        </w:rPr>
        <w:t xml:space="preserve">Like any generative model, Pharma-LM can produce incorrect or unsupported statements, especially outside the terminology and case types represented in medical_meadow_medical_flashcards.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color w:val="3D3D3D"/>
          <w:sz w:val="21"/>
          <w:szCs w:val="21"/>
        </w:rPr>
        <w:t xml:space="preserve">No comparison against the un-adapted Qwen2.5-7B baseline has yet been run; relative improvement is not yet quantified.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color w:val="3D3D3D"/>
          <w:sz w:val="21"/>
          <w:szCs w:val="21"/>
        </w:rPr>
        <w:t xml:space="preserve">The model has not been clinically validated and is not fit for autonomous use in patient care.</w:t>
      </w:r>
    </w:p>
    <w:p>
      <w:pPr>
        <w:spacing w:after="80"/>
      </w:pP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B73"/>
          <w:sz w:val="24"/>
          <w:szCs w:val="24"/>
        </w:rPr>
        <w:t xml:space="preserve">10.3  Responsible use</w:t>
      </w:r>
    </w:p>
    <w:tbl>
      <w:tblPr>
        <w:tblW w:type="pct" w:w="100%"/>
        <w:tblBorders>
          <w:top w:val="single" w:color="2E7D6B" w:sz="6"/>
          <w:left w:val="single" w:color="2E7D6B" w:sz="24"/>
          <w:bottom w:val="single" w:color="2E7D6B" w:sz="6"/>
          <w:right w:val="single" w:color="2E7D6B" w:sz="6"/>
          <w:insideH w:val="none" w:color="2E7D6B" w:sz="0"/>
          <w:insideV w:val="none" w:color="2E7D6B" w:sz="0"/>
        </w:tblBorders>
      </w:tblPr>
      <w:tblGrid>
        <w:gridCol w:w="100"/>
      </w:tblGrid>
      <w:tr>
        <w:tc>
          <w:tcPr>
            <w:shd w:fill="EEF2F8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2E7D6B"/>
                <w:sz w:val="20"/>
                <w:szCs w:val="20"/>
              </w:rPr>
              <w:t xml:space="preserve">Intended scope:  </w:t>
            </w:r>
            <w:r>
              <w:rPr>
                <w:rFonts w:ascii="Calibri" w:cs="Calibri" w:eastAsia="Calibri" w:hAnsi="Calibri"/>
                <w:i w:val="false"/>
                <w:iCs w:val="false"/>
                <w:color w:val="3D3D3D"/>
                <w:sz w:val="20"/>
                <w:szCs w:val="20"/>
              </w:rPr>
              <w:t xml:space="preserve">Pharma-LM is an analyst-support / educational prototype for demonstrating LoRA-based domain adaptation. It is not a medical device, has not undergone clinical validation, and all output must be reviewed by a qualified medical professional before informing any real clinical decision.</w:t>
            </w:r>
          </w:p>
        </w:tc>
      </w:tr>
    </w:tbl>
    <w:p>
      <w:pPr>
        <w:pStyle w:val="Heading1"/>
        <w:pBdr>
          <w:bottom w:val="single" w:color="1F3B73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3284D"/>
          <w:sz w:val="30"/>
          <w:szCs w:val="30"/>
        </w:rPr>
        <w:t xml:space="preserve">11.  Reproducibility and Artifacts</w:t>
      </w:r>
    </w:p>
    <w:p>
      <w:pPr>
        <w:spacing w:after="160" w:line="288"/>
      </w:pPr>
      <w:r>
        <w:rPr>
          <w:rFonts w:ascii="Calibri" w:cs="Calibri" w:eastAsia="Calibri" w:hAnsi="Calibri"/>
          <w:color w:val="3D3D3D"/>
          <w:sz w:val="21"/>
          <w:szCs w:val="21"/>
        </w:rPr>
        <w:t xml:space="preserve">The experiment was designed so that data selection, configuration, the trained adapter, and results can each be independently reproduced or re-used.</w:t>
      </w:r>
    </w:p>
    <w:tbl>
      <w:tblPr>
        <w:tblW w:type="pct" w:w="100%"/>
        <w:tblBorders>
          <w:top w:val="single" w:color="C9CFDA" w:sz="2"/>
          <w:left w:val="single" w:color="C9CFDA" w:sz="2"/>
          <w:bottom w:val="single" w:color="C9CFDA" w:sz="2"/>
          <w:right w:val="single" w:color="C9CFDA" w:sz="2"/>
          <w:insideH w:val="single" w:color="C9CFDA" w:sz="2"/>
          <w:insideV w:val="single" w:color="C9CFDA" w:sz="2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328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Artifact</w:t>
            </w:r>
          </w:p>
        </w:tc>
        <w:tc>
          <w:tcPr>
            <w:tcW w:type="dxa" w:w="5800"/>
            <w:shd w:fill="13284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Pharma_LM.ipynb</w:t>
            </w:r>
          </w:p>
        </w:tc>
        <w:tc>
          <w:tcPr>
            <w:tcW w:type="dxa" w:w="58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Executable notebook containing the full data, training, and inference workflow</w:t>
            </w:r>
          </w:p>
        </w:tc>
      </w:tr>
      <w:tr>
        <w:tc>
          <w:tcPr>
            <w:tcW w:type="dxa" w:w="32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lora_model/</w:t>
            </w:r>
          </w:p>
        </w:tc>
        <w:tc>
          <w:tcPr>
            <w:tcW w:type="dxa" w:w="58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Saved LoRA adapter and tokenizer representing the clinical specialization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Training configuration</w:t>
            </w:r>
          </w:p>
        </w:tc>
        <w:tc>
          <w:tcPr>
            <w:tcW w:type="dxa" w:w="58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Captured in-notebook (rank, alpha, learning rate, steps, seed = 3407)</w:t>
            </w:r>
          </w:p>
        </w:tc>
      </w:tr>
      <w:tr>
        <w:tc>
          <w:tcPr>
            <w:tcW w:type="dxa" w:w="32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Training loss log</w:t>
            </w:r>
          </w:p>
        </w:tc>
        <w:tc>
          <w:tcPr>
            <w:tcW w:type="dxa" w:w="58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Per-step loss for all 60 steps, captured from the SFTTrainer run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20"/>
                <w:szCs w:val="20"/>
              </w:rPr>
              <w:t xml:space="preserve">Qualitative probe outputs</w:t>
            </w:r>
          </w:p>
        </w:tc>
        <w:tc>
          <w:tcPr>
            <w:tcW w:type="dxa" w:w="58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D"/>
                <w:sz w:val="20"/>
                <w:szCs w:val="20"/>
              </w:rPr>
              <w:t xml:space="preserve">Captured model generations for both evaluation prompts</w:t>
            </w:r>
          </w:p>
        </w:tc>
      </w:tr>
    </w:tbl>
    <w:p>
      <w:pPr>
        <w:pStyle w:val="Heading1"/>
        <w:pBdr>
          <w:bottom w:val="single" w:color="1F3B73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3284D"/>
          <w:sz w:val="30"/>
          <w:szCs w:val="30"/>
        </w:rPr>
        <w:t xml:space="preserve">12.  Conclusion and Future Work</w:t>
      </w:r>
    </w:p>
    <w:p>
      <w:pPr>
        <w:spacing w:after="160" w:line="288"/>
      </w:pPr>
      <w:r>
        <w:rPr>
          <w:rFonts w:ascii="Calibri" w:cs="Calibri" w:eastAsia="Calibri" w:hAnsi="Calibri"/>
          <w:color w:val="3D3D3D"/>
          <w:sz w:val="21"/>
          <w:szCs w:val="21"/>
        </w:rPr>
        <w:t xml:space="preserve">Pharma-LM demonstrates that a focused LoRA adapter — under 1% of the parameters of Qwen2.5-7B — is enough to visibly shift a general-purpose language model toward structured, terminology-accurate clinical reasoning, using only a free-tier Colab GPU and a 5,000-example instruction dataset. The strongest contribution of this project is the complete, reproducible pipeline: dataset selection and prompt design, 4-bit LoRA fine-tuning, resource measurement, and clinically-framed qualitative evaluation.</w:t>
      </w:r>
    </w:p>
    <w:p>
      <w:pPr>
        <w:spacing w:after="160" w:line="288"/>
      </w:pPr>
      <w:r>
        <w:rPr>
          <w:rFonts w:ascii="Calibri" w:cs="Calibri" w:eastAsia="Calibri" w:hAnsi="Calibri"/>
          <w:color w:val="3D3D3D"/>
          <w:sz w:val="21"/>
          <w:szCs w:val="21"/>
        </w:rPr>
        <w:t xml:space="preserve">The clear next step is a controlled comparison between the base Qwen2.5-7B model and Pharma-LM on a shared, unseen set of clinical scenarios, scored against the criteria in Section 10.1 — this is required before any claim of improved medical accuracy can be made. Further extensions include training for a full epoch (or more) when additional compute is available, building a dedicated held-out test set, and comparing different LoRA ranks and target-module choices for their effect on response quality.</w:t>
      </w:r>
    </w:p>
    <w:p>
      <w:pPr>
        <w:spacing w:after="60"/>
      </w:pPr>
    </w:p>
    <w:tbl>
      <w:tblPr>
        <w:tblW w:type="pct" w:w="100%"/>
        <w:tblBorders>
          <w:top w:val="single" w:color="1F3B73" w:sz="6"/>
          <w:left w:val="single" w:color="1F3B73" w:sz="24"/>
          <w:bottom w:val="single" w:color="1F3B73" w:sz="6"/>
          <w:right w:val="single" w:color="1F3B73" w:sz="6"/>
          <w:insideH w:val="none" w:color="1F3B73" w:sz="0"/>
          <w:insideV w:val="none" w:color="1F3B73" w:sz="0"/>
        </w:tblBorders>
      </w:tblPr>
      <w:tblGrid>
        <w:gridCol w:w="100"/>
      </w:tblGrid>
      <w:tr>
        <w:tc>
          <w:tcPr>
            <w:shd w:fill="EEF2F8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F3B73"/>
                <w:sz w:val="20"/>
                <w:szCs w:val="20"/>
              </w:rPr>
              <w:t xml:space="preserve">Summary:  </w:t>
            </w:r>
            <w:r>
              <w:rPr>
                <w:rFonts w:ascii="Calibri" w:cs="Calibri" w:eastAsia="Calibri" w:hAnsi="Calibri"/>
                <w:i w:val="false"/>
                <w:iCs w:val="false"/>
                <w:color w:val="3D3D3D"/>
                <w:sz w:val="20"/>
                <w:szCs w:val="20"/>
              </w:rPr>
              <w:t xml:space="preserve">Pharma-LM should be read as a parameter-efficient clinical-domain specialization of Qwen2.5-7B, not a newly trained model. Its contribution is showing that a small, cheaply-trained adapter can meaningfully redirect a large base model's behaviour toward a target domain.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50" w:right="1350" w:bottom="13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93A3"/>
        <w:sz w:val="16"/>
        <w:szCs w:val="16"/>
      </w:rPr>
      <w:t xml:space="preserve">Page </w:t>
    </w:r>
    <w:r>
      <w:rPr>
        <w:rFonts w:ascii="Calibri" w:cs="Calibri" w:eastAsia="Calibri" w:hAnsi="Calibri"/>
        <w:color w:val="8A93A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93A3"/>
        <w:sz w:val="16"/>
        <w:szCs w:val="16"/>
      </w:rPr>
      <w:t xml:space="preserve"> of </w:t>
    </w:r>
    <w:r>
      <w:rPr>
        <w:rFonts w:ascii="Calibri" w:cs="Calibri" w:eastAsia="Calibri" w:hAnsi="Calibri"/>
        <w:color w:val="8A93A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FDA" w:sz="4" w:space="4"/>
      </w:pBdr>
      <w:jc w:val="right"/>
    </w:pPr>
    <w:r>
      <w:rPr>
        <w:rFonts w:ascii="Calibri" w:cs="Calibri" w:eastAsia="Calibri" w:hAnsi="Calibri"/>
        <w:color w:val="8A93A3"/>
        <w:sz w:val="16"/>
        <w:szCs w:val="16"/>
      </w:rPr>
      <w:t xml:space="preserve">Pharma-LM — Technical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3D3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12b9b7f9b14146abb25445bb297c2ff62e94d8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2026-08-23T04:37:14.759Z</dcterms:created>
  <dcterms:modified xsi:type="dcterms:W3CDTF">2026-08-23T04:37:14.771Z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