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D4AF37"/>
          <w:spacing w:val="300"/>
          <w:sz w:val="28"/>
          <w:szCs w:val="28"/>
        </w:rPr>
        <w:t xml:space="preserve">EPIC TRANSLATIONS</w:t>
      </w:r>
    </w:p>
    <w:p>
      <w:pPr>
        <w:spacing w:after="80"/>
        <w:jc w:val="center"/>
      </w:pPr>
      <w:r>
        <w:rPr>
          <w:color w:val="D4AF37"/>
          <w:sz w:val="20"/>
          <w:szCs w:val="20"/>
        </w:rPr>
        <w:t xml:space="preserve">────────────────────────────────────────</w:t>
      </w:r>
    </w:p>
    <w:p>
      <w:pPr>
        <w:spacing w:after="200"/>
        <w:jc w:val="center"/>
      </w:pPr>
      <w:r>
        <w:rPr>
          <w:rFonts w:ascii="Georgia" w:cs="Georgia" w:eastAsia="Georgia" w:hAnsi="Georgia"/>
          <w:b/>
          <w:bCs/>
          <w:color w:val="001F3F"/>
          <w:sz w:val="36"/>
          <w:szCs w:val="36"/>
        </w:rPr>
        <w:t xml:space="preserve">AI Translation Hub</w:t>
      </w:r>
    </w:p>
    <w:p>
      <w:pPr>
        <w:spacing w:before="400"/>
      </w:pPr>
    </w:p>
    <w:p>
      <w:pPr>
        <w:spacing w:after="120"/>
        <w:jc w:val="center"/>
      </w:pPr>
      <w:r>
        <w:rPr>
          <w:rFonts w:ascii="Georgia" w:cs="Georgia" w:eastAsia="Georgia" w:hAnsi="Georgia"/>
          <w:b/>
          <w:bCs/>
          <w:color w:val="001F3F"/>
          <w:sz w:val="52"/>
          <w:szCs w:val="52"/>
        </w:rPr>
        <w:t xml:space="preserve">Quality Innovation Roadmap</w:t>
      </w:r>
    </w:p>
    <w:p>
      <w:pPr>
        <w:spacing w:after="400"/>
        <w:jc w:val="center"/>
      </w:pPr>
      <w:r>
        <w:rPr>
          <w:rFonts w:ascii="Georgia" w:cs="Georgia" w:eastAsia="Georgia" w:hAnsi="Georgia"/>
          <w:i/>
          <w:iCs/>
          <w:color w:val="6B7280"/>
          <w:sz w:val="24"/>
          <w:szCs w:val="24"/>
        </w:rPr>
        <w:t xml:space="preserve">Proprietary AI Translation Enhancement Strategies</w:t>
      </w:r>
    </w:p>
    <w:p>
      <w:pPr>
        <w:spacing w:before="600"/>
      </w:pPr>
    </w:p>
    <w:p>
      <w:pPr>
        <w:spacing w:after="80"/>
        <w:jc w:val="center"/>
      </w:pPr>
      <w:r>
        <w:rPr>
          <w:color w:val="D1D5DB"/>
          <w:sz w:val="18"/>
          <w:szCs w:val="18"/>
        </w:rPr>
        <w:t xml:space="preserve">────────────────────</w:t>
      </w:r>
    </w:p>
    <w:p>
      <w:pPr>
        <w:spacing w:after="60"/>
        <w:jc w:val="center"/>
      </w:pPr>
      <w:r>
        <w:rPr>
          <w:color w:val="6B7280"/>
          <w:sz w:val="22"/>
          <w:szCs w:val="22"/>
        </w:rPr>
        <w:t xml:space="preserve">June 2026</w:t>
      </w:r>
    </w:p>
    <w:p>
      <w:pPr>
        <w:spacing w:after="60"/>
        <w:jc w:val="center"/>
      </w:pPr>
      <w:r>
        <w:rPr>
          <w:color w:val="6B7280"/>
          <w:sz w:val="20"/>
          <w:szCs w:val="20"/>
        </w:rPr>
        <w:t xml:space="preserve">Version 1.0</w:t>
      </w:r>
    </w:p>
    <w:p>
      <w:pPr>
        <w:spacing w:before="800"/>
      </w:pPr>
    </w:p>
    <w:p>
      <w:pPr>
        <w:spacing w:after="40"/>
        <w:jc w:val="center"/>
      </w:pPr>
      <w:r>
        <w:rPr>
          <w:rFonts w:ascii="Georgia" w:cs="Georgia" w:eastAsia="Georgia" w:hAnsi="Georgia"/>
          <w:b/>
          <w:bCs/>
          <w:color w:val="DC2626"/>
          <w:spacing w:val="200"/>
          <w:sz w:val="22"/>
          <w:szCs w:val="22"/>
        </w:rPr>
        <w:t xml:space="preserve">CONFIDENTIAL</w:t>
      </w:r>
    </w:p>
    <w:p>
      <w:pPr>
        <w:jc w:val="center"/>
      </w:pPr>
      <w:r>
        <w:rPr>
          <w:i/>
          <w:iCs/>
          <w:color w:val="6B7280"/>
          <w:sz w:val="18"/>
          <w:szCs w:val="18"/>
        </w:rPr>
        <w:t xml:space="preserve">Internal Use Only — Not for Distribution</w:t>
      </w:r>
    </w:p>
    <w:p>
      <w:pPr>
        <w:sectPr>
          <w:pgSz w:w="11906" w:h="16838" w:orient="portrait"/>
          <w:pgMar w:top="1440" w:right="1440" w:bottom="1440" w:left="1440" w:header="708" w:footer="708" w:gutter="0"/>
          <w:pgNumType/>
          <w:docGrid w:linePitch="360"/>
        </w:sectPr>
      </w:pPr>
    </w:p>
    <w:p>
      <w:pPr>
        <w:pStyle w:val="Heading1"/>
      </w:pPr>
      <w:r>
        <w:t xml:space="preserve">Executive Summary</w:t>
      </w:r>
    </w:p>
    <w:p>
      <w:pPr>
        <w:spacing w:after="200"/>
      </w:pPr>
      <w:r>
        <w:rPr>
          <w:color w:val="374151"/>
          <w:sz w:val="22"/>
          <w:szCs w:val="22"/>
        </w:rPr>
        <w:t xml:space="preserve">This document presents ten proprietary AI-powered strategies designed to elevate the quality of machine translations produced by AI Translation Hub (AITH) beyond what any competitor in the translation industry currently offers. These strategies leverage the unique capabilities of large language models to address persistent quality gaps in machine translation that traditional CAT tools have been unable to solve. Each strategy is presented with its implementation approach, competitive advantage, effort level, and cost impact to enable informed decision-making on prioritization and phasing. The recommended implementation roadmap spans three phases, beginning with high-impact, low-effort enhancements and progressing to advanced features that compound quality improvements over time.</w:t>
      </w:r>
    </w:p>
    <w:p>
      <w:pPr>
        <w:pStyle w:val="Heading1"/>
      </w:pPr>
      <w:r>
        <w:t xml:space="preserve">Current State</w:t>
      </w:r>
    </w:p>
    <w:p>
      <w:pPr>
        <w:spacing w:after="120"/>
      </w:pPr>
      <w:r>
        <w:rPr>
          <w:color w:val="374151"/>
          <w:sz w:val="22"/>
          <w:szCs w:val="22"/>
        </w:rPr>
        <w:t xml:space="preserve">AITH currently operates with the following translation technology stack:</w:t>
      </w:r>
    </w:p>
    <w:p>
      <w:pPr>
        <w:pStyle w:val="ListParagraph"/>
        <w:numPr>
          <w:ilvl w:val="0"/>
          <w:numId w:val="2"/>
        </w:numPr>
        <w:spacing w:after="60"/>
      </w:pPr>
      <w:r>
        <w:rPr>
          <w:b/>
          <w:bCs/>
        </w:rPr>
        <w:t xml:space="preserve">Primary Translation Engine: </w:t>
      </w:r>
      <w:r>
        <w:t xml:space="preserve">OpenAI GPT-4o, delivering high-quality neural machine translation across 50+ language pairs</w:t>
      </w:r>
    </w:p>
    <w:p>
      <w:pPr>
        <w:pStyle w:val="ListParagraph"/>
        <w:numPr>
          <w:ilvl w:val="0"/>
          <w:numId w:val="2"/>
        </w:numPr>
        <w:spacing w:after="60"/>
      </w:pPr>
      <w:r>
        <w:rPr>
          <w:b/>
          <w:bCs/>
        </w:rPr>
        <w:t xml:space="preserve">Secondary Engine (Available): </w:t>
      </w:r>
      <w:r>
        <w:t xml:space="preserve">Anthropic Claude (code deployed, API key ready to activate)</w:t>
      </w:r>
    </w:p>
    <w:p>
      <w:pPr>
        <w:pStyle w:val="ListParagraph"/>
        <w:numPr>
          <w:ilvl w:val="0"/>
          <w:numId w:val="2"/>
        </w:numPr>
        <w:spacing w:after="60"/>
      </w:pPr>
      <w:r>
        <w:rPr>
          <w:b/>
          <w:bCs/>
        </w:rPr>
        <w:t xml:space="preserve">Translation Memory: </w:t>
      </w:r>
      <w:r>
        <w:t xml:space="preserve">Proprietary fuzzy matching system using Levenshtein edit-distance with tiered matching (exact 100%, fuzzy 50-99%, engine fallback below 50%)</w:t>
      </w:r>
    </w:p>
    <w:p>
      <w:pPr>
        <w:pStyle w:val="ListParagraph"/>
        <w:numPr>
          <w:ilvl w:val="0"/>
          <w:numId w:val="2"/>
        </w:numPr>
        <w:spacing w:after="60"/>
      </w:pPr>
      <w:r>
        <w:rPr>
          <w:b/>
          <w:bCs/>
        </w:rPr>
        <w:t xml:space="preserve">Post-Editing Workflow: </w:t>
      </w:r>
      <w:r>
        <w:t xml:space="preserve">Full MTPE workspace with segment-level editing, approval tracking, and formatted DOCX export</w:t>
      </w:r>
    </w:p>
    <w:p>
      <w:pPr>
        <w:pStyle w:val="ListParagraph"/>
        <w:numPr>
          <w:ilvl w:val="0"/>
          <w:numId w:val="2"/>
        </w:numPr>
        <w:spacing w:after="200"/>
      </w:pPr>
      <w:r>
        <w:rPr>
          <w:b/>
          <w:bCs/>
        </w:rPr>
        <w:t xml:space="preserve">Format Preservation: </w:t>
      </w:r>
      <w:r>
        <w:t xml:space="preserve">DOCX structure, styling, and table formatting maintained through translation and export</w:t>
      </w:r>
    </w:p>
    <w:p>
      <w:pPr>
        <w:spacing w:after="300"/>
      </w:pPr>
      <w:r>
        <w:rPr>
          <w:i/>
          <w:iCs/>
          <w:color w:val="374151"/>
          <w:sz w:val="22"/>
          <w:szCs w:val="22"/>
        </w:rPr>
        <w:t xml:space="preserve">The strategies outlined below build upon this foundation to create a quality advantage that no competitor can easily replicate.</w:t>
      </w:r>
    </w:p>
    <w:p>
      <w:pPr>
        <w:pStyle w:val="Heading1"/>
      </w:pPr>
      <w:r>
        <w:t xml:space="preserve">Proposed Enhancement Strategies</w:t>
      </w:r>
    </w:p>
    <w:p>
      <w:pPr>
        <w:spacing w:after="300"/>
      </w:pPr>
      <w:r>
        <w:rPr>
          <w:color w:val="374151"/>
          <w:sz w:val="22"/>
          <w:szCs w:val="22"/>
        </w:rPr>
        <w:t xml:space="preserve">The following ten strategies are ordered by recommended implementation sequence, beginning with high-impact, low-complexity improvements.</w:t>
      </w:r>
    </w:p>
    <w:p>
      <w:pPr>
        <w:pStyle w:val="Heading2"/>
      </w:pPr>
      <w:r>
        <w:rPr>
          <w:color w:val="D4AF37"/>
        </w:rPr>
        <w:t xml:space="preserve">Strategy 01: </w:t>
      </w:r>
      <w:r>
        <w:t xml:space="preserve">Back-Translation Verification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0D9668"/>
                <w:sz w:val="18"/>
                <w:szCs w:val="18"/>
              </w:rPr>
              <w:t xml:space="preserve">Low</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After translating from the source language to the target language, automatically translate the target text back to the source language using a different AI engine. Compare the back-translation against the original source text. If the meaning drifts beyond a configurable threshold, flag that segment for priority human review.</w:t>
      </w:r>
    </w:p>
    <w:p>
      <w:pPr>
        <w:pStyle w:val="Heading3"/>
      </w:pPr>
      <w:r>
        <w:t xml:space="preserve">How It Works</w:t>
      </w:r>
    </w:p>
    <w:p>
      <w:pPr>
        <w:spacing w:after="160"/>
      </w:pPr>
      <w:r>
        <w:rPr>
          <w:color w:val="374151"/>
        </w:rPr>
        <w:t xml:space="preserve">Source text is translated by Engine A (e.g., GPT-4o). The resulting target text is then translated back to the source language by Engine B (e.g., Claude). An AI comparison model analyzes semantic similarity between the original source and the back-translation, producing a drift score. Segments exceeding the drift threshold are flagged in the MTPE workspace with a visual indicator.</w:t>
      </w:r>
    </w:p>
    <w:p>
      <w:pPr>
        <w:pStyle w:val="Heading3"/>
      </w:pPr>
      <w:r>
        <w:t xml:space="preserve">Competitive Advantage</w:t>
      </w:r>
    </w:p>
    <w:p>
      <w:pPr>
        <w:spacing w:after="160"/>
      </w:pPr>
      <w:r>
        <w:rPr>
          <w:color w:val="374151"/>
        </w:rPr>
        <w:t xml:space="preserve">No major CAT tool (Smartcat, Phrase, MemoQ, Trados) performs automatic back-translation verification at the segment level. This is a simple concept that catches meaning errors invisible to string-based QA and fuzzy matching. It provides an additional layer of quality assurance that competitors simply do not offer.</w:t>
      </w:r>
    </w:p>
    <w:p>
      <w:pPr>
        <w:pStyle w:val="Heading3"/>
      </w:pPr>
      <w:r>
        <w:t xml:space="preserve">Estimated Cost Impact</w:t>
      </w:r>
    </w:p>
    <w:p>
      <w:pPr>
        <w:spacing w:after="200"/>
      </w:pPr>
      <w:r>
        <w:rPr>
          <w:color w:val="374151"/>
        </w:rPr>
        <w:t xml:space="preserve">One additional API call per segment using a secondary engine. For a typical 3,000-word document, this adds approximately $0.02-0.04 in API costs. Can be limited to flagged or low-confidence segments to reduce cost further.</w:t>
      </w:r>
    </w:p>
    <w:p>
      <w:pPr>
        <w:spacing w:after="100" w:before="200"/>
      </w:pPr>
      <w:r>
        <w:rPr>
          <w:color w:val="E5E7EB"/>
          <w:sz w:val="16"/>
          <w:szCs w:val="16"/>
        </w:rPr>
        <w:t xml:space="preserve">────────────────────────────────────────────────────────────</w:t>
      </w:r>
    </w:p>
    <w:p>
      <w:pPr>
        <w:pStyle w:val="Heading2"/>
      </w:pPr>
      <w:r>
        <w:rPr>
          <w:color w:val="D4AF37"/>
        </w:rPr>
        <w:t xml:space="preserve">Strategy 02: </w:t>
      </w:r>
      <w:r>
        <w:t xml:space="preserve">Multi-Engine Consensus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97706"/>
                <w:sz w:val="18"/>
                <w:szCs w:val="18"/>
              </w:rPr>
              <w:t xml:space="preserve">Medium</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Run each translation segment through two or three AI engines simultaneously (GPT-4o, Claude, DeepL). Use a lightweight AI model to compare outputs and either select the best translation or synthesize a hybrid. Where all engines agree, confidence is high. Where they disagree, the segment is flagged for priority human review.</w:t>
      </w:r>
    </w:p>
    <w:p>
      <w:pPr>
        <w:pStyle w:val="Heading3"/>
      </w:pPr>
      <w:r>
        <w:t xml:space="preserve">How It Works</w:t>
      </w:r>
    </w:p>
    <w:p>
      <w:pPr>
        <w:spacing w:after="160"/>
      </w:pPr>
      <w:r>
        <w:rPr>
          <w:color w:val="374151"/>
        </w:rPr>
        <w:t xml:space="preserve">Each segment is sent to two or more translation engines in parallel. A judge model (GPT-4o-mini, which is extremely cost-effective) receives the source text and all translation candidates, then selects the best one or combines the strongest elements from each. The winning translation is presented to the linguist in the MTPE workspace. Recommended approach: apply multi-engine consensus only to short segments (under 15-20 words) where engines tend to disagree most, keeping costs controlled.</w:t>
      </w:r>
    </w:p>
    <w:p>
      <w:pPr>
        <w:pStyle w:val="Heading3"/>
      </w:pPr>
      <w:r>
        <w:t xml:space="preserve">Competitive Advantage</w:t>
      </w:r>
    </w:p>
    <w:p>
      <w:pPr>
        <w:spacing w:after="160"/>
      </w:pPr>
      <w:r>
        <w:rPr>
          <w:color w:val="374151"/>
        </w:rPr>
        <w:t xml:space="preserve">This is analogous to getting an automatic second and third opinion on every translation. No competitor offers automated multi-engine arbitration. It is a genuine differentiator that produces measurably better output, especially on ambiguous or context-dependent segments.</w:t>
      </w:r>
    </w:p>
    <w:p>
      <w:pPr>
        <w:pStyle w:val="Heading3"/>
      </w:pPr>
      <w:r>
        <w:t xml:space="preserve">Estimated Cost Impact</w:t>
      </w:r>
    </w:p>
    <w:p>
      <w:pPr>
        <w:spacing w:after="200"/>
      </w:pPr>
      <w:r>
        <w:rPr>
          <w:color w:val="374151"/>
        </w:rPr>
        <w:t xml:space="preserve">For dual-engine with judge on short segments only (approximately 30-40% of a typical document): roughly 1.5x current cost. For a 3,000-word document, this increases cost from approximately $0.03 to $0.05. The judge call (GPT-4o-mini) is nearly free at $0.15 per million tokens.</w:t>
      </w:r>
    </w:p>
    <w:p>
      <w:pPr>
        <w:spacing w:after="100" w:before="200"/>
      </w:pPr>
      <w:r>
        <w:rPr>
          <w:color w:val="E5E7EB"/>
          <w:sz w:val="16"/>
          <w:szCs w:val="16"/>
        </w:rPr>
        <w:t xml:space="preserve">────────────────────────────────────────────────────────────</w:t>
      </w:r>
    </w:p>
    <w:p>
      <w:pPr>
        <w:pStyle w:val="Heading2"/>
      </w:pPr>
      <w:r>
        <w:rPr>
          <w:color w:val="D4AF37"/>
        </w:rPr>
        <w:t xml:space="preserve">Strategy 03: </w:t>
      </w:r>
      <w:r>
        <w:t xml:space="preserve">Confidence Scoring Per Segment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0D9668"/>
                <w:sz w:val="18"/>
                <w:szCs w:val="18"/>
              </w:rPr>
              <w:t xml:space="preserve">Low</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Have the AI engine rate its own confidence level (low, medium, high) for each translated segment. Low-confidence segments are highlighted in the MTPE workspace so linguists can focus their effort where it matters most, rather than reviewing every segment with equal attention.</w:t>
      </w:r>
    </w:p>
    <w:p>
      <w:pPr>
        <w:pStyle w:val="Heading3"/>
      </w:pPr>
      <w:r>
        <w:t xml:space="preserve">How It Works</w:t>
      </w:r>
    </w:p>
    <w:p>
      <w:pPr>
        <w:spacing w:after="160"/>
      </w:pPr>
      <w:r>
        <w:rPr>
          <w:color w:val="374151"/>
        </w:rPr>
        <w:t xml:space="preserve">During translation, the AI prompt includes instructions to return a confidence score alongside the translation. The score considers factors such as ambiguity in the source text, availability of context, technical terminology, and idiomatic expressions. The MTPE workspace displays segments color-coded by confidence: green (high), yellow (medium), red (low). Linguists can filter to show only low-confidence segments first.</w:t>
      </w:r>
    </w:p>
    <w:p>
      <w:pPr>
        <w:pStyle w:val="Heading3"/>
      </w:pPr>
      <w:r>
        <w:t xml:space="preserve">Competitive Advantage</w:t>
      </w:r>
    </w:p>
    <w:p>
      <w:pPr>
        <w:spacing w:after="160"/>
      </w:pPr>
      <w:r>
        <w:rPr>
          <w:color w:val="374151"/>
        </w:rPr>
        <w:t xml:space="preserve">Transforms the MTPE workflow from a linear review to a risk-based review. Linguists spend less time on segments the AI handled well and more time on segments that need attention. This improves both efficiency and quality. No major CAT tool offers AI-generated confidence scoring at the segment level.</w:t>
      </w:r>
    </w:p>
    <w:p>
      <w:pPr>
        <w:pStyle w:val="Heading3"/>
      </w:pPr>
      <w:r>
        <w:t xml:space="preserve">Estimated Cost Impact</w:t>
      </w:r>
    </w:p>
    <w:p>
      <w:pPr>
        <w:spacing w:after="200"/>
      </w:pPr>
      <w:r>
        <w:rPr>
          <w:color w:val="374151"/>
        </w:rPr>
        <w:t xml:space="preserve">Minimal. The confidence score is generated as part of the existing translation API call by modifying the prompt. No additional API calls required. Effectively zero incremental cost.</w:t>
      </w:r>
    </w:p>
    <w:p>
      <w:pPr>
        <w:spacing w:after="100" w:before="200"/>
      </w:pPr>
      <w:r>
        <w:rPr>
          <w:color w:val="E5E7EB"/>
          <w:sz w:val="16"/>
          <w:szCs w:val="16"/>
        </w:rPr>
        <w:t xml:space="preserve">────────────────────────────────────────────────────────────</w:t>
      </w:r>
    </w:p>
    <w:p>
      <w:pPr>
        <w:pStyle w:val="Heading2"/>
      </w:pPr>
      <w:r>
        <w:rPr>
          <w:color w:val="D4AF37"/>
        </w:rPr>
        <w:t xml:space="preserve">Strategy 04: </w:t>
      </w:r>
      <w:r>
        <w:t xml:space="preserve">Document-Level Context Window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0D9668"/>
                <w:sz w:val="18"/>
                <w:szCs w:val="18"/>
              </w:rPr>
              <w:t xml:space="preserve">Low</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Feed the surrounding 5-10 segments as context with each translation request, enabling the AI to maintain consistency in tone, pronouns, and terminology throughout the entire document. Most competitors translate segment by segment in complete isolation.</w:t>
      </w:r>
    </w:p>
    <w:p>
      <w:pPr>
        <w:pStyle w:val="Heading3"/>
      </w:pPr>
      <w:r>
        <w:t xml:space="preserve">How It Works</w:t>
      </w:r>
    </w:p>
    <w:p>
      <w:pPr>
        <w:spacing w:after="160"/>
      </w:pPr>
      <w:r>
        <w:rPr>
          <w:color w:val="374151"/>
        </w:rPr>
        <w:t xml:space="preserve">When translating segment N, the system includes segments N-5 through N-1 (already translated) and segments N+1 through N+5 (source text) in the prompt. This gives the AI a rolling window of context, similar to how a human translator reads ahead and refers back. The AI can resolve ambiguous pronouns, maintain consistent register, and ensure terminology coherence across the document.</w:t>
      </w:r>
    </w:p>
    <w:p>
      <w:pPr>
        <w:pStyle w:val="Heading3"/>
      </w:pPr>
      <w:r>
        <w:t xml:space="preserve">Competitive Advantage</w:t>
      </w:r>
    </w:p>
    <w:p>
      <w:pPr>
        <w:spacing w:after="160"/>
      </w:pPr>
      <w:r>
        <w:rPr>
          <w:color w:val="374151"/>
        </w:rPr>
        <w:t xml:space="preserve">Especially valuable for legal, medical, and financial content where a term defined in paragraph 1 must be used consistently in paragraph 15. Industry tools like MemoQ and Trados rely on Translation Memory for consistency, but TM only helps when the exact or similar segment has been translated before. Context windowing works even on entirely new content. This is a fundamental quality improvement that addresses one of the most common complaints about machine translation.</w:t>
      </w:r>
    </w:p>
    <w:p>
      <w:pPr>
        <w:pStyle w:val="Heading3"/>
      </w:pPr>
      <w:r>
        <w:t xml:space="preserve">Estimated Cost Impact</w:t>
      </w:r>
    </w:p>
    <w:p>
      <w:pPr>
        <w:spacing w:after="200"/>
      </w:pPr>
      <w:r>
        <w:rPr>
          <w:color w:val="374151"/>
        </w:rPr>
        <w:t xml:space="preserve">Slight increase in token usage per API call (approximately 15-25% more input tokens due to context). For a 3,000-word document, this adds roughly $0.005-0.01 in cost. Negligible impact on overall project economics.</w:t>
      </w:r>
    </w:p>
    <w:p>
      <w:pPr>
        <w:spacing w:after="100" w:before="200"/>
      </w:pPr>
      <w:r>
        <w:rPr>
          <w:color w:val="E5E7EB"/>
          <w:sz w:val="16"/>
          <w:szCs w:val="16"/>
        </w:rPr>
        <w:t xml:space="preserve">────────────────────────────────────────────────────────────</w:t>
      </w:r>
    </w:p>
    <w:p>
      <w:pPr>
        <w:pStyle w:val="Heading2"/>
      </w:pPr>
      <w:r>
        <w:rPr>
          <w:color w:val="D4AF37"/>
        </w:rPr>
        <w:t xml:space="preserve">Strategy 05: </w:t>
      </w:r>
      <w:r>
        <w:t xml:space="preserve">Correction Pattern Learning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97706"/>
                <w:sz w:val="18"/>
                <w:szCs w:val="18"/>
              </w:rPr>
              <w:t xml:space="preserve">Medium</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Track every edit a linguist makes during MTPE review. Over time, build a database of correction patterns organized by language pair, client, and domain. Feed these patterns back into future translation prompts so the system continuously improves with each project.</w:t>
      </w:r>
    </w:p>
    <w:p>
      <w:pPr>
        <w:pStyle w:val="Heading3"/>
      </w:pPr>
      <w:r>
        <w:t xml:space="preserve">How It Works</w:t>
      </w:r>
    </w:p>
    <w:p>
      <w:pPr>
        <w:spacing w:after="160"/>
      </w:pPr>
      <w:r>
        <w:rPr>
          <w:color w:val="374151"/>
        </w:rPr>
        <w:t xml:space="preserve">When a linguist edits a segment in the MTPE workspace, the system records the original AI translation, the linguist's correction, and metadata (language pair, client, domain, segment context). A pattern extraction algorithm identifies recurring corrections: for example, 'Linguist Alejandro consistently changes portafolio to cartera for financial documents.' These patterns are stored and injected into future translation prompts as examples, guiding the AI toward preferred translations.</w:t>
      </w:r>
    </w:p>
    <w:p>
      <w:pPr>
        <w:pStyle w:val="Heading3"/>
      </w:pPr>
      <w:r>
        <w:t xml:space="preserve">Competitive Advantage</w:t>
      </w:r>
    </w:p>
    <w:p>
      <w:pPr>
        <w:spacing w:after="160"/>
      </w:pPr>
      <w:r>
        <w:rPr>
          <w:color w:val="374151"/>
        </w:rPr>
        <w:t xml:space="preserve">This creates a self-improving system where translation quality increases with every project completed. Unlike static Translation Memory, correction patterns capture stylistic preferences and domain-specific choices that TM cannot represent. Over time, AITH would require fewer and fewer linguist edits per project, reducing both cost and turnaround time. No competitor offers automated correction pattern learning fed back into AI prompts.</w:t>
      </w:r>
    </w:p>
    <w:p>
      <w:pPr>
        <w:pStyle w:val="Heading3"/>
      </w:pPr>
      <w:r>
        <w:t xml:space="preserve">Estimated Cost Impact</w:t>
      </w:r>
    </w:p>
    <w:p>
      <w:pPr>
        <w:spacing w:after="200"/>
      </w:pPr>
      <w:r>
        <w:rPr>
          <w:color w:val="374151"/>
        </w:rPr>
        <w:t xml:space="preserve">Data collection has zero incremental cost (edits are already tracked). Pattern injection adds minimal tokens to each prompt. The value proposition is cost reduction over time: fewer linguist edits means lower MTPE costs per project.</w:t>
      </w:r>
    </w:p>
    <w:p>
      <w:pPr>
        <w:spacing w:after="100" w:before="200"/>
      </w:pPr>
      <w:r>
        <w:rPr>
          <w:color w:val="E5E7EB"/>
          <w:sz w:val="16"/>
          <w:szCs w:val="16"/>
        </w:rPr>
        <w:t xml:space="preserve">────────────────────────────────────────────────────────────</w:t>
      </w:r>
    </w:p>
    <w:p>
      <w:pPr>
        <w:pStyle w:val="Heading2"/>
      </w:pPr>
      <w:r>
        <w:rPr>
          <w:color w:val="D4AF37"/>
        </w:rPr>
        <w:t xml:space="preserve">Strategy 06: </w:t>
      </w:r>
      <w:r>
        <w:t xml:space="preserve">Automatic Domain Detection and Style Matching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97706"/>
                <w:sz w:val="18"/>
                <w:szCs w:val="18"/>
              </w:rPr>
              <w:t xml:space="preserve">Medium</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Before translating, analyze the source document to detect its domain (legal, medical, financial, marketing, technical) and register (formal, casual, technical). Automatically adjust the translation prompt to match the appropriate style. A marketing brochure should read differently than a legal contract, even in the same language pair.</w:t>
      </w:r>
    </w:p>
    <w:p>
      <w:pPr>
        <w:pStyle w:val="Heading3"/>
      </w:pPr>
      <w:r>
        <w:t xml:space="preserve">How It Works</w:t>
      </w:r>
    </w:p>
    <w:p>
      <w:pPr>
        <w:spacing w:after="160"/>
      </w:pPr>
      <w:r>
        <w:rPr>
          <w:color w:val="374151"/>
        </w:rPr>
        <w:t xml:space="preserve">The system sends a sample of the document (first 500-1,000 words) to an AI classification model that returns the detected domain and register. Based on the classification, the translation prompt is dynamically adjusted with domain-specific instructions: 'This is a legal document. Use formal register. Preserve all defined terms exactly as they appear. Do not simplify legal terminology.' The domain also triggers the appropriate glossary and TM subset for that client and domain.</w:t>
      </w:r>
    </w:p>
    <w:p>
      <w:pPr>
        <w:pStyle w:val="Heading3"/>
      </w:pPr>
      <w:r>
        <w:t xml:space="preserve">Competitive Advantage</w:t>
      </w:r>
    </w:p>
    <w:p>
      <w:pPr>
        <w:spacing w:after="160"/>
      </w:pPr>
      <w:r>
        <w:rPr>
          <w:color w:val="374151"/>
        </w:rPr>
        <w:t xml:space="preserve">Eliminates the need for project managers to manually configure translation settings per document type. Ensures consistent quality across different document types without human intervention. Particularly valuable for clients who submit varied content (contracts, marketing materials, technical manuals) through the same workflow.</w:t>
      </w:r>
    </w:p>
    <w:p>
      <w:pPr>
        <w:pStyle w:val="Heading3"/>
      </w:pPr>
      <w:r>
        <w:t xml:space="preserve">Estimated Cost Impact</w:t>
      </w:r>
    </w:p>
    <w:p>
      <w:pPr>
        <w:spacing w:after="200"/>
      </w:pPr>
      <w:r>
        <w:rPr>
          <w:color w:val="374151"/>
        </w:rPr>
        <w:t xml:space="preserve">One additional lightweight API call per document (not per segment) for classification. Cost is negligible: approximately $0.001-0.002 per document. The quality improvement from appropriate style matching far outweighs the minimal cost.</w:t>
      </w:r>
    </w:p>
    <w:p>
      <w:pPr>
        <w:spacing w:after="100" w:before="200"/>
      </w:pPr>
      <w:r>
        <w:rPr>
          <w:color w:val="E5E7EB"/>
          <w:sz w:val="16"/>
          <w:szCs w:val="16"/>
        </w:rPr>
        <w:t xml:space="preserve">────────────────────────────────────────────────────────────</w:t>
      </w:r>
    </w:p>
    <w:p>
      <w:pPr>
        <w:pStyle w:val="Heading2"/>
      </w:pPr>
      <w:r>
        <w:rPr>
          <w:color w:val="D4AF37"/>
        </w:rPr>
        <w:t xml:space="preserve">Strategy 07: </w:t>
      </w:r>
      <w:r>
        <w:t xml:space="preserve">Semantic Drift Detection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C2626"/>
                <w:sz w:val="18"/>
                <w:szCs w:val="18"/>
              </w:rPr>
              <w:t xml:space="preserve">High</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Use AI embeddings to compare the meaning of source text versus target text at a deeper level than string similarity. Detect when a translation omits information, adds information not present in the source, or subtly shifts the meaning. String-based QA catches missing numbers and formatting tags. Semantic QA catches meaning problems.</w:t>
      </w:r>
    </w:p>
    <w:p>
      <w:pPr>
        <w:pStyle w:val="Heading3"/>
      </w:pPr>
      <w:r>
        <w:t xml:space="preserve">How It Works</w:t>
      </w:r>
    </w:p>
    <w:p>
      <w:pPr>
        <w:spacing w:after="160"/>
      </w:pPr>
      <w:r>
        <w:rPr>
          <w:color w:val="374151"/>
        </w:rPr>
        <w:t xml:space="preserve">After translation, both the source segment and target segment are converted to high-dimensional vector embeddings using a multilingual model. The system computes semantic similarity between the source meaning and target meaning. Segments where semantic similarity falls below a threshold are flagged for review with a specific warning: 'Possible meaning shift detected,' 'Information may be omitted,' or 'Content may be added.' This runs as a post-translation QA step.</w:t>
      </w:r>
    </w:p>
    <w:p>
      <w:pPr>
        <w:pStyle w:val="Heading3"/>
      </w:pPr>
      <w:r>
        <w:t xml:space="preserve">Competitive Advantage</w:t>
      </w:r>
    </w:p>
    <w:p>
      <w:pPr>
        <w:spacing w:after="160"/>
      </w:pPr>
      <w:r>
        <w:rPr>
          <w:color w:val="374151"/>
        </w:rPr>
        <w:t xml:space="preserve">Addresses a blind spot in all existing CAT tools. Current QA checks (Xbench, Verifika, built-in QA in MemoQ/Trados) focus on string-level issues: missing tags, inconsistent numbers, terminology violations. They cannot detect when a translation is grammatically correct but semantically wrong. Semantic drift detection fills this gap.</w:t>
      </w:r>
    </w:p>
    <w:p>
      <w:pPr>
        <w:pStyle w:val="Heading3"/>
      </w:pPr>
      <w:r>
        <w:t xml:space="preserve">Estimated Cost Impact</w:t>
      </w:r>
    </w:p>
    <w:p>
      <w:pPr>
        <w:spacing w:after="200"/>
      </w:pPr>
      <w:r>
        <w:rPr>
          <w:color w:val="374151"/>
        </w:rPr>
        <w:t xml:space="preserve">Embedding generation is very inexpensive (orders of magnitude cheaper than translation). For a 3,000-word document, embedding costs are under $0.01. The primary investment is in development and calibration of the semantic comparison thresholds per language pair.</w:t>
      </w:r>
    </w:p>
    <w:p>
      <w:pPr>
        <w:spacing w:after="100" w:before="200"/>
      </w:pPr>
      <w:r>
        <w:rPr>
          <w:color w:val="E5E7EB"/>
          <w:sz w:val="16"/>
          <w:szCs w:val="16"/>
        </w:rPr>
        <w:t xml:space="preserve">────────────────────────────────────────────────────────────</w:t>
      </w:r>
    </w:p>
    <w:p>
      <w:pPr>
        <w:pStyle w:val="Heading2"/>
      </w:pPr>
      <w:r>
        <w:rPr>
          <w:color w:val="D4AF37"/>
        </w:rPr>
        <w:t xml:space="preserve">Strategy 08: </w:t>
      </w:r>
      <w:r>
        <w:t xml:space="preserve">Client Style Cloning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C2626"/>
                <w:sz w:val="18"/>
                <w:szCs w:val="18"/>
              </w:rPr>
              <w:t xml:space="preserve">High</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When a new client onboards with existing translated materials, automatically extract their preferred terminology, tone, and style patterns. Apply those patterns to all future translations for that client. The AI learns how this specific client likes things translated from their existing work.</w:t>
      </w:r>
    </w:p>
    <w:p>
      <w:pPr>
        <w:pStyle w:val="Heading3"/>
      </w:pPr>
      <w:r>
        <w:t xml:space="preserve">How It Works</w:t>
      </w:r>
    </w:p>
    <w:p>
      <w:pPr>
        <w:spacing w:after="160"/>
      </w:pPr>
      <w:r>
        <w:rPr>
          <w:color w:val="374151"/>
        </w:rPr>
        <w:t xml:space="preserve">During client onboarding, existing bilingual documents (previously translated materials) are analyzed by an AI model that extracts: preferred terminology pairs, sentence structure patterns, formality level, use of passive vs. active voice, and other stylistic markers. These patterns are compiled into a client style profile that is automatically injected into every translation prompt for that client. The profile is updated continuously as linguists make MTPE corrections.</w:t>
      </w:r>
    </w:p>
    <w:p>
      <w:pPr>
        <w:pStyle w:val="Heading3"/>
      </w:pPr>
      <w:r>
        <w:t xml:space="preserve">Competitive Advantage</w:t>
      </w:r>
    </w:p>
    <w:p>
      <w:pPr>
        <w:spacing w:after="160"/>
      </w:pPr>
      <w:r>
        <w:rPr>
          <w:color w:val="374151"/>
        </w:rPr>
        <w:t xml:space="preserve">Creates a personalized translation experience for each client without manual style guide creation. Reduces the 'break-in period' that typically occurs when a new translator or translation tool starts working with a new client. Builds client loyalty by delivering translations that feel familiar and consistent with their existing materials from the very first project.</w:t>
      </w:r>
    </w:p>
    <w:p>
      <w:pPr>
        <w:pStyle w:val="Heading3"/>
      </w:pPr>
      <w:r>
        <w:t xml:space="preserve">Estimated Cost Impact</w:t>
      </w:r>
    </w:p>
    <w:p>
      <w:pPr>
        <w:spacing w:after="200"/>
      </w:pPr>
      <w:r>
        <w:rPr>
          <w:color w:val="374151"/>
        </w:rPr>
        <w:t xml:space="preserve">One-time analysis cost during onboarding (approximately $0.10-0.50 per client, depending on volume of reference materials). Ongoing cost is zero as the style profile simply augments existing translation prompts. Long-term value: reduced MTPE effort and higher client satisfaction.</w:t>
      </w:r>
    </w:p>
    <w:p>
      <w:pPr>
        <w:spacing w:after="100" w:before="200"/>
      </w:pPr>
      <w:r>
        <w:rPr>
          <w:color w:val="E5E7EB"/>
          <w:sz w:val="16"/>
          <w:szCs w:val="16"/>
        </w:rPr>
        <w:t xml:space="preserve">────────────────────────────────────────────────────────────</w:t>
      </w:r>
    </w:p>
    <w:p>
      <w:pPr>
        <w:pStyle w:val="Heading2"/>
      </w:pPr>
      <w:r>
        <w:rPr>
          <w:color w:val="D4AF37"/>
        </w:rPr>
        <w:t xml:space="preserve">Strategy 09: </w:t>
      </w:r>
      <w:r>
        <w:t xml:space="preserve">Cross-Document Terminology 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97706"/>
                <w:sz w:val="18"/>
                <w:szCs w:val="18"/>
              </w:rPr>
              <w:t xml:space="preserve">Medium</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When translating multiple documents for the same project, lock terminology decisions from the first document and enforce them across all subsequent documents. If 'risk assessment' was translated as 'evaluacion de riesgos' in document 1, it must be the same in documents 2, 3, and 4. Most tools only enforce this within a single document.</w:t>
      </w:r>
    </w:p>
    <w:p>
      <w:pPr>
        <w:pStyle w:val="Heading3"/>
      </w:pPr>
      <w:r>
        <w:t xml:space="preserve">How It Works</w:t>
      </w:r>
    </w:p>
    <w:p>
      <w:pPr>
        <w:spacing w:after="160"/>
      </w:pPr>
      <w:r>
        <w:rPr>
          <w:color w:val="374151"/>
        </w:rPr>
        <w:t xml:space="preserve">When the first document in a multi-document project is translated, all key terms and their chosen translations are extracted and stored in a project-level terminology lock table. When subsequent documents are translated, the system checks each segment against the lock table and enforces consistent translations. If the AI generates a different translation for a locked term, the system automatically substitutes the locked translation. Linguists can override locks when context requires it.</w:t>
      </w:r>
    </w:p>
    <w:p>
      <w:pPr>
        <w:pStyle w:val="Heading3"/>
      </w:pPr>
      <w:r>
        <w:t xml:space="preserve">Competitive Advantage</w:t>
      </w:r>
    </w:p>
    <w:p>
      <w:pPr>
        <w:spacing w:after="160"/>
      </w:pPr>
      <w:r>
        <w:rPr>
          <w:color w:val="374151"/>
        </w:rPr>
        <w:t xml:space="preserve">Critical for large projects involving multiple documents (RFPs, regulatory submissions, product documentation suites). Translation Memory partially addresses this, but only for segments that are similar enough to trigger a TM match. Terminology lock works at the term level, ensuring consistency even when the surrounding sentence is completely different. No competitor offers automatic cross-document terminology enforcement at this level.</w:t>
      </w:r>
    </w:p>
    <w:p>
      <w:pPr>
        <w:pStyle w:val="Heading3"/>
      </w:pPr>
      <w:r>
        <w:t xml:space="preserve">Estimated Cost Impact</w:t>
      </w:r>
    </w:p>
    <w:p>
      <w:pPr>
        <w:spacing w:after="200"/>
      </w:pPr>
      <w:r>
        <w:rPr>
          <w:color w:val="374151"/>
        </w:rPr>
        <w:t xml:space="preserve">Term extraction adds one lightweight API call per document. Lock enforcement is a local database lookup with zero API cost. Total incremental cost per project: approximately $0.01-0.02.</w:t>
      </w:r>
    </w:p>
    <w:p>
      <w:pPr>
        <w:spacing w:after="100" w:before="200"/>
      </w:pPr>
      <w:r>
        <w:rPr>
          <w:color w:val="E5E7EB"/>
          <w:sz w:val="16"/>
          <w:szCs w:val="16"/>
        </w:rPr>
        <w:t xml:space="preserve">────────────────────────────────────────────────────────────</w:t>
      </w:r>
    </w:p>
    <w:p>
      <w:pPr>
        <w:pStyle w:val="Heading2"/>
      </w:pPr>
      <w:r>
        <w:rPr>
          <w:color w:val="D4AF37"/>
        </w:rPr>
        <w:t xml:space="preserve">Strategy 10: </w:t>
      </w:r>
      <w:r>
        <w:t xml:space="preserve">Pre-Translation Difficulty Analysis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none"/>
              <w:left w:val="none"/>
              <w:bottom w:val="none"/>
              <w:right w:val="none"/>
            </w:tcBorders>
          </w:tcPr>
          <w:p>
            <w:pPr>
              <w:spacing w:after="0"/>
            </w:pPr>
            <w:r>
              <w:rPr>
                <w:color w:val="6B7280"/>
                <w:sz w:val="18"/>
                <w:szCs w:val="18"/>
              </w:rPr>
              <w:t xml:space="preserve">Implementation Effort: </w:t>
            </w:r>
            <w:r>
              <w:rPr>
                <w:b/>
                <w:bCs/>
                <w:color w:val="D97706"/>
                <w:sz w:val="18"/>
                <w:szCs w:val="18"/>
              </w:rPr>
              <w:t xml:space="preserve">Medium</w:t>
            </w:r>
          </w:p>
        </w:tc>
        <w:tc>
          <w:tcPr>
            <w:tcW w:type="dxa" w:w="7440"/>
            <w:tcBorders>
              <w:top w:val="none"/>
              <w:left w:val="none"/>
              <w:bottom w:val="none"/>
              <w:right w:val="none"/>
            </w:tcBorders>
          </w:tcPr>
          <w:p>
            <w:pPr>
              <w:spacing w:after="0"/>
            </w:pPr>
          </w:p>
        </w:tc>
      </w:tr>
    </w:tbl>
    <w:p>
      <w:pPr>
        <w:pStyle w:val="Heading3"/>
      </w:pPr>
      <w:r>
        <w:t xml:space="preserve">Description</w:t>
      </w:r>
    </w:p>
    <w:p>
      <w:pPr>
        <w:spacing w:after="160"/>
      </w:pPr>
      <w:r>
        <w:rPr>
          <w:color w:val="374151"/>
        </w:rPr>
        <w:t xml:space="preserve">Before the linguist opens the MTPE workspace, run an analysis that predicts which segments will be the hardest to translate correctly. Identify idioms, ambiguous pronouns, culture-specific references, and dense technical jargon. Provide the linguist with a difficulty map so they can plan their review strategy before starting.</w:t>
      </w:r>
    </w:p>
    <w:p>
      <w:pPr>
        <w:pStyle w:val="Heading3"/>
      </w:pPr>
      <w:r>
        <w:t xml:space="preserve">How It Works</w:t>
      </w:r>
    </w:p>
    <w:p>
      <w:pPr>
        <w:spacing w:after="160"/>
      </w:pPr>
      <w:r>
        <w:rPr>
          <w:color w:val="374151"/>
        </w:rPr>
        <w:t xml:space="preserve">An AI model analyzes each source segment and assigns a difficulty score based on factors including: sentence complexity, presence of idioms or colloquialisms, ambiguous references, domain-specific terminology density, and cultural references. The MTPE workspace displays a difficulty heatmap alongside the segments. Linguists can sort or filter segments by difficulty, tackling the hardest segments first when their concentration is highest.</w:t>
      </w:r>
    </w:p>
    <w:p>
      <w:pPr>
        <w:pStyle w:val="Heading3"/>
      </w:pPr>
      <w:r>
        <w:t xml:space="preserve">Competitive Advantage</w:t>
      </w:r>
    </w:p>
    <w:p>
      <w:pPr>
        <w:spacing w:after="160"/>
      </w:pPr>
      <w:r>
        <w:rPr>
          <w:color w:val="374151"/>
        </w:rPr>
        <w:t xml:space="preserve">Transforms the MTPE workflow from a sequential task into a strategic one. Linguists report higher satisfaction when they can plan their work rather than encountering surprises mid-review. For project managers, the difficulty analysis provides better time estimates: a document with 80% easy segments and 20% hard segments requires less review time than one with 50/50 distribution. No competitor provides pre-translation difficulty scoring.</w:t>
      </w:r>
    </w:p>
    <w:p>
      <w:pPr>
        <w:pStyle w:val="Heading3"/>
      </w:pPr>
      <w:r>
        <w:t xml:space="preserve">Estimated Cost Impact</w:t>
      </w:r>
    </w:p>
    <w:p>
      <w:pPr>
        <w:spacing w:after="200"/>
      </w:pPr>
      <w:r>
        <w:rPr>
          <w:color w:val="374151"/>
        </w:rPr>
        <w:t xml:space="preserve">Difficulty analysis can be integrated into the existing translation prompt at minimal additional cost, or run as a separate lightweight analysis pass. Estimated incremental cost: $0.01-0.02 per document.</w:t>
      </w:r>
    </w:p>
    <w:p>
      <w:r>
        <w:br w:type="page"/>
      </w:r>
    </w:p>
    <w:p>
      <w:pPr>
        <w:pStyle w:val="Heading1"/>
      </w:pPr>
      <w:r>
        <w:t xml:space="preserve">Recommended Implementation Roadmap</w:t>
      </w:r>
    </w:p>
    <w:p>
      <w:pPr>
        <w:spacing w:after="200"/>
      </w:pPr>
      <w:r>
        <w:rPr>
          <w:color w:val="374151"/>
          <w:sz w:val="22"/>
          <w:szCs w:val="22"/>
        </w:rPr>
        <w:t xml:space="preserve">The strategies are organized into three implementation phases based on impact, complexity, and dependencies.</w:t>
      </w:r>
    </w:p>
    <w:p>
      <w:pPr>
        <w:pStyle w:val="Heading2"/>
      </w:pPr>
      <w:r>
        <w:rPr>
          <w:color w:val="001F3F"/>
        </w:rPr>
        <w:t xml:space="preserve">Phase 1: Foundation </w:t>
      </w:r>
      <w:r>
        <w:rPr>
          <w:b w:val="false"/>
          <w:bCs w:val="false"/>
          <w:color w:val="6B7280"/>
          <w:sz w:val="24"/>
          <w:szCs w:val="24"/>
        </w:rPr>
        <w:t xml:space="preserve">(Immediate — High Impact, Low Effort)</w:t>
      </w:r>
    </w:p>
    <w:p>
      <w:pPr>
        <w:spacing w:after="100"/>
      </w:pPr>
      <w:r>
        <w:rPr>
          <w:color w:val="374151"/>
        </w:rPr>
        <w:t xml:space="preserve">These three strategies can be implemented quickly with minimal development effort and deliver immediate, measurable quality improvements.</w:t>
      </w:r>
    </w:p>
    <w:p>
      <w:pPr>
        <w:pStyle w:val="ListParagraph"/>
        <w:numPr>
          <w:ilvl w:val="0"/>
          <w:numId w:val="3"/>
        </w:numPr>
        <w:spacing w:after="60"/>
      </w:pPr>
      <w:r>
        <w:rPr>
          <w:b/>
          <w:bCs/>
        </w:rPr>
        <w:t xml:space="preserve">Back-Translation Verification </w:t>
      </w:r>
      <w:r>
        <w:t xml:space="preserve">(Strategy 01) — Low effort, catches meaning errors no other tool detects</w:t>
      </w:r>
    </w:p>
    <w:p>
      <w:pPr>
        <w:pStyle w:val="ListParagraph"/>
        <w:numPr>
          <w:ilvl w:val="0"/>
          <w:numId w:val="3"/>
        </w:numPr>
        <w:spacing w:after="60"/>
      </w:pPr>
      <w:r>
        <w:rPr>
          <w:b/>
          <w:bCs/>
        </w:rPr>
        <w:t xml:space="preserve">Confidence Scoring Per Segment </w:t>
      </w:r>
      <w:r>
        <w:t xml:space="preserve">(Strategy 03) — Zero incremental cost, transforms MTPE workflow efficiency</w:t>
      </w:r>
    </w:p>
    <w:p>
      <w:pPr>
        <w:pStyle w:val="ListParagraph"/>
        <w:numPr>
          <w:ilvl w:val="0"/>
          <w:numId w:val="3"/>
        </w:numPr>
        <w:spacing w:after="200"/>
      </w:pPr>
      <w:r>
        <w:rPr>
          <w:b/>
          <w:bCs/>
        </w:rPr>
        <w:t xml:space="preserve">Document-Level Context Window </w:t>
      </w:r>
      <w:r>
        <w:t xml:space="preserve">(Strategy 04) — Low effort, addresses the most common complaint about MT quality</w:t>
      </w:r>
    </w:p>
    <w:p>
      <w:pPr>
        <w:pStyle w:val="Heading2"/>
      </w:pPr>
      <w:r>
        <w:rPr>
          <w:color w:val="001F3F"/>
        </w:rPr>
        <w:t xml:space="preserve">Phase 2: Differentiation </w:t>
      </w:r>
      <w:r>
        <w:rPr>
          <w:b w:val="false"/>
          <w:bCs w:val="false"/>
          <w:color w:val="6B7280"/>
          <w:sz w:val="24"/>
          <w:szCs w:val="24"/>
        </w:rPr>
        <w:t xml:space="preserve">(1-3 Months — Key Competitive Advantages)</w:t>
      </w:r>
    </w:p>
    <w:p>
      <w:pPr>
        <w:spacing w:after="100"/>
      </w:pPr>
      <w:r>
        <w:rPr>
          <w:color w:val="374151"/>
        </w:rPr>
        <w:t xml:space="preserve">These strategies require moderate development effort but create significant competitive differentiation that is difficult for competitors to replicate.</w:t>
      </w:r>
    </w:p>
    <w:p>
      <w:pPr>
        <w:pStyle w:val="ListParagraph"/>
        <w:numPr>
          <w:ilvl w:val="0"/>
          <w:numId w:val="4"/>
        </w:numPr>
        <w:spacing w:after="60"/>
      </w:pPr>
      <w:r>
        <w:rPr>
          <w:b/>
          <w:bCs/>
        </w:rPr>
        <w:t xml:space="preserve">Multi-Engine Consensus </w:t>
      </w:r>
      <w:r>
        <w:t xml:space="preserve">(Strategy 02) — The flagship differentiator; recommend starting with short segments only</w:t>
      </w:r>
    </w:p>
    <w:p>
      <w:pPr>
        <w:pStyle w:val="ListParagraph"/>
        <w:numPr>
          <w:ilvl w:val="0"/>
          <w:numId w:val="4"/>
        </w:numPr>
        <w:spacing w:after="60"/>
      </w:pPr>
      <w:r>
        <w:rPr>
          <w:b/>
          <w:bCs/>
        </w:rPr>
        <w:t xml:space="preserve">Correction Pattern Learning </w:t>
      </w:r>
      <w:r>
        <w:t xml:space="preserve">(Strategy 05) — Creates a self-improving system; value compounds over time</w:t>
      </w:r>
    </w:p>
    <w:p>
      <w:pPr>
        <w:pStyle w:val="ListParagraph"/>
        <w:numPr>
          <w:ilvl w:val="0"/>
          <w:numId w:val="4"/>
        </w:numPr>
        <w:spacing w:after="200"/>
      </w:pPr>
      <w:r>
        <w:rPr>
          <w:b/>
          <w:bCs/>
        </w:rPr>
        <w:t xml:space="preserve">Automatic Domain Detection </w:t>
      </w:r>
      <w:r>
        <w:t xml:space="preserve">(Strategy 06) — Eliminates manual configuration; improves output for varied content types</w:t>
      </w:r>
    </w:p>
    <w:p>
      <w:pPr>
        <w:pStyle w:val="Heading2"/>
      </w:pPr>
      <w:r>
        <w:rPr>
          <w:color w:val="001F3F"/>
        </w:rPr>
        <w:t xml:space="preserve">Phase 3: Market Leadership </w:t>
      </w:r>
      <w:r>
        <w:rPr>
          <w:b w:val="false"/>
          <w:bCs w:val="false"/>
          <w:color w:val="6B7280"/>
          <w:sz w:val="24"/>
          <w:szCs w:val="24"/>
        </w:rPr>
        <w:t xml:space="preserve">(3-6 Months — Advanced Capabilities)</w:t>
      </w:r>
    </w:p>
    <w:p>
      <w:pPr>
        <w:spacing w:after="100"/>
      </w:pPr>
      <w:r>
        <w:rPr>
          <w:color w:val="374151"/>
        </w:rPr>
        <w:t xml:space="preserve">These advanced strategies build on the foundation of Phases 1 and 2 to establish AITH as the most capable AI translation platform in the industry.</w:t>
      </w:r>
    </w:p>
    <w:p>
      <w:pPr>
        <w:pStyle w:val="ListParagraph"/>
        <w:numPr>
          <w:ilvl w:val="0"/>
          <w:numId w:val="5"/>
        </w:numPr>
        <w:spacing w:after="60"/>
      </w:pPr>
      <w:r>
        <w:rPr>
          <w:b/>
          <w:bCs/>
        </w:rPr>
        <w:t xml:space="preserve">Semantic Drift Detection </w:t>
      </w:r>
      <w:r>
        <w:t xml:space="preserve">(Strategy 07)</w:t>
      </w:r>
    </w:p>
    <w:p>
      <w:pPr>
        <w:pStyle w:val="ListParagraph"/>
        <w:numPr>
          <w:ilvl w:val="0"/>
          <w:numId w:val="5"/>
        </w:numPr>
        <w:spacing w:after="60"/>
      </w:pPr>
      <w:r>
        <w:rPr>
          <w:b/>
          <w:bCs/>
        </w:rPr>
        <w:t xml:space="preserve">Client Style Cloning </w:t>
      </w:r>
      <w:r>
        <w:t xml:space="preserve">(Strategy 08)</w:t>
      </w:r>
    </w:p>
    <w:p>
      <w:pPr>
        <w:pStyle w:val="ListParagraph"/>
        <w:numPr>
          <w:ilvl w:val="0"/>
          <w:numId w:val="5"/>
        </w:numPr>
        <w:spacing w:after="60"/>
      </w:pPr>
      <w:r>
        <w:rPr>
          <w:b/>
          <w:bCs/>
        </w:rPr>
        <w:t xml:space="preserve">Cross-Document Terminology Lock </w:t>
      </w:r>
      <w:r>
        <w:t xml:space="preserve">(Strategy 09)</w:t>
      </w:r>
    </w:p>
    <w:p>
      <w:pPr>
        <w:pStyle w:val="ListParagraph"/>
        <w:numPr>
          <w:ilvl w:val="0"/>
          <w:numId w:val="5"/>
        </w:numPr>
        <w:spacing w:after="300"/>
      </w:pPr>
      <w:r>
        <w:rPr>
          <w:b/>
          <w:bCs/>
        </w:rPr>
        <w:t xml:space="preserve">Pre-Translation Difficulty Analysis </w:t>
      </w:r>
      <w:r>
        <w:t xml:space="preserve">(Strategy 10)</w:t>
      </w:r>
    </w:p>
    <w:p>
      <w:r>
        <w:br w:type="page"/>
      </w:r>
    </w:p>
    <w:p>
      <w:pPr>
        <w:pStyle w:val="Heading1"/>
      </w:pPr>
      <w:r>
        <w:t xml:space="preserve">Cost Analysis</w:t>
      </w:r>
    </w:p>
    <w:p>
      <w:pPr>
        <w:spacing w:after="200"/>
      </w:pPr>
      <w:r>
        <w:rPr>
          <w:color w:val="374151"/>
          <w:sz w:val="22"/>
          <w:szCs w:val="22"/>
        </w:rPr>
        <w:t xml:space="preserve">All proposed strategies operate on a pay-per-use model with no subscription fees. The following analysis is based on current API pricing and a reference document of 3,000 words (approximately 50 segments).</w:t>
      </w:r>
    </w:p>
    <w:p>
      <w:pPr>
        <w:pStyle w:val="Heading2"/>
      </w:pPr>
      <w:r>
        <w:t xml:space="preserve">API Pricing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3800"/>
        <w:gridCol w:w="2780"/>
        <w:gridCol w:w="3260"/>
      </w:tblGrid>
      <w:tr>
        <w:trPr>
          <w:tblHeader/>
        </w:trPr>
        <w:tc>
          <w:tcPr>
            <w:tcW w:type="dxa" w:w="3800"/>
            <w:tcBorders>
              <w:top w:val="single" w:color="D1D5DB" w:sz="1"/>
              <w:left w:val="single" w:color="D1D5DB" w:sz="1"/>
              <w:bottom w:val="single" w:color="D1D5DB" w:sz="1"/>
              <w:right w:val="single" w:color="D1D5DB" w:sz="1"/>
            </w:tcBorders>
            <w:shd w:fill="001F3F" w:val="clear"/>
          </w:tcPr>
          <w:p>
            <w:pPr>
              <w:jc w:val="left"/>
            </w:pPr>
            <w:r>
              <w:rPr>
                <w:b/>
                <w:bCs/>
                <w:color w:val="FFFFFF"/>
                <w:sz w:val="20"/>
                <w:szCs w:val="20"/>
              </w:rPr>
              <w:t xml:space="preserve">Engine</w:t>
            </w:r>
          </w:p>
        </w:tc>
        <w:tc>
          <w:tcPr>
            <w:tcW w:type="dxa" w:w="2780"/>
            <w:tcBorders>
              <w:top w:val="single" w:color="D1D5DB" w:sz="1"/>
              <w:left w:val="single" w:color="D1D5DB" w:sz="1"/>
              <w:bottom w:val="single" w:color="D1D5DB" w:sz="1"/>
              <w:right w:val="single" w:color="D1D5DB" w:sz="1"/>
            </w:tcBorders>
            <w:shd w:fill="001F3F" w:val="clear"/>
          </w:tcPr>
          <w:p>
            <w:pPr>
              <w:jc w:val="center"/>
            </w:pPr>
            <w:r>
              <w:rPr>
                <w:b/>
                <w:bCs/>
                <w:color w:val="FFFFFF"/>
                <w:sz w:val="20"/>
                <w:szCs w:val="20"/>
              </w:rPr>
              <w:t xml:space="preserve">Cost / 1M Tokens</w:t>
            </w:r>
          </w:p>
        </w:tc>
        <w:tc>
          <w:tcPr>
            <w:tcW w:type="dxa" w:w="3260"/>
            <w:tcBorders>
              <w:top w:val="single" w:color="D1D5DB" w:sz="1"/>
              <w:left w:val="single" w:color="D1D5DB" w:sz="1"/>
              <w:bottom w:val="single" w:color="D1D5DB" w:sz="1"/>
              <w:right w:val="single" w:color="D1D5DB" w:sz="1"/>
            </w:tcBorders>
            <w:shd w:fill="001F3F" w:val="clear"/>
          </w:tcPr>
          <w:p>
            <w:pPr>
              <w:jc w:val="center"/>
            </w:pPr>
            <w:r>
              <w:rPr>
                <w:b/>
                <w:bCs/>
                <w:color w:val="FFFFFF"/>
                <w:sz w:val="20"/>
                <w:szCs w:val="20"/>
              </w:rPr>
              <w:t xml:space="preserve">Role</w:t>
            </w:r>
          </w:p>
        </w:tc>
      </w:tr>
      <w:tr>
        <w:tc>
          <w:tcPr>
            <w:tcW w:type="dxa" w:w="3800"/>
            <w:tcBorders>
              <w:top w:val="single" w:color="D1D5DB" w:sz="1"/>
              <w:left w:val="single" w:color="D1D5DB" w:sz="1"/>
              <w:bottom w:val="single" w:color="D1D5DB" w:sz="1"/>
              <w:right w:val="single" w:color="D1D5DB" w:sz="1"/>
            </w:tcBorders>
            <w:shd w:fill="F3F4F6" w:val="clear"/>
          </w:tcPr>
          <w:p>
            <w:pPr>
              <w:jc w:val="left"/>
            </w:pPr>
            <w:r>
              <w:rPr>
                <w:color w:val="374151"/>
                <w:sz w:val="20"/>
                <w:szCs w:val="20"/>
              </w:rPr>
              <w:t xml:space="preserve">OpenAI GPT-4o</w:t>
            </w:r>
          </w:p>
        </w:tc>
        <w:tc>
          <w:tcPr>
            <w:tcW w:type="dxa" w:w="2780"/>
            <w:tcBorders>
              <w:top w:val="single" w:color="D1D5DB" w:sz="1"/>
              <w:left w:val="single" w:color="D1D5DB" w:sz="1"/>
              <w:bottom w:val="single" w:color="D1D5DB" w:sz="1"/>
              <w:right w:val="single" w:color="D1D5DB" w:sz="1"/>
            </w:tcBorders>
            <w:shd w:fill="F3F4F6" w:val="clear"/>
          </w:tcPr>
          <w:p>
            <w:pPr>
              <w:jc w:val="center"/>
            </w:pPr>
            <w:r>
              <w:rPr>
                <w:color w:val="374151"/>
                <w:sz w:val="20"/>
                <w:szCs w:val="20"/>
              </w:rPr>
              <w:t xml:space="preserve">$3 - $5</w:t>
            </w:r>
          </w:p>
        </w:tc>
        <w:tc>
          <w:tcPr>
            <w:tcW w:type="dxa" w:w="3260"/>
            <w:tcBorders>
              <w:top w:val="single" w:color="D1D5DB" w:sz="1"/>
              <w:left w:val="single" w:color="D1D5DB" w:sz="1"/>
              <w:bottom w:val="single" w:color="D1D5DB" w:sz="1"/>
              <w:right w:val="single" w:color="D1D5DB" w:sz="1"/>
            </w:tcBorders>
            <w:shd w:fill="F3F4F6" w:val="clear"/>
          </w:tcPr>
          <w:p>
            <w:pPr>
              <w:jc w:val="center"/>
            </w:pPr>
            <w:r>
              <w:rPr>
                <w:color w:val="374151"/>
                <w:sz w:val="20"/>
                <w:szCs w:val="20"/>
              </w:rPr>
              <w:t xml:space="preserve">Primary translation engine</w:t>
            </w:r>
          </w:p>
        </w:tc>
      </w:tr>
      <w:tr>
        <w:tc>
          <w:tcPr>
            <w:tcW w:type="dxa" w:w="3800"/>
            <w:tcBorders>
              <w:top w:val="single" w:color="D1D5DB" w:sz="1"/>
              <w:left w:val="single" w:color="D1D5DB" w:sz="1"/>
              <w:bottom w:val="single" w:color="D1D5DB" w:sz="1"/>
              <w:right w:val="single" w:color="D1D5DB" w:sz="1"/>
            </w:tcBorders>
            <w:shd w:fill="FFFFFF" w:val="clear"/>
          </w:tcPr>
          <w:p>
            <w:pPr>
              <w:jc w:val="left"/>
            </w:pPr>
            <w:r>
              <w:rPr>
                <w:color w:val="374151"/>
                <w:sz w:val="20"/>
                <w:szCs w:val="20"/>
              </w:rPr>
              <w:t xml:space="preserve">Anthropic Claude Sonnet</w:t>
            </w:r>
          </w:p>
        </w:tc>
        <w:tc>
          <w:tcPr>
            <w:tcW w:type="dxa" w:w="2780"/>
            <w:tcBorders>
              <w:top w:val="single" w:color="D1D5DB" w:sz="1"/>
              <w:left w:val="single" w:color="D1D5DB" w:sz="1"/>
              <w:bottom w:val="single" w:color="D1D5DB" w:sz="1"/>
              <w:right w:val="single" w:color="D1D5DB" w:sz="1"/>
            </w:tcBorders>
            <w:shd w:fill="FFFFFF" w:val="clear"/>
          </w:tcPr>
          <w:p>
            <w:pPr>
              <w:jc w:val="center"/>
            </w:pPr>
            <w:r>
              <w:rPr>
                <w:color w:val="374151"/>
                <w:sz w:val="20"/>
                <w:szCs w:val="20"/>
              </w:rPr>
              <w:t xml:space="preserve">$3 - $4</w:t>
            </w:r>
          </w:p>
        </w:tc>
        <w:tc>
          <w:tcPr>
            <w:tcW w:type="dxa" w:w="3260"/>
            <w:tcBorders>
              <w:top w:val="single" w:color="D1D5DB" w:sz="1"/>
              <w:left w:val="single" w:color="D1D5DB" w:sz="1"/>
              <w:bottom w:val="single" w:color="D1D5DB" w:sz="1"/>
              <w:right w:val="single" w:color="D1D5DB" w:sz="1"/>
            </w:tcBorders>
            <w:shd w:fill="FFFFFF" w:val="clear"/>
          </w:tcPr>
          <w:p>
            <w:pPr>
              <w:jc w:val="center"/>
            </w:pPr>
            <w:r>
              <w:rPr>
                <w:color w:val="374151"/>
                <w:sz w:val="20"/>
                <w:szCs w:val="20"/>
              </w:rPr>
              <w:t xml:space="preserve">Secondary translation engine</w:t>
            </w:r>
          </w:p>
        </w:tc>
      </w:tr>
      <w:tr>
        <w:tc>
          <w:tcPr>
            <w:tcW w:type="dxa" w:w="3800"/>
            <w:tcBorders>
              <w:top w:val="single" w:color="D1D5DB" w:sz="1"/>
              <w:left w:val="single" w:color="D1D5DB" w:sz="1"/>
              <w:bottom w:val="single" w:color="D1D5DB" w:sz="1"/>
              <w:right w:val="single" w:color="D1D5DB" w:sz="1"/>
            </w:tcBorders>
            <w:shd w:fill="F3F4F6" w:val="clear"/>
          </w:tcPr>
          <w:p>
            <w:pPr>
              <w:jc w:val="left"/>
            </w:pPr>
            <w:r>
              <w:rPr>
                <w:color w:val="374151"/>
                <w:sz w:val="20"/>
                <w:szCs w:val="20"/>
              </w:rPr>
              <w:t xml:space="preserve">OpenAI GPT-4o-mini</w:t>
            </w:r>
          </w:p>
        </w:tc>
        <w:tc>
          <w:tcPr>
            <w:tcW w:type="dxa" w:w="2780"/>
            <w:tcBorders>
              <w:top w:val="single" w:color="D1D5DB" w:sz="1"/>
              <w:left w:val="single" w:color="D1D5DB" w:sz="1"/>
              <w:bottom w:val="single" w:color="D1D5DB" w:sz="1"/>
              <w:right w:val="single" w:color="D1D5DB" w:sz="1"/>
            </w:tcBorders>
            <w:shd w:fill="F3F4F6" w:val="clear"/>
          </w:tcPr>
          <w:p>
            <w:pPr>
              <w:jc w:val="center"/>
            </w:pPr>
            <w:r>
              <w:rPr>
                <w:color w:val="374151"/>
                <w:sz w:val="20"/>
                <w:szCs w:val="20"/>
              </w:rPr>
              <w:t xml:space="preserve">$0.15</w:t>
            </w:r>
          </w:p>
        </w:tc>
        <w:tc>
          <w:tcPr>
            <w:tcW w:type="dxa" w:w="3260"/>
            <w:tcBorders>
              <w:top w:val="single" w:color="D1D5DB" w:sz="1"/>
              <w:left w:val="single" w:color="D1D5DB" w:sz="1"/>
              <w:bottom w:val="single" w:color="D1D5DB" w:sz="1"/>
              <w:right w:val="single" w:color="D1D5DB" w:sz="1"/>
            </w:tcBorders>
            <w:shd w:fill="F3F4F6" w:val="clear"/>
          </w:tcPr>
          <w:p>
            <w:pPr>
              <w:jc w:val="center"/>
            </w:pPr>
            <w:r>
              <w:rPr>
                <w:color w:val="374151"/>
                <w:sz w:val="20"/>
                <w:szCs w:val="20"/>
              </w:rPr>
              <w:t xml:space="preserve">Judge / evaluation model</w:t>
            </w:r>
          </w:p>
        </w:tc>
      </w:tr>
      <w:tr>
        <w:tc>
          <w:tcPr>
            <w:tcW w:type="dxa" w:w="3800"/>
            <w:tcBorders>
              <w:top w:val="single" w:color="D1D5DB" w:sz="1"/>
              <w:left w:val="single" w:color="D1D5DB" w:sz="1"/>
              <w:bottom w:val="single" w:color="D1D5DB" w:sz="1"/>
              <w:right w:val="single" w:color="D1D5DB" w:sz="1"/>
            </w:tcBorders>
            <w:shd w:fill="FFFFFF" w:val="clear"/>
          </w:tcPr>
          <w:p>
            <w:pPr>
              <w:jc w:val="left"/>
            </w:pPr>
            <w:r>
              <w:rPr>
                <w:color w:val="374151"/>
                <w:sz w:val="20"/>
                <w:szCs w:val="20"/>
              </w:rPr>
              <w:t xml:space="preserve">DeepL API</w:t>
            </w:r>
          </w:p>
        </w:tc>
        <w:tc>
          <w:tcPr>
            <w:tcW w:type="dxa" w:w="2780"/>
            <w:tcBorders>
              <w:top w:val="single" w:color="D1D5DB" w:sz="1"/>
              <w:left w:val="single" w:color="D1D5DB" w:sz="1"/>
              <w:bottom w:val="single" w:color="D1D5DB" w:sz="1"/>
              <w:right w:val="single" w:color="D1D5DB" w:sz="1"/>
            </w:tcBorders>
            <w:shd w:fill="FFFFFF" w:val="clear"/>
          </w:tcPr>
          <w:p>
            <w:pPr>
              <w:jc w:val="center"/>
            </w:pPr>
            <w:r>
              <w:rPr>
                <w:color w:val="374151"/>
                <w:sz w:val="20"/>
                <w:szCs w:val="20"/>
              </w:rPr>
              <w:t xml:space="preserve">$6 / 1M chars</w:t>
            </w:r>
          </w:p>
        </w:tc>
        <w:tc>
          <w:tcPr>
            <w:tcW w:type="dxa" w:w="3260"/>
            <w:tcBorders>
              <w:top w:val="single" w:color="D1D5DB" w:sz="1"/>
              <w:left w:val="single" w:color="D1D5DB" w:sz="1"/>
              <w:bottom w:val="single" w:color="D1D5DB" w:sz="1"/>
              <w:right w:val="single" w:color="D1D5DB" w:sz="1"/>
            </w:tcBorders>
            <w:shd w:fill="FFFFFF" w:val="clear"/>
          </w:tcPr>
          <w:p>
            <w:pPr>
              <w:jc w:val="center"/>
            </w:pPr>
            <w:r>
              <w:rPr>
                <w:color w:val="374151"/>
                <w:sz w:val="20"/>
                <w:szCs w:val="20"/>
              </w:rPr>
              <w:t xml:space="preserve">Optional third engine</w:t>
            </w:r>
          </w:p>
        </w:tc>
      </w:tr>
    </w:tbl>
    <w:p>
      <w:pPr>
        <w:spacing w:before="300"/>
      </w:pPr>
    </w:p>
    <w:p>
      <w:pPr>
        <w:pStyle w:val="Heading2"/>
      </w:pPr>
      <w:r>
        <w:t xml:space="preserve">Cost Per Document Comparison</w:t>
      </w:r>
    </w:p>
    <w:p>
      <w:pPr>
        <w:spacing w:after="120"/>
      </w:pPr>
      <w:r>
        <w:rPr>
          <w:i/>
          <w:iCs/>
          <w:color w:val="6B7280"/>
          <w:sz w:val="20"/>
          <w:szCs w:val="20"/>
        </w:rPr>
        <w:t xml:space="preserve">Reference: 3,000-word document (approximately 50 segments)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40"/>
          <w:bottom w:type="dxa" w:w="80"/>
          <w:right w:type="dxa" w:w="140"/>
        </w:tblCellMar>
      </w:tblPr>
      <w:tblGrid>
        <w:gridCol w:w="4200"/>
        <w:gridCol w:w="2580"/>
        <w:gridCol w:w="3060"/>
      </w:tblGrid>
      <w:tr>
        <w:trPr>
          <w:tblHeader/>
        </w:trPr>
        <w:tc>
          <w:tcPr>
            <w:tcW w:type="dxa" w:w="4200"/>
            <w:tcBorders>
              <w:top w:val="single" w:color="D1D5DB" w:sz="1"/>
              <w:left w:val="single" w:color="D1D5DB" w:sz="1"/>
              <w:bottom w:val="single" w:color="D1D5DB" w:sz="1"/>
              <w:right w:val="single" w:color="D1D5DB" w:sz="1"/>
            </w:tcBorders>
            <w:shd w:fill="001F3F" w:val="clear"/>
          </w:tcPr>
          <w:p>
            <w:r>
              <w:rPr>
                <w:b/>
                <w:bCs/>
                <w:color w:val="FFFFFF"/>
                <w:sz w:val="20"/>
                <w:szCs w:val="20"/>
              </w:rPr>
              <w:t xml:space="preserve">Configuration</w:t>
            </w:r>
          </w:p>
        </w:tc>
        <w:tc>
          <w:tcPr>
            <w:tcW w:type="dxa" w:w="2580"/>
            <w:tcBorders>
              <w:top w:val="single" w:color="D1D5DB" w:sz="1"/>
              <w:left w:val="single" w:color="D1D5DB" w:sz="1"/>
              <w:bottom w:val="single" w:color="D1D5DB" w:sz="1"/>
              <w:right w:val="single" w:color="D1D5DB" w:sz="1"/>
            </w:tcBorders>
            <w:shd w:fill="001F3F" w:val="clear"/>
          </w:tcPr>
          <w:p>
            <w:pPr>
              <w:jc w:val="center"/>
            </w:pPr>
            <w:r>
              <w:rPr>
                <w:b/>
                <w:bCs/>
                <w:color w:val="FFFFFF"/>
                <w:sz w:val="20"/>
                <w:szCs w:val="20"/>
              </w:rPr>
              <w:t xml:space="preserve">Est. Cost / Doc</w:t>
            </w:r>
          </w:p>
        </w:tc>
        <w:tc>
          <w:tcPr>
            <w:tcW w:type="dxa" w:w="3060"/>
            <w:tcBorders>
              <w:top w:val="single" w:color="D1D5DB" w:sz="1"/>
              <w:left w:val="single" w:color="D1D5DB" w:sz="1"/>
              <w:bottom w:val="single" w:color="D1D5DB" w:sz="1"/>
              <w:right w:val="single" w:color="D1D5DB" w:sz="1"/>
            </w:tcBorders>
            <w:shd w:fill="001F3F" w:val="clear"/>
          </w:tcPr>
          <w:p>
            <w:pPr>
              <w:jc w:val="center"/>
            </w:pPr>
            <w:r>
              <w:rPr>
                <w:b/>
                <w:bCs/>
                <w:color w:val="FFFFFF"/>
                <w:sz w:val="20"/>
                <w:szCs w:val="20"/>
              </w:rPr>
              <w:t xml:space="preserve">Cost Multiplier</w:t>
            </w:r>
          </w:p>
        </w:tc>
      </w:tr>
      <w:tr>
        <w:tc>
          <w:tcPr>
            <w:tcW w:type="dxa" w:w="4200"/>
            <w:tcBorders>
              <w:top w:val="single" w:color="D1D5DB" w:sz="1"/>
              <w:left w:val="single" w:color="D1D5DB" w:sz="1"/>
              <w:bottom w:val="single" w:color="D1D5DB" w:sz="1"/>
              <w:right w:val="single" w:color="D1D5DB" w:sz="1"/>
            </w:tcBorders>
            <w:shd w:fill="F3F4F6" w:val="clear"/>
          </w:tcPr>
          <w:p>
            <w:pPr>
              <w:jc w:val="left"/>
            </w:pPr>
            <w:r>
              <w:rPr>
                <w:b/>
                <w:bCs/>
                <w:color w:val="374151"/>
                <w:sz w:val="20"/>
                <w:szCs w:val="20"/>
              </w:rPr>
              <w:t xml:space="preserve">Current: Single engine (GPT-4o)</w:t>
            </w:r>
          </w:p>
        </w:tc>
        <w:tc>
          <w:tcPr>
            <w:tcW w:type="dxa" w:w="2580"/>
            <w:tcBorders>
              <w:top w:val="single" w:color="D1D5DB" w:sz="1"/>
              <w:left w:val="single" w:color="D1D5DB" w:sz="1"/>
              <w:bottom w:val="single" w:color="D1D5DB" w:sz="1"/>
              <w:right w:val="single" w:color="D1D5DB" w:sz="1"/>
            </w:tcBorders>
            <w:shd w:fill="F3F4F6" w:val="clear"/>
          </w:tcPr>
          <w:p>
            <w:pPr>
              <w:jc w:val="center"/>
            </w:pPr>
            <w:r>
              <w:rPr>
                <w:b w:val="false"/>
                <w:bCs w:val="false"/>
                <w:color w:val="374151"/>
                <w:sz w:val="20"/>
                <w:szCs w:val="20"/>
              </w:rPr>
              <w:t xml:space="preserve">$0.02 - $0.04</w:t>
            </w:r>
          </w:p>
        </w:tc>
        <w:tc>
          <w:tcPr>
            <w:tcW w:type="dxa" w:w="3060"/>
            <w:tcBorders>
              <w:top w:val="single" w:color="D1D5DB" w:sz="1"/>
              <w:left w:val="single" w:color="D1D5DB" w:sz="1"/>
              <w:bottom w:val="single" w:color="D1D5DB" w:sz="1"/>
              <w:right w:val="single" w:color="D1D5DB" w:sz="1"/>
            </w:tcBorders>
            <w:shd w:fill="F3F4F6" w:val="clear"/>
          </w:tcPr>
          <w:p>
            <w:pPr>
              <w:jc w:val="center"/>
            </w:pPr>
            <w:r>
              <w:rPr>
                <w:b w:val="false"/>
                <w:bCs w:val="false"/>
                <w:color w:val="374151"/>
                <w:sz w:val="20"/>
                <w:szCs w:val="20"/>
              </w:rPr>
              <w:t xml:space="preserve">1.0x (baseline)</w:t>
            </w:r>
          </w:p>
        </w:tc>
      </w:tr>
      <w:tr>
        <w:tc>
          <w:tcPr>
            <w:tcW w:type="dxa" w:w="4200"/>
            <w:tcBorders>
              <w:top w:val="single" w:color="D1D5DB" w:sz="1"/>
              <w:left w:val="single" w:color="D1D5DB" w:sz="1"/>
              <w:bottom w:val="single" w:color="D1D5DB" w:sz="1"/>
              <w:right w:val="single" w:color="D1D5DB" w:sz="1"/>
            </w:tcBorders>
            <w:shd w:fill="FFFFFF" w:val="clear"/>
          </w:tcPr>
          <w:p>
            <w:pPr>
              <w:jc w:val="left"/>
            </w:pPr>
            <w:r>
              <w:rPr>
                <w:b w:val="false"/>
                <w:bCs w:val="false"/>
                <w:color w:val="374151"/>
                <w:sz w:val="20"/>
                <w:szCs w:val="20"/>
              </w:rPr>
              <w:t xml:space="preserve">Phase 1: Context + confidence</w:t>
            </w:r>
          </w:p>
        </w:tc>
        <w:tc>
          <w:tcPr>
            <w:tcW w:type="dxa" w:w="2580"/>
            <w:tcBorders>
              <w:top w:val="single" w:color="D1D5DB" w:sz="1"/>
              <w:left w:val="single" w:color="D1D5DB" w:sz="1"/>
              <w:bottom w:val="single" w:color="D1D5DB" w:sz="1"/>
              <w:right w:val="single" w:color="D1D5DB" w:sz="1"/>
            </w:tcBorders>
            <w:shd w:fill="FFFFFF" w:val="clear"/>
          </w:tcPr>
          <w:p>
            <w:pPr>
              <w:jc w:val="center"/>
            </w:pPr>
            <w:r>
              <w:rPr>
                <w:b w:val="false"/>
                <w:bCs w:val="false"/>
                <w:color w:val="374151"/>
                <w:sz w:val="20"/>
                <w:szCs w:val="20"/>
              </w:rPr>
              <w:t xml:space="preserve">$0.03 - $0.05</w:t>
            </w:r>
          </w:p>
        </w:tc>
        <w:tc>
          <w:tcPr>
            <w:tcW w:type="dxa" w:w="3060"/>
            <w:tcBorders>
              <w:top w:val="single" w:color="D1D5DB" w:sz="1"/>
              <w:left w:val="single" w:color="D1D5DB" w:sz="1"/>
              <w:bottom w:val="single" w:color="D1D5DB" w:sz="1"/>
              <w:right w:val="single" w:color="D1D5DB" w:sz="1"/>
            </w:tcBorders>
            <w:shd w:fill="FFFFFF" w:val="clear"/>
          </w:tcPr>
          <w:p>
            <w:pPr>
              <w:jc w:val="center"/>
            </w:pPr>
            <w:r>
              <w:rPr>
                <w:b w:val="false"/>
                <w:bCs w:val="false"/>
                <w:color w:val="374151"/>
                <w:sz w:val="20"/>
                <w:szCs w:val="20"/>
              </w:rPr>
              <w:t xml:space="preserve">~1.2x</w:t>
            </w:r>
          </w:p>
        </w:tc>
      </w:tr>
      <w:tr>
        <w:tc>
          <w:tcPr>
            <w:tcW w:type="dxa" w:w="4200"/>
            <w:tcBorders>
              <w:top w:val="single" w:color="D1D5DB" w:sz="1"/>
              <w:left w:val="single" w:color="D1D5DB" w:sz="1"/>
              <w:bottom w:val="single" w:color="D1D5DB" w:sz="1"/>
              <w:right w:val="single" w:color="D1D5DB" w:sz="1"/>
            </w:tcBorders>
            <w:shd w:fill="F3F4F6" w:val="clear"/>
          </w:tcPr>
          <w:p>
            <w:pPr>
              <w:jc w:val="left"/>
            </w:pPr>
            <w:r>
              <w:rPr>
                <w:b w:val="false"/>
                <w:bCs w:val="false"/>
                <w:color w:val="374151"/>
                <w:sz w:val="20"/>
                <w:szCs w:val="20"/>
              </w:rPr>
              <w:t xml:space="preserve">Phase 2: Dual engine (short segments)</w:t>
            </w:r>
          </w:p>
        </w:tc>
        <w:tc>
          <w:tcPr>
            <w:tcW w:type="dxa" w:w="2580"/>
            <w:tcBorders>
              <w:top w:val="single" w:color="D1D5DB" w:sz="1"/>
              <w:left w:val="single" w:color="D1D5DB" w:sz="1"/>
              <w:bottom w:val="single" w:color="D1D5DB" w:sz="1"/>
              <w:right w:val="single" w:color="D1D5DB" w:sz="1"/>
            </w:tcBorders>
            <w:shd w:fill="F3F4F6" w:val="clear"/>
          </w:tcPr>
          <w:p>
            <w:pPr>
              <w:jc w:val="center"/>
            </w:pPr>
            <w:r>
              <w:rPr>
                <w:b w:val="false"/>
                <w:bCs w:val="false"/>
                <w:color w:val="374151"/>
                <w:sz w:val="20"/>
                <w:szCs w:val="20"/>
              </w:rPr>
              <w:t xml:space="preserve">$0.05 - $0.07</w:t>
            </w:r>
          </w:p>
        </w:tc>
        <w:tc>
          <w:tcPr>
            <w:tcW w:type="dxa" w:w="3060"/>
            <w:tcBorders>
              <w:top w:val="single" w:color="D1D5DB" w:sz="1"/>
              <w:left w:val="single" w:color="D1D5DB" w:sz="1"/>
              <w:bottom w:val="single" w:color="D1D5DB" w:sz="1"/>
              <w:right w:val="single" w:color="D1D5DB" w:sz="1"/>
            </w:tcBorders>
            <w:shd w:fill="F3F4F6" w:val="clear"/>
          </w:tcPr>
          <w:p>
            <w:pPr>
              <w:jc w:val="center"/>
            </w:pPr>
            <w:r>
              <w:rPr>
                <w:b w:val="false"/>
                <w:bCs w:val="false"/>
                <w:color w:val="374151"/>
                <w:sz w:val="20"/>
                <w:szCs w:val="20"/>
              </w:rPr>
              <w:t xml:space="preserve">~1.5 - 1.8x</w:t>
            </w:r>
          </w:p>
        </w:tc>
      </w:tr>
      <w:tr>
        <w:tc>
          <w:tcPr>
            <w:tcW w:type="dxa" w:w="4200"/>
            <w:tcBorders>
              <w:top w:val="single" w:color="D1D5DB" w:sz="1"/>
              <w:left w:val="single" w:color="D1D5DB" w:sz="1"/>
              <w:bottom w:val="single" w:color="D1D5DB" w:sz="1"/>
              <w:right w:val="single" w:color="D1D5DB" w:sz="1"/>
            </w:tcBorders>
            <w:shd w:fill="FFFFFF" w:val="clear"/>
          </w:tcPr>
          <w:p>
            <w:pPr>
              <w:jc w:val="left"/>
            </w:pPr>
            <w:r>
              <w:rPr>
                <w:b w:val="false"/>
                <w:bCs w:val="false"/>
                <w:color w:val="374151"/>
                <w:sz w:val="20"/>
                <w:szCs w:val="20"/>
              </w:rPr>
              <w:t xml:space="preserve">Full stack (all strategies active)</w:t>
            </w:r>
          </w:p>
        </w:tc>
        <w:tc>
          <w:tcPr>
            <w:tcW w:type="dxa" w:w="2580"/>
            <w:tcBorders>
              <w:top w:val="single" w:color="D1D5DB" w:sz="1"/>
              <w:left w:val="single" w:color="D1D5DB" w:sz="1"/>
              <w:bottom w:val="single" w:color="D1D5DB" w:sz="1"/>
              <w:right w:val="single" w:color="D1D5DB" w:sz="1"/>
            </w:tcBorders>
            <w:shd w:fill="FFFFFF" w:val="clear"/>
          </w:tcPr>
          <w:p>
            <w:pPr>
              <w:jc w:val="center"/>
            </w:pPr>
            <w:r>
              <w:rPr>
                <w:b w:val="false"/>
                <w:bCs w:val="false"/>
                <w:color w:val="374151"/>
                <w:sz w:val="20"/>
                <w:szCs w:val="20"/>
              </w:rPr>
              <w:t xml:space="preserve">$0.06 - $0.10</w:t>
            </w:r>
          </w:p>
        </w:tc>
        <w:tc>
          <w:tcPr>
            <w:tcW w:type="dxa" w:w="3060"/>
            <w:tcBorders>
              <w:top w:val="single" w:color="D1D5DB" w:sz="1"/>
              <w:left w:val="single" w:color="D1D5DB" w:sz="1"/>
              <w:bottom w:val="single" w:color="D1D5DB" w:sz="1"/>
              <w:right w:val="single" w:color="D1D5DB" w:sz="1"/>
            </w:tcBorders>
            <w:shd w:fill="FFFFFF" w:val="clear"/>
          </w:tcPr>
          <w:p>
            <w:pPr>
              <w:jc w:val="center"/>
            </w:pPr>
            <w:r>
              <w:rPr>
                <w:b w:val="false"/>
                <w:bCs w:val="false"/>
                <w:color w:val="374151"/>
                <w:sz w:val="20"/>
                <w:szCs w:val="20"/>
              </w:rPr>
              <w:t xml:space="preserve">~2.0 - 2.5x</w:t>
            </w:r>
          </w:p>
        </w:tc>
      </w:tr>
    </w:tbl>
    <w:p>
      <w:pPr>
        <w:spacing w:before="200"/>
      </w:pPr>
    </w:p>
    <w:p>
      <w:pPr>
        <w:shd w:fill="FDF8EC" w:val="clear"/>
        <w:spacing w:after="100"/>
        <w:ind w:left="360" w:right="360"/>
      </w:pPr>
      <w:r>
        <w:rPr>
          <w:b/>
          <w:bCs/>
          <w:color w:val="001F3F"/>
          <w:sz w:val="22"/>
          <w:szCs w:val="22"/>
        </w:rPr>
        <w:t xml:space="preserve">Key Insight: </w:t>
      </w:r>
      <w:r>
        <w:rPr>
          <w:color w:val="374151"/>
          <w:sz w:val="22"/>
          <w:szCs w:val="22"/>
        </w:rPr>
        <w:t xml:space="preserve">Even with all ten strategies fully active, the AI cost per document remains under $0.10. For context, the typical MTPE project charges the client $50-200+ for a 3,000-word document. The AI quality layer costs represent less than 0.1% of the project revenue while potentially reducing linguist review time by 20-40%.</w:t>
      </w:r>
    </w:p>
    <w:p>
      <w:r>
        <w:br w:type="page"/>
      </w:r>
    </w:p>
    <w:p>
      <w:pPr>
        <w:pStyle w:val="Heading1"/>
      </w:pPr>
      <w:r>
        <w:t xml:space="preserve">Risk Mitigation</w:t>
      </w:r>
    </w:p>
    <w:p>
      <w:pPr>
        <w:spacing w:after="200"/>
      </w:pPr>
      <w:r>
        <w:rPr>
          <w:color w:val="374151"/>
          <w:sz w:val="22"/>
          <w:szCs w:val="22"/>
        </w:rPr>
        <w:t xml:space="preserve">A natural concern with any multi-engine strategy is vendor dependency. This section addresses the key risks and the architectural safeguards built into AITH.</w:t>
      </w:r>
    </w:p>
    <w:p>
      <w:pPr>
        <w:pStyle w:val="Heading2"/>
      </w:pPr>
      <w:r>
        <w:t xml:space="preserve">Engine-Agnostic Architecture</w:t>
      </w:r>
    </w:p>
    <w:p>
      <w:pPr>
        <w:spacing w:after="160"/>
      </w:pPr>
      <w:r>
        <w:rPr>
          <w:color w:val="374151"/>
          <w:sz w:val="22"/>
          <w:szCs w:val="22"/>
        </w:rPr>
        <w:t xml:space="preserve">AITH is designed with a provider-agnostic translation layer. Each AI engine (OpenAI, Claude, DeepL, or any future provider) connects through a standardized interface: source text goes in, translated text comes out. The engine selection is a configuration setting, not a structural dependency. Replacing one engine with another requires minimal development effort (typically one day), not a system rebuild.</w:t>
      </w:r>
    </w:p>
    <w:p>
      <w:pPr>
        <w:pStyle w:val="Heading2"/>
      </w:pPr>
      <w:r>
        <w:t xml:space="preserve">What If an AI Provider Discontinues Service?</w:t>
      </w:r>
    </w:p>
    <w:p>
      <w:pPr>
        <w:spacing w:after="120"/>
      </w:pPr>
      <w:r>
        <w:rPr>
          <w:color w:val="374151"/>
          <w:sz w:val="22"/>
          <w:szCs w:val="22"/>
        </w:rPr>
        <w:t xml:space="preserve">If any single AI engine provider were to cease operations or discontinue their API:</w:t>
      </w:r>
    </w:p>
    <w:p>
      <w:pPr>
        <w:pStyle w:val="ListParagraph"/>
        <w:numPr>
          <w:ilvl w:val="0"/>
          <w:numId w:val="2"/>
        </w:numPr>
        <w:spacing w:after="60"/>
      </w:pPr>
      <w:r>
        <w:rPr>
          <w:b/>
          <w:bCs/>
        </w:rPr>
        <w:t xml:space="preserve">Immediate fallback: </w:t>
      </w:r>
      <w:r>
        <w:t xml:space="preserve">AITH automatically routes all traffic to the remaining active engine(s). Translation continues without interruption.</w:t>
      </w:r>
    </w:p>
    <w:p>
      <w:pPr>
        <w:pStyle w:val="ListParagraph"/>
        <w:numPr>
          <w:ilvl w:val="0"/>
          <w:numId w:val="2"/>
        </w:numPr>
        <w:spacing w:after="60"/>
      </w:pPr>
      <w:r>
        <w:rPr>
          <w:b/>
          <w:bCs/>
        </w:rPr>
        <w:t xml:space="preserve">Rapid replacement: </w:t>
      </w:r>
      <w:r>
        <w:t xml:space="preserve">A new engine can be integrated within one business day due to the standardized interface. The AI translation market offers numerous alternatives: Google Gemini, Meta Llama, Mistral, Cohere, Amazon Bedrock, and others.</w:t>
      </w:r>
    </w:p>
    <w:p>
      <w:pPr>
        <w:pStyle w:val="ListParagraph"/>
        <w:numPr>
          <w:ilvl w:val="0"/>
          <w:numId w:val="2"/>
        </w:numPr>
        <w:spacing w:after="60"/>
      </w:pPr>
      <w:r>
        <w:rPr>
          <w:b/>
          <w:bCs/>
        </w:rPr>
        <w:t xml:space="preserve">No data loss: </w:t>
      </w:r>
      <w:r>
        <w:t xml:space="preserve">All Translation Memory, correction patterns, client style profiles, glossaries, and MTPE history are stored in AITH's own database, completely independent of any engine provider. These assets are never at risk regardless of provider changes.</w:t>
      </w:r>
    </w:p>
    <w:p>
      <w:pPr>
        <w:pStyle w:val="ListParagraph"/>
        <w:numPr>
          <w:ilvl w:val="0"/>
          <w:numId w:val="2"/>
        </w:numPr>
        <w:spacing w:after="200"/>
      </w:pPr>
      <w:r>
        <w:rPr>
          <w:b/>
          <w:bCs/>
        </w:rPr>
        <w:t xml:space="preserve">Quality continuity: </w:t>
      </w:r>
      <w:r>
        <w:t xml:space="preserve">The quality advantages described in this roadmap (back-translation, confidence scoring, correction learning, etc.) are AITH capabilities, not engine capabilities. They work with any engine that produces competent translations.</w:t>
      </w:r>
    </w:p>
    <w:p>
      <w:pPr>
        <w:pStyle w:val="Heading2"/>
      </w:pPr>
      <w:r>
        <w:t xml:space="preserve">Multi-Engine Reduces Risk, Not Increases It</w:t>
      </w:r>
    </w:p>
    <w:p>
      <w:pPr>
        <w:spacing w:after="160"/>
      </w:pPr>
      <w:r>
        <w:rPr>
          <w:color w:val="374151"/>
          <w:sz w:val="22"/>
          <w:szCs w:val="22"/>
        </w:rPr>
        <w:t xml:space="preserve">Counterintuitively, the multi-engine approach reduces vendor dependency risk compared to a single-engine strategy. A single-engine architecture creates a single point of failure: if that provider experiences an outage, raises prices significantly, or degrades quality, the entire workflow is affected. With multiple engines already integrated, AITH can dynamically shift workload between providers based on availability, cost, and quality performance.</w:t>
      </w:r>
    </w:p>
    <w:p>
      <w:pPr>
        <w:pStyle w:val="Heading2"/>
      </w:pPr>
      <w:r>
        <w:t xml:space="preserve">Market Trajectory Favors This Approach</w:t>
      </w:r>
    </w:p>
    <w:p>
      <w:pPr>
        <w:spacing w:after="160"/>
      </w:pPr>
      <w:r>
        <w:rPr>
          <w:color w:val="374151"/>
          <w:sz w:val="22"/>
          <w:szCs w:val="22"/>
        </w:rPr>
        <w:t xml:space="preserve">The AI language model market is experiencing rapid growth and increasing competition, not consolidation. New providers and models are launching regularly, with each generation improving quality and reducing cost. The risk of all providers simultaneously disappearing is effectively zero. More realistically, EPIC will have more engine options in the future, not fewer, making the engine-agnostic architecture increasingly valuable over time.</w:t>
      </w:r>
    </w:p>
    <w:p>
      <w:pPr>
        <w:shd w:fill="FDF8EC" w:val="clear"/>
        <w:spacing w:after="100"/>
        <w:ind w:left="360" w:right="360"/>
      </w:pPr>
      <w:r>
        <w:rPr>
          <w:b/>
          <w:bCs/>
          <w:color w:val="001F3F"/>
          <w:sz w:val="22"/>
          <w:szCs w:val="22"/>
        </w:rPr>
        <w:t xml:space="preserve">Bottom Line: </w:t>
      </w:r>
      <w:r>
        <w:rPr>
          <w:color w:val="374151"/>
          <w:sz w:val="22"/>
          <w:szCs w:val="22"/>
        </w:rPr>
        <w:t xml:space="preserve">The valuable intellectual property in AITH is not the AI engines themselves — it is the Translation Memory, correction patterns, client profiles, quality workflows, and the MTPE platform built around them. The engines are interchangeable commodities. AITH owns the intelligence layer; the engines are hired labor.</w:t>
      </w:r>
    </w:p>
    <w:p>
      <w:r>
        <w:br w:type="page"/>
      </w:r>
    </w:p>
    <w:p>
      <w:pPr>
        <w:pStyle w:val="Heading1"/>
      </w:pPr>
      <w:r>
        <w:t xml:space="preserve">Conclusion</w:t>
      </w:r>
    </w:p>
    <w:p>
      <w:pPr>
        <w:spacing w:after="200"/>
      </w:pPr>
      <w:r>
        <w:rPr>
          <w:color w:val="374151"/>
          <w:sz w:val="22"/>
          <w:szCs w:val="22"/>
        </w:rPr>
        <w:t xml:space="preserve">The ten strategies presented in this document represent a comprehensive approach to establishing AI Translation Hub as the quality leader in the AI-powered translation industry. The key advantages of this roadmap are:</w:t>
      </w:r>
    </w:p>
    <w:p>
      <w:pPr>
        <w:pStyle w:val="ListParagraph"/>
        <w:numPr>
          <w:ilvl w:val="0"/>
          <w:numId w:val="2"/>
        </w:numPr>
        <w:spacing w:after="80"/>
      </w:pPr>
      <w:r>
        <w:rPr>
          <w:b/>
          <w:bCs/>
        </w:rPr>
        <w:t xml:space="preserve">Low Cost, High Impact: </w:t>
      </w:r>
      <w:r>
        <w:t xml:space="preserve">Even the most aggressive configuration adds less than $0.10 per document in AI costs, while the quality improvements justify premium pricing</w:t>
      </w:r>
    </w:p>
    <w:p>
      <w:pPr>
        <w:pStyle w:val="ListParagraph"/>
        <w:numPr>
          <w:ilvl w:val="0"/>
          <w:numId w:val="2"/>
        </w:numPr>
        <w:spacing w:after="80"/>
      </w:pPr>
      <w:r>
        <w:rPr>
          <w:b/>
          <w:bCs/>
        </w:rPr>
        <w:t xml:space="preserve">Genuine Differentiation: </w:t>
      </w:r>
      <w:r>
        <w:t xml:space="preserve">These strategies go beyond what Smartcat, Phrase, MemoQ, Trados, or any other CAT tool currently offers, creating competitive advantages that are difficult to replicate</w:t>
      </w:r>
    </w:p>
    <w:p>
      <w:pPr>
        <w:pStyle w:val="ListParagraph"/>
        <w:numPr>
          <w:ilvl w:val="0"/>
          <w:numId w:val="2"/>
        </w:numPr>
        <w:spacing w:after="80"/>
      </w:pPr>
      <w:r>
        <w:rPr>
          <w:b/>
          <w:bCs/>
        </w:rPr>
        <w:t xml:space="preserve">Compounding Returns: </w:t>
      </w:r>
      <w:r>
        <w:t xml:space="preserve">Strategies like Correction Pattern Learning and Client Style Cloning create systems that improve with every project, building an increasingly valuable data asset</w:t>
      </w:r>
    </w:p>
    <w:p>
      <w:pPr>
        <w:pStyle w:val="ListParagraph"/>
        <w:numPr>
          <w:ilvl w:val="0"/>
          <w:numId w:val="2"/>
        </w:numPr>
        <w:spacing w:after="80"/>
      </w:pPr>
      <w:r>
        <w:rPr>
          <w:b/>
          <w:bCs/>
        </w:rPr>
        <w:t xml:space="preserve">Scalable Architecture: </w:t>
      </w:r>
      <w:r>
        <w:t xml:space="preserve">All strategies leverage existing API infrastructure with no hardware investment, and can be enabled or disabled per client or project</w:t>
      </w:r>
    </w:p>
    <w:p>
      <w:pPr>
        <w:pStyle w:val="ListParagraph"/>
        <w:numPr>
          <w:ilvl w:val="0"/>
          <w:numId w:val="2"/>
        </w:numPr>
        <w:spacing w:after="200"/>
      </w:pPr>
      <w:r>
        <w:rPr>
          <w:b/>
          <w:bCs/>
        </w:rPr>
        <w:t xml:space="preserve">Marketable Without Revealing Methods: </w:t>
      </w:r>
      <w:r>
        <w:t xml:space="preserve">The quality improvements can be marketed as 'multi-layer AI quality assurance' or 'neural verification technology' without disclosing the specific implementation approach</w:t>
      </w:r>
    </w:p>
    <w:p>
      <w:pPr>
        <w:spacing w:after="200"/>
      </w:pPr>
      <w:r>
        <w:rPr>
          <w:color w:val="374151"/>
          <w:sz w:val="22"/>
          <w:szCs w:val="22"/>
        </w:rPr>
        <w:t xml:space="preserve">The recommended approach is to begin with Phase 1 immediately, as it requires minimal development effort and delivers measurable quality improvements. Phase 2 and Phase 3 can be planned and budgeted based on the results and feedback from Phase 1 deployments.</w:t>
      </w:r>
    </w:p>
    <w:p>
      <w:pPr>
        <w:spacing w:before="600"/>
      </w:pPr>
    </w:p>
    <w:p>
      <w:pPr>
        <w:spacing w:after="40"/>
        <w:jc w:val="center"/>
      </w:pPr>
      <w:r>
        <w:rPr>
          <w:color w:val="D1D5DB"/>
          <w:sz w:val="16"/>
          <w:szCs w:val="16"/>
        </w:rPr>
        <w:t xml:space="preserve">──────────────────────────────</w:t>
      </w:r>
    </w:p>
    <w:p>
      <w:pPr>
        <w:spacing w:after="40"/>
        <w:jc w:val="center"/>
      </w:pPr>
      <w:r>
        <w:rPr>
          <w:i/>
          <w:iCs/>
          <w:color w:val="6B7280"/>
          <w:sz w:val="20"/>
          <w:szCs w:val="20"/>
        </w:rPr>
        <w:t xml:space="preserve">Prepared for EPIC Translations Leadership</w:t>
      </w:r>
    </w:p>
    <w:p>
      <w:pPr>
        <w:jc w:val="center"/>
      </w:pPr>
      <w:r>
        <w:rPr>
          <w:i/>
          <w:iCs/>
          <w:color w:val="6B7280"/>
          <w:sz w:val="20"/>
          <w:szCs w:val="20"/>
        </w:rPr>
        <w:t xml:space="preserve">AI Translation Hub · June 2026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EPIC Translations  ·  AI Translation Hub  ·  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Georgia" w:cs="Georgia" w:eastAsia="Georgia" w:hAnsi="Georgia"/>
        <w:i/>
        <w:iCs/>
        <w:color w:val="6B7280"/>
        <w:sz w:val="16"/>
        <w:szCs w:val="16"/>
      </w:rPr>
      <w:t xml:space="preserve">AITH Quality Innovation Roadmap</w:t>
    </w:r>
    <w:r>
      <w:rPr>
        <w:color w:val="D1D5DB"/>
        <w:sz w:val="16"/>
        <w:szCs w:val="16"/>
      </w:rPr>
      <w:t xml:space="preserve">  |  </w:t>
    </w:r>
    <w:r>
      <w:rPr>
        <w:b/>
        <w:bCs/>
        <w:color w:val="DC2626"/>
        <w:sz w:val="14"/>
        <w:szCs w:val="14"/>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Georgia" w:cs="Georgia" w:eastAsia="Georgia" w:hAnsi="Georgia"/>
      <w:b/>
      <w:bCs/>
      <w:color w:val="001F3F"/>
      <w:sz w:val="56"/>
      <w:szCs w:val="56"/>
    </w:rPr>
  </w:style>
  <w:style w:type="paragraph" w:styleId="Heading1">
    <w:name w:val="Heading 1"/>
    <w:basedOn w:val="Normal"/>
    <w:next w:val="Normal"/>
    <w:qFormat/>
    <w:pPr>
      <w:spacing w:after="200" w:before="360"/>
      <w:outlineLvl w:val="0"/>
    </w:pPr>
    <w:rPr>
      <w:rFonts w:ascii="Georgia" w:cs="Georgia" w:eastAsia="Georgia" w:hAnsi="Georgia"/>
      <w:b/>
      <w:bCs/>
      <w:color w:val="001F3F"/>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001F3F"/>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B894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2026-06-02T15:41:15.258Z</dcterms:created>
  <dcterms:modified xsi:type="dcterms:W3CDTF">2026-06-02T15:41:15.258Z</dcterms:modified>
</cp:coreProperties>
</file>

<file path=docProps/custom.xml><?xml version="1.0" encoding="utf-8"?>
<Properties xmlns="http://schemas.openxmlformats.org/officeDocument/2006/custom-properties" xmlns:vt="http://schemas.openxmlformats.org/officeDocument/2006/docPropsVTypes"/>
</file>