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A2-M05 Answer key: Food, health and wellbeing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Everyday English</w:t>
      </w:r>
    </w:p>
    <w:p>
      <w:r>
        <w:t>Level: A2</w:t>
      </w:r>
    </w:p>
    <w:p>
      <w:r>
        <w:t>Module: A2-M05 - Food, health and wellbeing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connected simple sentences, familiar topics, guided questions and controlled practice.</w:t>
      </w:r>
    </w:p>
    <w:p>
      <w:r>
        <w:rPr>
          <w:b/>
          <w:color w:val="071B3A"/>
          <w:sz w:val="26"/>
        </w:rPr>
        <w:t>Answer key</w:t>
      </w:r>
    </w:p>
    <w:p>
      <w:r>
        <w:t>Vocabulary items: food groups, symptoms, healthy habits, advice, health, wellbeing, meals, choices, wellness, appointments.</w:t>
      </w:r>
    </w:p>
    <w:p>
      <w:r>
        <w:t>Target grammar: modals should/must/have to.</w:t>
      </w:r>
    </w:p>
    <w:p>
      <w:r>
        <w:t>Target function: compare options.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