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Answer key: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food groups, symptoms, healthy habits, advice, health, wellbeing, meals, choices, wellness, appointments.</w:t>
      </w:r>
    </w:p>
    <w:p>
      <w:r>
        <w:t>Target grammar: relative clauses.</w:t>
      </w:r>
    </w:p>
    <w:p>
      <w:r>
        <w:t>Target function: handle travel and service situations.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