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C2-M05 Reading text: Food, health and wellbeing</w:t>
      </w:r>
    </w:p>
    <w:p>
      <w:pPr>
        <w:jc w:val="center"/>
      </w:pPr>
      <w:r>
        <w:rPr>
          <w:b/>
          <w:color w:val="505C6E"/>
          <w:sz w:val="18"/>
        </w:rPr>
        <w:t>London English Academy - British English - Global Learning</w:t>
      </w:r>
    </w:p>
    <w:p>
      <w:r>
        <w:rPr>
          <w:b/>
          <w:color w:val="071B3A"/>
          <w:sz w:val="26"/>
        </w:rPr>
        <w:t>Resource identity</w:t>
      </w:r>
    </w:p>
    <w:p>
      <w:r>
        <w:t>Course: Mastery English</w:t>
      </w:r>
    </w:p>
    <w:p>
      <w:r>
        <w:t>Level: C2</w:t>
      </w:r>
    </w:p>
    <w:p>
      <w:r>
        <w:t>Module: C2-M05 - Food, health and wellbeing</w:t>
      </w:r>
    </w:p>
    <w:p>
      <w:r>
        <w:t>Resource type: Reading text</w:t>
      </w:r>
    </w:p>
    <w:p>
      <w:r>
        <w:t>Adaptive use: core/remediation/extension depending on score</w:t>
      </w:r>
    </w:p>
    <w:p>
      <w:r>
        <w:t>Learner expectation: near-native precision, flexible register, independent research, critique and publication-quality output.</w:t>
      </w:r>
    </w:p>
    <w:p>
      <w:r>
        <w:rPr>
          <w:b/>
          <w:color w:val="071B3A"/>
          <w:sz w:val="26"/>
        </w:rPr>
        <w:t>Reading text</w:t>
      </w:r>
    </w:p>
    <w:p>
      <w:r>
        <w:t>In this lesson, learners explore food, health and wellbeing.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