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decodable reader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decodable reader</w:t>
      </w:r>
    </w:p>
    <w:p>
      <w:r>
        <w:t>Resource type: decodable reader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decodable reader supports grade 3 decodable reader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