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1"/>
                    <a:stretch>
                      <a:fillRect/>
                    </a:stretch>
                  </pic:blipFill>
                  <pic:spPr>
                    <a:xfrm>
                      <a:off x="0" y="0"/>
                      <a:ext cx="960120" cy="960120"/>
                    </a:xfrm>
                    <a:prstGeom prst="rect"/>
                  </pic:spPr>
                </pic:pic>
              </a:graphicData>
            </a:graphic>
          </wp:inline>
        </w:drawing>
      </w:r>
    </w:p>
    <w:p>
      <w:pPr>
        <w:jc w:val="center"/>
      </w:pPr>
      <w:r>
        <w:rPr>
          <w:b/>
          <w:color w:val="163A4D"/>
          <w:sz w:val="40"/>
        </w:rPr>
        <w:t>C03 Downloadable Professional Resource Pack</w:t>
      </w:r>
    </w:p>
    <w:p>
      <w:pPr>
        <w:jc w:val="center"/>
      </w:pPr>
      <w:r>
        <w:rPr>
          <w:color w:val="1F7A5C"/>
          <w:sz w:val="20"/>
        </w:rPr>
        <w:t>Phenomenon-Based, Project-Based and Interdisciplinary Learning</w:t>
      </w:r>
    </w:p>
    <w:tbl>
      <w:tblPr>
        <w:tblW w:type="auto" w:w="0"/>
        <w:jc w:val="center"/>
        <w:tblLook w:firstColumn="1" w:firstRow="1" w:lastColumn="0" w:lastRow="0" w:noHBand="0" w:noVBand="1" w:val="04A0"/>
      </w:tblPr>
      <w:tblGrid>
        <w:gridCol w:w="10656"/>
      </w:tblGrid>
      <w:tr>
        <w:tc>
          <w:tcPr>
            <w:tcW w:type="dxa" w:w="10656"/>
            <w:shd w:fill="F7FBF9"/>
            <w:vAlign w:val="top"/>
          </w:tcPr>
          <w:p>
            <w:pPr>
              <w:spacing w:after="0"/>
            </w:pPr>
            <w:r/>
            <w:r>
              <w:rPr>
                <w:rFonts w:ascii="Arial" w:hAnsi="Arial"/>
                <w:b/>
                <w:color w:val="163A4D"/>
                <w:sz w:val="18"/>
              </w:rPr>
              <w:t>Finnish-inspired - EDUFI-aligned - FINEEC-benchmarked</w:t>
              <w:br/>
              <w:t>Digital professional learning platform</w:t>
              <w:br/>
              <w:t>Email: hello@fcei.eu | Website: www.fcei.eu</w:t>
            </w:r>
          </w:p>
        </w:tc>
      </w:tr>
    </w:tbl>
    <w:p/>
    <w:p>
      <w:pPr>
        <w:pStyle w:val="Heading1"/>
      </w:pPr>
      <w:r>
        <w:t>Course resource purpose</w:t>
      </w:r>
    </w:p>
    <w:p>
      <w:r>
        <w:t>This course-level downloadable pack upgrades the FCEI resources for Phenomenon-Based, Project-Based and Interdisciplinary Learning. It is designed for learner use, facilitator guidance, institutional implementation and developer integration on www.fcei.eu.</w:t>
      </w:r>
    </w:p>
    <w:p>
      <w:r>
        <w:t>Framework focus: phenomenon-based learning. Core terminology: interdisciplinary inquiry, project work, collaboration and transversal competence.</w:t>
      </w:r>
    </w:p>
    <w:p>
      <w:pPr>
        <w:pStyle w:val="Heading1"/>
      </w:pPr>
      <w:r>
        <w:t>Professional framing used in every resource</w:t>
      </w:r>
    </w:p>
    <w:p>
      <w:r>
        <w:t>OKM / Ministry of Education and Culture: system development, public responsibility, education quality, institutional direction and policy-aware improvement.</w:t>
      </w:r>
    </w:p>
    <w:p>
      <w:r>
        <w:t>EDUFI: curriculum as a common foundation for equality, local adaptation, school culture, pedagogy, teaching support and learner experience.</w:t>
      </w:r>
    </w:p>
    <w:p>
      <w:r>
        <w:t>FINEEC: enhancement-led evaluation, participation, trust, learning, appreciation, strengths, development targets and impact.</w:t>
      </w:r>
    </w:p>
    <w:p>
      <w:pPr>
        <w:pStyle w:val="Heading1"/>
      </w:pPr>
      <w:r>
        <w:t>Module downloadables</w:t>
      </w:r>
    </w:p>
    <w:p>
      <w:pPr>
        <w:pStyle w:val="Heading2"/>
      </w:pPr>
      <w:r>
        <w:t>C03-M01 - Phenomenon-Based Learning Foundations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Phenomenon-Based Learning Foundations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Phenomenon-Based Learning Foundations within Phenomenon-Based, Project-Based and Interdisciplinary Learning.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Phenomenon-Based Learning Foundations,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project inquiry map, collaborative role plan and learner product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phenomenon-based learning foundations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Phenomenon-Based Learning Foundations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Phenomenon-Based Learning Foundations - Professional Downloadable Toolkit, includes evidence connected to project inquiry map, collaborative role plan and learner product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C03-M02 - Project Question and Inquiry Design</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Project Question and Inquiry Design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Project Question and Inquiry Design within Phenomenon-Based, Project-Based and Interdisciplinary Learning.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Project Question and Inquiry Design,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project inquiry map, collaborative role plan and learner product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project question and inquiry design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Project Question and Inquiry Design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Project Question and Inquiry Design - Professional Downloadable Toolkit, includes evidence connected to project inquiry map, collaborative role plan and learner product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C03-M03 - Interdisciplinary Planning Map</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Interdisciplinary Planning Map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Interdisciplinary Planning Map within Phenomenon-Based, Project-Based and Interdisciplinary Learning.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Interdisciplinary Planning Map,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project inquiry map, collaborative role plan and learner product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interdisciplinary planning map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Interdisciplinary Planning Map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Interdisciplinary Planning Map - Professional Downloadable Toolkit, includes evidence connected to project inquiry map, collaborative role plan and learner product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C03-M04 - Collaborative Project Roles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Collaborative Project Roles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Collaborative Project Roles within Phenomenon-Based, Project-Based and Interdisciplinary Learning.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Collaborative Project Roles,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project inquiry map, collaborative role plan and learner product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collaborative project roles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Collaborative Project Roles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Collaborative Project Roles - Professional Downloadable Toolkit, includes evidence connected to project inquiry map, collaborative role plan and learner product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C03-M05 - Presentation, Reflection and Transfer</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Presentation, Reflection and Transfer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Presentation, Reflection and Transfer within Phenomenon-Based, Project-Based and Interdisciplinary Learning.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Presentation, Reflection and Transfer,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project inquiry map, collaborative role plan and learner product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presentation, reflection and transfer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Presentation, Reflection and Transfer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Presentation, Reflection and Transfer - Professional Downloadable Toolkit, includes evidence connected to project inquiry map, collaborative role plan and learner product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2"/>
      </w:pPr>
      <w:r>
        <w:t>C03-M06 - Project Evidence Portfolio</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FF4FF"/>
          </w:tcPr>
          <w:p>
            <w:pPr>
              <w:spacing w:after="0"/>
            </w:pPr>
            <w:r/>
            <w:r>
              <w:rPr>
                <w:rFonts w:ascii="Arial" w:hAnsi="Arial"/>
                <w:b/>
                <w:color w:val="163A4D"/>
                <w:sz w:val="14"/>
              </w:rPr>
              <w:t>Downloadable resource</w:t>
            </w:r>
          </w:p>
        </w:tc>
        <w:tc>
          <w:tcPr>
            <w:tcW w:type="dxa" w:w="5328"/>
            <w:vAlign w:val="top"/>
          </w:tcPr>
          <w:p>
            <w:pPr>
              <w:spacing w:after="0"/>
            </w:pPr>
            <w:r/>
            <w:r>
              <w:rPr>
                <w:rFonts w:ascii="Arial" w:hAnsi="Arial"/>
                <w:b w:val="0"/>
                <w:sz w:val="14"/>
              </w:rPr>
              <w:t>Project Evidence Portfolio - Professional Downloadable Toolkit</w:t>
            </w:r>
          </w:p>
        </w:tc>
      </w:tr>
      <w:tr>
        <w:tc>
          <w:tcPr>
            <w:tcW w:type="dxa" w:w="5328"/>
            <w:vAlign w:val="top"/>
            <w:shd w:fill="DFF4FF"/>
          </w:tcPr>
          <w:p>
            <w:pPr>
              <w:spacing w:after="0"/>
            </w:pPr>
            <w:r/>
            <w:r>
              <w:rPr>
                <w:rFonts w:ascii="Arial" w:hAnsi="Arial"/>
                <w:b/>
                <w:color w:val="163A4D"/>
                <w:sz w:val="14"/>
              </w:rPr>
              <w:t>Short explanation</w:t>
            </w:r>
          </w:p>
        </w:tc>
        <w:tc>
          <w:tcPr>
            <w:tcW w:type="dxa" w:w="5328"/>
            <w:vAlign w:val="top"/>
          </w:tcPr>
          <w:p>
            <w:pPr>
              <w:spacing w:after="0"/>
            </w:pPr>
            <w:r/>
            <w:r>
              <w:rPr>
                <w:rFonts w:ascii="Arial" w:hAnsi="Arial"/>
                <w:b w:val="0"/>
                <w:sz w:val="14"/>
              </w:rPr>
              <w:t>This downloadable toolkit supports Project Evidence Portfolio within Phenomenon-Based, Project-Based and Interdisciplinary Learning. It helps participants translate Finnish education principles into a reusable professional artefact, not simply complete a reading activity.</w:t>
            </w:r>
          </w:p>
        </w:tc>
      </w:tr>
      <w:tr>
        <w:tc>
          <w:tcPr>
            <w:tcW w:type="dxa" w:w="5328"/>
            <w:vAlign w:val="top"/>
            <w:shd w:fill="DFF4FF"/>
          </w:tcPr>
          <w:p>
            <w:pPr>
              <w:spacing w:after="0"/>
            </w:pPr>
            <w:r/>
            <w:r>
              <w:rPr>
                <w:rFonts w:ascii="Arial" w:hAnsi="Arial"/>
                <w:b/>
                <w:color w:val="163A4D"/>
                <w:sz w:val="14"/>
              </w:rPr>
              <w:t>OKM framing</w:t>
            </w:r>
          </w:p>
        </w:tc>
        <w:tc>
          <w:tcPr>
            <w:tcW w:type="dxa" w:w="5328"/>
            <w:vAlign w:val="top"/>
          </w:tcPr>
          <w:p>
            <w:pPr>
              <w:spacing w:after="0"/>
            </w:pPr>
            <w:r/>
            <w:r>
              <w:rPr>
                <w:rFonts w:ascii="Arial" w:hAnsi="Arial"/>
                <w:b w:val="0"/>
                <w:sz w:val="14"/>
              </w:rPr>
              <w:t>The resource connects classroom, leadership and institutional development to the wider Ministry of Education and Culture policy context: education improvement should be planned as part of system development, quality, inclusion, research-informed practice and public responsibility.</w:t>
            </w:r>
          </w:p>
        </w:tc>
      </w:tr>
      <w:tr>
        <w:tc>
          <w:tcPr>
            <w:tcW w:type="dxa" w:w="5328"/>
            <w:vAlign w:val="top"/>
            <w:shd w:fill="DFF4FF"/>
          </w:tcPr>
          <w:p>
            <w:pPr>
              <w:spacing w:after="0"/>
            </w:pPr>
            <w:r/>
            <w:r>
              <w:rPr>
                <w:rFonts w:ascii="Arial" w:hAnsi="Arial"/>
                <w:b/>
                <w:color w:val="163A4D"/>
                <w:sz w:val="14"/>
              </w:rPr>
              <w:t>EDUFI-aligned framing</w:t>
            </w:r>
          </w:p>
        </w:tc>
        <w:tc>
          <w:tcPr>
            <w:tcW w:type="dxa" w:w="5328"/>
            <w:vAlign w:val="top"/>
          </w:tcPr>
          <w:p>
            <w:pPr>
              <w:spacing w:after="0"/>
            </w:pPr>
            <w:r/>
            <w:r>
              <w:rPr>
                <w:rFonts w:ascii="Arial" w:hAnsi="Arial"/>
                <w:b w:val="0"/>
                <w:sz w:val="14"/>
              </w:rPr>
              <w:t>The resource uses EDUFI-aligned wording by treating curriculum and learning design as a common foundation that supports equality while allowing local adaptation. Participants connect national-level principles to local curriculum, school culture, pedagogy and learner experience.</w:t>
            </w:r>
          </w:p>
        </w:tc>
      </w:tr>
      <w:tr>
        <w:tc>
          <w:tcPr>
            <w:tcW w:type="dxa" w:w="5328"/>
            <w:vAlign w:val="top"/>
            <w:shd w:fill="DFF4FF"/>
          </w:tcPr>
          <w:p>
            <w:pPr>
              <w:spacing w:after="0"/>
            </w:pPr>
            <w:r/>
            <w:r>
              <w:rPr>
                <w:rFonts w:ascii="Arial" w:hAnsi="Arial"/>
                <w:b/>
                <w:color w:val="163A4D"/>
                <w:sz w:val="14"/>
              </w:rPr>
              <w:t>FINEEC-benchmarked framing</w:t>
            </w:r>
          </w:p>
        </w:tc>
        <w:tc>
          <w:tcPr>
            <w:tcW w:type="dxa" w:w="5328"/>
            <w:vAlign w:val="top"/>
          </w:tcPr>
          <w:p>
            <w:pPr>
              <w:spacing w:after="0"/>
            </w:pPr>
            <w:r/>
            <w:r>
              <w:rPr>
                <w:rFonts w:ascii="Arial" w:hAnsi="Arial"/>
                <w:b w:val="0"/>
                <w:sz w:val="14"/>
              </w:rPr>
              <w:t>The resource uses FINEEC-benchmarked wording by applying enhancement-led development: participation, trust, learning, appreciation, strengths, development targets and impact. Evidence is used to improve practice, not to blame individuals.</w:t>
            </w:r>
          </w:p>
        </w:tc>
      </w:tr>
      <w:tr>
        <w:tc>
          <w:tcPr>
            <w:tcW w:type="dxa" w:w="5328"/>
            <w:vAlign w:val="top"/>
            <w:shd w:fill="DFF4FF"/>
          </w:tcPr>
          <w:p>
            <w:pPr>
              <w:spacing w:after="0"/>
            </w:pPr>
            <w:r/>
            <w:r>
              <w:rPr>
                <w:rFonts w:ascii="Arial" w:hAnsi="Arial"/>
                <w:b/>
                <w:color w:val="163A4D"/>
                <w:sz w:val="14"/>
              </w:rPr>
              <w:t>Meaning in practice</w:t>
            </w:r>
          </w:p>
        </w:tc>
        <w:tc>
          <w:tcPr>
            <w:tcW w:type="dxa" w:w="5328"/>
            <w:vAlign w:val="top"/>
          </w:tcPr>
          <w:p>
            <w:pPr>
              <w:spacing w:after="0"/>
            </w:pPr>
            <w:r/>
            <w:r>
              <w:rPr>
                <w:rFonts w:ascii="Arial" w:hAnsi="Arial"/>
                <w:b w:val="0"/>
                <w:sz w:val="14"/>
              </w:rPr>
              <w:t>In practice, participants use the toolkit to identify one priority related to Project Evidence Portfolio, choose a manageable action, complete the professional template, collect evidence and decide what should improve next.</w:t>
            </w:r>
          </w:p>
        </w:tc>
      </w:tr>
      <w:tr>
        <w:tc>
          <w:tcPr>
            <w:tcW w:type="dxa" w:w="5328"/>
            <w:vAlign w:val="top"/>
            <w:shd w:fill="DFF4FF"/>
          </w:tcPr>
          <w:p>
            <w:pPr>
              <w:spacing w:after="0"/>
            </w:pPr>
            <w:r/>
            <w:r>
              <w:rPr>
                <w:rFonts w:ascii="Arial" w:hAnsi="Arial"/>
                <w:b/>
                <w:color w:val="163A4D"/>
                <w:sz w:val="14"/>
              </w:rPr>
              <w:t>Evidence requirement</w:t>
            </w:r>
          </w:p>
        </w:tc>
        <w:tc>
          <w:tcPr>
            <w:tcW w:type="dxa" w:w="5328"/>
            <w:vAlign w:val="top"/>
          </w:tcPr>
          <w:p>
            <w:pPr>
              <w:spacing w:after="0"/>
            </w:pPr>
            <w:r/>
            <w:r>
              <w:rPr>
                <w:rFonts w:ascii="Arial" w:hAnsi="Arial"/>
                <w:b w:val="0"/>
                <w:sz w:val="14"/>
              </w:rPr>
              <w:t>project inquiry map, collaborative role plan and learner product evidence</w:t>
            </w:r>
          </w:p>
        </w:tc>
      </w:tr>
      <w:tr>
        <w:tc>
          <w:tcPr>
            <w:tcW w:type="dxa" w:w="5328"/>
            <w:vAlign w:val="top"/>
            <w:shd w:fill="DFF4FF"/>
          </w:tcPr>
          <w:p>
            <w:pPr>
              <w:spacing w:after="0"/>
            </w:pPr>
            <w:r/>
            <w:r>
              <w:rPr>
                <w:rFonts w:ascii="Arial" w:hAnsi="Arial"/>
                <w:b/>
                <w:color w:val="163A4D"/>
                <w:sz w:val="14"/>
              </w:rPr>
              <w:t>Model completed example</w:t>
            </w:r>
          </w:p>
        </w:tc>
        <w:tc>
          <w:tcPr>
            <w:tcW w:type="dxa" w:w="5328"/>
            <w:vAlign w:val="top"/>
          </w:tcPr>
          <w:p>
            <w:pPr>
              <w:spacing w:after="0"/>
            </w:pPr>
            <w:r/>
            <w:r>
              <w:rPr>
                <w:rFonts w:ascii="Arial" w:hAnsi="Arial"/>
                <w:b w:val="0"/>
                <w:sz w:val="14"/>
              </w:rPr>
              <w:t>A participant notices that project evidence portfolio is discussed in general terms but is not yet visible in daily practice. They complete the toolkit by selecting one priority, designing a focused action, collecting one piece of evidence, and writing a next-step improvement decision.</w:t>
            </w:r>
          </w:p>
        </w:tc>
      </w:tr>
      <w:tr>
        <w:tc>
          <w:tcPr>
            <w:tcW w:type="dxa" w:w="5328"/>
            <w:vAlign w:val="top"/>
            <w:shd w:fill="DFF4FF"/>
          </w:tcPr>
          <w:p>
            <w:pPr>
              <w:spacing w:after="0"/>
            </w:pPr>
            <w:r/>
            <w:r>
              <w:rPr>
                <w:rFonts w:ascii="Arial" w:hAnsi="Arial"/>
                <w:b/>
                <w:color w:val="163A4D"/>
                <w:sz w:val="14"/>
              </w:rPr>
              <w:t>Reflection prompt</w:t>
            </w:r>
          </w:p>
        </w:tc>
        <w:tc>
          <w:tcPr>
            <w:tcW w:type="dxa" w:w="5328"/>
            <w:vAlign w:val="top"/>
          </w:tcPr>
          <w:p>
            <w:pPr>
              <w:spacing w:after="0"/>
            </w:pPr>
            <w:r/>
            <w:r>
              <w:rPr>
                <w:rFonts w:ascii="Arial" w:hAnsi="Arial"/>
                <w:b w:val="0"/>
                <w:sz w:val="14"/>
              </w:rPr>
              <w:t>What changed in practice after using this Project Evidence Portfolio resource? What evidence supports your judgement? What should be continued, adapted, scaled or redesigned?</w:t>
            </w:r>
          </w:p>
        </w:tc>
      </w:tr>
      <w:tr>
        <w:tc>
          <w:tcPr>
            <w:tcW w:type="dxa" w:w="5328"/>
            <w:vAlign w:val="top"/>
            <w:shd w:fill="DFF4FF"/>
          </w:tcPr>
          <w:p>
            <w:pPr>
              <w:spacing w:after="0"/>
            </w:pPr>
            <w:r/>
            <w:r>
              <w:rPr>
                <w:rFonts w:ascii="Arial" w:hAnsi="Arial"/>
                <w:b/>
                <w:color w:val="163A4D"/>
                <w:sz w:val="14"/>
              </w:rPr>
              <w:t>Certificate evidence rule</w:t>
            </w:r>
          </w:p>
        </w:tc>
        <w:tc>
          <w:tcPr>
            <w:tcW w:type="dxa" w:w="5328"/>
            <w:vAlign w:val="top"/>
          </w:tcPr>
          <w:p>
            <w:pPr>
              <w:spacing w:after="0"/>
            </w:pPr>
            <w:r/>
            <w:r>
              <w:rPr>
                <w:rFonts w:ascii="Arial" w:hAnsi="Arial"/>
                <w:b w:val="0"/>
                <w:sz w:val="14"/>
              </w:rPr>
              <w:t>The downloadable evidence is complete when the participant submits a filled Project Evidence Portfolio - Professional Downloadable Toolkit, includes evidence connected to project inquiry map, collaborative role plan and learner product evidence, and writes one improvement decision aligned to the FCEI Finnish Teacher Training Development Framework.</w:t>
            </w:r>
          </w:p>
        </w:tc>
      </w:tr>
    </w:tbl>
    <w:p>
      <w:r>
        <w:t>Editable template fields:</w:t>
      </w:r>
    </w:p>
    <w:p>
      <w:pPr>
        <w:pStyle w:val="ListBullet"/>
      </w:pPr>
      <w:r>
        <w:t>Context and role</w:t>
      </w:r>
    </w:p>
    <w:p>
      <w:pPr>
        <w:pStyle w:val="ListBullet"/>
      </w:pPr>
      <w:r>
        <w:t>Priority or problem statement</w:t>
      </w:r>
    </w:p>
    <w:p>
      <w:pPr>
        <w:pStyle w:val="ListBullet"/>
      </w:pPr>
      <w:r>
        <w:t>EDUFI-aligned principle in action</w:t>
      </w:r>
    </w:p>
    <w:p>
      <w:pPr>
        <w:pStyle w:val="ListBullet"/>
      </w:pPr>
      <w:r>
        <w:t>FINEEC-benchmarked evidence focus</w:t>
      </w:r>
    </w:p>
    <w:p>
      <w:pPr>
        <w:pStyle w:val="ListBullet"/>
      </w:pPr>
      <w:r>
        <w:t>Action steps</w:t>
      </w:r>
    </w:p>
    <w:p>
      <w:pPr>
        <w:pStyle w:val="ListBullet"/>
      </w:pPr>
      <w:r>
        <w:t>Evidence source</w:t>
      </w:r>
    </w:p>
    <w:p>
      <w:pPr>
        <w:pStyle w:val="ListBullet"/>
      </w:pPr>
      <w:r>
        <w:t>Stakeholder or learner voice</w:t>
      </w:r>
    </w:p>
    <w:p>
      <w:pPr>
        <w:pStyle w:val="ListBullet"/>
      </w:pPr>
      <w:r>
        <w:t>Reflection and next improvement decision</w:t>
      </w:r>
    </w:p>
    <w:p>
      <w:pPr>
        <w:pStyle w:val="Heading1"/>
      </w:pPr>
      <w:r>
        <w:t>Research-informed source basis</w:t>
      </w:r>
    </w:p>
    <w:p>
      <w:pPr>
        <w:pStyle w:val="ListBullet"/>
      </w:pPr>
      <w:r>
        <w:t>OKM - Ministry of Education and Culture: https://okm.fi/en/duties-and-objectives - Education development as policy, public responsibility, system direction and institutional development context.</w:t>
      </w:r>
    </w:p>
    <w:p>
      <w:pPr>
        <w:pStyle w:val="ListBullet"/>
      </w:pPr>
      <w:r>
        <w:t>EDUFI - National Core Curriculum: https://www.oph.fi/en/education-and-qualifications/national-core-curriculum-primary-and-lower-secondary-basic-education - National core curriculum as common foundation for local curricula, equality, local adaptation and teaching support.</w:t>
      </w:r>
    </w:p>
    <w:p>
      <w:pPr>
        <w:pStyle w:val="ListBullet"/>
      </w:pPr>
      <w:r>
        <w:t>EDUFI - Basic Education: https://www.oph.fi/en/education-system/basic-education - Curriculum supporting reform of school culture and pedagogy to improve learning process and outcomes.</w:t>
      </w:r>
    </w:p>
    <w:p>
      <w:pPr>
        <w:pStyle w:val="ListBullet"/>
      </w:pPr>
      <w:r>
        <w:t>FINEEC - Enhancement-led evaluation: https://www.karvi.fi/en/about-us/about-our-evaluations/enhancement-led-evaluation - Development, participation, learning, positive approach, appreciation, trust and impact.</w:t>
      </w:r>
    </w:p>
    <w:p>
      <w:pPr>
        <w:pStyle w:val="ListBullet"/>
      </w:pPr>
      <w:r>
        <w:t>FINEEC - Support for quality management: https://www.karvi.fi/en/about-us/support-quality-management - Participation, trust and providers responsibility for maintaining and improving quality.</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4"/>
      </w:rPr>
      <w:t>Finland Creative Education Institute (FCEI) | Digital professional learning platform | Finnish-inspired - EDUFI-aligned - FINEEC-benchmarked | hello@fcei.eu | www.fcei.eu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fcei-bridge-icon-512.png"/>
                  <pic:cNvPicPr/>
                </pic:nvPicPr>
                <pic:blipFill>
                  <a:blip r:embed="rId1"/>
                  <a:stretch>
                    <a:fillRect/>
                  </a:stretch>
                </pic:blipFill>
                <pic:spPr>
                  <a:xfrm>
                    <a:off x="0" y="0"/>
                    <a:ext cx="292608" cy="292608"/>
                  </a:xfrm>
                  <a:prstGeom prst="rect"/>
                </pic:spPr>
              </pic:pic>
            </a:graphicData>
          </a:graphic>
        </wp:inline>
      </w:drawing>
    </w:r>
    <w:r>
      <w:rPr>
        <w:b/>
        <w:color w:val="163A4D"/>
        <w:sz w:val="18"/>
      </w:rPr>
      <w:t xml:space="preserve">  Finland Creative Education Institute (FCEI)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A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C03 FCEI Downloadables v3</dc:title>
  <dc:subject/>
  <dc:creator>FCEI</dc:creator>
  <cp:keywords/>
  <dc:description>generated by python-docx</dc:description>
  <cp:lastModifiedBy/>
  <cp:revision>1</cp:revision>
  <dcterms:created xsi:type="dcterms:W3CDTF">2013-12-23T23:15:00Z</dcterms:created>
  <dcterms:modified xsi:type="dcterms:W3CDTF">2013-12-23T23:15:00Z</dcterms:modified>
  <cp:category/>
</cp:coreProperties>
</file>