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5C"/>
          <w:sz w:val="20"/>
        </w:rPr>
        <w:t>Finland Creative Education Institute (FCEI)</w:t>
      </w:r>
    </w:p>
    <w:p>
      <w:pPr>
        <w:pStyle w:val="Title"/>
        <w:jc w:val="center"/>
      </w:pPr>
      <w:r>
        <w:t>C09-M01: Teacher Inquiry Question Planner</w:t>
      </w:r>
    </w:p>
    <w:p>
      <w:pPr>
        <w:jc w:val="center"/>
      </w:pPr>
      <w:r>
        <w:t>C09 Teacher Inquiry, Reflection and Improvement Practice - Live Deployable Module Resource</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F2F2F2"/>
          </w:tcPr>
          <w:p>
            <w:r/>
            <w:r>
              <w:rPr>
                <w:b/>
                <w:sz w:val="16"/>
              </w:rPr>
              <w:t>Course</w:t>
            </w:r>
          </w:p>
        </w:tc>
        <w:tc>
          <w:tcPr>
            <w:tcW w:type="dxa" w:w="5285"/>
            <w:vAlign w:val="top"/>
          </w:tcPr>
          <w:p>
            <w:r/>
            <w:r>
              <w:rPr>
                <w:b w:val="0"/>
                <w:sz w:val="16"/>
              </w:rPr>
              <w:t>Teacher Inquiry, Reflection and Improvement Practice</w:t>
            </w:r>
          </w:p>
        </w:tc>
      </w:tr>
      <w:tr>
        <w:tc>
          <w:tcPr>
            <w:tcW w:type="dxa" w:w="5285"/>
            <w:vAlign w:val="top"/>
            <w:shd w:fill="F2F2F2"/>
          </w:tcPr>
          <w:p>
            <w:r/>
            <w:r>
              <w:rPr>
                <w:b/>
                <w:sz w:val="16"/>
              </w:rPr>
              <w:t>FCEI pathway</w:t>
            </w:r>
          </w:p>
        </w:tc>
        <w:tc>
          <w:tcPr>
            <w:tcW w:type="dxa" w:w="5285"/>
            <w:vAlign w:val="top"/>
          </w:tcPr>
          <w:p>
            <w:r/>
            <w:r>
              <w:rPr>
                <w:b w:val="0"/>
                <w:sz w:val="16"/>
              </w:rPr>
              <w:t>FCEI Finnish Teacher Training Development Framework</w:t>
            </w:r>
          </w:p>
        </w:tc>
      </w:tr>
      <w:tr>
        <w:tc>
          <w:tcPr>
            <w:tcW w:type="dxa" w:w="5285"/>
            <w:vAlign w:val="top"/>
            <w:shd w:fill="F2F2F2"/>
          </w:tcPr>
          <w:p>
            <w:r/>
            <w:r>
              <w:rPr>
                <w:b/>
                <w:sz w:val="16"/>
              </w:rPr>
              <w:t>Module focus</w:t>
            </w:r>
          </w:p>
        </w:tc>
        <w:tc>
          <w:tcPr>
            <w:tcW w:type="dxa" w:w="5285"/>
            <w:vAlign w:val="top"/>
          </w:tcPr>
          <w:p>
            <w:r/>
            <w:r>
              <w:rPr>
                <w:b w:val="0"/>
                <w:sz w:val="16"/>
              </w:rPr>
              <w:t>Turning a broad concern into a focused teacher inquiry question.</w:t>
            </w:r>
          </w:p>
        </w:tc>
      </w:tr>
      <w:tr>
        <w:tc>
          <w:tcPr>
            <w:tcW w:type="dxa" w:w="5285"/>
            <w:vAlign w:val="top"/>
            <w:shd w:fill="F2F2F2"/>
          </w:tcPr>
          <w:p>
            <w:r/>
            <w:r>
              <w:rPr>
                <w:b/>
                <w:sz w:val="16"/>
              </w:rPr>
              <w:t>Status</w:t>
            </w:r>
          </w:p>
        </w:tc>
        <w:tc>
          <w:tcPr>
            <w:tcW w:type="dxa" w:w="5285"/>
            <w:vAlign w:val="top"/>
          </w:tcPr>
          <w:p>
            <w:r/>
            <w:r>
              <w:rPr>
                <w:b w:val="0"/>
                <w:sz w:val="16"/>
              </w:rPr>
              <w:t>Live deployable - full EDUFI-aligned and FINEEC-benchmarked upgrade</w:t>
            </w:r>
          </w:p>
        </w:tc>
      </w:tr>
    </w:tbl>
    <w:p>
      <w:pPr>
        <w:pStyle w:val="Heading1"/>
      </w:pPr>
      <w:r>
        <w:t>Short explanation</w:t>
      </w:r>
    </w:p>
    <w:p>
      <w:r>
        <w:t>This module helps participants define a focused, ethical and evidence-informed teacher inquiry question. It moves the participant from a general concern to a clear problem of practice that can be investigated through a small, manageable improvement cycle.</w:t>
      </w:r>
    </w:p>
    <w:p>
      <w:pPr>
        <w:pStyle w:val="Heading1"/>
      </w:pPr>
      <w:r>
        <w:t>EDUFI-aligned framing</w:t>
      </w:r>
    </w:p>
    <w:p>
      <w:r>
        <w:t>EDUFI-aligned framing: Teacher inquiry supports the professional use of curriculum aims, local context and teacher judgement. The inquiry question should connect a real classroom or institutional issue to learner access, participation, wellbeing, feedback, assessment or transversal competence. The question must help the educator make learning conditions more visible and more equitable.</w:t>
      </w:r>
    </w:p>
    <w:p>
      <w:pPr>
        <w:pStyle w:val="Heading1"/>
      </w:pPr>
      <w:r>
        <w:t>FINEEC-benchmarked framing</w:t>
      </w:r>
    </w:p>
    <w:p>
      <w:r>
        <w:t>FINEEC-benchmarked framing: The inquiry question is treated as the starting point for enhancement-led self-evaluation. The purpose is not inspection or blame. The purpose is to identify strengths, clarify development targets and create a practical improvement route based on participation, trust and evidence.</w:t>
      </w:r>
    </w:p>
    <w:p>
      <w:pPr>
        <w:pStyle w:val="Heading1"/>
      </w:pPr>
      <w:r>
        <w:t>Meaning in practice</w:t>
      </w:r>
    </w:p>
    <w:p>
      <w:r>
        <w:t>In practice, the participant names one learner-facing or practice-facing issue, describes what is currently happening, explains why it matters, and rewrites the issue as a question that can be answered with evidence.</w:t>
      </w:r>
    </w:p>
    <w:p>
      <w:pPr>
        <w:pStyle w:val="Heading1"/>
      </w:pPr>
      <w:r>
        <w:t>Why this matters in teacher inquiry</w:t>
      </w:r>
    </w:p>
    <w:p>
      <w:r>
        <w:t>Teacher inquiry begins badly when the question is too broad, judgemental or impossible to evidence. A strong question protects professional time, avoids blame and makes the improvement process possible.</w:t>
      </w:r>
    </w:p>
    <w:p>
      <w:pPr>
        <w:pStyle w:val="Heading1"/>
      </w:pPr>
      <w:r>
        <w:t>Classroom or institutional context</w:t>
      </w:r>
    </w:p>
    <w:p>
      <w:r>
        <w:t>A teacher notices that the same few learners dominate group discussions. Instead of concluding that quieter learners are unmotivated, the teacher asks which classroom conditions would help more learners contribute safely and meaningfully.</w:t>
      </w:r>
    </w:p>
    <w:p>
      <w:pPr>
        <w:pStyle w:val="Heading1"/>
      </w:pPr>
      <w:r>
        <w:t>Evidence requirement</w:t>
      </w:r>
    </w:p>
    <w:p>
      <w:r>
        <w:t>The participant must upload a completed Teacher Inquiry Question Planner showing the practice issue, inquiry question, linked FCEI principle, baseline evidence source and first improvement hypothesis.</w:t>
      </w:r>
    </w:p>
    <w:p>
      <w:pPr>
        <w:pStyle w:val="Heading1"/>
      </w:pPr>
      <w:r>
        <w:t>Downloadable artefact explanation</w:t>
      </w:r>
    </w:p>
    <w:p>
      <w:r>
        <w:t>The downloadable artefact is an editable inquiry question planner. It guides the participant to write a non-punitive practice issue, identify evidence sources, select a learner-facing improvement focus and define a question suitable for a small trial.</w:t>
      </w:r>
    </w:p>
    <w:p>
      <w:pPr>
        <w:pStyle w:val="Heading1"/>
      </w:pPr>
      <w:r>
        <w:t>Model completed example</w:t>
      </w:r>
    </w:p>
    <w:p>
      <w:r>
        <w:t>Observed issue: During group tasks, only three learners regularly speak. Inquiry question: What classroom routine will increase safe participation for quieter learners during group tasks over two weeks? Evidence source: participation tally, learner reflection slip and teacher observation note. First action: introduce role cards and a 30-second thinking pause before discussion.</w:t>
      </w:r>
    </w:p>
    <w:p>
      <w:pPr>
        <w:pStyle w:val="Heading1"/>
      </w:pPr>
      <w:r>
        <w:t>Reflection and improvement prompt</w:t>
      </w:r>
    </w:p>
    <w:p>
      <w:r>
        <w:t>What did the inquiry question help you see more clearly? Did the wording focus on learning conditions rather than blame? What evidence will make the question answerable?</w:t>
      </w:r>
    </w:p>
    <w:p>
      <w:pPr>
        <w:pStyle w:val="Heading1"/>
      </w:pPr>
      <w:r>
        <w:t>Facilitator notes</w:t>
      </w:r>
    </w:p>
    <w:p>
      <w:r>
        <w:t>Guide participants away from questions such as “Why are learners lazy?” or “Why do parents not help?” Replace them with questions about access, conditions, support, feedback, task design, routines and professional action. Ask every participant to check whether the question can be answered with visible evidence.</w:t>
      </w:r>
    </w:p>
    <w:p>
      <w:pPr>
        <w:pStyle w:val="Heading1"/>
      </w:pPr>
      <w:r>
        <w:t>Learner-facing phrasing</w:t>
      </w:r>
    </w:p>
    <w:p>
      <w:r>
        <w:t>In this module, you will build a focused teacher inquiry question. You will identify one real practice issue, describe it without blame and prepare a question that can be investigated through evidence and a small improvement step.</w:t>
      </w:r>
    </w:p>
    <w:p>
      <w:pPr>
        <w:pStyle w:val="Heading1"/>
      </w:pPr>
      <w:r>
        <w:t>Internal developer/CMS wording</w:t>
      </w:r>
    </w:p>
    <w:p>
      <w:r>
        <w:t>CMS short copy: Participants create an evidence-informed inquiry question linked to an FCEI principle, learner need and first improvement hypothesis. Resource: Teacher Inquiry Question Planner. Required upload: completed planner.</w:t>
      </w:r>
    </w:p>
    <w:p>
      <w:pPr>
        <w:pStyle w:val="Heading1"/>
      </w:pPr>
      <w:r>
        <w:t>Certificate evidence rule</w:t>
      </w:r>
    </w:p>
    <w:p>
      <w:r>
        <w:t>Certificate rule: mark C09-M01 complete only when the participant uploads a completed inquiry question planner with a clear question, practice issue, evidence source and first action hypothesis.</w:t>
      </w:r>
    </w:p>
    <w:p>
      <w:pPr>
        <w:pStyle w:val="Heading1"/>
      </w:pPr>
      <w:r>
        <w:t>Key terminology and definitions</w:t>
      </w:r>
    </w:p>
    <w:p>
      <w:pPr>
        <w:pStyle w:val="ListBullet"/>
      </w:pPr>
      <w:r>
        <w:t>Teacher inquiry: A structured professional improvement process where a teacher or education team identifies a real practice issue, collects evidence, tests a manageable action and makes a justified improvement decision.</w:t>
      </w:r>
    </w:p>
    <w:p>
      <w:pPr>
        <w:pStyle w:val="ListBullet"/>
      </w:pPr>
      <w:r>
        <w:t>Baseline evidence: The practical starting evidence collected before a change is introduced, such as learner work, observation notes, learner voice, assessment samples or participation records.</w:t>
      </w:r>
    </w:p>
    <w:p>
      <w:pPr>
        <w:pStyle w:val="ListBullet"/>
      </w:pPr>
      <w:r>
        <w:t>Small trial: A safe, limited implementation step used to test one improvement before scaling it to a full class, team or institution.</w:t>
      </w:r>
    </w:p>
    <w:p>
      <w:pPr>
        <w:pStyle w:val="ListBullet"/>
      </w:pPr>
      <w:r>
        <w:t>Learner voice: Learners’ spoken, written or demonstrated feedback about access, confidence, participation, challenge, progress and support.</w:t>
      </w:r>
    </w:p>
    <w:p>
      <w:pPr>
        <w:pStyle w:val="ListBullet"/>
      </w:pPr>
      <w:r>
        <w:t>Professional judgement: The educator’s evidence-informed decision-making about learning, support, feedback, assessment and next steps.</w:t>
      </w:r>
    </w:p>
    <w:p>
      <w:pPr>
        <w:pStyle w:val="ListBullet"/>
      </w:pPr>
      <w:r>
        <w:t>Enhancement-led evaluation: A development-focused evaluation approach that emphasises participation, trust, learning, improvement and the identification of strengths as well as development targets.</w:t>
      </w:r>
    </w:p>
    <w:p>
      <w:pPr>
        <w:pStyle w:val="ListBullet"/>
      </w:pPr>
      <w:r>
        <w:t>Evidence portfolio: A structured collection of artefacts showing the inquiry question, baseline, action, evidence, reflection and improvement decision.</w:t>
      </w:r>
    </w:p>
    <w:p>
      <w:pPr>
        <w:pStyle w:val="ListBullet"/>
      </w:pPr>
      <w:r>
        <w:t>Improvement cycle: The FCEI cycle of identifying a principle, diagnosing the problem, choosing a tool, collecting evidence, reflecting and deciding the next improvement step.</w:t>
      </w:r>
    </w:p>
    <w:p>
      <w:pPr>
        <w:pStyle w:val="ListBullet"/>
      </w:pPr>
      <w:r>
        <w:t>Non-punitive diagnosis: A way of identifying learning or practice problems without blaming learners, families or staff; the focus stays on conditions, routines and support.</w:t>
      </w:r>
    </w:p>
    <w:p>
      <w:pPr>
        <w:pStyle w:val="ListBullet"/>
      </w:pPr>
      <w:r>
        <w:t>Certificate evidence: The minimum verified output required before the platform can issue the module completion record.</w:t>
      </w:r>
    </w:p>
    <w:p>
      <w:pPr>
        <w:pStyle w:val="Heading1"/>
      </w:pPr>
      <w:r>
        <w:t>Downloadable participant artefact template</w:t>
      </w:r>
    </w:p>
    <w:p>
      <w:r>
        <w:t>Use this table as the editable learner/commercial download inside the C09 LMS resource panel. The participant should complete it, export it as PDF where required and upload it to the C09 evidence area.</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D9EAD3"/>
          </w:tcPr>
          <w:p>
            <w:r/>
            <w:r>
              <w:rPr>
                <w:b/>
                <w:sz w:val="16"/>
              </w:rPr>
              <w:t>Template field</w:t>
            </w:r>
          </w:p>
        </w:tc>
        <w:tc>
          <w:tcPr>
            <w:tcW w:type="dxa" w:w="5285"/>
            <w:vAlign w:val="top"/>
            <w:shd w:fill="D9EAD3"/>
          </w:tcPr>
          <w:p>
            <w:r/>
            <w:r>
              <w:rPr>
                <w:b/>
                <w:sz w:val="16"/>
              </w:rPr>
              <w:t>Participant completion space</w:t>
            </w:r>
          </w:p>
        </w:tc>
      </w:tr>
      <w:tr>
        <w:tc>
          <w:tcPr>
            <w:tcW w:type="dxa" w:w="5285"/>
            <w:vAlign w:val="top"/>
          </w:tcPr>
          <w:p>
            <w:r/>
            <w:r>
              <w:rPr>
                <w:b/>
                <w:sz w:val="16"/>
              </w:rPr>
              <w:t>Practice issue</w:t>
            </w:r>
          </w:p>
        </w:tc>
        <w:tc>
          <w:tcPr>
            <w:tcW w:type="dxa" w:w="5285"/>
            <w:vAlign w:val="top"/>
          </w:tcPr>
          <w:p>
            <w:r/>
            <w:r>
              <w:rPr>
                <w:b w:val="0"/>
                <w:sz w:val="16"/>
              </w:rPr>
              <w:t>Complete using concise, anonymised and practical evidence.</w:t>
            </w:r>
          </w:p>
        </w:tc>
      </w:tr>
      <w:tr>
        <w:tc>
          <w:tcPr>
            <w:tcW w:type="dxa" w:w="5285"/>
            <w:vAlign w:val="top"/>
          </w:tcPr>
          <w:p>
            <w:r/>
            <w:r>
              <w:rPr>
                <w:b/>
                <w:sz w:val="16"/>
              </w:rPr>
              <w:t>Who is affected?</w:t>
            </w:r>
          </w:p>
        </w:tc>
        <w:tc>
          <w:tcPr>
            <w:tcW w:type="dxa" w:w="5285"/>
            <w:vAlign w:val="top"/>
          </w:tcPr>
          <w:p>
            <w:r/>
            <w:r>
              <w:rPr>
                <w:b w:val="0"/>
                <w:sz w:val="16"/>
              </w:rPr>
              <w:t>Complete using concise, anonymised and practical evidence.</w:t>
            </w:r>
          </w:p>
        </w:tc>
      </w:tr>
      <w:tr>
        <w:tc>
          <w:tcPr>
            <w:tcW w:type="dxa" w:w="5285"/>
            <w:vAlign w:val="top"/>
          </w:tcPr>
          <w:p>
            <w:r/>
            <w:r>
              <w:rPr>
                <w:b/>
                <w:sz w:val="16"/>
              </w:rPr>
              <w:t>What evidence suggests this issue?</w:t>
            </w:r>
          </w:p>
        </w:tc>
        <w:tc>
          <w:tcPr>
            <w:tcW w:type="dxa" w:w="5285"/>
            <w:vAlign w:val="top"/>
          </w:tcPr>
          <w:p>
            <w:r/>
            <w:r>
              <w:rPr>
                <w:b w:val="0"/>
                <w:sz w:val="16"/>
              </w:rPr>
              <w:t>Complete using concise, anonymised and practical evidence.</w:t>
            </w:r>
          </w:p>
        </w:tc>
      </w:tr>
      <w:tr>
        <w:tc>
          <w:tcPr>
            <w:tcW w:type="dxa" w:w="5285"/>
            <w:vAlign w:val="top"/>
          </w:tcPr>
          <w:p>
            <w:r/>
            <w:r>
              <w:rPr>
                <w:b/>
                <w:sz w:val="16"/>
              </w:rPr>
              <w:t>Non-punitive rewrite</w:t>
            </w:r>
          </w:p>
        </w:tc>
        <w:tc>
          <w:tcPr>
            <w:tcW w:type="dxa" w:w="5285"/>
            <w:vAlign w:val="top"/>
          </w:tcPr>
          <w:p>
            <w:r/>
            <w:r>
              <w:rPr>
                <w:b w:val="0"/>
                <w:sz w:val="16"/>
              </w:rPr>
              <w:t>Complete using concise, anonymised and practical evidence.</w:t>
            </w:r>
          </w:p>
        </w:tc>
      </w:tr>
      <w:tr>
        <w:tc>
          <w:tcPr>
            <w:tcW w:type="dxa" w:w="5285"/>
            <w:vAlign w:val="top"/>
          </w:tcPr>
          <w:p>
            <w:r/>
            <w:r>
              <w:rPr>
                <w:b/>
                <w:sz w:val="16"/>
              </w:rPr>
              <w:t>Inquiry question</w:t>
            </w:r>
          </w:p>
        </w:tc>
        <w:tc>
          <w:tcPr>
            <w:tcW w:type="dxa" w:w="5285"/>
            <w:vAlign w:val="top"/>
          </w:tcPr>
          <w:p>
            <w:r/>
            <w:r>
              <w:rPr>
                <w:b w:val="0"/>
                <w:sz w:val="16"/>
              </w:rPr>
              <w:t>Complete using concise, anonymised and practical evidence.</w:t>
            </w:r>
          </w:p>
        </w:tc>
      </w:tr>
      <w:tr>
        <w:tc>
          <w:tcPr>
            <w:tcW w:type="dxa" w:w="5285"/>
            <w:vAlign w:val="top"/>
          </w:tcPr>
          <w:p>
            <w:r/>
            <w:r>
              <w:rPr>
                <w:b/>
                <w:sz w:val="16"/>
              </w:rPr>
              <w:t>Linked FCEI principle</w:t>
            </w:r>
          </w:p>
        </w:tc>
        <w:tc>
          <w:tcPr>
            <w:tcW w:type="dxa" w:w="5285"/>
            <w:vAlign w:val="top"/>
          </w:tcPr>
          <w:p>
            <w:r/>
            <w:r>
              <w:rPr>
                <w:b w:val="0"/>
                <w:sz w:val="16"/>
              </w:rPr>
              <w:t>Complete using concise, anonymised and practical evidence.</w:t>
            </w:r>
          </w:p>
        </w:tc>
      </w:tr>
      <w:tr>
        <w:tc>
          <w:tcPr>
            <w:tcW w:type="dxa" w:w="5285"/>
            <w:vAlign w:val="top"/>
          </w:tcPr>
          <w:p>
            <w:r/>
            <w:r>
              <w:rPr>
                <w:b/>
                <w:sz w:val="16"/>
              </w:rPr>
              <w:t>Baseline evidence source</w:t>
            </w:r>
          </w:p>
        </w:tc>
        <w:tc>
          <w:tcPr>
            <w:tcW w:type="dxa" w:w="5285"/>
            <w:vAlign w:val="top"/>
          </w:tcPr>
          <w:p>
            <w:r/>
            <w:r>
              <w:rPr>
                <w:b w:val="0"/>
                <w:sz w:val="16"/>
              </w:rPr>
              <w:t>Complete using concise, anonymised and practical evidence.</w:t>
            </w:r>
          </w:p>
        </w:tc>
      </w:tr>
      <w:tr>
        <w:tc>
          <w:tcPr>
            <w:tcW w:type="dxa" w:w="5285"/>
            <w:vAlign w:val="top"/>
          </w:tcPr>
          <w:p>
            <w:r/>
            <w:r>
              <w:rPr>
                <w:b/>
                <w:sz w:val="16"/>
              </w:rPr>
              <w:t>First improvement hypothesis</w:t>
            </w:r>
          </w:p>
        </w:tc>
        <w:tc>
          <w:tcPr>
            <w:tcW w:type="dxa" w:w="5285"/>
            <w:vAlign w:val="top"/>
          </w:tcPr>
          <w:p>
            <w:r/>
            <w:r>
              <w:rPr>
                <w:b w:val="0"/>
                <w:sz w:val="16"/>
              </w:rPr>
              <w:t>Complete using concise, anonymised and practical evidence.</w:t>
            </w:r>
          </w:p>
        </w:tc>
      </w:tr>
      <w:tr>
        <w:tc>
          <w:tcPr>
            <w:tcW w:type="dxa" w:w="5285"/>
            <w:vAlign w:val="top"/>
          </w:tcPr>
          <w:p>
            <w:r/>
            <w:r>
              <w:rPr>
                <w:b/>
                <w:sz w:val="16"/>
              </w:rPr>
              <w:t>Ethical/privacy note</w:t>
            </w:r>
          </w:p>
        </w:tc>
        <w:tc>
          <w:tcPr>
            <w:tcW w:type="dxa" w:w="5285"/>
            <w:vAlign w:val="top"/>
          </w:tcPr>
          <w:p>
            <w:r/>
            <w:r>
              <w:rPr>
                <w:b w:val="0"/>
                <w:sz w:val="16"/>
              </w:rPr>
              <w:t>Complete using concise, anonymised and practical evidence.</w:t>
            </w:r>
          </w:p>
        </w:tc>
      </w:tr>
    </w:tbl>
    <w:p>
      <w:pPr>
        <w:pStyle w:val="Heading1"/>
      </w:pPr>
      <w:r>
        <w:t>Quality review checklist</w:t>
      </w:r>
    </w:p>
    <w:p>
      <w:pPr>
        <w:pStyle w:val="ListBullet"/>
      </w:pPr>
      <w:r>
        <w:t>The issue is described without blame.</w:t>
      </w:r>
    </w:p>
    <w:p>
      <w:pPr>
        <w:pStyle w:val="ListBullet"/>
      </w:pPr>
      <w:r>
        <w:t>The content links to learner access, support, participation, feedback, progress, wellbeing, curriculum adaptation or professional judgement.</w:t>
      </w:r>
    </w:p>
    <w:p>
      <w:pPr>
        <w:pStyle w:val="ListBullet"/>
      </w:pPr>
      <w:r>
        <w:t>The evidence is practical, ethical and reviewable.</w:t>
      </w:r>
    </w:p>
    <w:p>
      <w:pPr>
        <w:pStyle w:val="ListBullet"/>
      </w:pPr>
      <w:r>
        <w:t>The improvement decision is justified by evidence.</w:t>
      </w:r>
    </w:p>
    <w:p>
      <w:pPr>
        <w:pStyle w:val="ListBullet"/>
      </w:pPr>
      <w:r>
        <w:t>The artefact can be used inside the participant’s C09 portfolio.</w:t>
      </w:r>
    </w:p>
    <w:p>
      <w:pPr>
        <w:pStyle w:val="Heading1"/>
      </w:pPr>
      <w:r>
        <w:t>Reference basis</w:t>
      </w:r>
    </w:p>
    <w:p>
      <w:pPr>
        <w:pStyle w:val="ListBullet"/>
      </w:pPr>
      <w:r>
        <w:t>EDUFI - National Core Curriculum for Primary and Lower Secondary Basic Education: Uniform foundation for local curricula, equality, local adaptation, active and flexible curriculum support for teaching and school activities. - https://www.oph.fi/en/education-and-qualifications/national-core-curriculum-primary-and-lower-secondary-basic-education</w:t>
      </w:r>
    </w:p>
    <w:p>
      <w:pPr>
        <w:pStyle w:val="ListBullet"/>
      </w:pPr>
      <w:r>
        <w:t>EDUFI - Basic Information about Primary and Lower Secondary Education: Teacher responsibility for assessment of learning and competence; teacher professional judgement in day-to-day practice. - https://www.oph.fi/en/education-and-qualifications/bacic-information-about-primary-and-lower-secondary-education</w:t>
      </w:r>
    </w:p>
    <w:p>
      <w:pPr>
        <w:pStyle w:val="ListBullet"/>
      </w:pPr>
      <w:r>
        <w:t>EDUFI - Transversal Competences: Transversal competence is embedded in subjects and supported by formative and summative assessment practices. - https://www.oph.fi/en/education-and-qualifications/transversal-competences-finnish-general-upper-secondary-education</w:t>
      </w:r>
    </w:p>
    <w:p>
      <w:pPr>
        <w:pStyle w:val="ListBullet"/>
      </w:pPr>
      <w:r>
        <w:t>FINEEC - Enhancement-led Evaluation: Development, participation, interaction, learning, positive approach, appreciation, trust and impact as evaluation principles. - https://www.karvi.fi/en/about-us/about-our-evaluations/enhancement-led-evaluation</w:t>
      </w:r>
    </w:p>
    <w:p>
      <w:pPr>
        <w:pStyle w:val="ListBullet"/>
      </w:pPr>
      <w:r>
        <w:t>FINEEC - Support for Quality Management: Participation, trust and education provider responsibility for maintaining and improving quality. - https://www.karvi.fi/en/about-us/support-quality-management</w:t>
      </w:r>
    </w:p>
    <w:p>
      <w:pPr>
        <w:pStyle w:val="ListBullet"/>
      </w:pPr>
      <w:r>
        <w:t>FINEEC - Pre-primary, Primary and Lower Secondary Education Evaluations: Evaluation information helps providers and schools recognise strengths and development targets and supports self-evaluation. - https://www.karvi.fi/en/evaluations/pre-primary-primary-and-lower-secondary-education</w:t>
      </w:r>
    </w:p>
    <w:sectPr w:rsidR="00FC693F" w:rsidRPr="0006063C" w:rsidSect="00034616">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C09-M01 Teacher Inquiry Question Planner</dc:title>
  <dc:subject/>
  <dc:creator>Finland Creative Education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