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5C"/>
          <w:sz w:val="20"/>
        </w:rPr>
        <w:t>Finland Creative Education Institute (FCEI)</w:t>
      </w:r>
    </w:p>
    <w:p>
      <w:pPr>
        <w:pStyle w:val="Title"/>
        <w:jc w:val="center"/>
      </w:pPr>
      <w:r>
        <w:t>C09-M02: Baseline Evidence Capture Sheet</w:t>
      </w:r>
    </w:p>
    <w:p>
      <w:pPr>
        <w:jc w:val="center"/>
      </w:pPr>
      <w:r>
        <w:t>C09 Teacher Inquiry, Reflection and Improvement Practice - Live Deployable Module Resource</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F2F2F2"/>
          </w:tcPr>
          <w:p>
            <w:r/>
            <w:r>
              <w:rPr>
                <w:b/>
                <w:sz w:val="16"/>
              </w:rPr>
              <w:t>Course</w:t>
            </w:r>
          </w:p>
        </w:tc>
        <w:tc>
          <w:tcPr>
            <w:tcW w:type="dxa" w:w="5285"/>
            <w:vAlign w:val="top"/>
          </w:tcPr>
          <w:p>
            <w:r/>
            <w:r>
              <w:rPr>
                <w:b w:val="0"/>
                <w:sz w:val="16"/>
              </w:rPr>
              <w:t>Teacher Inquiry, Reflection and Improvement Practice</w:t>
            </w:r>
          </w:p>
        </w:tc>
      </w:tr>
      <w:tr>
        <w:tc>
          <w:tcPr>
            <w:tcW w:type="dxa" w:w="5285"/>
            <w:vAlign w:val="top"/>
            <w:shd w:fill="F2F2F2"/>
          </w:tcPr>
          <w:p>
            <w:r/>
            <w:r>
              <w:rPr>
                <w:b/>
                <w:sz w:val="16"/>
              </w:rPr>
              <w:t>FCEI pathway</w:t>
            </w:r>
          </w:p>
        </w:tc>
        <w:tc>
          <w:tcPr>
            <w:tcW w:type="dxa" w:w="5285"/>
            <w:vAlign w:val="top"/>
          </w:tcPr>
          <w:p>
            <w:r/>
            <w:r>
              <w:rPr>
                <w:b w:val="0"/>
                <w:sz w:val="16"/>
              </w:rPr>
              <w:t>FCEI Finnish Teacher Training Development Framework</w:t>
            </w:r>
          </w:p>
        </w:tc>
      </w:tr>
      <w:tr>
        <w:tc>
          <w:tcPr>
            <w:tcW w:type="dxa" w:w="5285"/>
            <w:vAlign w:val="top"/>
            <w:shd w:fill="F2F2F2"/>
          </w:tcPr>
          <w:p>
            <w:r/>
            <w:r>
              <w:rPr>
                <w:b/>
                <w:sz w:val="16"/>
              </w:rPr>
              <w:t>Module focus</w:t>
            </w:r>
          </w:p>
        </w:tc>
        <w:tc>
          <w:tcPr>
            <w:tcW w:type="dxa" w:w="5285"/>
            <w:vAlign w:val="top"/>
          </w:tcPr>
          <w:p>
            <w:r/>
            <w:r>
              <w:rPr>
                <w:b w:val="0"/>
                <w:sz w:val="16"/>
              </w:rPr>
              <w:t>Collecting starting evidence before changing practice.</w:t>
            </w:r>
          </w:p>
        </w:tc>
      </w:tr>
      <w:tr>
        <w:tc>
          <w:tcPr>
            <w:tcW w:type="dxa" w:w="5285"/>
            <w:vAlign w:val="top"/>
            <w:shd w:fill="F2F2F2"/>
          </w:tcPr>
          <w:p>
            <w:r/>
            <w:r>
              <w:rPr>
                <w:b/>
                <w:sz w:val="16"/>
              </w:rPr>
              <w:t>Status</w:t>
            </w:r>
          </w:p>
        </w:tc>
        <w:tc>
          <w:tcPr>
            <w:tcW w:type="dxa" w:w="5285"/>
            <w:vAlign w:val="top"/>
          </w:tcPr>
          <w:p>
            <w:r/>
            <w:r>
              <w:rPr>
                <w:b w:val="0"/>
                <w:sz w:val="16"/>
              </w:rPr>
              <w:t>Live deployable - full EDUFI-aligned and FINEEC-benchmarked upgrade</w:t>
            </w:r>
          </w:p>
        </w:tc>
      </w:tr>
    </w:tbl>
    <w:p>
      <w:pPr>
        <w:pStyle w:val="Heading1"/>
      </w:pPr>
      <w:r>
        <w:t>Short explanation</w:t>
      </w:r>
    </w:p>
    <w:p>
      <w:r>
        <w:t>This module helps participants collect useful baseline evidence before introducing a change. The aim is to understand what is happening now so that later improvement decisions are based on comparison, not assumption.</w:t>
      </w:r>
    </w:p>
    <w:p>
      <w:pPr>
        <w:pStyle w:val="Heading1"/>
      </w:pPr>
      <w:r>
        <w:t>EDUFI-aligned framing</w:t>
      </w:r>
    </w:p>
    <w:p>
      <w:r>
        <w:t>EDUFI-aligned framing: Baseline evidence supports teacher assessment, formative feedback, learner support and local curriculum adaptation. Participants examine what learners currently understand, how they participate, what support is visible and what evidence is missing before choosing an intervention.</w:t>
      </w:r>
    </w:p>
    <w:p>
      <w:pPr>
        <w:pStyle w:val="Heading1"/>
      </w:pPr>
      <w:r>
        <w:t>FINEEC-benchmarked framing</w:t>
      </w:r>
    </w:p>
    <w:p>
      <w:r>
        <w:t>FINEEC-benchmarked framing: Baseline evidence reflects reliable self-evaluation. It allows the participant, team or institution to recognise strengths and development targets from a varied evidence base rather than from a single opinion or anecdote.</w:t>
      </w:r>
    </w:p>
    <w:p>
      <w:pPr>
        <w:pStyle w:val="Heading1"/>
      </w:pPr>
      <w:r>
        <w:t>Meaning in practice</w:t>
      </w:r>
    </w:p>
    <w:p>
      <w:r>
        <w:t>In practice, the participant collects two or three small evidence sources, such as observation notes, learner work, learner voice, feedback samples, assessment notes, attendance or participation records.</w:t>
      </w:r>
    </w:p>
    <w:p>
      <w:pPr>
        <w:pStyle w:val="Heading1"/>
      </w:pPr>
      <w:r>
        <w:t>Why this matters in teacher inquiry</w:t>
      </w:r>
    </w:p>
    <w:p>
      <w:r>
        <w:t>Without baseline evidence, improvement work becomes guesswork. Baseline evidence creates a fair starting point and helps the participant later decide whether the change improved access, quality, confidence, participation or progress.</w:t>
      </w:r>
    </w:p>
    <w:p>
      <w:pPr>
        <w:pStyle w:val="Heading1"/>
      </w:pPr>
      <w:r>
        <w:t>Classroom or institutional context</w:t>
      </w:r>
    </w:p>
    <w:p>
      <w:r>
        <w:t>A teacher believes feedback is not helping learners improve writing. Before changing the whole feedback routine, the teacher collects three marked samples, asks learners which comments helped them revise and notes how many learners acted on the feedback.</w:t>
      </w:r>
    </w:p>
    <w:p>
      <w:pPr>
        <w:pStyle w:val="Heading1"/>
      </w:pPr>
      <w:r>
        <w:t>Evidence requirement</w:t>
      </w:r>
    </w:p>
    <w:p>
      <w:r>
        <w:t>The participant must upload a completed Baseline Evidence Capture Sheet with at least two evidence sources and a short interpretation of what the baseline suggests.</w:t>
      </w:r>
    </w:p>
    <w:p>
      <w:pPr>
        <w:pStyle w:val="Heading1"/>
      </w:pPr>
      <w:r>
        <w:t>Downloadable artefact explanation</w:t>
      </w:r>
    </w:p>
    <w:p>
      <w:r>
        <w:t>The downloadable artefact is an editable baseline evidence sheet. It helps participants record the current situation, triangulate evidence and identify what still needs to be understood before action.</w:t>
      </w:r>
    </w:p>
    <w:p>
      <w:pPr>
        <w:pStyle w:val="Heading1"/>
      </w:pPr>
      <w:r>
        <w:t>Model completed example</w:t>
      </w:r>
    </w:p>
    <w:p>
      <w:r>
        <w:t>Evidence source 1: learner writing samples show repeated paragraph-structure errors. Evidence source 2: learner voice slips show learners understand the grade but not the next step. Interpretation: feedback is too general. Next comparison point: learners’ revised paragraphs after a targeted feedback-code routine.</w:t>
      </w:r>
    </w:p>
    <w:p>
      <w:pPr>
        <w:pStyle w:val="Heading1"/>
      </w:pPr>
      <w:r>
        <w:t>Reflection and improvement prompt</w:t>
      </w:r>
    </w:p>
    <w:p>
      <w:r>
        <w:t>What did the baseline confirm, challenge or reveal? Which evidence source was strongest? What risk of bias remains?</w:t>
      </w:r>
    </w:p>
    <w:p>
      <w:pPr>
        <w:pStyle w:val="Heading1"/>
      </w:pPr>
      <w:r>
        <w:t>Facilitator notes</w:t>
      </w:r>
    </w:p>
    <w:p>
      <w:r>
        <w:t>Remind participants that evidence must be practical and ethical. Discourage over-collection. A small but varied evidence set is better than a large file that nobody reviews. Ask participants to include learner voice where possible.</w:t>
      </w:r>
    </w:p>
    <w:p>
      <w:pPr>
        <w:pStyle w:val="Heading1"/>
      </w:pPr>
      <w:r>
        <w:t>Learner-facing phrasing</w:t>
      </w:r>
    </w:p>
    <w:p>
      <w:r>
        <w:t>In this module, you will collect starting evidence before you change practice. This helps you understand the current situation clearly and compare later whether your improvement action made a difference.</w:t>
      </w:r>
    </w:p>
    <w:p>
      <w:pPr>
        <w:pStyle w:val="Heading1"/>
      </w:pPr>
      <w:r>
        <w:t>Internal developer/CMS wording</w:t>
      </w:r>
    </w:p>
    <w:p>
      <w:r>
        <w:t>CMS short copy: Participants gather baseline evidence before implementing a teacher inquiry action. Resource: Baseline Evidence Capture Sheet. Required upload: completed baseline record with at least two evidence sources.</w:t>
      </w:r>
    </w:p>
    <w:p>
      <w:pPr>
        <w:pStyle w:val="Heading1"/>
      </w:pPr>
      <w:r>
        <w:t>Certificate evidence rule</w:t>
      </w:r>
    </w:p>
    <w:p>
      <w:r>
        <w:t>Certificate rule: mark C09-M02 complete only when the participant uploads a baseline evidence sheet with current practice, at least two evidence sources, interpretation and comparison point.</w:t>
      </w:r>
    </w:p>
    <w:p>
      <w:pPr>
        <w:pStyle w:val="Heading1"/>
      </w:pPr>
      <w:r>
        <w:t>Key terminology and definitions</w:t>
      </w:r>
    </w:p>
    <w:p>
      <w:pPr>
        <w:pStyle w:val="ListBullet"/>
      </w:pPr>
      <w:r>
        <w:t>Teacher inquiry: A structured professional improvement process where a teacher or education team identifies a real practice issue, collects evidence, tests a manageable action and makes a justified improvement decision.</w:t>
      </w:r>
    </w:p>
    <w:p>
      <w:pPr>
        <w:pStyle w:val="ListBullet"/>
      </w:pPr>
      <w:r>
        <w:t>Baseline evidence: The practical starting evidence collected before a change is introduced, such as learner work, observation notes, learner voice, assessment samples or participation records.</w:t>
      </w:r>
    </w:p>
    <w:p>
      <w:pPr>
        <w:pStyle w:val="ListBullet"/>
      </w:pPr>
      <w:r>
        <w:t>Small trial: A safe, limited implementation step used to test one improvement before scaling it to a full class, team or institution.</w:t>
      </w:r>
    </w:p>
    <w:p>
      <w:pPr>
        <w:pStyle w:val="ListBullet"/>
      </w:pPr>
      <w:r>
        <w:t>Learner voice: Learners’ spoken, written or demonstrated feedback about access, confidence, participation, challenge, progress and support.</w:t>
      </w:r>
    </w:p>
    <w:p>
      <w:pPr>
        <w:pStyle w:val="ListBullet"/>
      </w:pPr>
      <w:r>
        <w:t>Professional judgement: The educator’s evidence-informed decision-making about learning, support, feedback, assessment and next steps.</w:t>
      </w:r>
    </w:p>
    <w:p>
      <w:pPr>
        <w:pStyle w:val="ListBullet"/>
      </w:pPr>
      <w:r>
        <w:t>Enhancement-led evaluation: A development-focused evaluation approach that emphasises participation, trust, learning, improvement and the identification of strengths as well as development targets.</w:t>
      </w:r>
    </w:p>
    <w:p>
      <w:pPr>
        <w:pStyle w:val="ListBullet"/>
      </w:pPr>
      <w:r>
        <w:t>Evidence portfolio: A structured collection of artefacts showing the inquiry question, baseline, action, evidence, reflection and improvement decision.</w:t>
      </w:r>
    </w:p>
    <w:p>
      <w:pPr>
        <w:pStyle w:val="ListBullet"/>
      </w:pPr>
      <w:r>
        <w:t>Improvement cycle: The FCEI cycle of identifying a principle, diagnosing the problem, choosing a tool, collecting evidence, reflecting and deciding the next improvement step.</w:t>
      </w:r>
    </w:p>
    <w:p>
      <w:pPr>
        <w:pStyle w:val="ListBullet"/>
      </w:pPr>
      <w:r>
        <w:t>Non-punitive diagnosis: A way of identifying learning or practice problems without blaming learners, families or staff; the focus stays on conditions, routines and support.</w:t>
      </w:r>
    </w:p>
    <w:p>
      <w:pPr>
        <w:pStyle w:val="ListBullet"/>
      </w:pPr>
      <w:r>
        <w:t>Certificate evidence: The minimum verified output required before the platform can issue the module completion record.</w:t>
      </w:r>
    </w:p>
    <w:p>
      <w:pPr>
        <w:pStyle w:val="Heading1"/>
      </w:pPr>
      <w:r>
        <w:t>Downloadable participant artefact template</w:t>
      </w:r>
    </w:p>
    <w:p>
      <w:r>
        <w:t>Use this table as the editable learner/commercial download inside the C09 LMS resource panel. The participant should complete it, export it as PDF where required and upload it to the C09 evidence area.</w:t>
      </w:r>
    </w:p>
    <w:tbl>
      <w:tblPr>
        <w:tblStyle w:val="TableGrid"/>
        <w:tblW w:type="auto" w:w="0"/>
        <w:jc w:val="center"/>
        <w:tblLook w:firstColumn="1" w:firstRow="1" w:lastColumn="0" w:lastRow="0" w:noHBand="0" w:noVBand="1" w:val="04A0"/>
      </w:tblPr>
      <w:tblGrid>
        <w:gridCol w:w="5285"/>
        <w:gridCol w:w="5285"/>
      </w:tblGrid>
      <w:tr>
        <w:tc>
          <w:tcPr>
            <w:tcW w:type="dxa" w:w="5285"/>
            <w:vAlign w:val="top"/>
            <w:shd w:fill="D9EAD3"/>
          </w:tcPr>
          <w:p>
            <w:r/>
            <w:r>
              <w:rPr>
                <w:b/>
                <w:sz w:val="16"/>
              </w:rPr>
              <w:t>Template field</w:t>
            </w:r>
          </w:p>
        </w:tc>
        <w:tc>
          <w:tcPr>
            <w:tcW w:type="dxa" w:w="5285"/>
            <w:vAlign w:val="top"/>
            <w:shd w:fill="D9EAD3"/>
          </w:tcPr>
          <w:p>
            <w:r/>
            <w:r>
              <w:rPr>
                <w:b/>
                <w:sz w:val="16"/>
              </w:rPr>
              <w:t>Participant completion space</w:t>
            </w:r>
          </w:p>
        </w:tc>
      </w:tr>
      <w:tr>
        <w:tc>
          <w:tcPr>
            <w:tcW w:type="dxa" w:w="5285"/>
            <w:vAlign w:val="top"/>
          </w:tcPr>
          <w:p>
            <w:r/>
            <w:r>
              <w:rPr>
                <w:b/>
                <w:sz w:val="16"/>
              </w:rPr>
              <w:t>Current practice</w:t>
            </w:r>
          </w:p>
        </w:tc>
        <w:tc>
          <w:tcPr>
            <w:tcW w:type="dxa" w:w="5285"/>
            <w:vAlign w:val="top"/>
          </w:tcPr>
          <w:p>
            <w:r/>
            <w:r>
              <w:rPr>
                <w:b w:val="0"/>
                <w:sz w:val="16"/>
              </w:rPr>
              <w:t>Complete using concise, anonymised and practical evidence.</w:t>
            </w:r>
          </w:p>
        </w:tc>
      </w:tr>
      <w:tr>
        <w:tc>
          <w:tcPr>
            <w:tcW w:type="dxa" w:w="5285"/>
            <w:vAlign w:val="top"/>
          </w:tcPr>
          <w:p>
            <w:r/>
            <w:r>
              <w:rPr>
                <w:b/>
                <w:sz w:val="16"/>
              </w:rPr>
              <w:t>Evidence source 1</w:t>
            </w:r>
          </w:p>
        </w:tc>
        <w:tc>
          <w:tcPr>
            <w:tcW w:type="dxa" w:w="5285"/>
            <w:vAlign w:val="top"/>
          </w:tcPr>
          <w:p>
            <w:r/>
            <w:r>
              <w:rPr>
                <w:b w:val="0"/>
                <w:sz w:val="16"/>
              </w:rPr>
              <w:t>Complete using concise, anonymised and practical evidence.</w:t>
            </w:r>
          </w:p>
        </w:tc>
      </w:tr>
      <w:tr>
        <w:tc>
          <w:tcPr>
            <w:tcW w:type="dxa" w:w="5285"/>
            <w:vAlign w:val="top"/>
          </w:tcPr>
          <w:p>
            <w:r/>
            <w:r>
              <w:rPr>
                <w:b/>
                <w:sz w:val="16"/>
              </w:rPr>
              <w:t>Evidence source 2</w:t>
            </w:r>
          </w:p>
        </w:tc>
        <w:tc>
          <w:tcPr>
            <w:tcW w:type="dxa" w:w="5285"/>
            <w:vAlign w:val="top"/>
          </w:tcPr>
          <w:p>
            <w:r/>
            <w:r>
              <w:rPr>
                <w:b w:val="0"/>
                <w:sz w:val="16"/>
              </w:rPr>
              <w:t>Complete using concise, anonymised and practical evidence.</w:t>
            </w:r>
          </w:p>
        </w:tc>
      </w:tr>
      <w:tr>
        <w:tc>
          <w:tcPr>
            <w:tcW w:type="dxa" w:w="5285"/>
            <w:vAlign w:val="top"/>
          </w:tcPr>
          <w:p>
            <w:r/>
            <w:r>
              <w:rPr>
                <w:b/>
                <w:sz w:val="16"/>
              </w:rPr>
              <w:t>Optional evidence source 3</w:t>
            </w:r>
          </w:p>
        </w:tc>
        <w:tc>
          <w:tcPr>
            <w:tcW w:type="dxa" w:w="5285"/>
            <w:vAlign w:val="top"/>
          </w:tcPr>
          <w:p>
            <w:r/>
            <w:r>
              <w:rPr>
                <w:b w:val="0"/>
                <w:sz w:val="16"/>
              </w:rPr>
              <w:t>Complete using concise, anonymised and practical evidence.</w:t>
            </w:r>
          </w:p>
        </w:tc>
      </w:tr>
      <w:tr>
        <w:tc>
          <w:tcPr>
            <w:tcW w:type="dxa" w:w="5285"/>
            <w:vAlign w:val="top"/>
          </w:tcPr>
          <w:p>
            <w:r/>
            <w:r>
              <w:rPr>
                <w:b/>
                <w:sz w:val="16"/>
              </w:rPr>
              <w:t>Learner voice note</w:t>
            </w:r>
          </w:p>
        </w:tc>
        <w:tc>
          <w:tcPr>
            <w:tcW w:type="dxa" w:w="5285"/>
            <w:vAlign w:val="top"/>
          </w:tcPr>
          <w:p>
            <w:r/>
            <w:r>
              <w:rPr>
                <w:b w:val="0"/>
                <w:sz w:val="16"/>
              </w:rPr>
              <w:t>Complete using concise, anonymised and practical evidence.</w:t>
            </w:r>
          </w:p>
        </w:tc>
      </w:tr>
      <w:tr>
        <w:tc>
          <w:tcPr>
            <w:tcW w:type="dxa" w:w="5285"/>
            <w:vAlign w:val="top"/>
          </w:tcPr>
          <w:p>
            <w:r/>
            <w:r>
              <w:rPr>
                <w:b/>
                <w:sz w:val="16"/>
              </w:rPr>
              <w:t>What the baseline suggests</w:t>
            </w:r>
          </w:p>
        </w:tc>
        <w:tc>
          <w:tcPr>
            <w:tcW w:type="dxa" w:w="5285"/>
            <w:vAlign w:val="top"/>
          </w:tcPr>
          <w:p>
            <w:r/>
            <w:r>
              <w:rPr>
                <w:b w:val="0"/>
                <w:sz w:val="16"/>
              </w:rPr>
              <w:t>Complete using concise, anonymised and practical evidence.</w:t>
            </w:r>
          </w:p>
        </w:tc>
      </w:tr>
      <w:tr>
        <w:tc>
          <w:tcPr>
            <w:tcW w:type="dxa" w:w="5285"/>
            <w:vAlign w:val="top"/>
          </w:tcPr>
          <w:p>
            <w:r/>
            <w:r>
              <w:rPr>
                <w:b/>
                <w:sz w:val="16"/>
              </w:rPr>
              <w:t>What is still unknown?</w:t>
            </w:r>
          </w:p>
        </w:tc>
        <w:tc>
          <w:tcPr>
            <w:tcW w:type="dxa" w:w="5285"/>
            <w:vAlign w:val="top"/>
          </w:tcPr>
          <w:p>
            <w:r/>
            <w:r>
              <w:rPr>
                <w:b w:val="0"/>
                <w:sz w:val="16"/>
              </w:rPr>
              <w:t>Complete using concise, anonymised and practical evidence.</w:t>
            </w:r>
          </w:p>
        </w:tc>
      </w:tr>
      <w:tr>
        <w:tc>
          <w:tcPr>
            <w:tcW w:type="dxa" w:w="5285"/>
            <w:vAlign w:val="top"/>
          </w:tcPr>
          <w:p>
            <w:r/>
            <w:r>
              <w:rPr>
                <w:b/>
                <w:sz w:val="16"/>
              </w:rPr>
              <w:t>Risk of bias</w:t>
            </w:r>
          </w:p>
        </w:tc>
        <w:tc>
          <w:tcPr>
            <w:tcW w:type="dxa" w:w="5285"/>
            <w:vAlign w:val="top"/>
          </w:tcPr>
          <w:p>
            <w:r/>
            <w:r>
              <w:rPr>
                <w:b w:val="0"/>
                <w:sz w:val="16"/>
              </w:rPr>
              <w:t>Complete using concise, anonymised and practical evidence.</w:t>
            </w:r>
          </w:p>
        </w:tc>
      </w:tr>
      <w:tr>
        <w:tc>
          <w:tcPr>
            <w:tcW w:type="dxa" w:w="5285"/>
            <w:vAlign w:val="top"/>
          </w:tcPr>
          <w:p>
            <w:r/>
            <w:r>
              <w:rPr>
                <w:b/>
                <w:sz w:val="16"/>
              </w:rPr>
              <w:t>Comparison point for later review</w:t>
            </w:r>
          </w:p>
        </w:tc>
        <w:tc>
          <w:tcPr>
            <w:tcW w:type="dxa" w:w="5285"/>
            <w:vAlign w:val="top"/>
          </w:tcPr>
          <w:p>
            <w:r/>
            <w:r>
              <w:rPr>
                <w:b w:val="0"/>
                <w:sz w:val="16"/>
              </w:rPr>
              <w:t>Complete using concise, anonymised and practical evidence.</w:t>
            </w:r>
          </w:p>
        </w:tc>
      </w:tr>
    </w:tbl>
    <w:p>
      <w:pPr>
        <w:pStyle w:val="Heading1"/>
      </w:pPr>
      <w:r>
        <w:t>Quality review checklist</w:t>
      </w:r>
    </w:p>
    <w:p>
      <w:pPr>
        <w:pStyle w:val="ListBullet"/>
      </w:pPr>
      <w:r>
        <w:t>The issue is described without blame.</w:t>
      </w:r>
    </w:p>
    <w:p>
      <w:pPr>
        <w:pStyle w:val="ListBullet"/>
      </w:pPr>
      <w:r>
        <w:t>The content links to learner access, support, participation, feedback, progress, wellbeing, curriculum adaptation or professional judgement.</w:t>
      </w:r>
    </w:p>
    <w:p>
      <w:pPr>
        <w:pStyle w:val="ListBullet"/>
      </w:pPr>
      <w:r>
        <w:t>The evidence is practical, ethical and reviewable.</w:t>
      </w:r>
    </w:p>
    <w:p>
      <w:pPr>
        <w:pStyle w:val="ListBullet"/>
      </w:pPr>
      <w:r>
        <w:t>The improvement decision is justified by evidence.</w:t>
      </w:r>
    </w:p>
    <w:p>
      <w:pPr>
        <w:pStyle w:val="ListBullet"/>
      </w:pPr>
      <w:r>
        <w:t>The artefact can be used inside the participant’s C09 portfolio.</w:t>
      </w:r>
    </w:p>
    <w:p>
      <w:pPr>
        <w:pStyle w:val="Heading1"/>
      </w:pPr>
      <w:r>
        <w:t>Reference basis</w:t>
      </w:r>
    </w:p>
    <w:p>
      <w:pPr>
        <w:pStyle w:val="ListBullet"/>
      </w:pPr>
      <w:r>
        <w:t>EDUFI - National Core Curriculum for Primary and Lower Secondary Basic Education: Uniform foundation for local curricula, equality, local adaptation, active and flexible curriculum support for teaching and school activities. - https://www.oph.fi/en/education-and-qualifications/national-core-curriculum-primary-and-lower-secondary-basic-education</w:t>
      </w:r>
    </w:p>
    <w:p>
      <w:pPr>
        <w:pStyle w:val="ListBullet"/>
      </w:pPr>
      <w:r>
        <w:t>EDUFI - Basic Information about Primary and Lower Secondary Education: Teacher responsibility for assessment of learning and competence; teacher professional judgement in day-to-day practice. - https://www.oph.fi/en/education-and-qualifications/bacic-information-about-primary-and-lower-secondary-education</w:t>
      </w:r>
    </w:p>
    <w:p>
      <w:pPr>
        <w:pStyle w:val="ListBullet"/>
      </w:pPr>
      <w:r>
        <w:t>EDUFI - Transversal Competences: Transversal competence is embedded in subjects and supported by formative and summative assessment practices. - https://www.oph.fi/en/education-and-qualifications/transversal-competences-finnish-general-upper-secondary-education</w:t>
      </w:r>
    </w:p>
    <w:p>
      <w:pPr>
        <w:pStyle w:val="ListBullet"/>
      </w:pPr>
      <w:r>
        <w:t>FINEEC - Enhancement-led Evaluation: Development, participation, interaction, learning, positive approach, appreciation, trust and impact as evaluation principles. - https://www.karvi.fi/en/about-us/about-our-evaluations/enhancement-led-evaluation</w:t>
      </w:r>
    </w:p>
    <w:p>
      <w:pPr>
        <w:pStyle w:val="ListBullet"/>
      </w:pPr>
      <w:r>
        <w:t>FINEEC - Support for Quality Management: Participation, trust and education provider responsibility for maintaining and improving quality. - https://www.karvi.fi/en/about-us/support-quality-management</w:t>
      </w:r>
    </w:p>
    <w:p>
      <w:pPr>
        <w:pStyle w:val="ListBullet"/>
      </w:pPr>
      <w:r>
        <w:t>FINEEC - Pre-primary, Primary and Lower Secondary Education Evaluations: Evaluation information helps providers and schools recognise strengths and development targets and supports self-evaluation. - https://www.karvi.fi/en/evaluations/pre-primary-primary-and-lower-secondary-education</w:t>
      </w:r>
    </w:p>
    <w:sectPr w:rsidR="00FC693F" w:rsidRPr="0006063C" w:rsidSect="00034616">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C09-M02 Baseline Evidence Capture Sheet</dc:title>
  <dc:subject/>
  <dc:creator>Finland Creative Education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