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A5C"/>
          <w:sz w:val="20"/>
        </w:rPr>
        <w:t>Finland Creative Education Institute (FCEI)</w:t>
      </w:r>
    </w:p>
    <w:p>
      <w:pPr>
        <w:pStyle w:val="Title"/>
        <w:jc w:val="center"/>
      </w:pPr>
      <w:r>
        <w:t>C09-M03: Small Trial Planning Template</w:t>
      </w:r>
    </w:p>
    <w:p>
      <w:pPr>
        <w:jc w:val="center"/>
      </w:pPr>
      <w:r>
        <w:t>C09 Teacher Inquiry, Reflection and Improvement Practice - Live Deployable Module Resource</w:t>
      </w:r>
    </w:p>
    <w:tbl>
      <w:tblPr>
        <w:tblStyle w:val="TableGrid"/>
        <w:tblW w:type="auto" w:w="0"/>
        <w:jc w:val="center"/>
        <w:tblLook w:firstColumn="1" w:firstRow="1" w:lastColumn="0" w:lastRow="0" w:noHBand="0" w:noVBand="1" w:val="04A0"/>
      </w:tblPr>
      <w:tblGrid>
        <w:gridCol w:w="5285"/>
        <w:gridCol w:w="5285"/>
      </w:tblGrid>
      <w:tr>
        <w:tc>
          <w:tcPr>
            <w:tcW w:type="dxa" w:w="5285"/>
            <w:vAlign w:val="top"/>
            <w:shd w:fill="F2F2F2"/>
          </w:tcPr>
          <w:p>
            <w:r/>
            <w:r>
              <w:rPr>
                <w:b/>
                <w:sz w:val="16"/>
              </w:rPr>
              <w:t>Course</w:t>
            </w:r>
          </w:p>
        </w:tc>
        <w:tc>
          <w:tcPr>
            <w:tcW w:type="dxa" w:w="5285"/>
            <w:vAlign w:val="top"/>
          </w:tcPr>
          <w:p>
            <w:r/>
            <w:r>
              <w:rPr>
                <w:b w:val="0"/>
                <w:sz w:val="16"/>
              </w:rPr>
              <w:t>Teacher Inquiry, Reflection and Improvement Practice</w:t>
            </w:r>
          </w:p>
        </w:tc>
      </w:tr>
      <w:tr>
        <w:tc>
          <w:tcPr>
            <w:tcW w:type="dxa" w:w="5285"/>
            <w:vAlign w:val="top"/>
            <w:shd w:fill="F2F2F2"/>
          </w:tcPr>
          <w:p>
            <w:r/>
            <w:r>
              <w:rPr>
                <w:b/>
                <w:sz w:val="16"/>
              </w:rPr>
              <w:t>FCEI pathway</w:t>
            </w:r>
          </w:p>
        </w:tc>
        <w:tc>
          <w:tcPr>
            <w:tcW w:type="dxa" w:w="5285"/>
            <w:vAlign w:val="top"/>
          </w:tcPr>
          <w:p>
            <w:r/>
            <w:r>
              <w:rPr>
                <w:b w:val="0"/>
                <w:sz w:val="16"/>
              </w:rPr>
              <w:t>FCEI Finnish Teacher Training Development Framework</w:t>
            </w:r>
          </w:p>
        </w:tc>
      </w:tr>
      <w:tr>
        <w:tc>
          <w:tcPr>
            <w:tcW w:type="dxa" w:w="5285"/>
            <w:vAlign w:val="top"/>
            <w:shd w:fill="F2F2F2"/>
          </w:tcPr>
          <w:p>
            <w:r/>
            <w:r>
              <w:rPr>
                <w:b/>
                <w:sz w:val="16"/>
              </w:rPr>
              <w:t>Module focus</w:t>
            </w:r>
          </w:p>
        </w:tc>
        <w:tc>
          <w:tcPr>
            <w:tcW w:type="dxa" w:w="5285"/>
            <w:vAlign w:val="top"/>
          </w:tcPr>
          <w:p>
            <w:r/>
            <w:r>
              <w:rPr>
                <w:b w:val="0"/>
                <w:sz w:val="16"/>
              </w:rPr>
              <w:t>Planning a safe and manageable improvement action.</w:t>
            </w:r>
          </w:p>
        </w:tc>
      </w:tr>
      <w:tr>
        <w:tc>
          <w:tcPr>
            <w:tcW w:type="dxa" w:w="5285"/>
            <w:vAlign w:val="top"/>
            <w:shd w:fill="F2F2F2"/>
          </w:tcPr>
          <w:p>
            <w:r/>
            <w:r>
              <w:rPr>
                <w:b/>
                <w:sz w:val="16"/>
              </w:rPr>
              <w:t>Status</w:t>
            </w:r>
          </w:p>
        </w:tc>
        <w:tc>
          <w:tcPr>
            <w:tcW w:type="dxa" w:w="5285"/>
            <w:vAlign w:val="top"/>
          </w:tcPr>
          <w:p>
            <w:r/>
            <w:r>
              <w:rPr>
                <w:b w:val="0"/>
                <w:sz w:val="16"/>
              </w:rPr>
              <w:t>Live deployable - full EDUFI-aligned and FINEEC-benchmarked upgrade</w:t>
            </w:r>
          </w:p>
        </w:tc>
      </w:tr>
    </w:tbl>
    <w:p>
      <w:pPr>
        <w:pStyle w:val="Heading1"/>
      </w:pPr>
      <w:r>
        <w:t>Short explanation</w:t>
      </w:r>
    </w:p>
    <w:p>
      <w:r>
        <w:t>This module helps participants design a small trial that can be tested safely before scaling. The participant selects one practical action, a timeline, success indicators and the evidence that will show whether the trial is worth repeating, adapting or stopping.</w:t>
      </w:r>
    </w:p>
    <w:p>
      <w:pPr>
        <w:pStyle w:val="Heading1"/>
      </w:pPr>
      <w:r>
        <w:t>EDUFI-aligned framing</w:t>
      </w:r>
    </w:p>
    <w:p>
      <w:r>
        <w:t>EDUFI-aligned framing: Small trials support flexible local curriculum implementation, learner agency, formative assessment and responsive support. The trial should help learners understand goals, monitor progress, participate more meaningfully or receive clearer support.</w:t>
      </w:r>
    </w:p>
    <w:p>
      <w:pPr>
        <w:pStyle w:val="Heading1"/>
      </w:pPr>
      <w:r>
        <w:t>FINEEC-benchmarked framing</w:t>
      </w:r>
    </w:p>
    <w:p>
      <w:r>
        <w:t>FINEEC-benchmarked framing: The small trial reflects enhancement-led development because the participant learns during the process, involves relevant participants and uses evidence to improve practice rather than to punish or rank performance.</w:t>
      </w:r>
    </w:p>
    <w:p>
      <w:pPr>
        <w:pStyle w:val="Heading1"/>
      </w:pPr>
      <w:r>
        <w:t>Meaning in practice</w:t>
      </w:r>
    </w:p>
    <w:p>
      <w:r>
        <w:t>In practice, a small trial is one manageable change introduced for a limited period, such as a two-minute self-assessment routine, a feedback-code system, role cards for group work or a weekly learner reflection prompt.</w:t>
      </w:r>
    </w:p>
    <w:p>
      <w:pPr>
        <w:pStyle w:val="Heading1"/>
      </w:pPr>
      <w:r>
        <w:t>Why this matters in teacher inquiry</w:t>
      </w:r>
    </w:p>
    <w:p>
      <w:r>
        <w:t>Large reforms often fail because they are too broad. Small trials reduce risk, protect teacher workload and allow evidence-informed adaptation before an approach becomes policy or routine.</w:t>
      </w:r>
    </w:p>
    <w:p>
      <w:pPr>
        <w:pStyle w:val="Heading1"/>
      </w:pPr>
      <w:r>
        <w:t>Classroom or institutional context</w:t>
      </w:r>
    </w:p>
    <w:p>
      <w:r>
        <w:t>A facilitator wants learners to take more responsibility for checking progress. The small trial introduces a two-minute exit routine for three lessons where learners name one success, one confusion and one next step.</w:t>
      </w:r>
    </w:p>
    <w:p>
      <w:pPr>
        <w:pStyle w:val="Heading1"/>
      </w:pPr>
      <w:r>
        <w:t>Evidence requirement</w:t>
      </w:r>
    </w:p>
    <w:p>
      <w:r>
        <w:t>The participant must upload a completed Small Trial Planning Template with the action, learners involved, timeline, success indicator, evidence method and inclusion safeguard.</w:t>
      </w:r>
    </w:p>
    <w:p>
      <w:pPr>
        <w:pStyle w:val="Heading1"/>
      </w:pPr>
      <w:r>
        <w:t>Downloadable artefact explanation</w:t>
      </w:r>
    </w:p>
    <w:p>
      <w:r>
        <w:t>The downloadable artefact is a trial-planning document. It converts the inquiry question into a timed, practical action with a clear evidence plan.</w:t>
      </w:r>
    </w:p>
    <w:p>
      <w:pPr>
        <w:pStyle w:val="Heading1"/>
      </w:pPr>
      <w:r>
        <w:t>Model completed example</w:t>
      </w:r>
    </w:p>
    <w:p>
      <w:r>
        <w:t>Action: introduce role cards and thinking time in group tasks. Timeline: six lessons. Success indicator: at least 80% of learners contribute once per task. Evidence: participation tally, learner confidence reflection and teacher observation note. Safeguard: allow written contribution for learners who are not ready to speak.</w:t>
      </w:r>
    </w:p>
    <w:p>
      <w:pPr>
        <w:pStyle w:val="Heading1"/>
      </w:pPr>
      <w:r>
        <w:t>Reflection and improvement prompt</w:t>
      </w:r>
    </w:p>
    <w:p>
      <w:r>
        <w:t>Was the action small enough to manage? Was the success indicator visible? Did the trial protect learner dignity and access?</w:t>
      </w:r>
    </w:p>
    <w:p>
      <w:pPr>
        <w:pStyle w:val="Heading1"/>
      </w:pPr>
      <w:r>
        <w:t>Facilitator notes</w:t>
      </w:r>
    </w:p>
    <w:p>
      <w:r>
        <w:t>Push participants to reduce the size of the trial. If the plan requires whole-school change, it is too large for this module. Ask them to name exactly what they will do on Monday morning or in the next live session.</w:t>
      </w:r>
    </w:p>
    <w:p>
      <w:pPr>
        <w:pStyle w:val="Heading1"/>
      </w:pPr>
      <w:r>
        <w:t>Learner-facing phrasing</w:t>
      </w:r>
    </w:p>
    <w:p>
      <w:r>
        <w:t>In this module, you will plan one small improvement trial. You will decide what action to test, how long it will run, what evidence you will collect and how you will know whether it helped.</w:t>
      </w:r>
    </w:p>
    <w:p>
      <w:pPr>
        <w:pStyle w:val="Heading1"/>
      </w:pPr>
      <w:r>
        <w:t>Internal developer/CMS wording</w:t>
      </w:r>
    </w:p>
    <w:p>
      <w:r>
        <w:t>CMS short copy: Participants design a small improvement trial linked to their inquiry question. Resource: Small Trial Planning Template. Required upload: completed trial plan with action, timeline, indicator and evidence method.</w:t>
      </w:r>
    </w:p>
    <w:p>
      <w:pPr>
        <w:pStyle w:val="Heading1"/>
      </w:pPr>
      <w:r>
        <w:t>Certificate evidence rule</w:t>
      </w:r>
    </w:p>
    <w:p>
      <w:r>
        <w:t>Certificate rule: mark C09-M03 complete only when the participant uploads a small trial plan containing action step, timeline, success indicator, evidence source and inclusion safeguard.</w:t>
      </w:r>
    </w:p>
    <w:p>
      <w:pPr>
        <w:pStyle w:val="Heading1"/>
      </w:pPr>
      <w:r>
        <w:t>Key terminology and definitions</w:t>
      </w:r>
    </w:p>
    <w:p>
      <w:pPr>
        <w:pStyle w:val="ListBullet"/>
      </w:pPr>
      <w:r>
        <w:t>Teacher inquiry: A structured professional improvement process where a teacher or education team identifies a real practice issue, collects evidence, tests a manageable action and makes a justified improvement decision.</w:t>
      </w:r>
    </w:p>
    <w:p>
      <w:pPr>
        <w:pStyle w:val="ListBullet"/>
      </w:pPr>
      <w:r>
        <w:t>Baseline evidence: The practical starting evidence collected before a change is introduced, such as learner work, observation notes, learner voice, assessment samples or participation records.</w:t>
      </w:r>
    </w:p>
    <w:p>
      <w:pPr>
        <w:pStyle w:val="ListBullet"/>
      </w:pPr>
      <w:r>
        <w:t>Small trial: A safe, limited implementation step used to test one improvement before scaling it to a full class, team or institution.</w:t>
      </w:r>
    </w:p>
    <w:p>
      <w:pPr>
        <w:pStyle w:val="ListBullet"/>
      </w:pPr>
      <w:r>
        <w:t>Learner voice: Learners’ spoken, written or demonstrated feedback about access, confidence, participation, challenge, progress and support.</w:t>
      </w:r>
    </w:p>
    <w:p>
      <w:pPr>
        <w:pStyle w:val="ListBullet"/>
      </w:pPr>
      <w:r>
        <w:t>Professional judgement: The educator’s evidence-informed decision-making about learning, support, feedback, assessment and next steps.</w:t>
      </w:r>
    </w:p>
    <w:p>
      <w:pPr>
        <w:pStyle w:val="ListBullet"/>
      </w:pPr>
      <w:r>
        <w:t>Enhancement-led evaluation: A development-focused evaluation approach that emphasises participation, trust, learning, improvement and the identification of strengths as well as development targets.</w:t>
      </w:r>
    </w:p>
    <w:p>
      <w:pPr>
        <w:pStyle w:val="ListBullet"/>
      </w:pPr>
      <w:r>
        <w:t>Evidence portfolio: A structured collection of artefacts showing the inquiry question, baseline, action, evidence, reflection and improvement decision.</w:t>
      </w:r>
    </w:p>
    <w:p>
      <w:pPr>
        <w:pStyle w:val="ListBullet"/>
      </w:pPr>
      <w:r>
        <w:t>Improvement cycle: The FCEI cycle of identifying a principle, diagnosing the problem, choosing a tool, collecting evidence, reflecting and deciding the next improvement step.</w:t>
      </w:r>
    </w:p>
    <w:p>
      <w:pPr>
        <w:pStyle w:val="ListBullet"/>
      </w:pPr>
      <w:r>
        <w:t>Non-punitive diagnosis: A way of identifying learning or practice problems without blaming learners, families or staff; the focus stays on conditions, routines and support.</w:t>
      </w:r>
    </w:p>
    <w:p>
      <w:pPr>
        <w:pStyle w:val="ListBullet"/>
      </w:pPr>
      <w:r>
        <w:t>Certificate evidence: The minimum verified output required before the platform can issue the module completion record.</w:t>
      </w:r>
    </w:p>
    <w:p>
      <w:pPr>
        <w:pStyle w:val="Heading1"/>
      </w:pPr>
      <w:r>
        <w:t>Downloadable participant artefact template</w:t>
      </w:r>
    </w:p>
    <w:p>
      <w:r>
        <w:t>Use this table as the editable learner/commercial download inside the C09 LMS resource panel. The participant should complete it, export it as PDF where required and upload it to the C09 evidence area.</w:t>
      </w:r>
    </w:p>
    <w:tbl>
      <w:tblPr>
        <w:tblStyle w:val="TableGrid"/>
        <w:tblW w:type="auto" w:w="0"/>
        <w:jc w:val="center"/>
        <w:tblLook w:firstColumn="1" w:firstRow="1" w:lastColumn="0" w:lastRow="0" w:noHBand="0" w:noVBand="1" w:val="04A0"/>
      </w:tblPr>
      <w:tblGrid>
        <w:gridCol w:w="5285"/>
        <w:gridCol w:w="5285"/>
      </w:tblGrid>
      <w:tr>
        <w:tc>
          <w:tcPr>
            <w:tcW w:type="dxa" w:w="5285"/>
            <w:vAlign w:val="top"/>
            <w:shd w:fill="D9EAD3"/>
          </w:tcPr>
          <w:p>
            <w:r/>
            <w:r>
              <w:rPr>
                <w:b/>
                <w:sz w:val="16"/>
              </w:rPr>
              <w:t>Template field</w:t>
            </w:r>
          </w:p>
        </w:tc>
        <w:tc>
          <w:tcPr>
            <w:tcW w:type="dxa" w:w="5285"/>
            <w:vAlign w:val="top"/>
            <w:shd w:fill="D9EAD3"/>
          </w:tcPr>
          <w:p>
            <w:r/>
            <w:r>
              <w:rPr>
                <w:b/>
                <w:sz w:val="16"/>
              </w:rPr>
              <w:t>Participant completion space</w:t>
            </w:r>
          </w:p>
        </w:tc>
      </w:tr>
      <w:tr>
        <w:tc>
          <w:tcPr>
            <w:tcW w:type="dxa" w:w="5285"/>
            <w:vAlign w:val="top"/>
          </w:tcPr>
          <w:p>
            <w:r/>
            <w:r>
              <w:rPr>
                <w:b/>
                <w:sz w:val="16"/>
              </w:rPr>
              <w:t>Inquiry question</w:t>
            </w:r>
          </w:p>
        </w:tc>
        <w:tc>
          <w:tcPr>
            <w:tcW w:type="dxa" w:w="5285"/>
            <w:vAlign w:val="top"/>
          </w:tcPr>
          <w:p>
            <w:r/>
            <w:r>
              <w:rPr>
                <w:b w:val="0"/>
                <w:sz w:val="16"/>
              </w:rPr>
              <w:t>Complete using concise, anonymised and practical evidence.</w:t>
            </w:r>
          </w:p>
        </w:tc>
      </w:tr>
      <w:tr>
        <w:tc>
          <w:tcPr>
            <w:tcW w:type="dxa" w:w="5285"/>
            <w:vAlign w:val="top"/>
          </w:tcPr>
          <w:p>
            <w:r/>
            <w:r>
              <w:rPr>
                <w:b/>
                <w:sz w:val="16"/>
              </w:rPr>
              <w:t>Trial aim</w:t>
            </w:r>
          </w:p>
        </w:tc>
        <w:tc>
          <w:tcPr>
            <w:tcW w:type="dxa" w:w="5285"/>
            <w:vAlign w:val="top"/>
          </w:tcPr>
          <w:p>
            <w:r/>
            <w:r>
              <w:rPr>
                <w:b w:val="0"/>
                <w:sz w:val="16"/>
              </w:rPr>
              <w:t>Complete using concise, anonymised and practical evidence.</w:t>
            </w:r>
          </w:p>
        </w:tc>
      </w:tr>
      <w:tr>
        <w:tc>
          <w:tcPr>
            <w:tcW w:type="dxa" w:w="5285"/>
            <w:vAlign w:val="top"/>
          </w:tcPr>
          <w:p>
            <w:r/>
            <w:r>
              <w:rPr>
                <w:b/>
                <w:sz w:val="16"/>
              </w:rPr>
              <w:t>Action step</w:t>
            </w:r>
          </w:p>
        </w:tc>
        <w:tc>
          <w:tcPr>
            <w:tcW w:type="dxa" w:w="5285"/>
            <w:vAlign w:val="top"/>
          </w:tcPr>
          <w:p>
            <w:r/>
            <w:r>
              <w:rPr>
                <w:b w:val="0"/>
                <w:sz w:val="16"/>
              </w:rPr>
              <w:t>Complete using concise, anonymised and practical evidence.</w:t>
            </w:r>
          </w:p>
        </w:tc>
      </w:tr>
      <w:tr>
        <w:tc>
          <w:tcPr>
            <w:tcW w:type="dxa" w:w="5285"/>
            <w:vAlign w:val="top"/>
          </w:tcPr>
          <w:p>
            <w:r/>
            <w:r>
              <w:rPr>
                <w:b/>
                <w:sz w:val="16"/>
              </w:rPr>
              <w:t>Who is involved?</w:t>
            </w:r>
          </w:p>
        </w:tc>
        <w:tc>
          <w:tcPr>
            <w:tcW w:type="dxa" w:w="5285"/>
            <w:vAlign w:val="top"/>
          </w:tcPr>
          <w:p>
            <w:r/>
            <w:r>
              <w:rPr>
                <w:b w:val="0"/>
                <w:sz w:val="16"/>
              </w:rPr>
              <w:t>Complete using concise, anonymised and practical evidence.</w:t>
            </w:r>
          </w:p>
        </w:tc>
      </w:tr>
      <w:tr>
        <w:tc>
          <w:tcPr>
            <w:tcW w:type="dxa" w:w="5285"/>
            <w:vAlign w:val="top"/>
          </w:tcPr>
          <w:p>
            <w:r/>
            <w:r>
              <w:rPr>
                <w:b/>
                <w:sz w:val="16"/>
              </w:rPr>
              <w:t>Timeline</w:t>
            </w:r>
          </w:p>
        </w:tc>
        <w:tc>
          <w:tcPr>
            <w:tcW w:type="dxa" w:w="5285"/>
            <w:vAlign w:val="top"/>
          </w:tcPr>
          <w:p>
            <w:r/>
            <w:r>
              <w:rPr>
                <w:b w:val="0"/>
                <w:sz w:val="16"/>
              </w:rPr>
              <w:t>Complete using concise, anonymised and practical evidence.</w:t>
            </w:r>
          </w:p>
        </w:tc>
      </w:tr>
      <w:tr>
        <w:tc>
          <w:tcPr>
            <w:tcW w:type="dxa" w:w="5285"/>
            <w:vAlign w:val="top"/>
          </w:tcPr>
          <w:p>
            <w:r/>
            <w:r>
              <w:rPr>
                <w:b/>
                <w:sz w:val="16"/>
              </w:rPr>
              <w:t>Success indicator</w:t>
            </w:r>
          </w:p>
        </w:tc>
        <w:tc>
          <w:tcPr>
            <w:tcW w:type="dxa" w:w="5285"/>
            <w:vAlign w:val="top"/>
          </w:tcPr>
          <w:p>
            <w:r/>
            <w:r>
              <w:rPr>
                <w:b w:val="0"/>
                <w:sz w:val="16"/>
              </w:rPr>
              <w:t>Complete using concise, anonymised and practical evidence.</w:t>
            </w:r>
          </w:p>
        </w:tc>
      </w:tr>
      <w:tr>
        <w:tc>
          <w:tcPr>
            <w:tcW w:type="dxa" w:w="5285"/>
            <w:vAlign w:val="top"/>
          </w:tcPr>
          <w:p>
            <w:r/>
            <w:r>
              <w:rPr>
                <w:b/>
                <w:sz w:val="16"/>
              </w:rPr>
              <w:t>Evidence source</w:t>
            </w:r>
          </w:p>
        </w:tc>
        <w:tc>
          <w:tcPr>
            <w:tcW w:type="dxa" w:w="5285"/>
            <w:vAlign w:val="top"/>
          </w:tcPr>
          <w:p>
            <w:r/>
            <w:r>
              <w:rPr>
                <w:b w:val="0"/>
                <w:sz w:val="16"/>
              </w:rPr>
              <w:t>Complete using concise, anonymised and practical evidence.</w:t>
            </w:r>
          </w:p>
        </w:tc>
      </w:tr>
      <w:tr>
        <w:tc>
          <w:tcPr>
            <w:tcW w:type="dxa" w:w="5285"/>
            <w:vAlign w:val="top"/>
          </w:tcPr>
          <w:p>
            <w:r/>
            <w:r>
              <w:rPr>
                <w:b/>
                <w:sz w:val="16"/>
              </w:rPr>
              <w:t>Inclusion safeguard</w:t>
            </w:r>
          </w:p>
        </w:tc>
        <w:tc>
          <w:tcPr>
            <w:tcW w:type="dxa" w:w="5285"/>
            <w:vAlign w:val="top"/>
          </w:tcPr>
          <w:p>
            <w:r/>
            <w:r>
              <w:rPr>
                <w:b w:val="0"/>
                <w:sz w:val="16"/>
              </w:rPr>
              <w:t>Complete using concise, anonymised and practical evidence.</w:t>
            </w:r>
          </w:p>
        </w:tc>
      </w:tr>
      <w:tr>
        <w:tc>
          <w:tcPr>
            <w:tcW w:type="dxa" w:w="5285"/>
            <w:vAlign w:val="top"/>
          </w:tcPr>
          <w:p>
            <w:r/>
            <w:r>
              <w:rPr>
                <w:b/>
                <w:sz w:val="16"/>
              </w:rPr>
              <w:t>Decision rule after trial</w:t>
            </w:r>
          </w:p>
        </w:tc>
        <w:tc>
          <w:tcPr>
            <w:tcW w:type="dxa" w:w="5285"/>
            <w:vAlign w:val="top"/>
          </w:tcPr>
          <w:p>
            <w:r/>
            <w:r>
              <w:rPr>
                <w:b w:val="0"/>
                <w:sz w:val="16"/>
              </w:rPr>
              <w:t>Complete using concise, anonymised and practical evidence.</w:t>
            </w:r>
          </w:p>
        </w:tc>
      </w:tr>
    </w:tbl>
    <w:p>
      <w:pPr>
        <w:pStyle w:val="Heading1"/>
      </w:pPr>
      <w:r>
        <w:t>Quality review checklist</w:t>
      </w:r>
    </w:p>
    <w:p>
      <w:pPr>
        <w:pStyle w:val="ListBullet"/>
      </w:pPr>
      <w:r>
        <w:t>The issue is described without blame.</w:t>
      </w:r>
    </w:p>
    <w:p>
      <w:pPr>
        <w:pStyle w:val="ListBullet"/>
      </w:pPr>
      <w:r>
        <w:t>The content links to learner access, support, participation, feedback, progress, wellbeing, curriculum adaptation or professional judgement.</w:t>
      </w:r>
    </w:p>
    <w:p>
      <w:pPr>
        <w:pStyle w:val="ListBullet"/>
      </w:pPr>
      <w:r>
        <w:t>The evidence is practical, ethical and reviewable.</w:t>
      </w:r>
    </w:p>
    <w:p>
      <w:pPr>
        <w:pStyle w:val="ListBullet"/>
      </w:pPr>
      <w:r>
        <w:t>The improvement decision is justified by evidence.</w:t>
      </w:r>
    </w:p>
    <w:p>
      <w:pPr>
        <w:pStyle w:val="ListBullet"/>
      </w:pPr>
      <w:r>
        <w:t>The artefact can be used inside the participant’s C09 portfolio.</w:t>
      </w:r>
    </w:p>
    <w:p>
      <w:pPr>
        <w:pStyle w:val="Heading1"/>
      </w:pPr>
      <w:r>
        <w:t>Reference basis</w:t>
      </w:r>
    </w:p>
    <w:p>
      <w:pPr>
        <w:pStyle w:val="ListBullet"/>
      </w:pPr>
      <w:r>
        <w:t>EDUFI - National Core Curriculum for Primary and Lower Secondary Basic Education: Uniform foundation for local curricula, equality, local adaptation, active and flexible curriculum support for teaching and school activities. - https://www.oph.fi/en/education-and-qualifications/national-core-curriculum-primary-and-lower-secondary-basic-education</w:t>
      </w:r>
    </w:p>
    <w:p>
      <w:pPr>
        <w:pStyle w:val="ListBullet"/>
      </w:pPr>
      <w:r>
        <w:t>EDUFI - Basic Information about Primary and Lower Secondary Education: Teacher responsibility for assessment of learning and competence; teacher professional judgement in day-to-day practice. - https://www.oph.fi/en/education-and-qualifications/bacic-information-about-primary-and-lower-secondary-education</w:t>
      </w:r>
    </w:p>
    <w:p>
      <w:pPr>
        <w:pStyle w:val="ListBullet"/>
      </w:pPr>
      <w:r>
        <w:t>EDUFI - Transversal Competences: Transversal competence is embedded in subjects and supported by formative and summative assessment practices. - https://www.oph.fi/en/education-and-qualifications/transversal-competences-finnish-general-upper-secondary-education</w:t>
      </w:r>
    </w:p>
    <w:p>
      <w:pPr>
        <w:pStyle w:val="ListBullet"/>
      </w:pPr>
      <w:r>
        <w:t>FINEEC - Enhancement-led Evaluation: Development, participation, interaction, learning, positive approach, appreciation, trust and impact as evaluation principles. - https://www.karvi.fi/en/about-us/about-our-evaluations/enhancement-led-evaluation</w:t>
      </w:r>
    </w:p>
    <w:p>
      <w:pPr>
        <w:pStyle w:val="ListBullet"/>
      </w:pPr>
      <w:r>
        <w:t>FINEEC - Support for Quality Management: Participation, trust and education provider responsibility for maintaining and improving quality. - https://www.karvi.fi/en/about-us/support-quality-management</w:t>
      </w:r>
    </w:p>
    <w:p>
      <w:pPr>
        <w:pStyle w:val="ListBullet"/>
      </w:pPr>
      <w:r>
        <w:t>FINEEC - Pre-primary, Primary and Lower Secondary Education Evaluations: Evaluation information helps providers and schools recognise strengths and development targets and supports self-evaluation. - https://www.karvi.fi/en/evaluations/pre-primary-primary-and-lower-secondary-education</w:t>
      </w:r>
    </w:p>
    <w:sectPr w:rsidR="00FC693F" w:rsidRPr="0006063C" w:rsidSect="00034616">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C09-M03 Small Trial Planning Template</dc:title>
  <dc:subject/>
  <dc:creator>Finland Creative Education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