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5C"/>
          <w:sz w:val="20"/>
        </w:rPr>
        <w:t>Finland Creative Education Institute (FCEI)</w:t>
      </w:r>
    </w:p>
    <w:p>
      <w:pPr>
        <w:pStyle w:val="Title"/>
        <w:jc w:val="center"/>
      </w:pPr>
      <w:r>
        <w:t>C09-M05: Inquiry Reflection and Improvement Report</w:t>
      </w:r>
    </w:p>
    <w:p>
      <w:pPr>
        <w:jc w:val="center"/>
      </w:pPr>
      <w:r>
        <w:t>C09 Teacher Inquiry, Reflection and Improvement Practice - Live Deployable Module Resource</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F2F2F2"/>
          </w:tcPr>
          <w:p>
            <w:r/>
            <w:r>
              <w:rPr>
                <w:b/>
                <w:sz w:val="16"/>
              </w:rPr>
              <w:t>Course</w:t>
            </w:r>
          </w:p>
        </w:tc>
        <w:tc>
          <w:tcPr>
            <w:tcW w:type="dxa" w:w="5285"/>
            <w:vAlign w:val="top"/>
          </w:tcPr>
          <w:p>
            <w:r/>
            <w:r>
              <w:rPr>
                <w:b w:val="0"/>
                <w:sz w:val="16"/>
              </w:rPr>
              <w:t>Teacher Inquiry, Reflection and Improvement Practice</w:t>
            </w:r>
          </w:p>
        </w:tc>
      </w:tr>
      <w:tr>
        <w:tc>
          <w:tcPr>
            <w:tcW w:type="dxa" w:w="5285"/>
            <w:vAlign w:val="top"/>
            <w:shd w:fill="F2F2F2"/>
          </w:tcPr>
          <w:p>
            <w:r/>
            <w:r>
              <w:rPr>
                <w:b/>
                <w:sz w:val="16"/>
              </w:rPr>
              <w:t>FCEI pathway</w:t>
            </w:r>
          </w:p>
        </w:tc>
        <w:tc>
          <w:tcPr>
            <w:tcW w:type="dxa" w:w="5285"/>
            <w:vAlign w:val="top"/>
          </w:tcPr>
          <w:p>
            <w:r/>
            <w:r>
              <w:rPr>
                <w:b w:val="0"/>
                <w:sz w:val="16"/>
              </w:rPr>
              <w:t>FCEI Finnish Teacher Training Development Framework</w:t>
            </w:r>
          </w:p>
        </w:tc>
      </w:tr>
      <w:tr>
        <w:tc>
          <w:tcPr>
            <w:tcW w:type="dxa" w:w="5285"/>
            <w:vAlign w:val="top"/>
            <w:shd w:fill="F2F2F2"/>
          </w:tcPr>
          <w:p>
            <w:r/>
            <w:r>
              <w:rPr>
                <w:b/>
                <w:sz w:val="16"/>
              </w:rPr>
              <w:t>Module focus</w:t>
            </w:r>
          </w:p>
        </w:tc>
        <w:tc>
          <w:tcPr>
            <w:tcW w:type="dxa" w:w="5285"/>
            <w:vAlign w:val="top"/>
          </w:tcPr>
          <w:p>
            <w:r/>
            <w:r>
              <w:rPr>
                <w:b w:val="0"/>
                <w:sz w:val="16"/>
              </w:rPr>
              <w:t>Using evidence to make a justified improvement decision.</w:t>
            </w:r>
          </w:p>
        </w:tc>
      </w:tr>
      <w:tr>
        <w:tc>
          <w:tcPr>
            <w:tcW w:type="dxa" w:w="5285"/>
            <w:vAlign w:val="top"/>
            <w:shd w:fill="F2F2F2"/>
          </w:tcPr>
          <w:p>
            <w:r/>
            <w:r>
              <w:rPr>
                <w:b/>
                <w:sz w:val="16"/>
              </w:rPr>
              <w:t>Status</w:t>
            </w:r>
          </w:p>
        </w:tc>
        <w:tc>
          <w:tcPr>
            <w:tcW w:type="dxa" w:w="5285"/>
            <w:vAlign w:val="top"/>
          </w:tcPr>
          <w:p>
            <w:r/>
            <w:r>
              <w:rPr>
                <w:b w:val="0"/>
                <w:sz w:val="16"/>
              </w:rPr>
              <w:t>Live deployable - full EDUFI-aligned and FINEEC-benchmarked upgrade</w:t>
            </w:r>
          </w:p>
        </w:tc>
      </w:tr>
    </w:tbl>
    <w:p>
      <w:pPr>
        <w:pStyle w:val="Heading1"/>
      </w:pPr>
      <w:r>
        <w:t>Short explanation</w:t>
      </w:r>
    </w:p>
    <w:p>
      <w:r>
        <w:t>This module helps participants review the evidence from their trial and write an improvement report. The report explains what was tried, what evidence showed, what changed, what did not change and what should happen next.</w:t>
      </w:r>
    </w:p>
    <w:p>
      <w:pPr>
        <w:pStyle w:val="Heading1"/>
      </w:pPr>
      <w:r>
        <w:t>EDUFI-aligned framing</w:t>
      </w:r>
    </w:p>
    <w:p>
      <w:r>
        <w:t>EDUFI-aligned framing: Reflection supports teacher professional judgement, formative assessment and responsive support. The report should connect evidence to learner access, progress, wellbeing, agency, feedback or curriculum adaptation.</w:t>
      </w:r>
    </w:p>
    <w:p>
      <w:pPr>
        <w:pStyle w:val="Heading1"/>
      </w:pPr>
      <w:r>
        <w:t>FINEEC-benchmarked framing</w:t>
      </w:r>
    </w:p>
    <w:p>
      <w:r>
        <w:t>FINEEC-benchmarked framing: The report uses enhancement-led evaluation language by valuing strengths, identifying development targets and making an improvement decision through participation, trust and evidence.</w:t>
      </w:r>
    </w:p>
    <w:p>
      <w:pPr>
        <w:pStyle w:val="Heading1"/>
      </w:pPr>
      <w:r>
        <w:t>Meaning in practice</w:t>
      </w:r>
    </w:p>
    <w:p>
      <w:r>
        <w:t>In practice, the participant uses evidence to choose one decision: repeat, adapt, scale, pause or replace the trial action. The decision must be justified by evidence, not by preference only.</w:t>
      </w:r>
    </w:p>
    <w:p>
      <w:pPr>
        <w:pStyle w:val="Heading1"/>
      </w:pPr>
      <w:r>
        <w:t>Why this matters in teacher inquiry</w:t>
      </w:r>
    </w:p>
    <w:p>
      <w:r>
        <w:t>Reflection is weak when it only says “it went well.” A professional improvement report explains how the evidence was interpreted and why the next step is educationally justified.</w:t>
      </w:r>
    </w:p>
    <w:p>
      <w:pPr>
        <w:pStyle w:val="Heading1"/>
      </w:pPr>
      <w:r>
        <w:t>Classroom or institutional context</w:t>
      </w:r>
    </w:p>
    <w:p>
      <w:r>
        <w:t>After testing a feedback-code routine, a teacher finds that learners revised spelling and punctuation more confidently but still struggled with paragraph organisation. The improvement decision is to keep the feedback codes and add a model paragraph routine.</w:t>
      </w:r>
    </w:p>
    <w:p>
      <w:pPr>
        <w:pStyle w:val="Heading1"/>
      </w:pPr>
      <w:r>
        <w:t>Evidence requirement</w:t>
      </w:r>
    </w:p>
    <w:p>
      <w:r>
        <w:t>The participant must upload an Inquiry Reflection and Improvement Report with summary, evidence interpretation, learner impact, professional learning and next step.</w:t>
      </w:r>
    </w:p>
    <w:p>
      <w:pPr>
        <w:pStyle w:val="Heading1"/>
      </w:pPr>
      <w:r>
        <w:t>Downloadable artefact explanation</w:t>
      </w:r>
    </w:p>
    <w:p>
      <w:r>
        <w:t>The downloadable artefact is a structured improvement report. It turns trial evidence into a professional record suitable for review, portfolio submission, team discussion or leadership reporting.</w:t>
      </w:r>
    </w:p>
    <w:p>
      <w:pPr>
        <w:pStyle w:val="Heading1"/>
      </w:pPr>
      <w:r>
        <w:t>Model completed example</w:t>
      </w:r>
    </w:p>
    <w:p>
      <w:r>
        <w:t>Result: participation increased from 45% to 75% of learners contributing during group tasks. Learner voice: quieter learners said the thinking pause helped them prepare. Decision: repeat the thinking pause and adapt the role cards to include sentence starters. Next evidence: compare quality of contributions, not only number of turns.</w:t>
      </w:r>
    </w:p>
    <w:p>
      <w:pPr>
        <w:pStyle w:val="Heading1"/>
      </w:pPr>
      <w:r>
        <w:t>Reflection and improvement prompt</w:t>
      </w:r>
    </w:p>
    <w:p>
      <w:r>
        <w:t>What changed? What did not change? Which evidence is strongest? What would you adapt before repeating or scaling the action?</w:t>
      </w:r>
    </w:p>
    <w:p>
      <w:pPr>
        <w:pStyle w:val="Heading1"/>
      </w:pPr>
      <w:r>
        <w:t>Facilitator notes</w:t>
      </w:r>
    </w:p>
    <w:p>
      <w:r>
        <w:t>Ask participants to connect claims to evidence. Challenge vague phrases such as “learners were more engaged.” Ask: What did they do? What did they produce? What did they say? What evidence supports the claim?</w:t>
      </w:r>
    </w:p>
    <w:p>
      <w:pPr>
        <w:pStyle w:val="Heading1"/>
      </w:pPr>
      <w:r>
        <w:t>Learner-facing phrasing</w:t>
      </w:r>
    </w:p>
    <w:p>
      <w:r>
        <w:t>In this module, you will turn your trial evidence into an improvement report. You will decide whether to repeat, adapt, scale, pause or replace your action, and you will explain why.</w:t>
      </w:r>
    </w:p>
    <w:p>
      <w:pPr>
        <w:pStyle w:val="Heading1"/>
      </w:pPr>
      <w:r>
        <w:t>Internal developer/CMS wording</w:t>
      </w:r>
    </w:p>
    <w:p>
      <w:r>
        <w:t>CMS short copy: Participants write an evidence-informed inquiry reflection and improvement decision. Resource: Inquiry Reflection and Improvement Report. Required upload: completed report with next-step decision.</w:t>
      </w:r>
    </w:p>
    <w:p>
      <w:pPr>
        <w:pStyle w:val="Heading1"/>
      </w:pPr>
      <w:r>
        <w:t>Certificate evidence rule</w:t>
      </w:r>
    </w:p>
    <w:p>
      <w:r>
        <w:t>Certificate rule: mark C09-M05 complete only when the participant uploads an improvement report with evidence interpretation, learner/practice impact and a justified next-step decision.</w:t>
      </w:r>
    </w:p>
    <w:p>
      <w:pPr>
        <w:pStyle w:val="Heading1"/>
      </w:pPr>
      <w:r>
        <w:t>Key terminology and definitions</w:t>
      </w:r>
    </w:p>
    <w:p>
      <w:pPr>
        <w:pStyle w:val="ListBullet"/>
      </w:pPr>
      <w:r>
        <w:t>Teacher inquiry: A structured professional improvement process where a teacher or education team identifies a real practice issue, collects evidence, tests a manageable action and makes a justified improvement decision.</w:t>
      </w:r>
    </w:p>
    <w:p>
      <w:pPr>
        <w:pStyle w:val="ListBullet"/>
      </w:pPr>
      <w:r>
        <w:t>Baseline evidence: The practical starting evidence collected before a change is introduced, such as learner work, observation notes, learner voice, assessment samples or participation records.</w:t>
      </w:r>
    </w:p>
    <w:p>
      <w:pPr>
        <w:pStyle w:val="ListBullet"/>
      </w:pPr>
      <w:r>
        <w:t>Small trial: A safe, limited implementation step used to test one improvement before scaling it to a full class, team or institution.</w:t>
      </w:r>
    </w:p>
    <w:p>
      <w:pPr>
        <w:pStyle w:val="ListBullet"/>
      </w:pPr>
      <w:r>
        <w:t>Learner voice: Learners’ spoken, written or demonstrated feedback about access, confidence, participation, challenge, progress and support.</w:t>
      </w:r>
    </w:p>
    <w:p>
      <w:pPr>
        <w:pStyle w:val="ListBullet"/>
      </w:pPr>
      <w:r>
        <w:t>Professional judgement: The educator’s evidence-informed decision-making about learning, support, feedback, assessment and next steps.</w:t>
      </w:r>
    </w:p>
    <w:p>
      <w:pPr>
        <w:pStyle w:val="ListBullet"/>
      </w:pPr>
      <w:r>
        <w:t>Enhancement-led evaluation: A development-focused evaluation approach that emphasises participation, trust, learning, improvement and the identification of strengths as well as development targets.</w:t>
      </w:r>
    </w:p>
    <w:p>
      <w:pPr>
        <w:pStyle w:val="ListBullet"/>
      </w:pPr>
      <w:r>
        <w:t>Evidence portfolio: A structured collection of artefacts showing the inquiry question, baseline, action, evidence, reflection and improvement decision.</w:t>
      </w:r>
    </w:p>
    <w:p>
      <w:pPr>
        <w:pStyle w:val="ListBullet"/>
      </w:pPr>
      <w:r>
        <w:t>Improvement cycle: The FCEI cycle of identifying a principle, diagnosing the problem, choosing a tool, collecting evidence, reflecting and deciding the next improvement step.</w:t>
      </w:r>
    </w:p>
    <w:p>
      <w:pPr>
        <w:pStyle w:val="ListBullet"/>
      </w:pPr>
      <w:r>
        <w:t>Non-punitive diagnosis: A way of identifying learning or practice problems without blaming learners, families or staff; the focus stays on conditions, routines and support.</w:t>
      </w:r>
    </w:p>
    <w:p>
      <w:pPr>
        <w:pStyle w:val="ListBullet"/>
      </w:pPr>
      <w:r>
        <w:t>Certificate evidence: The minimum verified output required before the platform can issue the module completion record.</w:t>
      </w:r>
    </w:p>
    <w:p>
      <w:pPr>
        <w:pStyle w:val="Heading1"/>
      </w:pPr>
      <w:r>
        <w:t>Downloadable participant artefact template</w:t>
      </w:r>
    </w:p>
    <w:p>
      <w:r>
        <w:t>Use this table as the editable learner/commercial download inside the C09 LMS resource panel. The participant should complete it, export it as PDF where required and upload it to the C09 evidence area.</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D9EAD3"/>
          </w:tcPr>
          <w:p>
            <w:r/>
            <w:r>
              <w:rPr>
                <w:b/>
                <w:sz w:val="16"/>
              </w:rPr>
              <w:t>Template field</w:t>
            </w:r>
          </w:p>
        </w:tc>
        <w:tc>
          <w:tcPr>
            <w:tcW w:type="dxa" w:w="5285"/>
            <w:vAlign w:val="top"/>
            <w:shd w:fill="D9EAD3"/>
          </w:tcPr>
          <w:p>
            <w:r/>
            <w:r>
              <w:rPr>
                <w:b/>
                <w:sz w:val="16"/>
              </w:rPr>
              <w:t>Participant completion space</w:t>
            </w:r>
          </w:p>
        </w:tc>
      </w:tr>
      <w:tr>
        <w:tc>
          <w:tcPr>
            <w:tcW w:type="dxa" w:w="5285"/>
            <w:vAlign w:val="top"/>
          </w:tcPr>
          <w:p>
            <w:r/>
            <w:r>
              <w:rPr>
                <w:b/>
                <w:sz w:val="16"/>
              </w:rPr>
              <w:t>Trial summary</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collected</w:t>
            </w:r>
          </w:p>
        </w:tc>
        <w:tc>
          <w:tcPr>
            <w:tcW w:type="dxa" w:w="5285"/>
            <w:vAlign w:val="top"/>
          </w:tcPr>
          <w:p>
            <w:r/>
            <w:r>
              <w:rPr>
                <w:b w:val="0"/>
                <w:sz w:val="16"/>
              </w:rPr>
              <w:t>Complete using concise, anonymised and practical evidence.</w:t>
            </w:r>
          </w:p>
        </w:tc>
      </w:tr>
      <w:tr>
        <w:tc>
          <w:tcPr>
            <w:tcW w:type="dxa" w:w="5285"/>
            <w:vAlign w:val="top"/>
          </w:tcPr>
          <w:p>
            <w:r/>
            <w:r>
              <w:rPr>
                <w:b/>
                <w:sz w:val="16"/>
              </w:rPr>
              <w:t>What changed?</w:t>
            </w:r>
          </w:p>
        </w:tc>
        <w:tc>
          <w:tcPr>
            <w:tcW w:type="dxa" w:w="5285"/>
            <w:vAlign w:val="top"/>
          </w:tcPr>
          <w:p>
            <w:r/>
            <w:r>
              <w:rPr>
                <w:b w:val="0"/>
                <w:sz w:val="16"/>
              </w:rPr>
              <w:t>Complete using concise, anonymised and practical evidence.</w:t>
            </w:r>
          </w:p>
        </w:tc>
      </w:tr>
      <w:tr>
        <w:tc>
          <w:tcPr>
            <w:tcW w:type="dxa" w:w="5285"/>
            <w:vAlign w:val="top"/>
          </w:tcPr>
          <w:p>
            <w:r/>
            <w:r>
              <w:rPr>
                <w:b/>
                <w:sz w:val="16"/>
              </w:rPr>
              <w:t>What did not change?</w:t>
            </w:r>
          </w:p>
        </w:tc>
        <w:tc>
          <w:tcPr>
            <w:tcW w:type="dxa" w:w="5285"/>
            <w:vAlign w:val="top"/>
          </w:tcPr>
          <w:p>
            <w:r/>
            <w:r>
              <w:rPr>
                <w:b w:val="0"/>
                <w:sz w:val="16"/>
              </w:rPr>
              <w:t>Complete using concise, anonymised and practical evidence.</w:t>
            </w:r>
          </w:p>
        </w:tc>
      </w:tr>
      <w:tr>
        <w:tc>
          <w:tcPr>
            <w:tcW w:type="dxa" w:w="5285"/>
            <w:vAlign w:val="top"/>
          </w:tcPr>
          <w:p>
            <w:r/>
            <w:r>
              <w:rPr>
                <w:b/>
                <w:sz w:val="16"/>
              </w:rPr>
              <w:t>Learner/practice impact</w:t>
            </w:r>
          </w:p>
        </w:tc>
        <w:tc>
          <w:tcPr>
            <w:tcW w:type="dxa" w:w="5285"/>
            <w:vAlign w:val="top"/>
          </w:tcPr>
          <w:p>
            <w:r/>
            <w:r>
              <w:rPr>
                <w:b w:val="0"/>
                <w:sz w:val="16"/>
              </w:rPr>
              <w:t>Complete using concise, anonymised and practical evidence.</w:t>
            </w:r>
          </w:p>
        </w:tc>
      </w:tr>
      <w:tr>
        <w:tc>
          <w:tcPr>
            <w:tcW w:type="dxa" w:w="5285"/>
            <w:vAlign w:val="top"/>
          </w:tcPr>
          <w:p>
            <w:r/>
            <w:r>
              <w:rPr>
                <w:b/>
                <w:sz w:val="16"/>
              </w:rPr>
              <w:t>Professional learning</w:t>
            </w:r>
          </w:p>
        </w:tc>
        <w:tc>
          <w:tcPr>
            <w:tcW w:type="dxa" w:w="5285"/>
            <w:vAlign w:val="top"/>
          </w:tcPr>
          <w:p>
            <w:r/>
            <w:r>
              <w:rPr>
                <w:b w:val="0"/>
                <w:sz w:val="16"/>
              </w:rPr>
              <w:t>Complete using concise, anonymised and practical evidence.</w:t>
            </w:r>
          </w:p>
        </w:tc>
      </w:tr>
      <w:tr>
        <w:tc>
          <w:tcPr>
            <w:tcW w:type="dxa" w:w="5285"/>
            <w:vAlign w:val="top"/>
          </w:tcPr>
          <w:p>
            <w:r/>
            <w:r>
              <w:rPr>
                <w:b/>
                <w:sz w:val="16"/>
              </w:rPr>
              <w:t>Decision: repeat/adapt/scale/pause/replace</w:t>
            </w:r>
          </w:p>
        </w:tc>
        <w:tc>
          <w:tcPr>
            <w:tcW w:type="dxa" w:w="5285"/>
            <w:vAlign w:val="top"/>
          </w:tcPr>
          <w:p>
            <w:r/>
            <w:r>
              <w:rPr>
                <w:b w:val="0"/>
                <w:sz w:val="16"/>
              </w:rPr>
              <w:t>Complete using concise, anonymised and practical evidence.</w:t>
            </w:r>
          </w:p>
        </w:tc>
      </w:tr>
      <w:tr>
        <w:tc>
          <w:tcPr>
            <w:tcW w:type="dxa" w:w="5285"/>
            <w:vAlign w:val="top"/>
          </w:tcPr>
          <w:p>
            <w:r/>
            <w:r>
              <w:rPr>
                <w:b/>
                <w:sz w:val="16"/>
              </w:rPr>
              <w:t>Justification</w:t>
            </w:r>
          </w:p>
        </w:tc>
        <w:tc>
          <w:tcPr>
            <w:tcW w:type="dxa" w:w="5285"/>
            <w:vAlign w:val="top"/>
          </w:tcPr>
          <w:p>
            <w:r/>
            <w:r>
              <w:rPr>
                <w:b w:val="0"/>
                <w:sz w:val="16"/>
              </w:rPr>
              <w:t>Complete using concise, anonymised and practical evidence.</w:t>
            </w:r>
          </w:p>
        </w:tc>
      </w:tr>
      <w:tr>
        <w:tc>
          <w:tcPr>
            <w:tcW w:type="dxa" w:w="5285"/>
            <w:vAlign w:val="top"/>
          </w:tcPr>
          <w:p>
            <w:r/>
            <w:r>
              <w:rPr>
                <w:b/>
                <w:sz w:val="16"/>
              </w:rPr>
              <w:t>Next improvement step</w:t>
            </w:r>
          </w:p>
        </w:tc>
        <w:tc>
          <w:tcPr>
            <w:tcW w:type="dxa" w:w="5285"/>
            <w:vAlign w:val="top"/>
          </w:tcPr>
          <w:p>
            <w:r/>
            <w:r>
              <w:rPr>
                <w:b w:val="0"/>
                <w:sz w:val="16"/>
              </w:rPr>
              <w:t>Complete using concise, anonymised and practical evidence.</w:t>
            </w:r>
          </w:p>
        </w:tc>
      </w:tr>
    </w:tbl>
    <w:p>
      <w:pPr>
        <w:pStyle w:val="Heading1"/>
      </w:pPr>
      <w:r>
        <w:t>Quality review checklist</w:t>
      </w:r>
    </w:p>
    <w:p>
      <w:pPr>
        <w:pStyle w:val="ListBullet"/>
      </w:pPr>
      <w:r>
        <w:t>The issue is described without blame.</w:t>
      </w:r>
    </w:p>
    <w:p>
      <w:pPr>
        <w:pStyle w:val="ListBullet"/>
      </w:pPr>
      <w:r>
        <w:t>The content links to learner access, support, participation, feedback, progress, wellbeing, curriculum adaptation or professional judgement.</w:t>
      </w:r>
    </w:p>
    <w:p>
      <w:pPr>
        <w:pStyle w:val="ListBullet"/>
      </w:pPr>
      <w:r>
        <w:t>The evidence is practical, ethical and reviewable.</w:t>
      </w:r>
    </w:p>
    <w:p>
      <w:pPr>
        <w:pStyle w:val="ListBullet"/>
      </w:pPr>
      <w:r>
        <w:t>The improvement decision is justified by evidence.</w:t>
      </w:r>
    </w:p>
    <w:p>
      <w:pPr>
        <w:pStyle w:val="ListBullet"/>
      </w:pPr>
      <w:r>
        <w:t>The artefact can be used inside the participant’s C09 portfolio.</w:t>
      </w:r>
    </w:p>
    <w:p>
      <w:pPr>
        <w:pStyle w:val="Heading1"/>
      </w:pPr>
      <w:r>
        <w:t>Reference basis</w:t>
      </w:r>
    </w:p>
    <w:p>
      <w:pPr>
        <w:pStyle w:val="ListBullet"/>
      </w:pPr>
      <w:r>
        <w:t>EDUFI - National Core Curriculum for Primary and Lower Secondary Basic Education: Uniform foundation for local curricula, equality, local adaptation, active and flexible curriculum support for teaching and school activities. - https://www.oph.fi/en/education-and-qualifications/national-core-curriculum-primary-and-lower-secondary-basic-education</w:t>
      </w:r>
    </w:p>
    <w:p>
      <w:pPr>
        <w:pStyle w:val="ListBullet"/>
      </w:pPr>
      <w:r>
        <w:t>EDUFI - Basic Information about Primary and Lower Secondary Education: Teacher responsibility for assessment of learning and competence; teacher professional judgement in day-to-day practice. - https://www.oph.fi/en/education-and-qualifications/bacic-information-about-primary-and-lower-secondary-education</w:t>
      </w:r>
    </w:p>
    <w:p>
      <w:pPr>
        <w:pStyle w:val="ListBullet"/>
      </w:pPr>
      <w:r>
        <w:t>EDUFI - Transversal Competences: Transversal competence is embedded in subjects and supported by formative and summative assessment practices. - https://www.oph.fi/en/education-and-qualifications/transversal-competences-finnish-general-upper-secondary-education</w:t>
      </w:r>
    </w:p>
    <w:p>
      <w:pPr>
        <w:pStyle w:val="ListBullet"/>
      </w:pPr>
      <w:r>
        <w:t>FINEEC - Enhancement-led Evaluation: Development, participation, interaction, learning, positive approach, appreciation, trust and impact as evaluation principles. - https://www.karvi.fi/en/about-us/about-our-evaluations/enhancement-led-evaluation</w:t>
      </w:r>
    </w:p>
    <w:p>
      <w:pPr>
        <w:pStyle w:val="ListBullet"/>
      </w:pPr>
      <w:r>
        <w:t>FINEEC - Support for Quality Management: Participation, trust and education provider responsibility for maintaining and improving quality. - https://www.karvi.fi/en/about-us/support-quality-management</w:t>
      </w:r>
    </w:p>
    <w:p>
      <w:pPr>
        <w:pStyle w:val="ListBullet"/>
      </w:pPr>
      <w:r>
        <w:t>FINEEC - Pre-primary, Primary and Lower Secondary Education Evaluations: Evaluation information helps providers and schools recognise strengths and development targets and supports self-evaluation. - https://www.karvi.fi/en/evaluations/pre-primary-primary-and-lower-secondary-education</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C09-M05 Inquiry Reflection and Improvement Report</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