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Finnish-Pedagogy Classroom Equity Checklist</w:t>
      </w:r>
    </w:p>
    <w:p>
      <w:pPr>
        <w:jc w:val="center"/>
      </w:pPr>
      <w:r>
        <w:t>A practical classroom checklist that helps educators review learner access, participation, support, feedback and evidence through a Finnish-Pedagogy equity lens.</w:t>
      </w:r>
      <w:r>
        <w:rPr>
          <w:b/>
          <w:color w:val="1F7A5C"/>
          <w:sz w:val="16"/>
        </w:rPr>
        <w:br/>
        <w:t>Downloadable professional learning asset | Finnish-Pedagogy | EDUFI-aligned | FINEEC-benchmarked</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9FFF4"/>
          </w:tcPr>
          <w:p>
            <w:pPr>
              <w:spacing w:after="0"/>
            </w:pPr>
            <w:r/>
            <w:r>
              <w:rPr>
                <w:rFonts w:ascii="Arial" w:hAnsi="Arial"/>
                <w:b/>
                <w:sz w:val="17"/>
              </w:rPr>
              <w:t>Resource type</w:t>
            </w:r>
          </w:p>
        </w:tc>
        <w:tc>
          <w:tcPr>
            <w:tcW w:type="dxa" w:w="5328"/>
            <w:vAlign w:val="top"/>
          </w:tcPr>
          <w:p>
            <w:pPr>
              <w:spacing w:after="0"/>
            </w:pPr>
            <w:r/>
            <w:r>
              <w:rPr>
                <w:rFonts w:ascii="Arial" w:hAnsi="Arial"/>
                <w:b w:val="0"/>
                <w:sz w:val="17"/>
              </w:rPr>
              <w:t>Checklist</w:t>
            </w:r>
          </w:p>
        </w:tc>
      </w:tr>
      <w:tr>
        <w:tc>
          <w:tcPr>
            <w:tcW w:type="dxa" w:w="5328"/>
            <w:vAlign w:val="top"/>
            <w:shd w:fill="E9FFF4"/>
          </w:tcPr>
          <w:p>
            <w:pPr>
              <w:spacing w:after="0"/>
            </w:pPr>
            <w:r/>
            <w:r>
              <w:rPr>
                <w:rFonts w:ascii="Arial" w:hAnsi="Arial"/>
                <w:b/>
                <w:sz w:val="17"/>
              </w:rPr>
              <w:t>Author</w:t>
            </w:r>
          </w:p>
        </w:tc>
        <w:tc>
          <w:tcPr>
            <w:tcW w:type="dxa" w:w="5328"/>
            <w:vAlign w:val="top"/>
          </w:tcPr>
          <w:p>
            <w:pPr>
              <w:spacing w:after="0"/>
            </w:pPr>
            <w:r/>
            <w:r>
              <w:rPr>
                <w:rFonts w:ascii="Arial" w:hAnsi="Arial"/>
                <w:b w:val="0"/>
                <w:sz w:val="17"/>
              </w:rPr>
              <w:t>Finland Creative Education Institute (FCEI)</w:t>
            </w:r>
          </w:p>
        </w:tc>
      </w:tr>
      <w:tr>
        <w:tc>
          <w:tcPr>
            <w:tcW w:type="dxa" w:w="5328"/>
            <w:vAlign w:val="top"/>
            <w:shd w:fill="E9FFF4"/>
          </w:tcPr>
          <w:p>
            <w:pPr>
              <w:spacing w:after="0"/>
            </w:pPr>
            <w:r/>
            <w:r>
              <w:rPr>
                <w:rFonts w:ascii="Arial" w:hAnsi="Arial"/>
                <w:b/>
                <w:sz w:val="17"/>
              </w:rPr>
              <w:t>Recommended users</w:t>
            </w:r>
          </w:p>
        </w:tc>
        <w:tc>
          <w:tcPr>
            <w:tcW w:type="dxa" w:w="5328"/>
            <w:vAlign w:val="top"/>
          </w:tcPr>
          <w:p>
            <w:pPr>
              <w:spacing w:after="0"/>
            </w:pPr>
            <w:r/>
            <w:r>
              <w:rPr>
                <w:rFonts w:ascii="Arial" w:hAnsi="Arial"/>
                <w:b w:val="0"/>
                <w:sz w:val="17"/>
              </w:rPr>
              <w:t>teachers, school leaders, facilitators, TVET providers and education teams</w:t>
            </w:r>
          </w:p>
        </w:tc>
      </w:tr>
      <w:tr>
        <w:tc>
          <w:tcPr>
            <w:tcW w:type="dxa" w:w="5328"/>
            <w:vAlign w:val="top"/>
            <w:shd w:fill="E9FFF4"/>
          </w:tcPr>
          <w:p>
            <w:pPr>
              <w:spacing w:after="0"/>
            </w:pPr>
            <w:r/>
            <w:r>
              <w:rPr>
                <w:rFonts w:ascii="Arial" w:hAnsi="Arial"/>
                <w:b/>
                <w:sz w:val="17"/>
              </w:rPr>
              <w:t>Internal course links</w:t>
            </w:r>
          </w:p>
        </w:tc>
        <w:tc>
          <w:tcPr>
            <w:tcW w:type="dxa" w:w="5328"/>
            <w:vAlign w:val="top"/>
          </w:tcPr>
          <w:p>
            <w:pPr>
              <w:spacing w:after="0"/>
            </w:pPr>
            <w:r/>
            <w:r>
              <w:rPr>
                <w:rFonts w:ascii="Arial" w:hAnsi="Arial"/>
                <w:b w:val="0"/>
                <w:sz w:val="17"/>
              </w:rPr>
              <w:t>C01 Foundations of Finnish-Pedagogy Education; C05 Early Support and the Leave No-Child-Behind Classroom Cycle; C06 Differentiation for Mixed-Ability Classrooms</w:t>
            </w:r>
          </w:p>
        </w:tc>
      </w:tr>
    </w:tbl>
    <w:p>
      <w:pPr>
        <w:pStyle w:val="Heading2"/>
      </w:pPr>
      <w:r>
        <w:t>Purpose</w:t>
      </w:r>
    </w:p>
    <w:p>
      <w:r>
        <w:t>Use this checklist before, during or after a lesson to identify whether all learners have dignified access to the same learning goal. It is designed for self-review, peer reflection, department discussion and school improvement conversations.</w:t>
      </w:r>
    </w:p>
    <w:p>
      <w:pPr>
        <w:pStyle w:val="Heading2"/>
      </w:pPr>
      <w:r>
        <w:t>EDUFI-aligned use</w:t>
      </w:r>
    </w:p>
    <w:p>
      <w:r>
        <w:t>The checklist supports equality, local adaptation and the translation of curriculum aims into everyday learning routines. Teachers should use it to ask whether the planned lesson gives every learner a fair route into the learning goal.</w:t>
      </w:r>
    </w:p>
    <w:p>
      <w:pPr>
        <w:pStyle w:val="Heading2"/>
      </w:pPr>
      <w:r>
        <w:t>FINEEC-benchmarked use</w:t>
      </w:r>
    </w:p>
    <w:p>
      <w:r>
        <w:t>The checklist supports enhancement-led self-evaluation by helping teachers identify strengths, development targets and evidence-based next steps without using the tool as a blame instrument.</w:t>
      </w:r>
    </w:p>
    <w:p>
      <w:pPr>
        <w:pStyle w:val="Heading2"/>
      </w:pPr>
      <w:r>
        <w:t>Key definitions</w:t>
      </w:r>
    </w:p>
    <w:p>
      <w:r>
        <w:t>Equity means different access routes toward a shared dignified aim. Access means the learner can understand, enter and participate in the task. Support means the planned structure that helps the learner continue learning without lowering dignity or expectation. Evidence means visible proof from learner work, observation, feedback, participation or reflection.</w:t>
      </w:r>
    </w:p>
    <w:p>
      <w:pPr>
        <w:pStyle w:val="Heading2"/>
      </w:pPr>
      <w:r>
        <w:t>How to use</w:t>
      </w:r>
    </w:p>
    <w:p>
      <w:r>
        <w:t>Choose one lesson or learning activity. Complete the checklist honestly. Mark each item as Strong, Developing or Needs Action. Choose one improvement step for the next lesson and collect one piece of evidence showing whether access improved.</w:t>
      </w:r>
    </w:p>
    <w:p>
      <w:pPr>
        <w:pStyle w:val="Heading2"/>
      </w:pPr>
      <w:r>
        <w:t>Working tool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63E52"/>
          </w:tcPr>
          <w:p>
            <w:pPr>
              <w:spacing w:after="0"/>
            </w:pPr>
            <w:r/>
            <w:r>
              <w:rPr>
                <w:rFonts w:ascii="Arial" w:hAnsi="Arial"/>
                <w:b/>
                <w:color w:val="FFFFFF"/>
                <w:sz w:val="14"/>
              </w:rPr>
              <w:t>Equity indicator</w:t>
            </w:r>
          </w:p>
        </w:tc>
        <w:tc>
          <w:tcPr>
            <w:tcW w:type="dxa" w:w="2131"/>
            <w:vAlign w:val="top"/>
            <w:shd w:fill="163E52"/>
          </w:tcPr>
          <w:p>
            <w:pPr>
              <w:spacing w:after="0"/>
            </w:pPr>
            <w:r/>
            <w:r>
              <w:rPr>
                <w:rFonts w:ascii="Arial" w:hAnsi="Arial"/>
                <w:b/>
                <w:color w:val="FFFFFF"/>
                <w:sz w:val="14"/>
              </w:rPr>
              <w:t>Strong</w:t>
            </w:r>
          </w:p>
        </w:tc>
        <w:tc>
          <w:tcPr>
            <w:tcW w:type="dxa" w:w="2131"/>
            <w:vAlign w:val="top"/>
            <w:shd w:fill="163E52"/>
          </w:tcPr>
          <w:p>
            <w:pPr>
              <w:spacing w:after="0"/>
            </w:pPr>
            <w:r/>
            <w:r>
              <w:rPr>
                <w:rFonts w:ascii="Arial" w:hAnsi="Arial"/>
                <w:b/>
                <w:color w:val="FFFFFF"/>
                <w:sz w:val="14"/>
              </w:rPr>
              <w:t>Developing</w:t>
            </w:r>
          </w:p>
        </w:tc>
        <w:tc>
          <w:tcPr>
            <w:tcW w:type="dxa" w:w="2131"/>
            <w:vAlign w:val="top"/>
            <w:shd w:fill="163E52"/>
          </w:tcPr>
          <w:p>
            <w:pPr>
              <w:spacing w:after="0"/>
            </w:pPr>
            <w:r/>
            <w:r>
              <w:rPr>
                <w:rFonts w:ascii="Arial" w:hAnsi="Arial"/>
                <w:b/>
                <w:color w:val="FFFFFF"/>
                <w:sz w:val="14"/>
              </w:rPr>
              <w:t>Needs Action</w:t>
            </w:r>
          </w:p>
        </w:tc>
        <w:tc>
          <w:tcPr>
            <w:tcW w:type="dxa" w:w="2131"/>
            <w:vAlign w:val="top"/>
            <w:shd w:fill="163E52"/>
          </w:tcPr>
          <w:p>
            <w:pPr>
              <w:spacing w:after="0"/>
            </w:pPr>
            <w:r/>
            <w:r>
              <w:rPr>
                <w:rFonts w:ascii="Arial" w:hAnsi="Arial"/>
                <w:b/>
                <w:color w:val="FFFFFF"/>
                <w:sz w:val="14"/>
              </w:rPr>
              <w:t>Evidence / next action</w:t>
            </w:r>
          </w:p>
        </w:tc>
      </w:tr>
      <w:tr>
        <w:tc>
          <w:tcPr>
            <w:tcW w:type="dxa" w:w="2131"/>
            <w:vAlign w:val="top"/>
          </w:tcPr>
          <w:p>
            <w:pPr>
              <w:spacing w:after="0"/>
            </w:pPr>
            <w:r/>
            <w:r>
              <w:rPr>
                <w:rFonts w:ascii="Arial" w:hAnsi="Arial"/>
                <w:b w:val="0"/>
                <w:sz w:val="14"/>
              </w:rPr>
              <w:t>Learning goal is clear and visible to learners</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Learners have more than one route into the task</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Vocabulary, instructions and examples are accessible</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Support does not remove meaningful challenge</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Learners can participate without embarrassment or exclusion</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Teacher checks understanding before independent work</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Feedback helps learners improve, not only receive a mark</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r>
        <w:tc>
          <w:tcPr>
            <w:tcW w:type="dxa" w:w="2131"/>
            <w:vAlign w:val="top"/>
          </w:tcPr>
          <w:p>
            <w:pPr>
              <w:spacing w:after="0"/>
            </w:pPr>
            <w:r/>
            <w:r>
              <w:rPr>
                <w:rFonts w:ascii="Arial" w:hAnsi="Arial"/>
                <w:b w:val="0"/>
                <w:sz w:val="14"/>
              </w:rPr>
              <w:t>Learner evidence shows who accessed the goal and who needs support</w:t>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c>
          <w:tcPr>
            <w:tcW w:type="dxa" w:w="2131"/>
            <w:vAlign w:val="top"/>
          </w:tcPr>
          <w:p>
            <w:pPr>
              <w:spacing w:after="0"/>
            </w:pPr>
            <w:r/>
            <w:r>
              <w:rPr>
                <w:rFonts w:ascii="Arial" w:hAnsi="Arial"/>
                <w:b w:val="0"/>
                <w:sz w:val="14"/>
              </w:rPr>
            </w:r>
          </w:p>
        </w:tc>
      </w:tr>
    </w:tbl>
    <w:p>
      <w:pPr>
        <w:pStyle w:val="Heading2"/>
      </w:pPr>
      <w:r>
        <w:t>Model completed example</w:t>
      </w:r>
    </w:p>
    <w:p>
      <w:r>
        <w:t>A Grade 6 teacher notices that three learners rarely complete the written task. The checklist shows that the goal is clear, but the entry route is too text-heavy. The teacher adds a labelled visual example, a partner rehearsal and a sentence starter. Evidence from the next lesson shows all three learners begin the task within five minutes and two complete the core outcome.</w:t>
      </w:r>
    </w:p>
    <w:p>
      <w:pPr>
        <w:pStyle w:val="Heading2"/>
      </w:pPr>
      <w:r>
        <w:t>Reflection and improvement prompts</w:t>
      </w:r>
    </w:p>
    <w:p>
      <w:pPr>
        <w:pStyle w:val="ListBullet"/>
      </w:pPr>
      <w:r>
        <w:t>Which learners currently have the least access to the learning goal?</w:t>
      </w:r>
    </w:p>
    <w:p>
      <w:pPr>
        <w:pStyle w:val="ListBullet"/>
      </w:pPr>
      <w:r>
        <w:t>Which barrier is created by task design rather than learner ability?</w:t>
      </w:r>
    </w:p>
    <w:p>
      <w:pPr>
        <w:pStyle w:val="ListBullet"/>
      </w:pPr>
      <w:r>
        <w:t>What one support can be added without lowering the aim?</w:t>
      </w:r>
    </w:p>
    <w:p>
      <w:pPr>
        <w:pStyle w:val="Heading2"/>
      </w:pPr>
      <w:r>
        <w:t>Author bio</w:t>
      </w:r>
    </w:p>
    <w:p>
      <w:r>
        <w:t>Finland Creative Education Institute (FCEI) is a digital professional learning platform that supports educators, school leaders, TVET providers, institutions and learning communities through Finnish-Pedagogy training, EDUFI-aligned curriculum language, FINEEC-benchmarked quality improvement practice and practical evidence-based implementation tools.</w:t>
      </w:r>
    </w:p>
    <w:p>
      <w:pPr>
        <w:pStyle w:val="Heading2"/>
      </w:pPr>
      <w:r>
        <w:t>Suggested course links</w:t>
      </w:r>
    </w:p>
    <w:p>
      <w:pPr>
        <w:pStyle w:val="ListBullet"/>
      </w:pPr>
      <w:r>
        <w:t>C01 Foundations of Finnish-Pedagogy Education: https://www.fcei.eu/courses/c01-foundations-of-finnish-pedagogy-education</w:t>
      </w:r>
    </w:p>
    <w:p>
      <w:pPr>
        <w:pStyle w:val="ListBullet"/>
      </w:pPr>
      <w:r>
        <w:t>C05 Early Support and the Leave No-Child-Behind Classroom Cycle: https://www.fcei.eu/courses/c05-early-support</w:t>
      </w:r>
    </w:p>
    <w:p>
      <w:pPr>
        <w:pStyle w:val="ListBullet"/>
      </w:pPr>
      <w:r>
        <w:t>C06 Differentiation for Mixed-Ability Classrooms: https://www.fcei.eu/courses/c06-differentiation</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64646"/>
        <w:sz w:val="14"/>
      </w:rPr>
      <w:t>Finland Creative Education Institute (FCEI) | Digital professional learning platform | Finnish-Pedagogy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320040" cy="320040"/>
                  </a:xfrm>
                  <a:prstGeom prst="rect"/>
                </pic:spPr>
              </pic:pic>
            </a:graphicData>
          </a:graphic>
        </wp:inline>
      </w:drawing>
    </w:r>
    <w:r>
      <w:rPr>
        <w:rFonts w:ascii="Arial" w:hAnsi="Arial"/>
        <w:b/>
        <w:color w:val="163E52"/>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E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7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Finnish-Pedagogy Classroom Equity Checklist</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