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Learner Voice and Choice Observation Tool</w:t>
      </w:r>
    </w:p>
    <w:p>
      <w:pPr>
        <w:jc w:val="center"/>
      </w:pPr>
      <w:r>
        <w:t>A teacher-friendly rubric for observing whether learners understand goals, make meaningful choices, explain their thinking and reflect on progress.</w:t>
      </w:r>
      <w:r>
        <w:rPr>
          <w:b/>
          <w:color w:val="1F7A5C"/>
          <w:sz w:val="16"/>
        </w:rPr>
        <w:br/>
        <w:t>Downloadable professional learning asset | Finnish-Pedagogy | EDUFI-aligned | FINEEC-benchmarked</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9FFF4"/>
          </w:tcPr>
          <w:p>
            <w:pPr>
              <w:spacing w:after="0"/>
            </w:pPr>
            <w:r/>
            <w:r>
              <w:rPr>
                <w:rFonts w:ascii="Arial" w:hAnsi="Arial"/>
                <w:b/>
                <w:sz w:val="17"/>
              </w:rPr>
              <w:t>Resource type</w:t>
            </w:r>
          </w:p>
        </w:tc>
        <w:tc>
          <w:tcPr>
            <w:tcW w:type="dxa" w:w="5328"/>
            <w:vAlign w:val="top"/>
          </w:tcPr>
          <w:p>
            <w:pPr>
              <w:spacing w:after="0"/>
            </w:pPr>
            <w:r/>
            <w:r>
              <w:rPr>
                <w:rFonts w:ascii="Arial" w:hAnsi="Arial"/>
                <w:b w:val="0"/>
                <w:sz w:val="17"/>
              </w:rPr>
              <w:t>Observation rubric</w:t>
            </w:r>
          </w:p>
        </w:tc>
      </w:tr>
      <w:tr>
        <w:tc>
          <w:tcPr>
            <w:tcW w:type="dxa" w:w="5328"/>
            <w:vAlign w:val="top"/>
            <w:shd w:fill="E9FFF4"/>
          </w:tcPr>
          <w:p>
            <w:pPr>
              <w:spacing w:after="0"/>
            </w:pPr>
            <w:r/>
            <w:r>
              <w:rPr>
                <w:rFonts w:ascii="Arial" w:hAnsi="Arial"/>
                <w:b/>
                <w:sz w:val="17"/>
              </w:rPr>
              <w:t>Author</w:t>
            </w:r>
          </w:p>
        </w:tc>
        <w:tc>
          <w:tcPr>
            <w:tcW w:type="dxa" w:w="5328"/>
            <w:vAlign w:val="top"/>
          </w:tcPr>
          <w:p>
            <w:pPr>
              <w:spacing w:after="0"/>
            </w:pPr>
            <w:r/>
            <w:r>
              <w:rPr>
                <w:rFonts w:ascii="Arial" w:hAnsi="Arial"/>
                <w:b w:val="0"/>
                <w:sz w:val="17"/>
              </w:rPr>
              <w:t>Finland Creative Education Institute (FCEI)</w:t>
            </w:r>
          </w:p>
        </w:tc>
      </w:tr>
      <w:tr>
        <w:tc>
          <w:tcPr>
            <w:tcW w:type="dxa" w:w="5328"/>
            <w:vAlign w:val="top"/>
            <w:shd w:fill="E9FFF4"/>
          </w:tcPr>
          <w:p>
            <w:pPr>
              <w:spacing w:after="0"/>
            </w:pPr>
            <w:r/>
            <w:r>
              <w:rPr>
                <w:rFonts w:ascii="Arial" w:hAnsi="Arial"/>
                <w:b/>
                <w:sz w:val="17"/>
              </w:rPr>
              <w:t>Recommended users</w:t>
            </w:r>
          </w:p>
        </w:tc>
        <w:tc>
          <w:tcPr>
            <w:tcW w:type="dxa" w:w="5328"/>
            <w:vAlign w:val="top"/>
          </w:tcPr>
          <w:p>
            <w:pPr>
              <w:spacing w:after="0"/>
            </w:pPr>
            <w:r/>
            <w:r>
              <w:rPr>
                <w:rFonts w:ascii="Arial" w:hAnsi="Arial"/>
                <w:b w:val="0"/>
                <w:sz w:val="17"/>
              </w:rPr>
              <w:t>teachers, school leaders, facilitators, TVET providers and education teams</w:t>
            </w:r>
          </w:p>
        </w:tc>
      </w:tr>
      <w:tr>
        <w:tc>
          <w:tcPr>
            <w:tcW w:type="dxa" w:w="5328"/>
            <w:vAlign w:val="top"/>
            <w:shd w:fill="E9FFF4"/>
          </w:tcPr>
          <w:p>
            <w:pPr>
              <w:spacing w:after="0"/>
            </w:pPr>
            <w:r/>
            <w:r>
              <w:rPr>
                <w:rFonts w:ascii="Arial" w:hAnsi="Arial"/>
                <w:b/>
                <w:sz w:val="17"/>
              </w:rPr>
              <w:t>Internal course links</w:t>
            </w:r>
          </w:p>
        </w:tc>
        <w:tc>
          <w:tcPr>
            <w:tcW w:type="dxa" w:w="5328"/>
            <w:vAlign w:val="top"/>
          </w:tcPr>
          <w:p>
            <w:pPr>
              <w:spacing w:after="0"/>
            </w:pPr>
            <w:r/>
            <w:r>
              <w:rPr>
                <w:rFonts w:ascii="Arial" w:hAnsi="Arial"/>
                <w:b w:val="0"/>
                <w:sz w:val="17"/>
              </w:rPr>
              <w:t>C02 Learner Agency and the Joy of Learning; C04 Formative Assessment and Feedback; C09 Teacher Inquiry and Evidence-Informed Practice</w:t>
            </w:r>
          </w:p>
        </w:tc>
      </w:tr>
    </w:tbl>
    <w:p>
      <w:pPr>
        <w:pStyle w:val="Heading2"/>
      </w:pPr>
      <w:r>
        <w:t>Purpose</w:t>
      </w:r>
    </w:p>
    <w:p>
      <w:r>
        <w:t>Use this tool to observe how learner voice and choice appear in a real lesson. It helps teachers distinguish between superficial choice and purposeful choice connected to a learning goal.</w:t>
      </w:r>
    </w:p>
    <w:p>
      <w:pPr>
        <w:pStyle w:val="Heading2"/>
      </w:pPr>
      <w:r>
        <w:t>EDUFI-aligned use</w:t>
      </w:r>
    </w:p>
    <w:p>
      <w:r>
        <w:t>The tool supports learner participation, goal awareness, reflection and local classroom routines that help learners become active participants in their own learning.</w:t>
      </w:r>
    </w:p>
    <w:p>
      <w:pPr>
        <w:pStyle w:val="Heading2"/>
      </w:pPr>
      <w:r>
        <w:t>FINEEC-benchmarked use</w:t>
      </w:r>
    </w:p>
    <w:p>
      <w:r>
        <w:t>The rubric can be used for developmental peer observation and teacher inquiry. It should support professional dialogue, not judgement or ranking.</w:t>
      </w:r>
    </w:p>
    <w:p>
      <w:pPr>
        <w:pStyle w:val="Heading2"/>
      </w:pPr>
      <w:r>
        <w:t>Key definitions</w:t>
      </w:r>
    </w:p>
    <w:p>
      <w:r>
        <w:t>Learner voice means learners can explain, question, contribute and reflect. Meaningful choice means choices that affect process, product, strategy, collaboration or evidence while staying connected to the goal. Agency means learners understand the goal, act with purpose and reflect on progress.</w:t>
      </w:r>
    </w:p>
    <w:p>
      <w:pPr>
        <w:pStyle w:val="Heading2"/>
      </w:pPr>
      <w:r>
        <w:t>How to use</w:t>
      </w:r>
    </w:p>
    <w:p>
      <w:r>
        <w:t>Observe a 20-30 minute segment of teaching. Rate each indicator from 1 to 4. Record evidence, not opinions. Finish with one teacher reflection and one possible improvement action.</w:t>
      </w:r>
    </w:p>
    <w:p>
      <w:pPr>
        <w:pStyle w:val="Heading2"/>
      </w:pPr>
      <w:r>
        <w:t>Working tool</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163E52"/>
          </w:tcPr>
          <w:p>
            <w:pPr>
              <w:spacing w:after="0"/>
            </w:pPr>
            <w:r/>
            <w:r>
              <w:rPr>
                <w:rFonts w:ascii="Arial" w:hAnsi="Arial"/>
                <w:b/>
                <w:color w:val="FFFFFF"/>
                <w:sz w:val="14"/>
              </w:rPr>
              <w:t>Observation dimension</w:t>
            </w:r>
          </w:p>
        </w:tc>
        <w:tc>
          <w:tcPr>
            <w:tcW w:type="dxa" w:w="1776"/>
            <w:vAlign w:val="top"/>
            <w:shd w:fill="163E52"/>
          </w:tcPr>
          <w:p>
            <w:pPr>
              <w:spacing w:after="0"/>
            </w:pPr>
            <w:r/>
            <w:r>
              <w:rPr>
                <w:rFonts w:ascii="Arial" w:hAnsi="Arial"/>
                <w:b/>
                <w:color w:val="FFFFFF"/>
                <w:sz w:val="14"/>
              </w:rPr>
              <w:t>1 Emerging</w:t>
            </w:r>
          </w:p>
        </w:tc>
        <w:tc>
          <w:tcPr>
            <w:tcW w:type="dxa" w:w="1776"/>
            <w:vAlign w:val="top"/>
            <w:shd w:fill="163E52"/>
          </w:tcPr>
          <w:p>
            <w:pPr>
              <w:spacing w:after="0"/>
            </w:pPr>
            <w:r/>
            <w:r>
              <w:rPr>
                <w:rFonts w:ascii="Arial" w:hAnsi="Arial"/>
                <w:b/>
                <w:color w:val="FFFFFF"/>
                <w:sz w:val="14"/>
              </w:rPr>
              <w:t>2 Developing</w:t>
            </w:r>
          </w:p>
        </w:tc>
        <w:tc>
          <w:tcPr>
            <w:tcW w:type="dxa" w:w="1776"/>
            <w:vAlign w:val="top"/>
            <w:shd w:fill="163E52"/>
          </w:tcPr>
          <w:p>
            <w:pPr>
              <w:spacing w:after="0"/>
            </w:pPr>
            <w:r/>
            <w:r>
              <w:rPr>
                <w:rFonts w:ascii="Arial" w:hAnsi="Arial"/>
                <w:b/>
                <w:color w:val="FFFFFF"/>
                <w:sz w:val="14"/>
              </w:rPr>
              <w:t>3 Secure</w:t>
            </w:r>
          </w:p>
        </w:tc>
        <w:tc>
          <w:tcPr>
            <w:tcW w:type="dxa" w:w="1776"/>
            <w:vAlign w:val="top"/>
            <w:shd w:fill="163E52"/>
          </w:tcPr>
          <w:p>
            <w:pPr>
              <w:spacing w:after="0"/>
            </w:pPr>
            <w:r/>
            <w:r>
              <w:rPr>
                <w:rFonts w:ascii="Arial" w:hAnsi="Arial"/>
                <w:b/>
                <w:color w:val="FFFFFF"/>
                <w:sz w:val="14"/>
              </w:rPr>
              <w:t>4 Strong</w:t>
            </w:r>
          </w:p>
        </w:tc>
        <w:tc>
          <w:tcPr>
            <w:tcW w:type="dxa" w:w="1776"/>
            <w:vAlign w:val="top"/>
            <w:shd w:fill="163E52"/>
          </w:tcPr>
          <w:p>
            <w:pPr>
              <w:spacing w:after="0"/>
            </w:pPr>
            <w:r/>
            <w:r>
              <w:rPr>
                <w:rFonts w:ascii="Arial" w:hAnsi="Arial"/>
                <w:b/>
                <w:color w:val="FFFFFF"/>
                <w:sz w:val="14"/>
              </w:rPr>
              <w:t>Evidence note</w:t>
            </w:r>
          </w:p>
        </w:tc>
      </w:tr>
      <w:tr>
        <w:tc>
          <w:tcPr>
            <w:tcW w:type="dxa" w:w="1776"/>
            <w:vAlign w:val="top"/>
          </w:tcPr>
          <w:p>
            <w:pPr>
              <w:spacing w:after="0"/>
            </w:pPr>
            <w:r/>
            <w:r>
              <w:rPr>
                <w:rFonts w:ascii="Arial" w:hAnsi="Arial"/>
                <w:b w:val="0"/>
                <w:sz w:val="14"/>
              </w:rPr>
              <w:t>Goal clarity</w:t>
            </w:r>
          </w:p>
        </w:tc>
        <w:tc>
          <w:tcPr>
            <w:tcW w:type="dxa" w:w="1776"/>
            <w:vAlign w:val="top"/>
          </w:tcPr>
          <w:p>
            <w:pPr>
              <w:spacing w:after="0"/>
            </w:pPr>
            <w:r/>
            <w:r>
              <w:rPr>
                <w:rFonts w:ascii="Arial" w:hAnsi="Arial"/>
                <w:b w:val="0"/>
                <w:sz w:val="14"/>
              </w:rPr>
              <w:t>Learners depend fully on teacher direction</w:t>
            </w:r>
          </w:p>
        </w:tc>
        <w:tc>
          <w:tcPr>
            <w:tcW w:type="dxa" w:w="1776"/>
            <w:vAlign w:val="top"/>
          </w:tcPr>
          <w:p>
            <w:pPr>
              <w:spacing w:after="0"/>
            </w:pPr>
            <w:r/>
            <w:r>
              <w:rPr>
                <w:rFonts w:ascii="Arial" w:hAnsi="Arial"/>
                <w:b w:val="0"/>
                <w:sz w:val="14"/>
              </w:rPr>
              <w:t>Goal is stated but not used</w:t>
            </w:r>
          </w:p>
        </w:tc>
        <w:tc>
          <w:tcPr>
            <w:tcW w:type="dxa" w:w="1776"/>
            <w:vAlign w:val="top"/>
          </w:tcPr>
          <w:p>
            <w:pPr>
              <w:spacing w:after="0"/>
            </w:pPr>
            <w:r/>
            <w:r>
              <w:rPr>
                <w:rFonts w:ascii="Arial" w:hAnsi="Arial"/>
                <w:b w:val="0"/>
                <w:sz w:val="14"/>
              </w:rPr>
              <w:t>Most learners can explain the goal</w:t>
            </w:r>
          </w:p>
        </w:tc>
        <w:tc>
          <w:tcPr>
            <w:tcW w:type="dxa" w:w="1776"/>
            <w:vAlign w:val="top"/>
          </w:tcPr>
          <w:p>
            <w:pPr>
              <w:spacing w:after="0"/>
            </w:pPr>
            <w:r/>
            <w:r>
              <w:rPr>
                <w:rFonts w:ascii="Arial" w:hAnsi="Arial"/>
                <w:b w:val="0"/>
                <w:sz w:val="14"/>
              </w:rPr>
              <w:t>Learners use the goal to guide choices</w:t>
            </w:r>
          </w:p>
        </w:tc>
        <w:tc>
          <w:tcPr>
            <w:tcW w:type="dxa" w:w="1776"/>
            <w:vAlign w:val="top"/>
          </w:tcPr>
          <w:p>
            <w:pPr>
              <w:spacing w:after="0"/>
            </w:pPr>
            <w:r/>
            <w:r>
              <w:rPr>
                <w:rFonts w:ascii="Arial" w:hAnsi="Arial"/>
                <w:b w:val="0"/>
                <w:sz w:val="14"/>
              </w:rPr>
            </w:r>
          </w:p>
        </w:tc>
      </w:tr>
      <w:tr>
        <w:tc>
          <w:tcPr>
            <w:tcW w:type="dxa" w:w="1776"/>
            <w:vAlign w:val="top"/>
          </w:tcPr>
          <w:p>
            <w:pPr>
              <w:spacing w:after="0"/>
            </w:pPr>
            <w:r/>
            <w:r>
              <w:rPr>
                <w:rFonts w:ascii="Arial" w:hAnsi="Arial"/>
                <w:b w:val="0"/>
                <w:sz w:val="14"/>
              </w:rPr>
              <w:t>Meaningful choice</w:t>
            </w:r>
          </w:p>
        </w:tc>
        <w:tc>
          <w:tcPr>
            <w:tcW w:type="dxa" w:w="1776"/>
            <w:vAlign w:val="top"/>
          </w:tcPr>
          <w:p>
            <w:pPr>
              <w:spacing w:after="0"/>
            </w:pPr>
            <w:r/>
            <w:r>
              <w:rPr>
                <w:rFonts w:ascii="Arial" w:hAnsi="Arial"/>
                <w:b w:val="0"/>
                <w:sz w:val="14"/>
              </w:rPr>
              <w:t>Choice is absent or cosmetic</w:t>
            </w:r>
          </w:p>
        </w:tc>
        <w:tc>
          <w:tcPr>
            <w:tcW w:type="dxa" w:w="1776"/>
            <w:vAlign w:val="top"/>
          </w:tcPr>
          <w:p>
            <w:pPr>
              <w:spacing w:after="0"/>
            </w:pPr>
            <w:r/>
            <w:r>
              <w:rPr>
                <w:rFonts w:ascii="Arial" w:hAnsi="Arial"/>
                <w:b w:val="0"/>
                <w:sz w:val="14"/>
              </w:rPr>
              <w:t>Learners choose surface features</w:t>
            </w:r>
          </w:p>
        </w:tc>
        <w:tc>
          <w:tcPr>
            <w:tcW w:type="dxa" w:w="1776"/>
            <w:vAlign w:val="top"/>
          </w:tcPr>
          <w:p>
            <w:pPr>
              <w:spacing w:after="0"/>
            </w:pPr>
            <w:r/>
            <w:r>
              <w:rPr>
                <w:rFonts w:ascii="Arial" w:hAnsi="Arial"/>
                <w:b w:val="0"/>
                <w:sz w:val="14"/>
              </w:rPr>
              <w:t>Learners choose task route or support</w:t>
            </w:r>
          </w:p>
        </w:tc>
        <w:tc>
          <w:tcPr>
            <w:tcW w:type="dxa" w:w="1776"/>
            <w:vAlign w:val="top"/>
          </w:tcPr>
          <w:p>
            <w:pPr>
              <w:spacing w:after="0"/>
            </w:pPr>
            <w:r/>
            <w:r>
              <w:rPr>
                <w:rFonts w:ascii="Arial" w:hAnsi="Arial"/>
                <w:b w:val="0"/>
                <w:sz w:val="14"/>
              </w:rPr>
              <w:t>Learners justify choices and adjust strategy</w:t>
            </w:r>
          </w:p>
        </w:tc>
        <w:tc>
          <w:tcPr>
            <w:tcW w:type="dxa" w:w="1776"/>
            <w:vAlign w:val="top"/>
          </w:tcPr>
          <w:p>
            <w:pPr>
              <w:spacing w:after="0"/>
            </w:pPr>
            <w:r/>
            <w:r>
              <w:rPr>
                <w:rFonts w:ascii="Arial" w:hAnsi="Arial"/>
                <w:b w:val="0"/>
                <w:sz w:val="14"/>
              </w:rPr>
            </w:r>
          </w:p>
        </w:tc>
      </w:tr>
      <w:tr>
        <w:tc>
          <w:tcPr>
            <w:tcW w:type="dxa" w:w="1776"/>
            <w:vAlign w:val="top"/>
          </w:tcPr>
          <w:p>
            <w:pPr>
              <w:spacing w:after="0"/>
            </w:pPr>
            <w:r/>
            <w:r>
              <w:rPr>
                <w:rFonts w:ascii="Arial" w:hAnsi="Arial"/>
                <w:b w:val="0"/>
                <w:sz w:val="14"/>
              </w:rPr>
              <w:t>Learner explanation</w:t>
            </w:r>
          </w:p>
        </w:tc>
        <w:tc>
          <w:tcPr>
            <w:tcW w:type="dxa" w:w="1776"/>
            <w:vAlign w:val="top"/>
          </w:tcPr>
          <w:p>
            <w:pPr>
              <w:spacing w:after="0"/>
            </w:pPr>
            <w:r/>
            <w:r>
              <w:rPr>
                <w:rFonts w:ascii="Arial" w:hAnsi="Arial"/>
                <w:b w:val="0"/>
                <w:sz w:val="14"/>
              </w:rPr>
              <w:t>Few learners explain thinking</w:t>
            </w:r>
          </w:p>
        </w:tc>
        <w:tc>
          <w:tcPr>
            <w:tcW w:type="dxa" w:w="1776"/>
            <w:vAlign w:val="top"/>
          </w:tcPr>
          <w:p>
            <w:pPr>
              <w:spacing w:after="0"/>
            </w:pPr>
            <w:r/>
            <w:r>
              <w:rPr>
                <w:rFonts w:ascii="Arial" w:hAnsi="Arial"/>
                <w:b w:val="0"/>
                <w:sz w:val="14"/>
              </w:rPr>
              <w:t>Some learners answer teacher prompts</w:t>
            </w:r>
          </w:p>
        </w:tc>
        <w:tc>
          <w:tcPr>
            <w:tcW w:type="dxa" w:w="1776"/>
            <w:vAlign w:val="top"/>
          </w:tcPr>
          <w:p>
            <w:pPr>
              <w:spacing w:after="0"/>
            </w:pPr>
            <w:r/>
            <w:r>
              <w:rPr>
                <w:rFonts w:ascii="Arial" w:hAnsi="Arial"/>
                <w:b w:val="0"/>
                <w:sz w:val="14"/>
              </w:rPr>
              <w:t>Learners explain strategies when asked</w:t>
            </w:r>
          </w:p>
        </w:tc>
        <w:tc>
          <w:tcPr>
            <w:tcW w:type="dxa" w:w="1776"/>
            <w:vAlign w:val="top"/>
          </w:tcPr>
          <w:p>
            <w:pPr>
              <w:spacing w:after="0"/>
            </w:pPr>
            <w:r/>
            <w:r>
              <w:rPr>
                <w:rFonts w:ascii="Arial" w:hAnsi="Arial"/>
                <w:b w:val="0"/>
                <w:sz w:val="14"/>
              </w:rPr>
              <w:t>Learners initiate explanation and questions</w:t>
            </w:r>
          </w:p>
        </w:tc>
        <w:tc>
          <w:tcPr>
            <w:tcW w:type="dxa" w:w="1776"/>
            <w:vAlign w:val="top"/>
          </w:tcPr>
          <w:p>
            <w:pPr>
              <w:spacing w:after="0"/>
            </w:pPr>
            <w:r/>
            <w:r>
              <w:rPr>
                <w:rFonts w:ascii="Arial" w:hAnsi="Arial"/>
                <w:b w:val="0"/>
                <w:sz w:val="14"/>
              </w:rPr>
            </w:r>
          </w:p>
        </w:tc>
      </w:tr>
      <w:tr>
        <w:tc>
          <w:tcPr>
            <w:tcW w:type="dxa" w:w="1776"/>
            <w:vAlign w:val="top"/>
          </w:tcPr>
          <w:p>
            <w:pPr>
              <w:spacing w:after="0"/>
            </w:pPr>
            <w:r/>
            <w:r>
              <w:rPr>
                <w:rFonts w:ascii="Arial" w:hAnsi="Arial"/>
                <w:b w:val="0"/>
                <w:sz w:val="14"/>
              </w:rPr>
              <w:t>Reflection</w:t>
            </w:r>
          </w:p>
        </w:tc>
        <w:tc>
          <w:tcPr>
            <w:tcW w:type="dxa" w:w="1776"/>
            <w:vAlign w:val="top"/>
          </w:tcPr>
          <w:p>
            <w:pPr>
              <w:spacing w:after="0"/>
            </w:pPr>
            <w:r/>
            <w:r>
              <w:rPr>
                <w:rFonts w:ascii="Arial" w:hAnsi="Arial"/>
                <w:b w:val="0"/>
                <w:sz w:val="14"/>
              </w:rPr>
              <w:t>Reflection is absent</w:t>
            </w:r>
          </w:p>
        </w:tc>
        <w:tc>
          <w:tcPr>
            <w:tcW w:type="dxa" w:w="1776"/>
            <w:vAlign w:val="top"/>
          </w:tcPr>
          <w:p>
            <w:pPr>
              <w:spacing w:after="0"/>
            </w:pPr>
            <w:r/>
            <w:r>
              <w:rPr>
                <w:rFonts w:ascii="Arial" w:hAnsi="Arial"/>
                <w:b w:val="0"/>
                <w:sz w:val="14"/>
              </w:rPr>
              <w:t>Reflection is brief and general</w:t>
            </w:r>
          </w:p>
        </w:tc>
        <w:tc>
          <w:tcPr>
            <w:tcW w:type="dxa" w:w="1776"/>
            <w:vAlign w:val="top"/>
          </w:tcPr>
          <w:p>
            <w:pPr>
              <w:spacing w:after="0"/>
            </w:pPr>
            <w:r/>
            <w:r>
              <w:rPr>
                <w:rFonts w:ascii="Arial" w:hAnsi="Arial"/>
                <w:b w:val="0"/>
                <w:sz w:val="14"/>
              </w:rPr>
              <w:t>Learners identify progress or difficulty</w:t>
            </w:r>
          </w:p>
        </w:tc>
        <w:tc>
          <w:tcPr>
            <w:tcW w:type="dxa" w:w="1776"/>
            <w:vAlign w:val="top"/>
          </w:tcPr>
          <w:p>
            <w:pPr>
              <w:spacing w:after="0"/>
            </w:pPr>
            <w:r/>
            <w:r>
              <w:rPr>
                <w:rFonts w:ascii="Arial" w:hAnsi="Arial"/>
                <w:b w:val="0"/>
                <w:sz w:val="14"/>
              </w:rPr>
              <w:t>Learners decide a next step from evidence</w:t>
            </w:r>
          </w:p>
        </w:tc>
        <w:tc>
          <w:tcPr>
            <w:tcW w:type="dxa" w:w="1776"/>
            <w:vAlign w:val="top"/>
          </w:tcPr>
          <w:p>
            <w:pPr>
              <w:spacing w:after="0"/>
            </w:pPr>
            <w:r/>
            <w:r>
              <w:rPr>
                <w:rFonts w:ascii="Arial" w:hAnsi="Arial"/>
                <w:b w:val="0"/>
                <w:sz w:val="14"/>
              </w:rPr>
            </w:r>
          </w:p>
        </w:tc>
      </w:tr>
      <w:tr>
        <w:tc>
          <w:tcPr>
            <w:tcW w:type="dxa" w:w="1776"/>
            <w:vAlign w:val="top"/>
          </w:tcPr>
          <w:p>
            <w:pPr>
              <w:spacing w:after="0"/>
            </w:pPr>
            <w:r/>
            <w:r>
              <w:rPr>
                <w:rFonts w:ascii="Arial" w:hAnsi="Arial"/>
                <w:b w:val="0"/>
                <w:sz w:val="14"/>
              </w:rPr>
              <w:t>Teacher response</w:t>
            </w:r>
          </w:p>
        </w:tc>
        <w:tc>
          <w:tcPr>
            <w:tcW w:type="dxa" w:w="1776"/>
            <w:vAlign w:val="top"/>
          </w:tcPr>
          <w:p>
            <w:pPr>
              <w:spacing w:after="0"/>
            </w:pPr>
            <w:r/>
            <w:r>
              <w:rPr>
                <w:rFonts w:ascii="Arial" w:hAnsi="Arial"/>
                <w:b w:val="0"/>
                <w:sz w:val="14"/>
              </w:rPr>
              <w:t>Teacher controls all decisions</w:t>
            </w:r>
          </w:p>
        </w:tc>
        <w:tc>
          <w:tcPr>
            <w:tcW w:type="dxa" w:w="1776"/>
            <w:vAlign w:val="top"/>
          </w:tcPr>
          <w:p>
            <w:pPr>
              <w:spacing w:after="0"/>
            </w:pPr>
            <w:r/>
            <w:r>
              <w:rPr>
                <w:rFonts w:ascii="Arial" w:hAnsi="Arial"/>
                <w:b w:val="0"/>
                <w:sz w:val="14"/>
              </w:rPr>
              <w:t>Teacher occasionally invites choice</w:t>
            </w:r>
          </w:p>
        </w:tc>
        <w:tc>
          <w:tcPr>
            <w:tcW w:type="dxa" w:w="1776"/>
            <w:vAlign w:val="top"/>
          </w:tcPr>
          <w:p>
            <w:pPr>
              <w:spacing w:after="0"/>
            </w:pPr>
            <w:r/>
            <w:r>
              <w:rPr>
                <w:rFonts w:ascii="Arial" w:hAnsi="Arial"/>
                <w:b w:val="0"/>
                <w:sz w:val="14"/>
              </w:rPr>
              <w:t>Teacher uses learner input to adjust support</w:t>
            </w:r>
          </w:p>
        </w:tc>
        <w:tc>
          <w:tcPr>
            <w:tcW w:type="dxa" w:w="1776"/>
            <w:vAlign w:val="top"/>
          </w:tcPr>
          <w:p>
            <w:pPr>
              <w:spacing w:after="0"/>
            </w:pPr>
            <w:r/>
            <w:r>
              <w:rPr>
                <w:rFonts w:ascii="Arial" w:hAnsi="Arial"/>
                <w:b w:val="0"/>
                <w:sz w:val="14"/>
              </w:rPr>
              <w:t>Teacher builds routines for shared responsibility</w:t>
            </w:r>
          </w:p>
        </w:tc>
        <w:tc>
          <w:tcPr>
            <w:tcW w:type="dxa" w:w="1776"/>
            <w:vAlign w:val="top"/>
          </w:tcPr>
          <w:p>
            <w:pPr>
              <w:spacing w:after="0"/>
            </w:pPr>
            <w:r/>
            <w:r>
              <w:rPr>
                <w:rFonts w:ascii="Arial" w:hAnsi="Arial"/>
                <w:b w:val="0"/>
                <w:sz w:val="14"/>
              </w:rPr>
            </w:r>
          </w:p>
        </w:tc>
      </w:tr>
    </w:tbl>
    <w:p>
      <w:pPr>
        <w:pStyle w:val="Heading2"/>
      </w:pPr>
      <w:r>
        <w:t>Model completed example</w:t>
      </w:r>
    </w:p>
    <w:p>
      <w:r>
        <w:t>During a reading lesson, learners choose between a diagram, paragraph plan or oral rehearsal before writing. Observation notes show that choice improves participation, but some learners choose the easiest option. The teacher revises the routine by asking learners to explain why their choice fits the goal.</w:t>
      </w:r>
    </w:p>
    <w:p>
      <w:pPr>
        <w:pStyle w:val="Heading2"/>
      </w:pPr>
      <w:r>
        <w:t>Reflection and improvement prompts</w:t>
      </w:r>
    </w:p>
    <w:p>
      <w:pPr>
        <w:pStyle w:val="ListBullet"/>
      </w:pPr>
      <w:r>
        <w:t>Which choices in the lesson were meaningful?</w:t>
      </w:r>
    </w:p>
    <w:p>
      <w:pPr>
        <w:pStyle w:val="ListBullet"/>
      </w:pPr>
      <w:r>
        <w:t>What evidence showed learner voice?</w:t>
      </w:r>
    </w:p>
    <w:p>
      <w:pPr>
        <w:pStyle w:val="ListBullet"/>
      </w:pPr>
      <w:r>
        <w:t>How can the teacher help learners choose responsibly?</w:t>
      </w:r>
    </w:p>
    <w:p>
      <w:pPr>
        <w:pStyle w:val="Heading2"/>
      </w:pPr>
      <w:r>
        <w:t>Author bio</w:t>
      </w:r>
    </w:p>
    <w:p>
      <w:r>
        <w:t>Finland Creative Education Institute (FCEI) is a digital professional learning platform that supports educators, school leaders, TVET providers, institutions and learning communities through Finnish-Pedagogy training, EDUFI-aligned curriculum language, FINEEC-benchmarked quality improvement practice and practical evidence-based implementation tools.</w:t>
      </w:r>
    </w:p>
    <w:p>
      <w:pPr>
        <w:pStyle w:val="Heading2"/>
      </w:pPr>
      <w:r>
        <w:t>Suggested course links</w:t>
      </w:r>
    </w:p>
    <w:p>
      <w:pPr>
        <w:pStyle w:val="ListBullet"/>
      </w:pPr>
      <w:r>
        <w:t>C02 Learner Agency and the Joy of Learning: https://www.fcei.eu/courses/c02-learner-agency-joy-of-learning</w:t>
      </w:r>
    </w:p>
    <w:p>
      <w:pPr>
        <w:pStyle w:val="ListBullet"/>
      </w:pPr>
      <w:r>
        <w:t>C04 Formative Assessment and Feedback: https://www.fcei.eu/courses/c04-formative-assessment</w:t>
      </w:r>
    </w:p>
    <w:p>
      <w:pPr>
        <w:pStyle w:val="ListBullet"/>
      </w:pPr>
      <w:r>
        <w:t>C09 Teacher Inquiry and Evidence-Informed Practice: https://www.fcei.eu/courses/c09-teacher-inquiry</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64646"/>
        <w:sz w:val="14"/>
      </w:rPr>
      <w:t>Finland Creative Education Institute (FCEI) | Digital professional learning platform | Finnish-Pedagogy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320040" cy="32004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320040" cy="320040"/>
                  </a:xfrm>
                  <a:prstGeom prst="rect"/>
                </pic:spPr>
              </pic:pic>
            </a:graphicData>
          </a:graphic>
        </wp:inline>
      </w:drawing>
    </w:r>
    <w:r>
      <w:rPr>
        <w:rFonts w:ascii="Arial" w:hAnsi="Arial"/>
        <w:b/>
        <w:color w:val="163E52"/>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E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7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Voice and Choice Observation Tool</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