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Wellbeing and Joy of Learning Classroom Audit</w:t>
      </w:r>
    </w:p>
    <w:p>
      <w:pPr>
        <w:jc w:val="center"/>
      </w:pPr>
      <w:r>
        <w:t>A short school self-review tool for checking whether classroom routines support belonging, safety, purposeful challenge, participation and learner confidence.</w:t>
      </w:r>
      <w:r>
        <w:rPr>
          <w:b/>
          <w:color w:val="1F7A5C"/>
          <w:sz w:val="16"/>
        </w:rPr>
        <w:br/>
        <w:t>Downloadable professional learning asset | Finnish-Pedagogy | EDUFI-aligned | FINEEC-benchmarked</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E9FFF4"/>
          </w:tcPr>
          <w:p>
            <w:pPr>
              <w:spacing w:after="0"/>
            </w:pPr>
            <w:r/>
            <w:r>
              <w:rPr>
                <w:rFonts w:ascii="Arial" w:hAnsi="Arial"/>
                <w:b/>
                <w:sz w:val="17"/>
              </w:rPr>
              <w:t>Resource type</w:t>
            </w:r>
          </w:p>
        </w:tc>
        <w:tc>
          <w:tcPr>
            <w:tcW w:type="dxa" w:w="5328"/>
            <w:vAlign w:val="top"/>
          </w:tcPr>
          <w:p>
            <w:pPr>
              <w:spacing w:after="0"/>
            </w:pPr>
            <w:r/>
            <w:r>
              <w:rPr>
                <w:rFonts w:ascii="Arial" w:hAnsi="Arial"/>
                <w:b w:val="0"/>
                <w:sz w:val="17"/>
              </w:rPr>
              <w:t>Self-review tool</w:t>
            </w:r>
          </w:p>
        </w:tc>
      </w:tr>
      <w:tr>
        <w:tc>
          <w:tcPr>
            <w:tcW w:type="dxa" w:w="5328"/>
            <w:vAlign w:val="top"/>
            <w:shd w:fill="E9FFF4"/>
          </w:tcPr>
          <w:p>
            <w:pPr>
              <w:spacing w:after="0"/>
            </w:pPr>
            <w:r/>
            <w:r>
              <w:rPr>
                <w:rFonts w:ascii="Arial" w:hAnsi="Arial"/>
                <w:b/>
                <w:sz w:val="17"/>
              </w:rPr>
              <w:t>Author</w:t>
            </w:r>
          </w:p>
        </w:tc>
        <w:tc>
          <w:tcPr>
            <w:tcW w:type="dxa" w:w="5328"/>
            <w:vAlign w:val="top"/>
          </w:tcPr>
          <w:p>
            <w:pPr>
              <w:spacing w:after="0"/>
            </w:pPr>
            <w:r/>
            <w:r>
              <w:rPr>
                <w:rFonts w:ascii="Arial" w:hAnsi="Arial"/>
                <w:b w:val="0"/>
                <w:sz w:val="17"/>
              </w:rPr>
              <w:t>Finland Creative Education Institute (FCEI)</w:t>
            </w:r>
          </w:p>
        </w:tc>
      </w:tr>
      <w:tr>
        <w:tc>
          <w:tcPr>
            <w:tcW w:type="dxa" w:w="5328"/>
            <w:vAlign w:val="top"/>
            <w:shd w:fill="E9FFF4"/>
          </w:tcPr>
          <w:p>
            <w:pPr>
              <w:spacing w:after="0"/>
            </w:pPr>
            <w:r/>
            <w:r>
              <w:rPr>
                <w:rFonts w:ascii="Arial" w:hAnsi="Arial"/>
                <w:b/>
                <w:sz w:val="17"/>
              </w:rPr>
              <w:t>Recommended users</w:t>
            </w:r>
          </w:p>
        </w:tc>
        <w:tc>
          <w:tcPr>
            <w:tcW w:type="dxa" w:w="5328"/>
            <w:vAlign w:val="top"/>
          </w:tcPr>
          <w:p>
            <w:pPr>
              <w:spacing w:after="0"/>
            </w:pPr>
            <w:r/>
            <w:r>
              <w:rPr>
                <w:rFonts w:ascii="Arial" w:hAnsi="Arial"/>
                <w:b w:val="0"/>
                <w:sz w:val="17"/>
              </w:rPr>
              <w:t>teachers, school leaders, facilitators, TVET providers and education teams</w:t>
            </w:r>
          </w:p>
        </w:tc>
      </w:tr>
      <w:tr>
        <w:tc>
          <w:tcPr>
            <w:tcW w:type="dxa" w:w="5328"/>
            <w:vAlign w:val="top"/>
            <w:shd w:fill="E9FFF4"/>
          </w:tcPr>
          <w:p>
            <w:pPr>
              <w:spacing w:after="0"/>
            </w:pPr>
            <w:r/>
            <w:r>
              <w:rPr>
                <w:rFonts w:ascii="Arial" w:hAnsi="Arial"/>
                <w:b/>
                <w:sz w:val="17"/>
              </w:rPr>
              <w:t>Internal course links</w:t>
            </w:r>
          </w:p>
        </w:tc>
        <w:tc>
          <w:tcPr>
            <w:tcW w:type="dxa" w:w="5328"/>
            <w:vAlign w:val="top"/>
          </w:tcPr>
          <w:p>
            <w:pPr>
              <w:spacing w:after="0"/>
            </w:pPr>
            <w:r/>
            <w:r>
              <w:rPr>
                <w:rFonts w:ascii="Arial" w:hAnsi="Arial"/>
                <w:b w:val="0"/>
                <w:sz w:val="17"/>
              </w:rPr>
              <w:t>C03 Active Learning, Play, Movement and Learning Environments; C02 Learner Agency and the Joy of Learning; C10 School Leadership and Institutional Improvement</w:t>
            </w:r>
          </w:p>
        </w:tc>
      </w:tr>
    </w:tbl>
    <w:p>
      <w:pPr>
        <w:pStyle w:val="Heading2"/>
      </w:pPr>
      <w:r>
        <w:t>Purpose</w:t>
      </w:r>
    </w:p>
    <w:p>
      <w:r>
        <w:t>Use this classroom audit to review whether learners experience learning as safe, purposeful, engaging and supportive. The aim is not entertainment alone. Joy of learning means confidence, curiosity, belonging and meaningful challenge.</w:t>
      </w:r>
    </w:p>
    <w:p>
      <w:pPr>
        <w:pStyle w:val="Heading2"/>
      </w:pPr>
      <w:r>
        <w:t>EDUFI-aligned use</w:t>
      </w:r>
    </w:p>
    <w:p>
      <w:r>
        <w:t>The audit supports school culture, learner wellbeing and classroom routines that help learners engage with learning as active participants.</w:t>
      </w:r>
    </w:p>
    <w:p>
      <w:pPr>
        <w:pStyle w:val="Heading2"/>
      </w:pPr>
      <w:r>
        <w:t>FINEEC-benchmarked use</w:t>
      </w:r>
    </w:p>
    <w:p>
      <w:r>
        <w:t>The audit supports self-evaluation by identifying strengths and development targets in classroom culture and learner experience.</w:t>
      </w:r>
    </w:p>
    <w:p>
      <w:pPr>
        <w:pStyle w:val="Heading2"/>
      </w:pPr>
      <w:r>
        <w:t>Key definitions</w:t>
      </w:r>
    </w:p>
    <w:p>
      <w:r>
        <w:t>Wellbeing means learners experience safety, belonging, care and access to support. Joy of learning means positive engagement with challenge, curiosity, progress and meaningful participation. Purposeful challenge means learners are stretched with support, not punished by difficulty.</w:t>
      </w:r>
    </w:p>
    <w:p>
      <w:pPr>
        <w:pStyle w:val="Heading2"/>
      </w:pPr>
      <w:r>
        <w:t>How to use</w:t>
      </w:r>
    </w:p>
    <w:p>
      <w:r>
        <w:t>Complete the audit for one class, department or school team. Choose two areas of strength and one improvement priority. Agree one visible routine to trial for two weeks.</w:t>
      </w:r>
    </w:p>
    <w:p>
      <w:pPr>
        <w:pStyle w:val="Heading2"/>
      </w:pPr>
      <w:r>
        <w:t>Working tool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163E52"/>
          </w:tcPr>
          <w:p>
            <w:pPr>
              <w:spacing w:after="0"/>
            </w:pPr>
            <w:r/>
            <w:r>
              <w:rPr>
                <w:rFonts w:ascii="Arial" w:hAnsi="Arial"/>
                <w:b/>
                <w:color w:val="FFFFFF"/>
                <w:sz w:val="14"/>
              </w:rPr>
              <w:t>Audit area</w:t>
            </w:r>
          </w:p>
        </w:tc>
        <w:tc>
          <w:tcPr>
            <w:tcW w:type="dxa" w:w="2131"/>
            <w:vAlign w:val="top"/>
            <w:shd w:fill="163E52"/>
          </w:tcPr>
          <w:p>
            <w:pPr>
              <w:spacing w:after="0"/>
            </w:pPr>
            <w:r/>
            <w:r>
              <w:rPr>
                <w:rFonts w:ascii="Arial" w:hAnsi="Arial"/>
                <w:b/>
                <w:color w:val="FFFFFF"/>
                <w:sz w:val="14"/>
              </w:rPr>
              <w:t>Strong evidence</w:t>
            </w:r>
          </w:p>
        </w:tc>
        <w:tc>
          <w:tcPr>
            <w:tcW w:type="dxa" w:w="2131"/>
            <w:vAlign w:val="top"/>
            <w:shd w:fill="163E52"/>
          </w:tcPr>
          <w:p>
            <w:pPr>
              <w:spacing w:after="0"/>
            </w:pPr>
            <w:r/>
            <w:r>
              <w:rPr>
                <w:rFonts w:ascii="Arial" w:hAnsi="Arial"/>
                <w:b/>
                <w:color w:val="FFFFFF"/>
                <w:sz w:val="14"/>
              </w:rPr>
              <w:t>Some evidence</w:t>
            </w:r>
          </w:p>
        </w:tc>
        <w:tc>
          <w:tcPr>
            <w:tcW w:type="dxa" w:w="2131"/>
            <w:vAlign w:val="top"/>
            <w:shd w:fill="163E52"/>
          </w:tcPr>
          <w:p>
            <w:pPr>
              <w:spacing w:after="0"/>
            </w:pPr>
            <w:r/>
            <w:r>
              <w:rPr>
                <w:rFonts w:ascii="Arial" w:hAnsi="Arial"/>
                <w:b/>
                <w:color w:val="FFFFFF"/>
                <w:sz w:val="14"/>
              </w:rPr>
              <w:t>Needs development</w:t>
            </w:r>
          </w:p>
        </w:tc>
        <w:tc>
          <w:tcPr>
            <w:tcW w:type="dxa" w:w="2131"/>
            <w:vAlign w:val="top"/>
            <w:shd w:fill="163E52"/>
          </w:tcPr>
          <w:p>
            <w:pPr>
              <w:spacing w:after="0"/>
            </w:pPr>
            <w:r/>
            <w:r>
              <w:rPr>
                <w:rFonts w:ascii="Arial" w:hAnsi="Arial"/>
                <w:b/>
                <w:color w:val="FFFFFF"/>
                <w:sz w:val="14"/>
              </w:rPr>
              <w:t>Next step</w:t>
            </w:r>
          </w:p>
        </w:tc>
      </w:tr>
      <w:tr>
        <w:tc>
          <w:tcPr>
            <w:tcW w:type="dxa" w:w="2131"/>
            <w:vAlign w:val="top"/>
          </w:tcPr>
          <w:p>
            <w:pPr>
              <w:spacing w:after="0"/>
            </w:pPr>
            <w:r/>
            <w:r>
              <w:rPr>
                <w:rFonts w:ascii="Arial" w:hAnsi="Arial"/>
                <w:b w:val="0"/>
                <w:sz w:val="14"/>
              </w:rPr>
              <w:t>Learners feel safe to ask questions</w:t>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r>
      <w:tr>
        <w:tc>
          <w:tcPr>
            <w:tcW w:type="dxa" w:w="2131"/>
            <w:vAlign w:val="top"/>
          </w:tcPr>
          <w:p>
            <w:pPr>
              <w:spacing w:after="0"/>
            </w:pPr>
            <w:r/>
            <w:r>
              <w:rPr>
                <w:rFonts w:ascii="Arial" w:hAnsi="Arial"/>
                <w:b w:val="0"/>
                <w:sz w:val="14"/>
              </w:rPr>
              <w:t>Mistakes are treated as part of learning</w:t>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r>
      <w:tr>
        <w:tc>
          <w:tcPr>
            <w:tcW w:type="dxa" w:w="2131"/>
            <w:vAlign w:val="top"/>
          </w:tcPr>
          <w:p>
            <w:pPr>
              <w:spacing w:after="0"/>
            </w:pPr>
            <w:r/>
            <w:r>
              <w:rPr>
                <w:rFonts w:ascii="Arial" w:hAnsi="Arial"/>
                <w:b w:val="0"/>
                <w:sz w:val="14"/>
              </w:rPr>
              <w:t>Challenge is purposeful and supported</w:t>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r>
      <w:tr>
        <w:tc>
          <w:tcPr>
            <w:tcW w:type="dxa" w:w="2131"/>
            <w:vAlign w:val="top"/>
          </w:tcPr>
          <w:p>
            <w:pPr>
              <w:spacing w:after="0"/>
            </w:pPr>
            <w:r/>
            <w:r>
              <w:rPr>
                <w:rFonts w:ascii="Arial" w:hAnsi="Arial"/>
                <w:b w:val="0"/>
                <w:sz w:val="14"/>
              </w:rPr>
              <w:t>Learners experience belonging and recognition</w:t>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r>
      <w:tr>
        <w:tc>
          <w:tcPr>
            <w:tcW w:type="dxa" w:w="2131"/>
            <w:vAlign w:val="top"/>
          </w:tcPr>
          <w:p>
            <w:pPr>
              <w:spacing w:after="0"/>
            </w:pPr>
            <w:r/>
            <w:r>
              <w:rPr>
                <w:rFonts w:ascii="Arial" w:hAnsi="Arial"/>
                <w:b w:val="0"/>
                <w:sz w:val="14"/>
              </w:rPr>
              <w:t>Movement, talk or collaboration supports learning</w:t>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r>
      <w:tr>
        <w:tc>
          <w:tcPr>
            <w:tcW w:type="dxa" w:w="2131"/>
            <w:vAlign w:val="top"/>
          </w:tcPr>
          <w:p>
            <w:pPr>
              <w:spacing w:after="0"/>
            </w:pPr>
            <w:r/>
            <w:r>
              <w:rPr>
                <w:rFonts w:ascii="Arial" w:hAnsi="Arial"/>
                <w:b w:val="0"/>
                <w:sz w:val="14"/>
              </w:rPr>
              <w:t>Feedback increases confidence and improvement</w:t>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r>
      <w:tr>
        <w:tc>
          <w:tcPr>
            <w:tcW w:type="dxa" w:w="2131"/>
            <w:vAlign w:val="top"/>
          </w:tcPr>
          <w:p>
            <w:pPr>
              <w:spacing w:after="0"/>
            </w:pPr>
            <w:r/>
            <w:r>
              <w:rPr>
                <w:rFonts w:ascii="Arial" w:hAnsi="Arial"/>
                <w:b w:val="0"/>
                <w:sz w:val="14"/>
              </w:rPr>
              <w:t>Quiet or less confident learners have participation routes</w:t>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r>
      <w:tr>
        <w:tc>
          <w:tcPr>
            <w:tcW w:type="dxa" w:w="2131"/>
            <w:vAlign w:val="top"/>
          </w:tcPr>
          <w:p>
            <w:pPr>
              <w:spacing w:after="0"/>
            </w:pPr>
            <w:r/>
            <w:r>
              <w:rPr>
                <w:rFonts w:ascii="Arial" w:hAnsi="Arial"/>
                <w:b w:val="0"/>
                <w:sz w:val="14"/>
              </w:rPr>
              <w:t>Teacher notices signs of stress, withdrawal or exclusion</w:t>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r>
    </w:tbl>
    <w:p>
      <w:pPr>
        <w:pStyle w:val="Heading2"/>
      </w:pPr>
      <w:r>
        <w:t>Model completed example</w:t>
      </w:r>
    </w:p>
    <w:p>
      <w:r>
        <w:t>A department audit shows strong classroom relationships but weak learner reflection routines. The team agrees to use one weekly prompt: What helped you learn today? What do you need next? After two weeks, teachers compare responses and adjust support groups.</w:t>
      </w:r>
    </w:p>
    <w:p>
      <w:pPr>
        <w:pStyle w:val="Heading2"/>
      </w:pPr>
      <w:r>
        <w:t>Reflection and improvement prompts</w:t>
      </w:r>
    </w:p>
    <w:p>
      <w:pPr>
        <w:pStyle w:val="ListBullet"/>
      </w:pPr>
      <w:r>
        <w:t>Where do learners show confidence and belonging?</w:t>
      </w:r>
    </w:p>
    <w:p>
      <w:pPr>
        <w:pStyle w:val="ListBullet"/>
      </w:pPr>
      <w:r>
        <w:t>Where does challenge feel purposeful?</w:t>
      </w:r>
    </w:p>
    <w:p>
      <w:pPr>
        <w:pStyle w:val="ListBullet"/>
      </w:pPr>
      <w:r>
        <w:t>Which routine could improve joy of learning without reducing academic seriousness?</w:t>
      </w:r>
    </w:p>
    <w:p>
      <w:pPr>
        <w:pStyle w:val="Heading2"/>
      </w:pPr>
      <w:r>
        <w:t>Author bio</w:t>
      </w:r>
    </w:p>
    <w:p>
      <w:r>
        <w:t>Finland Creative Education Institute (FCEI) is a digital professional learning platform that supports educators, school leaders, TVET providers, institutions and learning communities through Finnish-Pedagogy training, EDUFI-aligned curriculum language, FINEEC-benchmarked quality improvement practice and practical evidence-based implementation tools.</w:t>
      </w:r>
    </w:p>
    <w:p>
      <w:pPr>
        <w:pStyle w:val="Heading2"/>
      </w:pPr>
      <w:r>
        <w:t>Suggested course links</w:t>
      </w:r>
    </w:p>
    <w:p>
      <w:pPr>
        <w:pStyle w:val="ListBullet"/>
      </w:pPr>
      <w:r>
        <w:t>C03 Active Learning, Play, Movement and Learning Environments: https://www.fcei.eu/courses/c03-active-learning</w:t>
      </w:r>
    </w:p>
    <w:p>
      <w:pPr>
        <w:pStyle w:val="ListBullet"/>
      </w:pPr>
      <w:r>
        <w:t>C02 Learner Agency and the Joy of Learning: https://www.fcei.eu/courses/c02-learner-agency-joy-of-learning</w:t>
      </w:r>
    </w:p>
    <w:p>
      <w:pPr>
        <w:pStyle w:val="ListBullet"/>
      </w:pPr>
      <w:r>
        <w:t>C10 School Leadership and Institutional Improvement: https://www.fcei.eu/courses/c10-school-leadership</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64646"/>
        <w:sz w:val="14"/>
      </w:rPr>
      <w:t>Finland Creative Education Institute (FCEI) | Digital professional learning platform | Finnish-Pedagogy | EDUFI-aligned | FINEEC-benchmarked | hello@fcei.eu | www.fcei.eu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inline xmlns:a="http://schemas.openxmlformats.org/drawingml/2006/main" xmlns:pic="http://schemas.openxmlformats.org/drawingml/2006/picture">
          <wp:extent cx="320040" cy="320040"/>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
                  <a:stretch>
                    <a:fillRect/>
                  </a:stretch>
                </pic:blipFill>
                <pic:spPr>
                  <a:xfrm>
                    <a:off x="0" y="0"/>
                    <a:ext cx="320040" cy="320040"/>
                  </a:xfrm>
                  <a:prstGeom prst="rect"/>
                </pic:spPr>
              </pic:pic>
            </a:graphicData>
          </a:graphic>
        </wp:inline>
      </w:drawing>
    </w:r>
    <w:r>
      <w:rPr>
        <w:rFonts w:ascii="Arial" w:hAnsi="Arial"/>
        <w:b/>
        <w:color w:val="163E52"/>
        <w:sz w:val="18"/>
      </w:rPr>
      <w:t xml:space="preserve">  Finland Creative Education Institute (FCEI)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E5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7A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Wellbeing and Joy of Learning Classroom Audit</dc:title>
  <dc:subject/>
  <dc:creator>Finland Creative Education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