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B2A4A"/>
          <w:sz w:val="52"/>
          <w:szCs w:val="52"/>
        </w:rPr>
        <w:t xml:space="preserve">NAMPOWER SMARTPAY</w:t>
      </w:r>
    </w:p>
    <w:p>
      <w:pPr>
        <w:spacing w:after="60"/>
        <w:jc w:val="center"/>
      </w:pPr>
      <w:r>
        <w:rPr>
          <w:color w:val="00897B"/>
          <w:sz w:val="22"/>
          <w:szCs w:val="22"/>
        </w:rPr>
        <w:t xml:space="preserve">_______________________________________________</w:t>
      </w:r>
    </w:p>
    <w:p>
      <w:pPr>
        <w:spacing w:after="200"/>
        <w:jc w:val="center"/>
      </w:pPr>
      <w:r>
        <w:rPr>
          <w:rFonts w:ascii="Arial" w:cs="Arial" w:eastAsia="Arial" w:hAnsi="Arial"/>
          <w:color w:val="00897B"/>
          <w:sz w:val="36"/>
          <w:szCs w:val="36"/>
        </w:rPr>
        <w:t xml:space="preserve">API Documentation v2.0</w:t>
      </w:r>
    </w:p>
    <w:p>
      <w:pPr>
        <w:spacing w:after="80"/>
        <w:jc w:val="center"/>
      </w:pPr>
      <w:r>
        <w:rPr>
          <w:rFonts w:ascii="Arial" w:cs="Arial" w:eastAsia="Arial" w:hAnsi="Arial"/>
          <w:color w:val="888888"/>
          <w:sz w:val="28"/>
          <w:szCs w:val="28"/>
        </w:rPr>
        <w:t xml:space="preserve">Developer Integration Guide</w:t>
      </w:r>
    </w:p>
    <w:p>
      <w:pPr>
        <w:spacing w:after="60"/>
      </w:pPr>
    </w:p>
    <w:p>
      <w:pPr>
        <w:spacing w:after="60"/>
      </w:pPr>
    </w:p>
    <w:p>
      <w:pPr>
        <w:spacing w:after="60"/>
      </w:pPr>
    </w:p>
    <w:p>
      <w:pPr>
        <w:spacing w:after="60"/>
      </w:pPr>
    </w:p>
    <w:p>
      <w:pPr>
        <w:spacing w:after="40"/>
        <w:jc w:val="center"/>
      </w:pPr>
      <w:r>
        <w:rPr>
          <w:rFonts w:ascii="Arial" w:cs="Arial" w:eastAsia="Arial" w:hAnsi="Arial"/>
          <w:i/>
          <w:iCs/>
          <w:color w:val="888888"/>
          <w:sz w:val="20"/>
          <w:szCs w:val="20"/>
        </w:rPr>
        <w:t xml:space="preserve">Submitted by</w:t>
      </w:r>
    </w:p>
    <w:p>
      <w:pPr>
        <w:spacing w:after="20"/>
        <w:jc w:val="center"/>
      </w:pPr>
      <w:r>
        <w:rPr>
          <w:rFonts w:ascii="Arial" w:cs="Arial" w:eastAsia="Arial" w:hAnsi="Arial"/>
          <w:b/>
          <w:bCs/>
          <w:color w:val="1B2A4A"/>
          <w:sz w:val="24"/>
          <w:szCs w:val="24"/>
        </w:rPr>
        <w:t xml:space="preserve">MTC (Mobile Telecommunications Company)</w:t>
      </w:r>
    </w:p>
    <w:p>
      <w:pPr>
        <w:spacing w:after="40"/>
        <w:jc w:val="center"/>
      </w:pPr>
      <w:r>
        <w:rPr>
          <w:rFonts w:ascii="Arial" w:cs="Arial" w:eastAsia="Arial" w:hAnsi="Arial"/>
          <w:i/>
          <w:iCs/>
          <w:color w:val="888888"/>
          <w:sz w:val="20"/>
          <w:szCs w:val="20"/>
        </w:rPr>
        <w:t xml:space="preserve">Lead Bidder / Prime Contractor</w:t>
      </w:r>
    </w:p>
    <w:p>
      <w:pPr>
        <w:spacing w:after="20"/>
        <w:jc w:val="center"/>
      </w:pPr>
      <w:r>
        <w:rPr>
          <w:rFonts w:ascii="Arial" w:cs="Arial" w:eastAsia="Arial" w:hAnsi="Arial"/>
          <w:i/>
          <w:iCs/>
          <w:color w:val="888888"/>
          <w:sz w:val="20"/>
          <w:szCs w:val="20"/>
        </w:rPr>
        <w:t xml:space="preserve">in partnership with</w:t>
      </w:r>
    </w:p>
    <w:p>
      <w:pPr>
        <w:spacing w:after="20"/>
        <w:jc w:val="center"/>
      </w:pPr>
      <w:r>
        <w:rPr>
          <w:rFonts w:ascii="Arial" w:cs="Arial" w:eastAsia="Arial" w:hAnsi="Arial"/>
          <w:b/>
          <w:bCs/>
          <w:color w:val="1B2A4A"/>
          <w:sz w:val="22"/>
          <w:szCs w:val="22"/>
        </w:rPr>
        <w:t xml:space="preserve">Pulsar Electronic</w:t>
      </w:r>
    </w:p>
    <w:p>
      <w:pPr>
        <w:spacing w:after="60"/>
        <w:jc w:val="center"/>
      </w:pPr>
      <w:r>
        <w:rPr>
          <w:rFonts w:ascii="Arial" w:cs="Arial" w:eastAsia="Arial" w:hAnsi="Arial"/>
          <w:i/>
          <w:iCs/>
          <w:color w:val="888888"/>
          <w:sz w:val="20"/>
          <w:szCs w:val="20"/>
        </w:rPr>
        <w:t xml:space="preserve">Technical Implementation Partner</w:t>
      </w:r>
    </w:p>
    <w:p>
      <w:pPr>
        <w:spacing w:after="60"/>
        <w:jc w:val="center"/>
      </w:pPr>
      <w:r>
        <w:rPr>
          <w:rFonts w:ascii="Arial" w:cs="Arial" w:eastAsia="Arial" w:hAnsi="Arial"/>
          <w:color w:val="888888"/>
          <w:sz w:val="22"/>
          <w:szCs w:val="22"/>
        </w:rPr>
        <w:t xml:space="preserve">Prepared for NamPower Tender</w:t>
      </w:r>
    </w:p>
    <w:p>
      <w:pPr>
        <w:jc w:val="center"/>
      </w:pPr>
      <w:r>
        <w:rPr>
          <w:rFonts w:ascii="Arial" w:cs="Arial" w:eastAsia="Arial" w:hAnsi="Arial"/>
          <w:color w:val="888888"/>
          <w:sz w:val="22"/>
          <w:szCs w:val="22"/>
        </w:rPr>
        <w:t xml:space="preserve">March 2026 | Confidential</w:t>
      </w:r>
    </w:p>
    <w:p>
      <w:pPr>
        <w:sectPr>
          <w:pgSz w:w="11906" w:h="16838"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20"/>
      </w:pPr>
      <w:r>
        <w:rPr>
          <w:rFonts w:ascii="Arial" w:cs="Arial" w:eastAsia="Arial" w:hAnsi="Arial"/>
          <w:color w:val="555555"/>
          <w:sz w:val="22"/>
          <w:szCs w:val="22"/>
        </w:rPr>
        <w:t xml:space="preserve">The NamPower SmartPay Platform, delivered by MTC in partnership with Pulsar Electronic, provides a comprehensive REST API for third-party integration with prepaid electricity vending, meter management, and utility operations. As the lead bidder, MTC provides the telecommunications infrastructure, network connectivity, and billing integration, while Pulsar Electronic serves as the technical implementation partner responsible for hardware, meter manufacturing, and ongoing technical support. This document covers all public and internal API endpoints available for integration partners, POS vendors, banking systems, and utility management applications.</w:t>
      </w:r>
    </w:p>
    <w:p>
      <w:pPr>
        <w:spacing w:after="60"/>
      </w:pPr>
    </w:p>
    <w:p>
      <w:pPr>
        <w:spacing w:after="80"/>
      </w:pPr>
      <w:r>
        <w:rPr>
          <w:rFonts w:ascii="Arial" w:cs="Arial" w:eastAsia="Arial" w:hAnsi="Arial"/>
          <w:b/>
          <w:bCs/>
          <w:color w:val="1B2A4A"/>
          <w:sz w:val="22"/>
          <w:szCs w:val="22"/>
        </w:rPr>
        <w:t xml:space="preserve">Base URL: </w:t>
      </w:r>
      <w:r>
        <w:rPr>
          <w:rFonts w:ascii="Arial" w:cs="Arial" w:eastAsia="Arial" w:hAnsi="Arial"/>
          <w:color w:val="555555"/>
          <w:sz w:val="22"/>
          <w:szCs w:val="22"/>
        </w:rPr>
        <w:t xml:space="preserve">https://[deployment-domain]/cb/</w:t>
      </w:r>
    </w:p>
    <w:p>
      <w:pPr>
        <w:spacing w:after="80"/>
      </w:pPr>
      <w:r>
        <w:rPr>
          <w:rFonts w:ascii="Arial" w:cs="Arial" w:eastAsia="Arial" w:hAnsi="Arial"/>
          <w:b/>
          <w:bCs/>
          <w:color w:val="1B2A4A"/>
          <w:sz w:val="22"/>
          <w:szCs w:val="22"/>
        </w:rPr>
        <w:t xml:space="preserve">Protocol: </w:t>
      </w:r>
      <w:r>
        <w:rPr>
          <w:rFonts w:ascii="Arial" w:cs="Arial" w:eastAsia="Arial" w:hAnsi="Arial"/>
          <w:color w:val="555555"/>
          <w:sz w:val="22"/>
          <w:szCs w:val="22"/>
        </w:rPr>
        <w:t xml:space="preserve">HTTPS (TLS 1.2+)</w:t>
      </w:r>
    </w:p>
    <w:p>
      <w:pPr>
        <w:spacing w:after="80"/>
      </w:pPr>
      <w:r>
        <w:rPr>
          <w:rFonts w:ascii="Arial" w:cs="Arial" w:eastAsia="Arial" w:hAnsi="Arial"/>
          <w:b/>
          <w:bCs/>
          <w:color w:val="1B2A4A"/>
          <w:sz w:val="22"/>
          <w:szCs w:val="22"/>
        </w:rPr>
        <w:t xml:space="preserve">Format: </w:t>
      </w:r>
      <w:r>
        <w:rPr>
          <w:rFonts w:ascii="Arial" w:cs="Arial" w:eastAsia="Arial" w:hAnsi="Arial"/>
          <w:color w:val="555555"/>
          <w:sz w:val="22"/>
          <w:szCs w:val="22"/>
        </w:rPr>
        <w:t xml:space="preserve">JSON (application/json)</w:t>
      </w:r>
    </w:p>
    <w:p>
      <w:pPr>
        <w:spacing w:after="80"/>
      </w:pPr>
      <w:r>
        <w:rPr>
          <w:rFonts w:ascii="Arial" w:cs="Arial" w:eastAsia="Arial" w:hAnsi="Arial"/>
          <w:b/>
          <w:bCs/>
          <w:color w:val="1B2A4A"/>
          <w:sz w:val="22"/>
          <w:szCs w:val="22"/>
        </w:rPr>
        <w:t xml:space="preserve">Authentication: </w:t>
      </w:r>
      <w:r>
        <w:rPr>
          <w:rFonts w:ascii="Arial" w:cs="Arial" w:eastAsia="Arial" w:hAnsi="Arial"/>
          <w:color w:val="555555"/>
          <w:sz w:val="22"/>
          <w:szCs w:val="22"/>
        </w:rPr>
        <w:t xml:space="preserve">Bearer JWT tokens (admin) or API Keys (partners)</w:t>
      </w:r>
    </w:p>
    <w:p>
      <w:pPr>
        <w:spacing w:after="80"/>
      </w:pPr>
      <w:r>
        <w:rPr>
          <w:rFonts w:ascii="Arial" w:cs="Arial" w:eastAsia="Arial" w:hAnsi="Arial"/>
          <w:b/>
          <w:bCs/>
          <w:color w:val="1B2A4A"/>
          <w:sz w:val="22"/>
          <w:szCs w:val="22"/>
        </w:rPr>
        <w:t xml:space="preserve">Rate Limiting: </w:t>
      </w:r>
      <w:r>
        <w:rPr>
          <w:rFonts w:ascii="Arial" w:cs="Arial" w:eastAsia="Arial" w:hAnsi="Arial"/>
          <w:color w:val="555555"/>
          <w:sz w:val="22"/>
          <w:szCs w:val="22"/>
        </w:rPr>
        <w:t xml:space="preserve">Configurable per partner (default: 60 requests/minute, 10,000/day)</w:t>
      </w:r>
    </w:p>
    <w:p>
      <w:pPr>
        <w:spacing w:after="80"/>
      </w:pPr>
      <w:r>
        <w:rPr>
          <w:rFonts w:ascii="Arial" w:cs="Arial" w:eastAsia="Arial" w:hAnsi="Arial"/>
          <w:b/>
          <w:bCs/>
          <w:color w:val="1B2A4A"/>
          <w:sz w:val="22"/>
          <w:szCs w:val="22"/>
        </w:rPr>
        <w:t xml:space="preserve">Idempotency: </w:t>
      </w:r>
      <w:r>
        <w:rPr>
          <w:rFonts w:ascii="Arial" w:cs="Arial" w:eastAsia="Arial" w:hAnsi="Arial"/>
          <w:color w:val="555555"/>
          <w:sz w:val="22"/>
          <w:szCs w:val="22"/>
        </w:rPr>
        <w:t xml:space="preserve">Supported via idempotencyKey parameter on vending requests</w:t>
      </w:r>
    </w:p>
    <w:p>
      <w:r>
        <w:br w:type="page"/>
      </w:r>
    </w:p>
    <w:p>
      <w:pPr>
        <w:pStyle w:val="Heading1"/>
        <w:spacing w:after="200" w:before="400"/>
      </w:pPr>
      <w:r>
        <w:t xml:space="preserve">2. Authentication</w:t>
      </w:r>
    </w:p>
    <w:p>
      <w:pPr>
        <w:pStyle w:val="Heading2"/>
        <w:spacing w:after="150" w:before="300"/>
      </w:pPr>
      <w:r>
        <w:t xml:space="preserve">2.1 Admin Authentication (JWT)</w:t>
      </w:r>
    </w:p>
    <w:p>
      <w:pPr>
        <w:spacing w:after="120"/>
      </w:pPr>
      <w:r>
        <w:rPr>
          <w:rFonts w:ascii="Arial" w:cs="Arial" w:eastAsia="Arial" w:hAnsi="Arial"/>
          <w:color w:val="555555"/>
          <w:sz w:val="22"/>
          <w:szCs w:val="22"/>
        </w:rPr>
        <w:t xml:space="preserve">Admin users authenticate via email and password to receive a JWT bearer token. The token must be included in the Authorization header of all subsequent requests.</w:t>
      </w:r>
    </w:p>
    <w:p>
      <w:pPr>
        <w:spacing w:after="60"/>
      </w:pP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POST /cb/signin</w:t>
      </w:r>
    </w:p>
    <w:p>
      <w:pPr>
        <w:spacing w:after="80"/>
      </w:pPr>
      <w:r>
        <w:rPr>
          <w:rFonts w:ascii="Arial" w:cs="Arial" w:eastAsia="Arial" w:hAnsi="Arial"/>
          <w:b/>
          <w:bCs/>
          <w:color w:val="1B2A4A"/>
          <w:sz w:val="22"/>
          <w:szCs w:val="22"/>
        </w:rPr>
        <w:t xml:space="preserve">Request Body: </w:t>
      </w:r>
      <w:r>
        <w:rPr>
          <w:rFonts w:ascii="Arial" w:cs="Arial" w:eastAsia="Arial" w:hAnsi="Arial"/>
          <w:color w:val="555555"/>
          <w:sz w:val="22"/>
          <w:szCs w:val="22"/>
        </w:rPr>
        <w:t xml:space="preserve">{ "Email": "user@example.com", "Password": "password" }</w:t>
      </w:r>
    </w:p>
    <w:p>
      <w:pPr>
        <w:spacing w:after="80"/>
      </w:pPr>
      <w:r>
        <w:rPr>
          <w:rFonts w:ascii="Arial" w:cs="Arial" w:eastAsia="Arial" w:hAnsi="Arial"/>
          <w:b/>
          <w:bCs/>
          <w:color w:val="1B2A4A"/>
          <w:sz w:val="22"/>
          <w:szCs w:val="22"/>
        </w:rPr>
        <w:t xml:space="preserve">Response: </w:t>
      </w:r>
      <w:r>
        <w:rPr>
          <w:rFonts w:ascii="Arial" w:cs="Arial" w:eastAsia="Arial" w:hAnsi="Arial"/>
          <w:color w:val="555555"/>
          <w:sz w:val="22"/>
          <w:szCs w:val="22"/>
        </w:rPr>
        <w:t xml:space="preserve">{ "token": "eyJhbG...", "user": { "Admin_ID": 1, "Email": "..." } }</w:t>
      </w:r>
    </w:p>
    <w:p>
      <w:pPr>
        <w:spacing w:after="80"/>
      </w:pPr>
      <w:r>
        <w:rPr>
          <w:rFonts w:ascii="Arial" w:cs="Arial" w:eastAsia="Arial" w:hAnsi="Arial"/>
          <w:b/>
          <w:bCs/>
          <w:color w:val="1B2A4A"/>
          <w:sz w:val="22"/>
          <w:szCs w:val="22"/>
        </w:rPr>
        <w:t xml:space="preserve">Header: </w:t>
      </w:r>
      <w:r>
        <w:rPr>
          <w:rFonts w:ascii="Arial" w:cs="Arial" w:eastAsia="Arial" w:hAnsi="Arial"/>
          <w:color w:val="555555"/>
          <w:sz w:val="22"/>
          <w:szCs w:val="22"/>
        </w:rPr>
        <w:t xml:space="preserve">Authorization: Bearer &lt;token&gt;</w:t>
      </w:r>
    </w:p>
    <w:p>
      <w:pPr>
        <w:spacing w:after="60"/>
      </w:pPr>
    </w:p>
    <w:p>
      <w:pPr>
        <w:spacing w:after="120"/>
      </w:pPr>
      <w:r>
        <w:rPr>
          <w:rFonts w:ascii="Arial" w:cs="Arial" w:eastAsia="Arial" w:hAnsi="Arial"/>
          <w:color w:val="555555"/>
          <w:sz w:val="22"/>
          <w:szCs w:val="22"/>
        </w:rPr>
        <w:t xml:space="preserve">Two-Factor Authentication (2FA) is supported. When enabled, the signin response includes requires2FA: true and a tempToken. The client must then call POST /cb/verify-2fa-login with the 2FA code.</w:t>
      </w:r>
    </w:p>
    <w:p>
      <w:pPr>
        <w:pStyle w:val="Heading2"/>
        <w:spacing w:after="150" w:before="300"/>
      </w:pPr>
      <w:r>
        <w:t xml:space="preserve">2.2 Partner API Authentication</w:t>
      </w:r>
    </w:p>
    <w:p>
      <w:pPr>
        <w:spacing w:after="120"/>
      </w:pPr>
      <w:r>
        <w:rPr>
          <w:rFonts w:ascii="Arial" w:cs="Arial" w:eastAsia="Arial" w:hAnsi="Arial"/>
          <w:color w:val="555555"/>
          <w:sz w:val="22"/>
          <w:szCs w:val="22"/>
        </w:rPr>
        <w:t xml:space="preserve">External partners authenticate using API keys provided during partner registration. Keys are included in the X-Api-Key header.</w:t>
      </w:r>
    </w:p>
    <w:p>
      <w:pPr>
        <w:spacing w:after="60"/>
      </w:pPr>
    </w:p>
    <w:p>
      <w:pPr>
        <w:spacing w:after="80"/>
      </w:pPr>
      <w:r>
        <w:rPr>
          <w:rFonts w:ascii="Arial" w:cs="Arial" w:eastAsia="Arial" w:hAnsi="Arial"/>
          <w:b/>
          <w:bCs/>
          <w:color w:val="1B2A4A"/>
          <w:sz w:val="22"/>
          <w:szCs w:val="22"/>
        </w:rPr>
        <w:t xml:space="preserve">Header: </w:t>
      </w:r>
      <w:r>
        <w:rPr>
          <w:rFonts w:ascii="Arial" w:cs="Arial" w:eastAsia="Arial" w:hAnsi="Arial"/>
          <w:color w:val="555555"/>
          <w:sz w:val="22"/>
          <w:szCs w:val="22"/>
        </w:rPr>
        <w:t xml:space="preserve">X-Api-Key: gx_xxxxxxxxxxxxxxxxxxxx</w:t>
      </w:r>
    </w:p>
    <w:p>
      <w:pPr>
        <w:spacing w:after="80"/>
      </w:pPr>
      <w:r>
        <w:rPr>
          <w:rFonts w:ascii="Arial" w:cs="Arial" w:eastAsia="Arial" w:hAnsi="Arial"/>
          <w:b/>
          <w:bCs/>
          <w:color w:val="1B2A4A"/>
          <w:sz w:val="22"/>
          <w:szCs w:val="22"/>
        </w:rPr>
        <w:t xml:space="preserve">Environments: </w:t>
      </w:r>
      <w:r>
        <w:rPr>
          <w:rFonts w:ascii="Arial" w:cs="Arial" w:eastAsia="Arial" w:hAnsi="Arial"/>
          <w:color w:val="555555"/>
          <w:sz w:val="22"/>
          <w:szCs w:val="22"/>
        </w:rPr>
        <w:t xml:space="preserve">Sandbox (testing) and Production</w:t>
      </w:r>
    </w:p>
    <w:p>
      <w:pPr>
        <w:spacing w:after="80"/>
      </w:pPr>
      <w:r>
        <w:rPr>
          <w:rFonts w:ascii="Arial" w:cs="Arial" w:eastAsia="Arial" w:hAnsi="Arial"/>
          <w:b/>
          <w:bCs/>
          <w:color w:val="1B2A4A"/>
          <w:sz w:val="22"/>
          <w:szCs w:val="22"/>
        </w:rPr>
        <w:t xml:space="preserve">Key Rotation: </w:t>
      </w:r>
      <w:r>
        <w:rPr>
          <w:rFonts w:ascii="Arial" w:cs="Arial" w:eastAsia="Arial" w:hAnsi="Arial"/>
          <w:color w:val="555555"/>
          <w:sz w:val="22"/>
          <w:szCs w:val="22"/>
        </w:rPr>
        <w:t xml:space="preserve">POST /integration/partners/:id/regenerate-keys</w:t>
      </w:r>
    </w:p>
    <w:p>
      <w:pPr>
        <w:pStyle w:val="Heading2"/>
        <w:spacing w:after="150" w:before="300"/>
      </w:pPr>
      <w:r>
        <w:t xml:space="preserve">2.3 Security Features</w:t>
      </w:r>
    </w:p>
    <w:p>
      <w:pPr>
        <w:spacing w:after="120"/>
      </w:pPr>
      <w:r>
        <w:rPr>
          <w:rFonts w:ascii="Arial" w:cs="Arial" w:eastAsia="Arial" w:hAnsi="Arial"/>
          <w:color w:val="555555"/>
          <w:sz w:val="22"/>
          <w:szCs w:val="22"/>
        </w:rPr>
        <w:t xml:space="preserve">IP Whitelisting: Restrict partner access to specific IP addresses.</w:t>
      </w:r>
    </w:p>
    <w:p>
      <w:pPr>
        <w:spacing w:after="120"/>
      </w:pPr>
      <w:r>
        <w:rPr>
          <w:rFonts w:ascii="Arial" w:cs="Arial" w:eastAsia="Arial" w:hAnsi="Arial"/>
          <w:color w:val="555555"/>
          <w:sz w:val="22"/>
          <w:szCs w:val="22"/>
        </w:rPr>
        <w:t xml:space="preserve">Rate Limiting: Per-partner configurable limits (requests/minute and requests/day).</w:t>
      </w:r>
    </w:p>
    <w:p>
      <w:pPr>
        <w:spacing w:after="120"/>
      </w:pPr>
      <w:r>
        <w:rPr>
          <w:rFonts w:ascii="Arial" w:cs="Arial" w:eastAsia="Arial" w:hAnsi="Arial"/>
          <w:color w:val="555555"/>
          <w:sz w:val="22"/>
          <w:szCs w:val="22"/>
        </w:rPr>
        <w:t xml:space="preserve">Audit Logging: All API requests are logged with timestamps, endpoints, status codes, and response times.</w:t>
      </w:r>
    </w:p>
    <w:p>
      <w:pPr>
        <w:spacing w:after="120"/>
      </w:pPr>
      <w:r>
        <w:rPr>
          <w:rFonts w:ascii="Arial" w:cs="Arial" w:eastAsia="Arial" w:hAnsi="Arial"/>
          <w:color w:val="555555"/>
          <w:sz w:val="22"/>
          <w:szCs w:val="22"/>
        </w:rPr>
        <w:t xml:space="preserve">Account Lockout: Automatic lockout after 5 failed login attempts.</w:t>
      </w:r>
    </w:p>
    <w:p>
      <w:r>
        <w:br w:type="page"/>
      </w:r>
    </w:p>
    <w:p>
      <w:pPr>
        <w:pStyle w:val="Heading1"/>
        <w:spacing w:after="200" w:before="400"/>
      </w:pPr>
      <w:r>
        <w:t xml:space="preserve">3. Partner Integration API</w:t>
      </w:r>
    </w:p>
    <w:p>
      <w:pPr>
        <w:spacing w:after="120"/>
      </w:pPr>
      <w:r>
        <w:rPr>
          <w:rFonts w:ascii="Arial" w:cs="Arial" w:eastAsia="Arial" w:hAnsi="Arial"/>
          <w:color w:val="555555"/>
          <w:sz w:val="22"/>
          <w:szCs w:val="22"/>
        </w:rPr>
        <w:t xml:space="preserve">These endpoints are designed for external partners (banks, mobile money providers, POS vendors) to integrate with the NamPower SmartPay vending system.</w:t>
      </w:r>
    </w:p>
    <w:p>
      <w:pPr>
        <w:pStyle w:val="Heading2"/>
        <w:spacing w:after="150" w:before="300"/>
      </w:pPr>
      <w:r>
        <w:t xml:space="preserve">3.1 Token Vending</w:t>
      </w: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POST /cb/integration/external/vend</w:t>
      </w:r>
    </w:p>
    <w:p>
      <w:pPr>
        <w:spacing w:after="80"/>
      </w:pPr>
      <w:r>
        <w:rPr>
          <w:rFonts w:ascii="Arial" w:cs="Arial" w:eastAsia="Arial" w:hAnsi="Arial"/>
          <w:b/>
          <w:bCs/>
          <w:color w:val="1B2A4A"/>
          <w:sz w:val="22"/>
          <w:szCs w:val="22"/>
        </w:rPr>
        <w:t xml:space="preserve">Auth: </w:t>
      </w:r>
      <w:r>
        <w:rPr>
          <w:rFonts w:ascii="Arial" w:cs="Arial" w:eastAsia="Arial" w:hAnsi="Arial"/>
          <w:color w:val="555555"/>
          <w:sz w:val="22"/>
          <w:szCs w:val="22"/>
        </w:rPr>
        <w:t xml:space="preserve">X-Api-Key header</w:t>
      </w:r>
    </w:p>
    <w:p>
      <w:pPr>
        <w:spacing w:after="60"/>
      </w:pPr>
    </w:p>
    <w:p>
      <w:pPr>
        <w:spacing w:after="120"/>
        <w:rPr>
          <w:b/>
          <w:bCs/>
          <w:color w:val="1B2A4A"/>
        </w:rPr>
      </w:pPr>
      <w:r>
        <w:rPr>
          <w:rFonts w:ascii="Arial" w:cs="Arial" w:eastAsia="Arial" w:hAnsi="Arial"/>
          <w:b/>
          <w:bCs/>
          <w:color w:val="1B2A4A"/>
          <w:sz w:val="22"/>
          <w:szCs w:val="22"/>
        </w:rPr>
        <w:t xml:space="preserve">Request Body:</w:t>
      </w:r>
    </w:p>
    <w:p>
      <w:pPr>
        <w:spacing w:after="100"/>
        <w:ind w:left="360"/>
      </w:pPr>
      <w:r>
        <w:rPr>
          <w:rFonts w:ascii="Courier New" w:cs="Courier New" w:eastAsia="Courier New" w:hAnsi="Courier New"/>
          <w:color w:val="333333"/>
          <w:sz w:val="20"/>
          <w:szCs w:val="20"/>
        </w:rPr>
        <w:t xml:space="preserve">{ "meterNo": "0260066545641", "amount": 100.00, "idempotencyKey": "TXN-UNIQUE-123" }</w:t>
      </w:r>
    </w:p>
    <w:p>
      <w:pPr>
        <w:spacing w:after="60"/>
      </w:pPr>
    </w:p>
    <w:p>
      <w:pPr>
        <w:spacing w:after="120"/>
        <w:rPr>
          <w:b/>
          <w:bCs/>
          <w:color w:val="1B2A4A"/>
        </w:rPr>
      </w:pPr>
      <w:r>
        <w:rPr>
          <w:rFonts w:ascii="Arial" w:cs="Arial" w:eastAsia="Arial" w:hAnsi="Arial"/>
          <w:b/>
          <w:bCs/>
          <w:color w:val="1B2A4A"/>
          <w:sz w:val="22"/>
          <w:szCs w:val="22"/>
        </w:rPr>
        <w:t xml:space="preserve">Response:</w:t>
      </w:r>
    </w:p>
    <w:p>
      <w:pPr>
        <w:spacing w:after="100"/>
        <w:ind w:left="360"/>
      </w:pPr>
      <w:r>
        <w:rPr>
          <w:rFonts w:ascii="Courier New" w:cs="Courier New" w:eastAsia="Courier New" w:hAnsi="Courier New"/>
          <w:color w:val="333333"/>
          <w:sz w:val="20"/>
          <w:szCs w:val="20"/>
        </w:rPr>
        <w:t xml:space="preserve">{</w:t>
      </w:r>
    </w:p>
    <w:p>
      <w:pPr>
        <w:spacing w:after="100"/>
        <w:ind w:left="360"/>
      </w:pPr>
      <w:r>
        <w:rPr>
          <w:rFonts w:ascii="Courier New" w:cs="Courier New" w:eastAsia="Courier New" w:hAnsi="Courier New"/>
          <w:color w:val="333333"/>
          <w:sz w:val="20"/>
          <w:szCs w:val="20"/>
        </w:rPr>
        <w:t xml:space="preserve">  "success": true,</w:t>
      </w:r>
    </w:p>
    <w:p>
      <w:pPr>
        <w:spacing w:after="100"/>
        <w:ind w:left="360"/>
      </w:pPr>
      <w:r>
        <w:rPr>
          <w:rFonts w:ascii="Courier New" w:cs="Courier New" w:eastAsia="Courier New" w:hAnsi="Courier New"/>
          <w:color w:val="333333"/>
          <w:sz w:val="20"/>
          <w:szCs w:val="20"/>
        </w:rPr>
        <w:t xml:space="preserve">  "data": {</w:t>
      </w:r>
    </w:p>
    <w:p>
      <w:pPr>
        <w:spacing w:after="100"/>
        <w:ind w:left="360"/>
      </w:pPr>
      <w:r>
        <w:rPr>
          <w:rFonts w:ascii="Courier New" w:cs="Courier New" w:eastAsia="Courier New" w:hAnsi="Courier New"/>
          <w:color w:val="333333"/>
          <w:sz w:val="20"/>
          <w:szCs w:val="20"/>
        </w:rPr>
        <w:t xml:space="preserve">    "transactionId": 12345,</w:t>
      </w:r>
    </w:p>
    <w:p>
      <w:pPr>
        <w:spacing w:after="100"/>
        <w:ind w:left="360"/>
      </w:pPr>
      <w:r>
        <w:rPr>
          <w:rFonts w:ascii="Courier New" w:cs="Courier New" w:eastAsia="Courier New" w:hAnsi="Courier New"/>
          <w:color w:val="333333"/>
          <w:sz w:val="20"/>
          <w:szCs w:val="20"/>
        </w:rPr>
        <w:t xml:space="preserve">    "refNo": "TXN-1A2B3C-XYZW",</w:t>
      </w:r>
    </w:p>
    <w:p>
      <w:pPr>
        <w:spacing w:after="100"/>
        <w:ind w:left="360"/>
      </w:pPr>
      <w:r>
        <w:rPr>
          <w:rFonts w:ascii="Courier New" w:cs="Courier New" w:eastAsia="Courier New" w:hAnsi="Courier New"/>
          <w:color w:val="333333"/>
          <w:sz w:val="20"/>
          <w:szCs w:val="20"/>
        </w:rPr>
        <w:t xml:space="preserve">    "token": "12345678901234567890",</w:t>
      </w:r>
    </w:p>
    <w:p>
      <w:pPr>
        <w:spacing w:after="100"/>
        <w:ind w:left="360"/>
      </w:pPr>
      <w:r>
        <w:rPr>
          <w:rFonts w:ascii="Courier New" w:cs="Courier New" w:eastAsia="Courier New" w:hAnsi="Courier New"/>
          <w:color w:val="333333"/>
          <w:sz w:val="20"/>
          <w:szCs w:val="20"/>
        </w:rPr>
        <w:t xml:space="preserve">    "meterNo": "0260066545641",</w:t>
      </w:r>
    </w:p>
    <w:p>
      <w:pPr>
        <w:spacing w:after="100"/>
        <w:ind w:left="360"/>
      </w:pPr>
      <w:r>
        <w:rPr>
          <w:rFonts w:ascii="Courier New" w:cs="Courier New" w:eastAsia="Courier New" w:hAnsi="Courier New"/>
          <w:color w:val="333333"/>
          <w:sz w:val="20"/>
          <w:szCs w:val="20"/>
        </w:rPr>
        <w:t xml:space="preserve">    "customerName": "John Doe",</w:t>
      </w:r>
    </w:p>
    <w:p>
      <w:pPr>
        <w:spacing w:after="100"/>
        <w:ind w:left="360"/>
      </w:pPr>
      <w:r>
        <w:rPr>
          <w:rFonts w:ascii="Courier New" w:cs="Courier New" w:eastAsia="Courier New" w:hAnsi="Courier New"/>
          <w:color w:val="333333"/>
          <w:sz w:val="20"/>
          <w:szCs w:val="20"/>
        </w:rPr>
        <w:t xml:space="preserve">    "amount": 100.00,</w:t>
      </w:r>
    </w:p>
    <w:p>
      <w:pPr>
        <w:spacing w:after="100"/>
        <w:ind w:left="360"/>
      </w:pPr>
      <w:r>
        <w:rPr>
          <w:rFonts w:ascii="Courier New" w:cs="Courier New" w:eastAsia="Courier New" w:hAnsi="Courier New"/>
          <w:color w:val="333333"/>
          <w:sz w:val="20"/>
          <w:szCs w:val="20"/>
        </w:rPr>
        <w:t xml:space="preserve">    "kWh": 58.19,</w:t>
      </w:r>
    </w:p>
    <w:p>
      <w:pPr>
        <w:spacing w:after="100"/>
        <w:ind w:left="360"/>
      </w:pPr>
      <w:r>
        <w:rPr>
          <w:rFonts w:ascii="Courier New" w:cs="Courier New" w:eastAsia="Courier New" w:hAnsi="Courier New"/>
          <w:color w:val="333333"/>
          <w:sz w:val="20"/>
          <w:szCs w:val="20"/>
        </w:rPr>
        <w:t xml:space="preserve">    "currency": "NAD",</w:t>
      </w:r>
    </w:p>
    <w:p>
      <w:pPr>
        <w:spacing w:after="100"/>
        <w:ind w:left="360"/>
      </w:pPr>
      <w:r>
        <w:rPr>
          <w:rFonts w:ascii="Courier New" w:cs="Courier New" w:eastAsia="Courier New" w:hAnsi="Courier New"/>
          <w:color w:val="333333"/>
          <w:sz w:val="20"/>
          <w:szCs w:val="20"/>
        </w:rPr>
        <w:t xml:space="preserve">    "timestamp": "2026-03-18T10:30:45Z",</w:t>
      </w:r>
    </w:p>
    <w:p>
      <w:pPr>
        <w:spacing w:after="100"/>
        <w:ind w:left="360"/>
      </w:pPr>
      <w:r>
        <w:rPr>
          <w:rFonts w:ascii="Courier New" w:cs="Courier New" w:eastAsia="Courier New" w:hAnsi="Courier New"/>
          <w:color w:val="333333"/>
          <w:sz w:val="20"/>
          <w:szCs w:val="20"/>
        </w:rPr>
        <w:t xml:space="preserve">    "breakdown": {</w:t>
      </w:r>
    </w:p>
    <w:p>
      <w:pPr>
        <w:spacing w:after="100"/>
        <w:ind w:left="360"/>
      </w:pPr>
      <w:r>
        <w:rPr>
          <w:rFonts w:ascii="Courier New" w:cs="Courier New" w:eastAsia="Courier New" w:hAnsi="Courier New"/>
          <w:color w:val="333333"/>
          <w:sz w:val="20"/>
          <w:szCs w:val="20"/>
        </w:rPr>
        <w:t xml:space="preserve">      "vat": 13.04,</w:t>
      </w:r>
    </w:p>
    <w:p>
      <w:pPr>
        <w:spacing w:after="100"/>
        <w:ind w:left="360"/>
      </w:pPr>
      <w:r>
        <w:rPr>
          <w:rFonts w:ascii="Courier New" w:cs="Courier New" w:eastAsia="Courier New" w:hAnsi="Courier New"/>
          <w:color w:val="333333"/>
          <w:sz w:val="20"/>
          <w:szCs w:val="20"/>
        </w:rPr>
        <w:t xml:space="preserve">      "fixedCharge": 8.50,</w:t>
      </w:r>
    </w:p>
    <w:p>
      <w:pPr>
        <w:spacing w:after="100"/>
        <w:ind w:left="360"/>
      </w:pPr>
      <w:r>
        <w:rPr>
          <w:rFonts w:ascii="Courier New" w:cs="Courier New" w:eastAsia="Courier New" w:hAnsi="Courier New"/>
          <w:color w:val="333333"/>
          <w:sz w:val="20"/>
          <w:szCs w:val="20"/>
        </w:rPr>
        <w:t xml:space="preserve">      "relLevy": 2.40,</w:t>
      </w:r>
    </w:p>
    <w:p>
      <w:pPr>
        <w:spacing w:after="100"/>
        <w:ind w:left="360"/>
      </w:pPr>
      <w:r>
        <w:rPr>
          <w:rFonts w:ascii="Courier New" w:cs="Courier New" w:eastAsia="Courier New" w:hAnsi="Courier New"/>
          <w:color w:val="333333"/>
          <w:sz w:val="20"/>
          <w:szCs w:val="20"/>
        </w:rPr>
        <w:t xml:space="preserve">      "energyCost": 76.06</w:t>
      </w:r>
    </w:p>
    <w:p>
      <w:pPr>
        <w:spacing w:after="100"/>
        <w:ind w:left="360"/>
      </w:pPr>
      <w:r>
        <w:rPr>
          <w:rFonts w:ascii="Courier New" w:cs="Courier New" w:eastAsia="Courier New" w:hAnsi="Courier New"/>
          <w:color w:val="333333"/>
          <w:sz w:val="20"/>
          <w:szCs w:val="20"/>
        </w:rPr>
        <w:t xml:space="preserve">    }</w:t>
      </w:r>
    </w:p>
    <w:p>
      <w:pPr>
        <w:spacing w:after="100"/>
        <w:ind w:left="360"/>
      </w:pPr>
      <w:r>
        <w:rPr>
          <w:rFonts w:ascii="Courier New" w:cs="Courier New" w:eastAsia="Courier New" w:hAnsi="Courier New"/>
          <w:color w:val="333333"/>
          <w:sz w:val="20"/>
          <w:szCs w:val="20"/>
        </w:rPr>
        <w:t xml:space="preserve">  }</w:t>
      </w:r>
    </w:p>
    <w:p>
      <w:pPr>
        <w:spacing w:after="100"/>
        <w:ind w:left="360"/>
      </w:pPr>
      <w:r>
        <w:rPr>
          <w:rFonts w:ascii="Courier New" w:cs="Courier New" w:eastAsia="Courier New" w:hAnsi="Courier New"/>
          <w:color w:val="333333"/>
          <w:sz w:val="20"/>
          <w:szCs w:val="20"/>
        </w:rPr>
        <w:t xml:space="preserve">}</w:t>
      </w:r>
    </w:p>
    <w:p>
      <w:pPr>
        <w:pStyle w:val="Heading2"/>
        <w:spacing w:after="150" w:before="300"/>
      </w:pPr>
      <w:r>
        <w:t xml:space="preserve">3.2 Meter Lookup</w:t>
      </w: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GET /cb/integration/external/meter/:meterNo</w:t>
      </w:r>
    </w:p>
    <w:p>
      <w:pPr>
        <w:spacing w:after="80"/>
      </w:pPr>
      <w:r>
        <w:rPr>
          <w:rFonts w:ascii="Arial" w:cs="Arial" w:eastAsia="Arial" w:hAnsi="Arial"/>
          <w:b/>
          <w:bCs/>
          <w:color w:val="1B2A4A"/>
          <w:sz w:val="22"/>
          <w:szCs w:val="22"/>
        </w:rPr>
        <w:t xml:space="preserve">Auth: </w:t>
      </w:r>
      <w:r>
        <w:rPr>
          <w:rFonts w:ascii="Arial" w:cs="Arial" w:eastAsia="Arial" w:hAnsi="Arial"/>
          <w:color w:val="555555"/>
          <w:sz w:val="22"/>
          <w:szCs w:val="22"/>
        </w:rPr>
        <w:t xml:space="preserve">X-Api-Key header</w:t>
      </w:r>
    </w:p>
    <w:p>
      <w:pPr>
        <w:spacing w:after="60"/>
      </w:pPr>
    </w:p>
    <w:p>
      <w:pPr>
        <w:spacing w:after="120"/>
        <w:rPr>
          <w:b/>
          <w:bCs/>
          <w:color w:val="1B2A4A"/>
        </w:rPr>
      </w:pPr>
      <w:r>
        <w:rPr>
          <w:rFonts w:ascii="Arial" w:cs="Arial" w:eastAsia="Arial" w:hAnsi="Arial"/>
          <w:b/>
          <w:bCs/>
          <w:color w:val="1B2A4A"/>
          <w:sz w:val="22"/>
          <w:szCs w:val="22"/>
        </w:rPr>
        <w:t xml:space="preserve">Response:</w:t>
      </w:r>
    </w:p>
    <w:p>
      <w:pPr>
        <w:spacing w:after="100"/>
        <w:ind w:left="360"/>
      </w:pPr>
      <w:r>
        <w:rPr>
          <w:rFonts w:ascii="Courier New" w:cs="Courier New" w:eastAsia="Courier New" w:hAnsi="Courier New"/>
          <w:color w:val="333333"/>
          <w:sz w:val="20"/>
          <w:szCs w:val="20"/>
        </w:rPr>
        <w:t xml:space="preserve">{ "success": true, "data": { "meterNo": "0260066545641",</w:t>
      </w:r>
    </w:p>
    <w:p>
      <w:pPr>
        <w:spacing w:after="100"/>
        <w:ind w:left="360"/>
      </w:pPr>
      <w:r>
        <w:rPr>
          <w:rFonts w:ascii="Courier New" w:cs="Courier New" w:eastAsia="Courier New" w:hAnsi="Courier New"/>
          <w:color w:val="333333"/>
          <w:sz w:val="20"/>
          <w:szCs w:val="20"/>
        </w:rPr>
        <w:t xml:space="preserve">  "customerName": "John Doe", "accountNo": "ACC001",</w:t>
      </w:r>
    </w:p>
    <w:p>
      <w:pPr>
        <w:spacing w:after="100"/>
        <w:ind w:left="360"/>
      </w:pPr>
      <w:r>
        <w:rPr>
          <w:rFonts w:ascii="Courier New" w:cs="Courier New" w:eastAsia="Courier New" w:hAnsi="Courier New"/>
          <w:color w:val="333333"/>
          <w:sz w:val="20"/>
          <w:szCs w:val="20"/>
        </w:rPr>
        <w:t xml:space="preserve">  "area": "Windhoek", "tariffGroup": "Residential",</w:t>
      </w:r>
    </w:p>
    <w:p>
      <w:pPr>
        <w:spacing w:after="100"/>
        <w:ind w:left="360"/>
      </w:pPr>
      <w:r>
        <w:rPr>
          <w:rFonts w:ascii="Courier New" w:cs="Courier New" w:eastAsia="Courier New" w:hAnsi="Courier New"/>
          <w:color w:val="333333"/>
          <w:sz w:val="20"/>
          <w:szCs w:val="20"/>
        </w:rPr>
        <w:t xml:space="preserve">  "status": "Active", "arrears": 0.00,</w:t>
      </w:r>
    </w:p>
    <w:p>
      <w:pPr>
        <w:spacing w:after="100"/>
        <w:ind w:left="360"/>
      </w:pPr>
      <w:r>
        <w:rPr>
          <w:rFonts w:ascii="Courier New" w:cs="Courier New" w:eastAsia="Courier New" w:hAnsi="Courier New"/>
          <w:color w:val="333333"/>
          <w:sz w:val="20"/>
          <w:szCs w:val="20"/>
        </w:rPr>
        <w:t xml:space="preserve">  "lastPurchaseDate": "2026-03-17T14:22:00Z" } }</w:t>
      </w:r>
    </w:p>
    <w:p>
      <w:pPr>
        <w:pStyle w:val="Heading2"/>
        <w:spacing w:after="150" w:before="300"/>
      </w:pPr>
      <w:r>
        <w:t xml:space="preserve">3.3 Transaction Status</w:t>
      </w: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GET /cb/integration/external/transaction/:refNo</w:t>
      </w:r>
    </w:p>
    <w:p>
      <w:pPr>
        <w:spacing w:after="80"/>
      </w:pPr>
      <w:r>
        <w:rPr>
          <w:rFonts w:ascii="Arial" w:cs="Arial" w:eastAsia="Arial" w:hAnsi="Arial"/>
          <w:b/>
          <w:bCs/>
          <w:color w:val="1B2A4A"/>
          <w:sz w:val="22"/>
          <w:szCs w:val="22"/>
        </w:rPr>
        <w:t xml:space="preserve">Auth: </w:t>
      </w:r>
      <w:r>
        <w:rPr>
          <w:rFonts w:ascii="Arial" w:cs="Arial" w:eastAsia="Arial" w:hAnsi="Arial"/>
          <w:color w:val="555555"/>
          <w:sz w:val="22"/>
          <w:szCs w:val="22"/>
        </w:rPr>
        <w:t xml:space="preserve">X-Api-Key header</w:t>
      </w:r>
    </w:p>
    <w:p>
      <w:pPr>
        <w:spacing w:after="60"/>
      </w:pPr>
    </w:p>
    <w:p>
      <w:pPr>
        <w:spacing w:after="120"/>
      </w:pPr>
      <w:r>
        <w:rPr>
          <w:rFonts w:ascii="Arial" w:cs="Arial" w:eastAsia="Arial" w:hAnsi="Arial"/>
          <w:color w:val="555555"/>
          <w:sz w:val="22"/>
          <w:szCs w:val="22"/>
        </w:rPr>
        <w:t xml:space="preserve">Returns full transaction details including token, amount, kWh, status, and breakdown.</w:t>
      </w:r>
    </w:p>
    <w:p>
      <w:pPr>
        <w:pStyle w:val="Heading2"/>
        <w:spacing w:after="150" w:before="300"/>
      </w:pPr>
      <w:r>
        <w:t xml:space="preserve">3.4 ISO 8583 Financial Gateway</w:t>
      </w:r>
    </w:p>
    <w:p>
      <w:pPr>
        <w:spacing w:after="80"/>
      </w:pPr>
      <w:r>
        <w:rPr>
          <w:rFonts w:ascii="Arial" w:cs="Arial" w:eastAsia="Arial" w:hAnsi="Arial"/>
          <w:b/>
          <w:bCs/>
          <w:color w:val="1B2A4A"/>
          <w:sz w:val="22"/>
          <w:szCs w:val="22"/>
        </w:rPr>
        <w:t xml:space="preserve">Endpoint: </w:t>
      </w:r>
      <w:r>
        <w:rPr>
          <w:rFonts w:ascii="Arial" w:cs="Arial" w:eastAsia="Arial" w:hAnsi="Arial"/>
          <w:color w:val="555555"/>
          <w:sz w:val="22"/>
          <w:szCs w:val="22"/>
        </w:rPr>
        <w:t xml:space="preserve">POST /cb/integration/external/iso8583</w:t>
      </w:r>
    </w:p>
    <w:p>
      <w:pPr>
        <w:spacing w:after="80"/>
      </w:pPr>
      <w:r>
        <w:rPr>
          <w:rFonts w:ascii="Arial" w:cs="Arial" w:eastAsia="Arial" w:hAnsi="Arial"/>
          <w:b/>
          <w:bCs/>
          <w:color w:val="1B2A4A"/>
          <w:sz w:val="22"/>
          <w:szCs w:val="22"/>
        </w:rPr>
        <w:t xml:space="preserve">Auth: </w:t>
      </w:r>
      <w:r>
        <w:rPr>
          <w:rFonts w:ascii="Arial" w:cs="Arial" w:eastAsia="Arial" w:hAnsi="Arial"/>
          <w:color w:val="555555"/>
          <w:sz w:val="22"/>
          <w:szCs w:val="22"/>
        </w:rPr>
        <w:t xml:space="preserve">X-Api-Key header</w:t>
      </w:r>
    </w:p>
    <w:p>
      <w:pPr>
        <w:spacing w:after="60"/>
      </w:pPr>
    </w:p>
    <w:p>
      <w:pPr>
        <w:spacing w:after="120"/>
      </w:pPr>
      <w:r>
        <w:rPr>
          <w:rFonts w:ascii="Arial" w:cs="Arial" w:eastAsia="Arial" w:hAnsi="Arial"/>
          <w:color w:val="555555"/>
          <w:sz w:val="22"/>
          <w:szCs w:val="22"/>
        </w:rPr>
        <w:t xml:space="preserve">Standard ISO 8583 financial messaging interface for banking integration. Supports:</w:t>
      </w:r>
    </w:p>
    <w:p>
      <w:pPr>
        <w:spacing w:after="120"/>
      </w:pPr>
      <w:r>
        <w:rPr>
          <w:rFonts w:ascii="Arial" w:cs="Arial" w:eastAsia="Arial" w:hAnsi="Arial"/>
          <w:color w:val="555555"/>
          <w:sz w:val="22"/>
          <w:szCs w:val="22"/>
        </w:rPr>
        <w:t xml:space="preserve">MTI 0200: Authorization (token purchase)</w:t>
      </w:r>
    </w:p>
    <w:p>
      <w:pPr>
        <w:spacing w:after="120"/>
      </w:pPr>
      <w:r>
        <w:rPr>
          <w:rFonts w:ascii="Arial" w:cs="Arial" w:eastAsia="Arial" w:hAnsi="Arial"/>
          <w:color w:val="555555"/>
          <w:sz w:val="22"/>
          <w:szCs w:val="22"/>
        </w:rPr>
        <w:t xml:space="preserve">MTI 0400: Reversal</w:t>
      </w:r>
    </w:p>
    <w:p>
      <w:pPr>
        <w:spacing w:after="120"/>
      </w:pPr>
      <w:r>
        <w:rPr>
          <w:rFonts w:ascii="Arial" w:cs="Arial" w:eastAsia="Arial" w:hAnsi="Arial"/>
          <w:color w:val="555555"/>
          <w:sz w:val="22"/>
          <w:szCs w:val="22"/>
        </w:rPr>
        <w:t xml:space="preserve">MTI 0800: Network management / status inquiry</w:t>
      </w:r>
    </w:p>
    <w:p>
      <w:r>
        <w:br w:type="page"/>
      </w:r>
    </w:p>
    <w:p>
      <w:pPr>
        <w:pStyle w:val="Heading1"/>
        <w:spacing w:after="200" w:before="400"/>
      </w:pPr>
      <w:r>
        <w:t xml:space="preserve">4. Vending Operations</w:t>
      </w:r>
    </w:p>
    <w:p>
      <w:pPr>
        <w:spacing w:after="120"/>
      </w:pPr>
      <w:r>
        <w:rPr>
          <w:rFonts w:ascii="Arial" w:cs="Arial" w:eastAsia="Arial" w:hAnsi="Arial"/>
          <w:color w:val="555555"/>
          <w:sz w:val="22"/>
          <w:szCs w:val="22"/>
        </w:rPr>
        <w:t xml:space="preserve">Internal vending endpoints for POS terminals and admin dashboard operations. All endpoints require JWT authentication.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/vending/vend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Purchase electricity token for a customer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/vending/free-token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Issue free/engineering token (no charge)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/vending/transactions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transactions (paginated, filterable)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/vending/transactions/:id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transaction details with line items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/vending/transactions/:id/reverse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Reverse a completed transaction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/vending/transactions/:id/reprint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Reprint token for existing transaction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/vending/dashboard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vending dashboard summary statistics</w:t>
            </w:r>
          </w:p>
        </w:tc>
      </w:tr>
    </w:tbl>
    <w:p>
      <w:pPr>
        <w:spacing w:after="60"/>
      </w:pPr>
    </w:p>
    <w:p>
      <w:pPr>
        <w:pStyle w:val="Heading2"/>
        <w:spacing w:after="150" w:before="300"/>
      </w:pPr>
      <w:r>
        <w:t xml:space="preserve">4.1 Vend Request Details</w:t>
      </w:r>
    </w:p>
    <w:p>
      <w:pPr>
        <w:spacing w:after="120"/>
        <w:rPr>
          <w:b/>
          <w:bCs/>
          <w:color w:val="1B2A4A"/>
        </w:rPr>
      </w:pPr>
      <w:r>
        <w:rPr>
          <w:rFonts w:ascii="Arial" w:cs="Arial" w:eastAsia="Arial" w:hAnsi="Arial"/>
          <w:b/>
          <w:bCs/>
          <w:color w:val="1B2A4A"/>
          <w:sz w:val="22"/>
          <w:szCs w:val="22"/>
        </w:rPr>
        <w:t xml:space="preserve">Request Body:</w:t>
      </w:r>
    </w:p>
    <w:p>
      <w:pPr>
        <w:spacing w:after="100"/>
        <w:ind w:left="360"/>
      </w:pPr>
      <w:r>
        <w:rPr>
          <w:rFonts w:ascii="Courier New" w:cs="Courier New" w:eastAsia="Courier New" w:hAnsi="Courier New"/>
          <w:color w:val="333333"/>
          <w:sz w:val="20"/>
          <w:szCs w:val="20"/>
        </w:rPr>
        <w:t xml:space="preserve">{ "meterNo": "0260066545641", "amount": 100.00,</w:t>
      </w:r>
    </w:p>
    <w:p>
      <w:pPr>
        <w:spacing w:after="100"/>
        <w:ind w:left="360"/>
      </w:pPr>
      <w:r>
        <w:rPr>
          <w:rFonts w:ascii="Courier New" w:cs="Courier New" w:eastAsia="Courier New" w:hAnsi="Courier New"/>
          <w:color w:val="333333"/>
          <w:sz w:val="20"/>
          <w:szCs w:val="20"/>
        </w:rPr>
        <w:t xml:space="preserve">  "vendorId": 1, "idempotencyKey": "UNIQUE-KEY" }</w:t>
      </w:r>
    </w:p>
    <w:p>
      <w:pPr>
        <w:spacing w:after="60"/>
      </w:pPr>
    </w:p>
    <w:p>
      <w:pPr>
        <w:spacing w:after="120"/>
      </w:pPr>
      <w:r>
        <w:rPr>
          <w:rFonts w:ascii="Arial" w:cs="Arial" w:eastAsia="Arial" w:hAnsi="Arial"/>
          <w:color w:val="555555"/>
          <w:sz w:val="22"/>
          <w:szCs w:val="22"/>
        </w:rPr>
        <w:t xml:space="preserve">The system calculates: VAT (inclusive), Fixed Service Charge, REL Levy, Arrears Deduction (if applicable), Net Energy Amount, and kWh based on tiered tariff blocks. All calculations are atomic (all-or-nothing transactions).</w:t>
      </w:r>
    </w:p>
    <w:p>
      <w:r>
        <w:br w:type="page"/>
      </w:r>
    </w:p>
    <w:p>
      <w:pPr>
        <w:pStyle w:val="Heading1"/>
        <w:spacing w:after="200" w:before="400"/>
      </w:pPr>
      <w:r>
        <w:t xml:space="preserve">5. Customer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all vending customers (paginated)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/vending/customers/:meterNo</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customer by meter number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Register new vending customer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E65100"/>
                <w:sz w:val="20"/>
                <w:szCs w:val="20"/>
              </w:rPr>
              <w:t xml:space="preserve">PUT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customer information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/vending/customers/areas/list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unique customer areas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/vending/non-gridx-customers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non-NamPower SmartPay external customers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/vending/non-gridx-customers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Register non-NamPower SmartPay customer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/vending/non-gridx-customers/import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Bulk import via CSV upload</w:t>
            </w:r>
          </w:p>
        </w:tc>
      </w:tr>
    </w:tbl>
    <w:p>
      <w:r>
        <w:br w:type="page"/>
      </w:r>
    </w:p>
    <w:p>
      <w:pPr>
        <w:pStyle w:val="Heading1"/>
        <w:spacing w:after="200" w:before="400"/>
      </w:pPr>
      <w:r>
        <w:t xml:space="preserve">6. Meter Data &amp; Telemetry</w:t>
      </w:r>
    </w:p>
    <w:p>
      <w:pPr>
        <w:spacing w:after="120"/>
      </w:pPr>
      <w:r>
        <w:rPr>
          <w:rFonts w:ascii="Arial" w:cs="Arial" w:eastAsia="Arial" w:hAnsi="Arial"/>
          <w:color w:val="555555"/>
          <w:sz w:val="22"/>
          <w:szCs w:val="22"/>
        </w:rPr>
        <w:t xml:space="preserve">Real-time and historical meter data endpoints. Data is collected via MQTT from NamPower SmartPay smart meters over cellular (GSM) connections.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/meterPower/getLastUpdate/:DRN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Latest power reading (voltage, current, power factor)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/meterEnergy/getLastUpdate/:DRN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Latest energy consumption (kWh, credit)</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/meterLoadControl/getLastUpdate/:DRN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Load control relay state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/meterCellNetwork/getLastUpdate/:DRN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Cellular network properties (signal, operator)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/meterLocation/getAll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meter GPS locations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/transformer/getAll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transformer locations and info</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/meterDailyPower/:DRN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Daily power consumption history</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/meterDataByDRN/:DRN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Complete meter data package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/meterWeekAndMonthData/:DRN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Weekly and monthly consumption data</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/stsTokensByDRN/:DRN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STS token history for a meter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/meters-list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Fast list of all meters with status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/meter-summary</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Comprehensive meter dashboard data</w:t>
            </w:r>
          </w:p>
        </w:tc>
      </w:tr>
    </w:tbl>
    <w:p>
      <w:r>
        <w:br w:type="page"/>
      </w:r>
    </w:p>
    <w:p>
      <w:pPr>
        <w:pStyle w:val="Heading1"/>
        <w:spacing w:after="200" w:before="400"/>
      </w:pPr>
      <w:r>
        <w:t xml:space="preserve">7. Billing &amp; Tariff Configuration</w:t>
      </w:r>
    </w:p>
    <w:p>
      <w:pPr>
        <w:pStyle w:val="Heading2"/>
        <w:spacing w:after="150" w:before="300"/>
      </w:pPr>
      <w:r>
        <w:t xml:space="preserve">7.1 Tariff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/vending/tariffs/config</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global tariff configuration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E65100"/>
                <w:sz w:val="20"/>
                <w:szCs w:val="20"/>
              </w:rPr>
              <w:t xml:space="preserve">PUT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/vending/tariffs/config</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VAT rate, charges, arrears settings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/vending/tariffs/groups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tariff groups (Residential, Commercial, etc.)</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/vending/tariffs/groups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Create new tariff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E65100"/>
                <w:sz w:val="20"/>
                <w:szCs w:val="20"/>
              </w:rPr>
              <w:t xml:space="preserve">PUT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/vending/tariffs/groups/:id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tariff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/vending/tariffs/tariff-rates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Configure tiered rate blocks</w:t>
            </w:r>
          </w:p>
        </w:tc>
      </w:tr>
    </w:tbl>
    <w:p>
      <w:pPr>
        <w:pStyle w:val="Heading2"/>
        <w:spacing w:after="150" w:before="300"/>
      </w:pPr>
      <w:r>
        <w:t xml:space="preserve">7.2 Meter Billing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/meter-billing/config/prepaid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Configure prepaid billing mode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/meter-billing/config/postpaid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Configure postpaid billing mode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billing config for specific meter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/meter-billing/config/tariff-rates/:DRN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tariff rates for meter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/meter-billing/config/tariff-rates/all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Push tariff rates to all meters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/meter-billing/config/tariff-index/all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Set active tariff index on all meters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/meter-billing/config/tariff-rates/global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global tariff rates overview</w:t>
            </w:r>
          </w:p>
        </w:tc>
      </w:tr>
    </w:tbl>
    <w:p>
      <w:r>
        <w:br w:type="page"/>
      </w:r>
    </w:p>
    <w:p>
      <w:pPr>
        <w:pStyle w:val="Heading1"/>
        <w:spacing w:after="200" w:before="400"/>
      </w:pPr>
      <w:r>
        <w:t xml:space="preserve">8. Load Control</w:t>
      </w:r>
    </w:p>
    <w:p>
      <w:pPr>
        <w:spacing w:after="120"/>
      </w:pPr>
      <w:r>
        <w:rPr>
          <w:rFonts w:ascii="Arial" w:cs="Arial" w:eastAsia="Arial" w:hAnsi="Arial"/>
          <w:color w:val="555555"/>
          <w:sz w:val="22"/>
          <w:szCs w:val="22"/>
        </w:rPr>
        <w:t xml:space="preserve">Group-based load management for demand-side control, load shedding, and remote disconnect/reconnect operations.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all load control groups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Create new meter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E65100"/>
                <w:sz w:val="20"/>
                <w:szCs w:val="20"/>
              </w:rPr>
              <w:t xml:space="preserve">PUT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group configuration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C62828"/>
                <w:sz w:val="20"/>
                <w:szCs w:val="20"/>
              </w:rPr>
              <w:t xml:space="preserve">DELETE</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Delete a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/loadcontrol/groups/:id/meters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Add meters to a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/loadcontrol/groups/:id/meters/remove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Remove meters from a group</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/loadcontrol/execute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Execute disconnect/reconnect command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/loadcontrol/history</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load control command history</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/loadcontrol/meters-state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current relay state of all meters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/loadcontrol/randomize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Randomize meter selection for load shedding</w:t>
            </w:r>
          </w:p>
        </w:tc>
      </w:tr>
    </w:tbl>
    <w:p>
      <w:r>
        <w:br w:type="page"/>
      </w:r>
    </w:p>
    <w:p>
      <w:pPr>
        <w:pStyle w:val="Heading1"/>
        <w:spacing w:after="200" w:before="400"/>
      </w:pPr>
      <w:r>
        <w:t xml:space="preserve">9. Notifications &amp; Alerts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/getAll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all system notifications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/criticalNotifications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critical alerts only</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/emergencyNotifications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emergency notifications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/notificationsByDRN/:DRN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notifications for specific meter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/notificationTypes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available notification types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C62828"/>
                <w:sz w:val="20"/>
                <w:szCs w:val="20"/>
              </w:rPr>
              <w:t xml:space="preserve">DELETE</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/deleteNotifications/:id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Delete a notification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/respond/:notificationId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Respond to a notification</w:t>
            </w:r>
          </w:p>
        </w:tc>
      </w:tr>
    </w:tbl>
    <w:p>
      <w:pPr>
        <w:spacing w:after="60"/>
      </w:pPr>
    </w:p>
    <w:p>
      <w:pPr>
        <w:spacing w:after="120"/>
      </w:pPr>
      <w:r>
        <w:rPr>
          <w:rFonts w:ascii="Arial" w:cs="Arial" w:eastAsia="Arial" w:hAnsi="Arial"/>
          <w:color w:val="555555"/>
          <w:sz w:val="22"/>
          <w:szCs w:val="22"/>
        </w:rPr>
        <w:t xml:space="preserve">Notification types include: Low Credit, Tamper Alert, Power Outage, Over-voltage, Under-voltage, Over-current, Temperature Warning, Communication Loss, and more.</w:t>
      </w:r>
    </w:p>
    <w:p>
      <w:r>
        <w:br w:type="page"/>
      </w:r>
    </w:p>
    <w:p>
      <w:pPr>
        <w:pStyle w:val="Heading1"/>
        <w:spacing w:after="200" w:before="400"/>
      </w:pPr>
      <w:r>
        <w:t xml:space="preserve">10. Tamper Detection</w:t>
      </w:r>
    </w:p>
    <w:p>
      <w:pPr>
        <w:spacing w:after="120"/>
      </w:pPr>
      <w:r>
        <w:rPr>
          <w:rFonts w:ascii="Arial" w:cs="Arial" w:eastAsia="Arial" w:hAnsi="Arial"/>
          <w:color w:val="555555"/>
          <w:sz w:val="22"/>
          <w:szCs w:val="22"/>
        </w:rPr>
        <w:t xml:space="preserve">Physical and software-based tamper detection analytics for revenue protection.</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/tamper/summary</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Dashboard counts (events, unique meters, alerts)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/tamper/physical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Physical tamper events (?days=90)</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/tamper/analytical/confirmed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Confirmed tampered meters (3+ events)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/tamper/analytical/suspected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Suspected tamper (anomaly detection)</w:t>
            </w:r>
          </w:p>
        </w:tc>
      </w:tr>
    </w:tbl>
    <w:p>
      <w:pPr>
        <w:pStyle w:val="Heading1"/>
        <w:spacing w:after="200" w:before="400"/>
      </w:pPr>
      <w:r>
        <w:t xml:space="preserve">11. Financial Reports &amp; Analytics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/finance/time-periods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by configurable time periods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/finance/currentAndLastYearMonthRevenueTotal</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Year-over-year monthly comparison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/finance/currentAndLastWeek</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Week-over-week comparison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/finance/hourlyRevenue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Hourly revenue breakdown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/finance/energy-overview</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Energy consumption overview</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/vending/reports/daily-sales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Daily sales report with vendor breakdown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/vending/reports/revenue-by-area</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by geographic area</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/vending/reports/vendor-performance</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Vendor commission and performance</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/vending/reports/meter-status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Meter connectivity status report</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/vending/reports/token-analysis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Token purchase pattern analysis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/vending/reports/system-audit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Complete system audit trail</w:t>
            </w:r>
          </w:p>
        </w:tc>
      </w:tr>
    </w:tbl>
    <w:p>
      <w:r>
        <w:br w:type="page"/>
      </w:r>
    </w:p>
    <w:p>
      <w:pPr>
        <w:pStyle w:val="Heading1"/>
        <w:spacing w:after="200" w:before="400"/>
      </w:pPr>
      <w:r>
        <w:t xml:space="preserve">12. System Administration</w:t>
      </w:r>
    </w:p>
    <w:p>
      <w:pPr>
        <w:pStyle w:val="Heading2"/>
        <w:spacing w:after="150" w:before="300"/>
      </w:pPr>
      <w:r>
        <w:t xml:space="preserve">12.1 User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/allAdmins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List all admin users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/adminSignup</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Create new admin user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/AdminUpdate/:id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Update admin details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C62828"/>
                <w:sz w:val="20"/>
                <w:szCs w:val="20"/>
              </w:rPr>
              <w:t xml:space="preserve">DELETE</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/deleteAdmin/:id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Delete admin user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/resetPassword/:id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Reset admin password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/unlockAccount/:id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Unlock locked account</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/updateStatus/:id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Activate/deactivate user</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/2fa/setup</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Setup two-factor authentication</w:t>
            </w:r>
          </w:p>
        </w:tc>
      </w:tr>
    </w:tbl>
    <w:p>
      <w:pPr>
        <w:pStyle w:val="Heading2"/>
        <w:spacing w:after="150" w:before="300"/>
      </w:pPr>
      <w:r>
        <w:t xml:space="preserve">12.2 System Settings</w:t>
      </w:r>
    </w:p>
    <w:p>
      <w:pPr>
        <w:spacing w:after="120"/>
      </w:pPr>
      <w:r>
        <w:rPr>
          <w:rFonts w:ascii="Arial" w:cs="Arial" w:eastAsia="Arial" w:hAnsi="Arial"/>
          <w:color w:val="555555"/>
          <w:sz w:val="22"/>
          <w:szCs w:val="22"/>
        </w:rPr>
        <w:t xml:space="preserve">Configurable alert thresholds for: Voltage, Current, Active Power, Reactive Power, Apparent Power, Power Factor, Temperature, Low Energy Units, and Frequency Deviation. Each threshold supports GET (read) and PUT (update) operations via /systemSettings/ endpoints.</w:t>
      </w:r>
    </w:p>
    <w:p>
      <w:pPr>
        <w:pStyle w:val="Heading2"/>
        <w:spacing w:after="150" w:before="300"/>
      </w:pPr>
      <w:r>
        <w:t xml:space="preserve">12.3 MQTT Device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/mqtt/command/:drn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Send command to meter via MQTT</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2E7D32"/>
                <w:sz w:val="20"/>
                <w:szCs w:val="20"/>
              </w:rPr>
              <w:t xml:space="preserve">GET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/mqtt/status</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Get MQTT broker connection status</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1565C0"/>
                <w:sz w:val="20"/>
                <w:szCs w:val="20"/>
              </w:rPr>
              <w:t xml:space="preserve">POST</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/mqtt/test-publish</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Test MQTT publish to a meter</w:t>
            </w:r>
          </w:p>
        </w:tc>
      </w:tr>
    </w:tbl>
    <w:p>
      <w:r>
        <w:br w:type="page"/>
      </w:r>
    </w:p>
    <w:p>
      <w:pPr>
        <w:pStyle w:val="Heading1"/>
        <w:spacing w:after="200" w:before="400"/>
      </w:pPr>
      <w:r>
        <w:t xml:space="preserve">13. Webhook Notifications</w:t>
      </w:r>
    </w:p>
    <w:p>
      <w:pPr>
        <w:spacing w:after="120"/>
      </w:pPr>
      <w:r>
        <w:rPr>
          <w:rFonts w:ascii="Arial" w:cs="Arial" w:eastAsia="Arial" w:hAnsi="Arial"/>
          <w:color w:val="555555"/>
          <w:sz w:val="22"/>
          <w:szCs w:val="22"/>
        </w:rPr>
        <w:t xml:space="preserve">Partners can register webhook URLs to receive real-time event notifications. Webhooks are signed with HMAC using the partner's webhook secret for verification.</w:t>
      </w:r>
    </w:p>
    <w:p>
      <w:pPr>
        <w:spacing w:after="60"/>
      </w:pPr>
    </w:p>
    <w:p>
      <w:pPr>
        <w:pStyle w:val="Heading2"/>
        <w:spacing w:after="150" w:before="300"/>
      </w:pPr>
      <w:r>
        <w:t xml:space="preserve">13.1 Supported Events</w:t>
      </w:r>
    </w:p>
    <w:p>
      <w:pPr>
        <w:spacing w:after="120"/>
      </w:pPr>
      <w:r>
        <w:rPr>
          <w:rFonts w:ascii="Arial" w:cs="Arial" w:eastAsia="Arial" w:hAnsi="Arial"/>
          <w:color w:val="555555"/>
          <w:sz w:val="22"/>
          <w:szCs w:val="22"/>
        </w:rPr>
        <w:t xml:space="preserve">token.purchased - A new token has been vended</w:t>
      </w:r>
    </w:p>
    <w:p>
      <w:pPr>
        <w:spacing w:after="120"/>
      </w:pPr>
      <w:r>
        <w:rPr>
          <w:rFonts w:ascii="Arial" w:cs="Arial" w:eastAsia="Arial" w:hAnsi="Arial"/>
          <w:color w:val="555555"/>
          <w:sz w:val="22"/>
          <w:szCs w:val="22"/>
        </w:rPr>
        <w:t xml:space="preserve">token.reversed - A transaction has been reversed</w:t>
      </w:r>
    </w:p>
    <w:p>
      <w:pPr>
        <w:spacing w:after="120"/>
      </w:pPr>
      <w:r>
        <w:rPr>
          <w:rFonts w:ascii="Arial" w:cs="Arial" w:eastAsia="Arial" w:hAnsi="Arial"/>
          <w:color w:val="555555"/>
          <w:sz w:val="22"/>
          <w:szCs w:val="22"/>
        </w:rPr>
        <w:t xml:space="preserve">meter.offline - A meter has gone offline</w:t>
      </w:r>
    </w:p>
    <w:p>
      <w:pPr>
        <w:spacing w:after="120"/>
      </w:pPr>
      <w:r>
        <w:rPr>
          <w:rFonts w:ascii="Arial" w:cs="Arial" w:eastAsia="Arial" w:hAnsi="Arial"/>
          <w:color w:val="555555"/>
          <w:sz w:val="22"/>
          <w:szCs w:val="22"/>
        </w:rPr>
        <w:t xml:space="preserve">meter.tamper - Tamper event detected on a meter</w:t>
      </w:r>
    </w:p>
    <w:p>
      <w:pPr>
        <w:spacing w:after="60"/>
      </w:pPr>
    </w:p>
    <w:p>
      <w:pPr>
        <w:pStyle w:val="Heading2"/>
        <w:spacing w:after="150" w:before="300"/>
      </w:pPr>
      <w:r>
        <w:t xml:space="preserve">13.2 Delivery</w:t>
      </w:r>
    </w:p>
    <w:p>
      <w:pPr>
        <w:spacing w:after="120"/>
      </w:pPr>
      <w:r>
        <w:rPr>
          <w:rFonts w:ascii="Arial" w:cs="Arial" w:eastAsia="Arial" w:hAnsi="Arial"/>
          <w:color w:val="555555"/>
          <w:sz w:val="22"/>
          <w:szCs w:val="22"/>
        </w:rPr>
        <w:t xml:space="preserve">Webhooks are delivered via HTTP POST with JSON payload. Failed deliveries are retried with exponential backoff. All delivery attempts are logged in the WebhookDeliveryLog table for audit and troubleshooting.</w:t>
      </w:r>
    </w:p>
    <w:p>
      <w:pPr>
        <w:pStyle w:val="Heading1"/>
        <w:spacing w:after="200" w:before="400"/>
      </w:pPr>
      <w:r>
        <w:t xml:space="preserve">14. Error Handling</w:t>
      </w:r>
    </w:p>
    <w:p>
      <w:pPr>
        <w:spacing w:after="120"/>
      </w:pPr>
      <w:r>
        <w:rPr>
          <w:rFonts w:ascii="Arial" w:cs="Arial" w:eastAsia="Arial" w:hAnsi="Arial"/>
          <w:color w:val="555555"/>
          <w:sz w:val="22"/>
          <w:szCs w:val="22"/>
        </w:rPr>
        <w:t xml:space="preserve">All API errors return a JSON response with an error field describing the issue.</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400</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Bad Request</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Validation error or malformed request body</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401</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Unauthorized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Invalid or expired authentication token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403</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Forbidden</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Insufficient permissions for this operation</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404</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Not Found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Resource not found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429</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Rate Limited</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Too many requests - rate limit exceeded</w:t>
            </w:r>
          </w:p>
        </w:tc>
      </w:tr>
      <w:tr>
        <w:tc>
          <w:tcPr>
            <w:tcW w:type="dxa" w:w="1800"/>
            <w:tcBorders>
              <w:top w:val="single" w:color="CCCCCC" w:sz="1"/>
              <w:left w:val="single" w:color="CCCCCC" w:sz="1"/>
              <w:bottom w:val="single" w:color="CCCCCC" w:sz="1"/>
              <w:right w:val="single" w:color="CCCCCC" w:sz="1"/>
            </w:tcBorders>
          </w:tcPr>
          <w:p>
            <w:pPr>
              <w:jc w:val="center"/>
            </w:pPr>
            <w:r>
              <w:rPr>
                <w:rFonts w:ascii="Courier New" w:cs="Courier New" w:eastAsia="Courier New" w:hAnsi="Courier New"/>
                <w:b/>
                <w:bCs/>
                <w:color w:val="555555"/>
                <w:sz w:val="20"/>
                <w:szCs w:val="20"/>
              </w:rPr>
              <w:t xml:space="preserve">500</w:t>
            </w:r>
          </w:p>
        </w:tc>
        <w:tc>
          <w:tcPr>
            <w:tcW w:type="dxa" w:w="3200"/>
            <w:tcBorders>
              <w:top w:val="single" w:color="CCCCCC" w:sz="1"/>
              <w:left w:val="single" w:color="CCCCCC" w:sz="1"/>
              <w:bottom w:val="single" w:color="CCCCCC" w:sz="1"/>
              <w:right w:val="single" w:color="CCCCCC" w:sz="1"/>
            </w:tcBorders>
          </w:tcPr>
          <w:p>
            <w:r>
              <w:rPr>
                <w:rFonts w:ascii="Courier New" w:cs="Courier New" w:eastAsia="Courier New" w:hAnsi="Courier New"/>
                <w:color w:val="333333"/>
                <w:sz w:val="20"/>
                <w:szCs w:val="20"/>
              </w:rPr>
              <w:t xml:space="preserve">Server Error</w:t>
            </w:r>
          </w:p>
        </w:tc>
        <w:tc>
          <w:tcPr>
            <w:tcW w:type="dxa" w:w="43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Internal server error</w:t>
            </w:r>
          </w:p>
        </w:tc>
      </w:tr>
    </w:tbl>
    <w:p>
      <w:pPr>
        <w:spacing w:after="60"/>
      </w:pPr>
    </w:p>
    <w:p>
      <w:pPr>
        <w:spacing w:after="120"/>
        <w:rPr>
          <w:b/>
          <w:bCs/>
          <w:color w:val="1B2A4A"/>
        </w:rPr>
      </w:pPr>
      <w:r>
        <w:rPr>
          <w:rFonts w:ascii="Arial" w:cs="Arial" w:eastAsia="Arial" w:hAnsi="Arial"/>
          <w:b/>
          <w:bCs/>
          <w:color w:val="1B2A4A"/>
          <w:sz w:val="22"/>
          <w:szCs w:val="22"/>
        </w:rPr>
        <w:t xml:space="preserve">Error Response Format:</w:t>
      </w:r>
    </w:p>
    <w:p>
      <w:pPr>
        <w:spacing w:after="100"/>
        <w:ind w:left="360"/>
      </w:pPr>
      <w:r>
        <w:rPr>
          <w:rFonts w:ascii="Courier New" w:cs="Courier New" w:eastAsia="Courier New" w:hAnsi="Courier New"/>
          <w:color w:val="333333"/>
          <w:sz w:val="20"/>
          <w:szCs w:val="20"/>
        </w:rPr>
        <w:t xml:space="preserve">{ "error": "Description of what went wrong" }</w:t>
      </w:r>
    </w:p>
    <w:p>
      <w:r>
        <w:br w:type="page"/>
      </w:r>
    </w:p>
    <w:p>
      <w:pPr>
        <w:pStyle w:val="Heading1"/>
        <w:spacing w:after="200" w:before="400"/>
      </w:pPr>
      <w:r>
        <w:t xml:space="preserve">15. Appendix</w:t>
      </w:r>
    </w:p>
    <w:p>
      <w:pPr>
        <w:pStyle w:val="Heading2"/>
        <w:spacing w:after="150" w:before="300"/>
      </w:pPr>
      <w:r>
        <w:t xml:space="preserve">15.1 Idempotency</w:t>
      </w:r>
    </w:p>
    <w:p>
      <w:pPr>
        <w:spacing w:after="120"/>
      </w:pPr>
      <w:r>
        <w:rPr>
          <w:rFonts w:ascii="Arial" w:cs="Arial" w:eastAsia="Arial" w:hAnsi="Arial"/>
          <w:color w:val="555555"/>
          <w:sz w:val="22"/>
          <w:szCs w:val="22"/>
        </w:rPr>
        <w:t xml:space="preserve">Vending requests support an optional idempotencyKey parameter. If a duplicate request is received with the same key, the original transaction result is returned without processing a new vend. This prevents double-charging in case of network retries.</w:t>
      </w:r>
    </w:p>
    <w:p>
      <w:pPr>
        <w:pStyle w:val="Heading2"/>
        <w:spacing w:after="150" w:before="300"/>
      </w:pPr>
      <w:r>
        <w:t xml:space="preserve">15.2 Pagination</w:t>
      </w:r>
    </w:p>
    <w:p>
      <w:pPr>
        <w:spacing w:after="120"/>
      </w:pPr>
      <w:r>
        <w:rPr>
          <w:rFonts w:ascii="Arial" w:cs="Arial" w:eastAsia="Arial" w:hAnsi="Arial"/>
          <w:color w:val="555555"/>
          <w:sz w:val="22"/>
          <w:szCs w:val="22"/>
        </w:rPr>
        <w:t xml:space="preserve">List endpoints support pagination via limit and offset query parameters. Default limit is 50. Example: GET /vending/transactions?limit=20&amp;offset=40</w:t>
      </w:r>
    </w:p>
    <w:p>
      <w:pPr>
        <w:pStyle w:val="Heading2"/>
        <w:spacing w:after="150" w:before="300"/>
      </w:pPr>
      <w:r>
        <w:t xml:space="preserve">15.3 Date Formats</w:t>
      </w:r>
    </w:p>
    <w:p>
      <w:pPr>
        <w:spacing w:after="120"/>
      </w:pPr>
      <w:r>
        <w:rPr>
          <w:rFonts w:ascii="Arial" w:cs="Arial" w:eastAsia="Arial" w:hAnsi="Arial"/>
          <w:color w:val="555555"/>
          <w:sz w:val="22"/>
          <w:szCs w:val="22"/>
        </w:rPr>
        <w:t xml:space="preserve">All timestamps use ISO 8601 format: YYYY-MM-DDTHH:mm:ssZ (UTC)</w:t>
      </w:r>
    </w:p>
    <w:p>
      <w:pPr>
        <w:pStyle w:val="Heading2"/>
        <w:spacing w:after="150" w:before="300"/>
      </w:pPr>
      <w:r>
        <w:t xml:space="preserve">15.4 Currency</w:t>
      </w:r>
    </w:p>
    <w:p>
      <w:pPr>
        <w:spacing w:after="120"/>
      </w:pPr>
      <w:r>
        <w:rPr>
          <w:rFonts w:ascii="Arial" w:cs="Arial" w:eastAsia="Arial" w:hAnsi="Arial"/>
          <w:color w:val="555555"/>
          <w:sz w:val="22"/>
          <w:szCs w:val="22"/>
        </w:rPr>
        <w:t xml:space="preserve">All monetary values are in Namibian Dollar (NAD). Amounts are represented as decimal numbers with 2 decimal places.</w:t>
      </w:r>
    </w:p>
    <w:p>
      <w:pPr>
        <w:pStyle w:val="Heading2"/>
        <w:spacing w:after="150" w:before="300"/>
      </w:pPr>
      <w:r>
        <w:t xml:space="preserve">15.5 Token Format</w:t>
      </w:r>
    </w:p>
    <w:p>
      <w:pPr>
        <w:spacing w:after="120"/>
      </w:pPr>
      <w:r>
        <w:rPr>
          <w:rFonts w:ascii="Arial" w:cs="Arial" w:eastAsia="Arial" w:hAnsi="Arial"/>
          <w:color w:val="555555"/>
          <w:sz w:val="22"/>
          <w:szCs w:val="22"/>
        </w:rPr>
        <w:t xml:space="preserve">STS tokens are 20-digit numeric strings (e.g., 1234 5678 9012 3456 7890). Tokens are formatted in groups of 4 digits for display purposes.</w:t>
      </w:r>
    </w:p>
    <w:p>
      <w:pPr>
        <w:pStyle w:val="Heading2"/>
        <w:spacing w:after="150" w:before="300"/>
      </w:pPr>
      <w:r>
        <w:t xml:space="preserve">15.6 Data Types</w:t>
      </w:r>
    </w:p>
    <w:p>
      <w:pPr>
        <w:spacing w:after="80"/>
      </w:pPr>
      <w:r>
        <w:rPr>
          <w:rFonts w:ascii="Arial" w:cs="Arial" w:eastAsia="Arial" w:hAnsi="Arial"/>
          <w:b/>
          <w:bCs/>
          <w:color w:val="1B2A4A"/>
          <w:sz w:val="22"/>
          <w:szCs w:val="22"/>
        </w:rPr>
        <w:t xml:space="preserve">DRN: </w:t>
      </w:r>
      <w:r>
        <w:rPr>
          <w:rFonts w:ascii="Arial" w:cs="Arial" w:eastAsia="Arial" w:hAnsi="Arial"/>
          <w:color w:val="555555"/>
          <w:sz w:val="22"/>
          <w:szCs w:val="22"/>
        </w:rPr>
        <w:t xml:space="preserve">Device Reference Number - unique 13-digit meter identifier</w:t>
      </w:r>
    </w:p>
    <w:p>
      <w:pPr>
        <w:spacing w:after="80"/>
      </w:pPr>
      <w:r>
        <w:rPr>
          <w:rFonts w:ascii="Arial" w:cs="Arial" w:eastAsia="Arial" w:hAnsi="Arial"/>
          <w:b/>
          <w:bCs/>
          <w:color w:val="1B2A4A"/>
          <w:sz w:val="22"/>
          <w:szCs w:val="22"/>
        </w:rPr>
        <w:t xml:space="preserve">meterNo: </w:t>
      </w:r>
      <w:r>
        <w:rPr>
          <w:rFonts w:ascii="Arial" w:cs="Arial" w:eastAsia="Arial" w:hAnsi="Arial"/>
          <w:color w:val="555555"/>
          <w:sz w:val="22"/>
          <w:szCs w:val="22"/>
        </w:rPr>
        <w:t xml:space="preserve">Meter number - same as DRN for NamPower SmartPay meters</w:t>
      </w:r>
    </w:p>
    <w:p>
      <w:pPr>
        <w:spacing w:after="80"/>
      </w:pPr>
      <w:r>
        <w:rPr>
          <w:rFonts w:ascii="Arial" w:cs="Arial" w:eastAsia="Arial" w:hAnsi="Arial"/>
          <w:b/>
          <w:bCs/>
          <w:color w:val="1B2A4A"/>
          <w:sz w:val="22"/>
          <w:szCs w:val="22"/>
        </w:rPr>
        <w:t xml:space="preserve">refNo: </w:t>
      </w:r>
      <w:r>
        <w:rPr>
          <w:rFonts w:ascii="Arial" w:cs="Arial" w:eastAsia="Arial" w:hAnsi="Arial"/>
          <w:color w:val="555555"/>
          <w:sz w:val="22"/>
          <w:szCs w:val="22"/>
        </w:rPr>
        <w:t xml:space="preserve">Transaction reference number (format: TXN-[base36timestamp]-[random])</w:t>
      </w:r>
    </w:p>
    <w:p>
      <w:pPr>
        <w:spacing w:after="80"/>
      </w:pPr>
      <w:r>
        <w:rPr>
          <w:rFonts w:ascii="Arial" w:cs="Arial" w:eastAsia="Arial" w:hAnsi="Arial"/>
          <w:b/>
          <w:bCs/>
          <w:color w:val="1B2A4A"/>
          <w:sz w:val="22"/>
          <w:szCs w:val="22"/>
        </w:rPr>
        <w:t xml:space="preserve">token: </w:t>
      </w:r>
      <w:r>
        <w:rPr>
          <w:rFonts w:ascii="Arial" w:cs="Arial" w:eastAsia="Arial" w:hAnsi="Arial"/>
          <w:color w:val="555555"/>
          <w:sz w:val="22"/>
          <w:szCs w:val="22"/>
        </w:rPr>
        <w:t xml:space="preserve">20-digit numeric STS prepaid token</w:t>
      </w:r>
    </w:p>
    <w:p>
      <w:pPr>
        <w:spacing w:after="60"/>
      </w:pPr>
    </w:p>
    <w:p>
      <w:pPr>
        <w:spacing w:after="60"/>
      </w:pP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NamPower SmartPay API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89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2026-03-18T06:59:21.185Z</dcterms:created>
  <dcterms:modified xsi:type="dcterms:W3CDTF">2026-03-18T06:59:21.186Z</dcterms:modified>
</cp:coreProperties>
</file>

<file path=docProps/custom.xml><?xml version="1.0" encoding="utf-8"?>
<Properties xmlns="http://schemas.openxmlformats.org/officeDocument/2006/custom-properties" xmlns:vt="http://schemas.openxmlformats.org/officeDocument/2006/docPropsVTypes"/>
</file>